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1"/>
        <w:ind w:left="1691" w:right="2673" w:firstLine="0"/>
        <w:jc w:val="center"/>
        <w:rPr>
          <w:rFonts w:ascii="宋体" w:hAnsi="宋体" w:cs="宋体" w:eastAsia="宋体" w:hint="default"/>
          <w:sz w:val="36"/>
          <w:szCs w:val="36"/>
        </w:rPr>
      </w:pPr>
      <w:r>
        <w:rPr/>
        <w:pict>
          <v:group style="position:absolute;margin-left:55.575001pt;margin-top:-84.151588pt;width:485.85pt;height:.1pt;mso-position-horizontal-relative:page;mso-position-vertical-relative:paragraph;z-index:0" coordorigin="1112,-1683" coordsize="9717,2">
            <v:shape style="position:absolute;left:1112;top:-1683;width:9717;height:2" coordorigin="1112,-1683" coordsize="9717,0" path="m1112,-1683l10829,-1683e" filled="false" stroked="true" strokeweight=".75pt" strokecolor="#000000">
              <v:path arrowok="t"/>
            </v:shape>
            <w10:wrap type="none"/>
          </v:group>
        </w:pict>
      </w:r>
      <w:r>
        <w:rPr>
          <w:rFonts w:ascii="宋体" w:hAnsi="宋体" w:cs="宋体" w:eastAsia="宋体" w:hint="default"/>
          <w:b/>
          <w:bCs/>
          <w:sz w:val="36"/>
          <w:szCs w:val="36"/>
        </w:rPr>
        <w:t>上海二三四五网络控股集团股份有限公司</w:t>
      </w:r>
      <w:r>
        <w:rPr>
          <w:rFonts w:ascii="宋体" w:hAnsi="宋体" w:cs="宋体" w:eastAsia="宋体" w:hint="default"/>
          <w:sz w:val="36"/>
          <w:szCs w:val="36"/>
        </w:rPr>
      </w:r>
    </w:p>
    <w:p>
      <w:pPr>
        <w:spacing w:line="240" w:lineRule="auto" w:before="7"/>
        <w:rPr>
          <w:rFonts w:ascii="宋体" w:hAnsi="宋体" w:cs="宋体" w:eastAsia="宋体" w:hint="default"/>
          <w:b/>
          <w:bCs/>
          <w:sz w:val="31"/>
          <w:szCs w:val="31"/>
        </w:rPr>
      </w:pPr>
    </w:p>
    <w:p>
      <w:pPr>
        <w:spacing w:before="0"/>
        <w:ind w:left="1691" w:right="2658"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p>
      <w:pPr>
        <w:spacing w:line="720" w:lineRule="exact"/>
        <w:ind w:left="3843"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1409699" cy="4572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699" cy="457200"/>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3"/>
        <w:rPr>
          <w:rFonts w:ascii="宋体" w:hAnsi="宋体" w:cs="宋体" w:eastAsia="宋体" w:hint="default"/>
          <w:b/>
          <w:bCs/>
          <w:sz w:val="39"/>
          <w:szCs w:val="39"/>
        </w:rPr>
      </w:pPr>
    </w:p>
    <w:p>
      <w:pPr>
        <w:spacing w:before="0"/>
        <w:ind w:left="1691" w:right="2658"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0"/>
        <w:jc w:val="left"/>
        <w:rPr>
          <w:b w:val="0"/>
          <w:bCs w:val="0"/>
        </w:rPr>
      </w:pPr>
      <w:bookmarkStart w:name="第一节重要提示、目录和释义" w:id="1"/>
      <w:bookmarkEnd w:id="1"/>
      <w:r>
        <w:rPr>
          <w:b w:val="0"/>
          <w:bCs w:val="0"/>
        </w:rPr>
      </w:r>
      <w:bookmarkStart w:name="_bookmark0" w:id="2"/>
      <w:bookmarkEnd w:id="2"/>
      <w:r>
        <w:rPr>
          <w:b w:val="0"/>
          <w:bCs w:val="0"/>
        </w:rPr>
      </w:r>
      <w:r>
        <w:rPr>
          <w:spacing w:val="6"/>
        </w:rPr>
        <w:t>第一节重要提示、目录和释义</w:t>
      </w:r>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0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公司负责人陈于冰、主管会计工作负责人陈于冰及会计机构负责人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黄国敏声明：保证年度报告中财务报告的真实、准确、完整。</w:t>
      </w:r>
      <w:r>
        <w:rPr>
          <w:rFonts w:ascii="宋体" w:hAnsi="宋体" w:cs="宋体" w:eastAsia="宋体" w:hint="default"/>
          <w:spacing w:val="-4"/>
          <w:sz w:val="28"/>
          <w:szCs w:val="28"/>
        </w:rPr>
      </w:r>
    </w:p>
    <w:p>
      <w:pPr>
        <w:spacing w:line="472" w:lineRule="auto" w:before="138"/>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1"/>
          <w:sz w:val="28"/>
          <w:szCs w:val="28"/>
        </w:rPr>
        <w:t>本报告涉及未来计划等前瞻性陈述，不构成公司对投资者的实质承诺，投</w:t>
      </w:r>
      <w:r>
        <w:rPr>
          <w:rFonts w:ascii="宋体" w:hAnsi="宋体" w:cs="宋体" w:eastAsia="宋体" w:hint="default"/>
          <w:spacing w:val="-1"/>
          <w:sz w:val="28"/>
          <w:szCs w:val="28"/>
        </w:rPr>
      </w:r>
    </w:p>
    <w:p>
      <w:pPr>
        <w:spacing w:line="412" w:lineRule="auto" w:before="0"/>
        <w:ind w:left="141" w:right="0" w:firstLine="0"/>
        <w:jc w:val="left"/>
        <w:rPr>
          <w:rFonts w:ascii="宋体" w:hAnsi="宋体" w:cs="宋体" w:eastAsia="宋体" w:hint="default"/>
          <w:sz w:val="28"/>
          <w:szCs w:val="28"/>
        </w:rPr>
      </w:pPr>
      <w:r>
        <w:rPr>
          <w:rFonts w:ascii="宋体" w:hAnsi="宋体" w:cs="宋体" w:eastAsia="宋体" w:hint="default"/>
          <w:b/>
          <w:bCs/>
          <w:spacing w:val="-1"/>
          <w:sz w:val="28"/>
          <w:szCs w:val="28"/>
        </w:rPr>
        <w:t>资者及相关人士均应当对此保持足够的风险认识，并且应当理解计划、预测与</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承诺之间的差异。敬请广大投资者注意投资风险。</w:t>
      </w:r>
      <w:r>
        <w:rPr>
          <w:rFonts w:ascii="宋体" w:hAnsi="宋体" w:cs="宋体" w:eastAsia="宋体" w:hint="default"/>
          <w:spacing w:val="-4"/>
          <w:sz w:val="28"/>
          <w:szCs w:val="28"/>
        </w:rPr>
      </w:r>
    </w:p>
    <w:p>
      <w:pPr>
        <w:spacing w:line="396" w:lineRule="auto" w:before="152"/>
        <w:ind w:left="141" w:right="1094"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公司目前不存在影响公司正常经营的重大风险。公司日常经营中可能面临</w:t>
      </w:r>
      <w:r>
        <w:rPr>
          <w:rFonts w:ascii="宋体" w:hAnsi="宋体" w:cs="宋体" w:eastAsia="宋体" w:hint="default"/>
          <w:b/>
          <w:bCs/>
          <w:w w:val="101"/>
          <w:sz w:val="28"/>
          <w:szCs w:val="28"/>
        </w:rPr>
        <w:t> </w:t>
      </w:r>
      <w:r>
        <w:rPr>
          <w:rFonts w:ascii="宋体" w:hAnsi="宋体" w:cs="宋体" w:eastAsia="宋体" w:hint="default"/>
          <w:b/>
          <w:bCs/>
          <w:spacing w:val="-3"/>
          <w:sz w:val="28"/>
          <w:szCs w:val="28"/>
        </w:rPr>
        <w:t>的风险因素详见</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 </w:t>
      </w:r>
      <w:r>
        <w:rPr>
          <w:rFonts w:ascii="宋体" w:hAnsi="宋体" w:cs="宋体" w:eastAsia="宋体" w:hint="default"/>
          <w:b/>
          <w:bCs/>
          <w:spacing w:val="-7"/>
          <w:sz w:val="28"/>
          <w:szCs w:val="28"/>
        </w:rPr>
        <w:t>经营情况讨论与分析</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之</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九、公司未来发展的展望</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之</w:t>
      </w:r>
      <w:r>
        <w:rPr>
          <w:rFonts w:ascii="宋体" w:hAnsi="宋体" w:cs="宋体" w:eastAsia="宋体" w:hint="default"/>
          <w:b/>
          <w:bCs/>
          <w:spacing w:val="-101"/>
          <w:sz w:val="28"/>
          <w:szCs w:val="28"/>
        </w:rPr>
        <w:t> </w:t>
      </w:r>
      <w:r>
        <w:rPr>
          <w:rFonts w:ascii="Times New Roman" w:hAnsi="Times New Roman" w:cs="Times New Roman" w:eastAsia="Times New Roman" w:hint="default"/>
          <w:b/>
          <w:bCs/>
          <w:spacing w:val="-3"/>
          <w:sz w:val="28"/>
          <w:szCs w:val="28"/>
        </w:rPr>
        <w:t>“4</w:t>
      </w:r>
      <w:r>
        <w:rPr>
          <w:rFonts w:ascii="宋体" w:hAnsi="宋体" w:cs="宋体" w:eastAsia="宋体" w:hint="default"/>
          <w:b/>
          <w:bCs/>
          <w:spacing w:val="-3"/>
          <w:sz w:val="28"/>
          <w:szCs w:val="28"/>
        </w:rPr>
        <w:t>、风险及应对措施</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w:t>
      </w:r>
      <w:r>
        <w:rPr>
          <w:rFonts w:ascii="宋体" w:hAnsi="宋体" w:cs="宋体" w:eastAsia="宋体" w:hint="default"/>
          <w:spacing w:val="-3"/>
          <w:sz w:val="28"/>
          <w:szCs w:val="28"/>
        </w:rPr>
      </w:r>
    </w:p>
    <w:p>
      <w:pPr>
        <w:spacing w:before="131"/>
        <w:ind w:left="696" w:right="0" w:firstLine="0"/>
        <w:jc w:val="left"/>
        <w:rPr>
          <w:rFonts w:ascii="宋体" w:hAnsi="宋体" w:cs="宋体" w:eastAsia="宋体" w:hint="default"/>
          <w:sz w:val="28"/>
          <w:szCs w:val="28"/>
        </w:rPr>
      </w:pPr>
      <w:r>
        <w:rPr>
          <w:rFonts w:ascii="宋体" w:hAnsi="宋体" w:cs="宋体" w:eastAsia="宋体" w:hint="default"/>
          <w:b/>
          <w:bCs/>
          <w:spacing w:val="-7"/>
          <w:sz w:val="28"/>
          <w:szCs w:val="28"/>
        </w:rPr>
        <w:t>公司经本次董事会审议通过的利润分配预案为：以 </w:t>
      </w:r>
      <w:r>
        <w:rPr>
          <w:rFonts w:ascii="Times New Roman" w:hAnsi="Times New Roman" w:cs="Times New Roman" w:eastAsia="Times New Roman" w:hint="default"/>
          <w:b/>
          <w:bCs/>
          <w:spacing w:val="-6"/>
          <w:sz w:val="28"/>
          <w:szCs w:val="28"/>
        </w:rPr>
        <w:t>2019 </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年度利润分配股权</w:t>
      </w:r>
      <w:r>
        <w:rPr>
          <w:rFonts w:ascii="宋体" w:hAnsi="宋体" w:cs="宋体" w:eastAsia="宋体" w:hint="default"/>
          <w:sz w:val="28"/>
          <w:szCs w:val="28"/>
        </w:rPr>
      </w:r>
    </w:p>
    <w:p>
      <w:pPr>
        <w:spacing w:before="243"/>
        <w:ind w:left="141" w:right="0" w:firstLine="0"/>
        <w:jc w:val="left"/>
        <w:rPr>
          <w:rFonts w:ascii="宋体" w:hAnsi="宋体" w:cs="宋体" w:eastAsia="宋体" w:hint="default"/>
          <w:sz w:val="28"/>
          <w:szCs w:val="28"/>
        </w:rPr>
      </w:pPr>
      <w:r>
        <w:rPr>
          <w:rFonts w:ascii="宋体" w:hAnsi="宋体" w:cs="宋体" w:eastAsia="宋体" w:hint="default"/>
          <w:b/>
          <w:bCs/>
          <w:w w:val="101"/>
          <w:sz w:val="28"/>
          <w:szCs w:val="28"/>
        </w:rPr>
        <w:t>登记日的</w:t>
      </w:r>
      <w:r>
        <w:rPr>
          <w:rFonts w:ascii="宋体" w:hAnsi="宋体" w:cs="宋体" w:eastAsia="宋体" w:hint="default"/>
          <w:b/>
          <w:bCs/>
          <w:spacing w:val="-16"/>
          <w:w w:val="101"/>
          <w:sz w:val="28"/>
          <w:szCs w:val="28"/>
        </w:rPr>
        <w:t>总</w:t>
      </w:r>
      <w:r>
        <w:rPr>
          <w:rFonts w:ascii="宋体" w:hAnsi="宋体" w:cs="宋体" w:eastAsia="宋体" w:hint="default"/>
          <w:b/>
          <w:bCs/>
          <w:w w:val="101"/>
          <w:sz w:val="28"/>
          <w:szCs w:val="28"/>
        </w:rPr>
        <w:t>股本为</w:t>
      </w:r>
      <w:r>
        <w:rPr>
          <w:rFonts w:ascii="宋体" w:hAnsi="宋体" w:cs="宋体" w:eastAsia="宋体" w:hint="default"/>
          <w:b/>
          <w:bCs/>
          <w:spacing w:val="-16"/>
          <w:w w:val="101"/>
          <w:sz w:val="28"/>
          <w:szCs w:val="28"/>
        </w:rPr>
        <w:t>基</w:t>
      </w:r>
      <w:r>
        <w:rPr>
          <w:rFonts w:ascii="宋体" w:hAnsi="宋体" w:cs="宋体" w:eastAsia="宋体" w:hint="default"/>
          <w:b/>
          <w:bCs/>
          <w:w w:val="101"/>
          <w:sz w:val="28"/>
          <w:szCs w:val="28"/>
        </w:rPr>
        <w:t>数，向</w:t>
      </w:r>
      <w:r>
        <w:rPr>
          <w:rFonts w:ascii="宋体" w:hAnsi="宋体" w:cs="宋体" w:eastAsia="宋体" w:hint="default"/>
          <w:b/>
          <w:bCs/>
          <w:spacing w:val="-16"/>
          <w:w w:val="101"/>
          <w:sz w:val="28"/>
          <w:szCs w:val="28"/>
        </w:rPr>
        <w:t>全</w:t>
      </w:r>
      <w:r>
        <w:rPr>
          <w:rFonts w:ascii="宋体" w:hAnsi="宋体" w:cs="宋体" w:eastAsia="宋体" w:hint="default"/>
          <w:b/>
          <w:bCs/>
          <w:w w:val="101"/>
          <w:sz w:val="28"/>
          <w:szCs w:val="28"/>
        </w:rPr>
        <w:t>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w:t>
      </w:r>
      <w:r>
        <w:rPr>
          <w:rFonts w:ascii="宋体" w:hAnsi="宋体" w:cs="宋体" w:eastAsia="宋体" w:hint="default"/>
          <w:b/>
          <w:bCs/>
          <w:spacing w:val="-16"/>
          <w:w w:val="101"/>
          <w:sz w:val="28"/>
          <w:szCs w:val="28"/>
        </w:rPr>
        <w:t>派</w:t>
      </w:r>
      <w:r>
        <w:rPr>
          <w:rFonts w:ascii="宋体" w:hAnsi="宋体" w:cs="宋体" w:eastAsia="宋体" w:hint="default"/>
          <w:b/>
          <w:bCs/>
          <w:w w:val="101"/>
          <w:sz w:val="28"/>
          <w:szCs w:val="28"/>
        </w:rPr>
        <w:t>发现金</w:t>
      </w:r>
      <w:r>
        <w:rPr>
          <w:rFonts w:ascii="宋体" w:hAnsi="宋体" w:cs="宋体" w:eastAsia="宋体" w:hint="default"/>
          <w:b/>
          <w:bCs/>
          <w:spacing w:val="-16"/>
          <w:w w:val="101"/>
          <w:sz w:val="28"/>
          <w:szCs w:val="28"/>
        </w:rPr>
        <w:t>红</w:t>
      </w:r>
      <w:r>
        <w:rPr>
          <w:rFonts w:ascii="宋体" w:hAnsi="宋体" w:cs="宋体" w:eastAsia="宋体" w:hint="default"/>
          <w:b/>
          <w:bCs/>
          <w:w w:val="101"/>
          <w:sz w:val="28"/>
          <w:szCs w:val="28"/>
        </w:rPr>
        <w:t>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0</w:t>
      </w:r>
      <w:r>
        <w:rPr>
          <w:rFonts w:ascii="Times New Roman" w:hAnsi="Times New Roman" w:cs="Times New Roman" w:eastAsia="Times New Roman" w:hint="default"/>
          <w:b/>
          <w:bCs/>
          <w:spacing w:val="3"/>
          <w:w w:val="101"/>
          <w:sz w:val="28"/>
          <w:szCs w:val="28"/>
        </w:rPr>
        <w:t>.</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元（含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w w:val="101"/>
          <w:sz w:val="28"/>
          <w:szCs w:val="28"/>
        </w:rPr>
        <w:t>，送</w:t>
      </w:r>
      <w:r>
        <w:rPr>
          <w:rFonts w:ascii="宋体" w:hAnsi="宋体" w:cs="宋体" w:eastAsia="宋体" w:hint="default"/>
          <w:sz w:val="28"/>
          <w:szCs w:val="28"/>
        </w:rPr>
      </w:r>
    </w:p>
    <w:p>
      <w:pPr>
        <w:spacing w:before="228"/>
        <w:ind w:left="141" w:right="0" w:firstLine="0"/>
        <w:jc w:val="left"/>
        <w:rPr>
          <w:rFonts w:ascii="宋体" w:hAnsi="宋体" w:cs="宋体" w:eastAsia="宋体" w:hint="default"/>
          <w:sz w:val="28"/>
          <w:szCs w:val="28"/>
        </w:rPr>
      </w:pPr>
      <w:r>
        <w:rPr>
          <w:rFonts w:ascii="宋体" w:hAnsi="宋体" w:cs="宋体" w:eastAsia="宋体" w:hint="default"/>
          <w:b/>
          <w:bCs/>
          <w:w w:val="101"/>
          <w:sz w:val="28"/>
          <w:szCs w:val="28"/>
        </w:rPr>
        <w:t>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w:t>
      </w:r>
      <w:r>
        <w:rPr>
          <w:rFonts w:ascii="宋体" w:hAnsi="宋体" w:cs="宋体" w:eastAsia="宋体" w:hint="default"/>
          <w:b/>
          <w:bCs/>
          <w:spacing w:val="-16"/>
          <w:w w:val="101"/>
          <w:sz w:val="28"/>
          <w:szCs w:val="28"/>
        </w:rPr>
        <w:t>（</w:t>
      </w:r>
      <w:r>
        <w:rPr>
          <w:rFonts w:ascii="宋体" w:hAnsi="宋体" w:cs="宋体" w:eastAsia="宋体" w:hint="default"/>
          <w:b/>
          <w:bCs/>
          <w:w w:val="101"/>
          <w:sz w:val="28"/>
          <w:szCs w:val="28"/>
        </w:rPr>
        <w:t>含税</w:t>
      </w:r>
      <w:r>
        <w:rPr>
          <w:rFonts w:ascii="宋体" w:hAnsi="宋体" w:cs="宋体" w:eastAsia="宋体" w:hint="default"/>
          <w:b/>
          <w:bCs/>
          <w:spacing w:val="-151"/>
          <w:w w:val="101"/>
          <w:sz w:val="28"/>
          <w:szCs w:val="28"/>
        </w:rPr>
        <w:t>）</w:t>
      </w:r>
      <w:r>
        <w:rPr>
          <w:rFonts w:ascii="宋体" w:hAnsi="宋体" w:cs="宋体" w:eastAsia="宋体" w:hint="default"/>
          <w:b/>
          <w:bCs/>
          <w:w w:val="101"/>
          <w:sz w:val="28"/>
          <w:szCs w:val="28"/>
        </w:rPr>
        <w:t>，不以</w:t>
      </w:r>
      <w:r>
        <w:rPr>
          <w:rFonts w:ascii="宋体" w:hAnsi="宋体" w:cs="宋体" w:eastAsia="宋体" w:hint="default"/>
          <w:b/>
          <w:bCs/>
          <w:spacing w:val="-16"/>
          <w:w w:val="101"/>
          <w:sz w:val="28"/>
          <w:szCs w:val="28"/>
        </w:rPr>
        <w:t>公</w:t>
      </w:r>
      <w:r>
        <w:rPr>
          <w:rFonts w:ascii="宋体" w:hAnsi="宋体" w:cs="宋体" w:eastAsia="宋体" w:hint="default"/>
          <w:b/>
          <w:bCs/>
          <w:w w:val="101"/>
          <w:sz w:val="28"/>
          <w:szCs w:val="28"/>
        </w:rPr>
        <w:t>积金转</w:t>
      </w:r>
      <w:r>
        <w:rPr>
          <w:rFonts w:ascii="宋体" w:hAnsi="宋体" w:cs="宋体" w:eastAsia="宋体" w:hint="default"/>
          <w:b/>
          <w:bCs/>
          <w:spacing w:val="-16"/>
          <w:w w:val="101"/>
          <w:sz w:val="28"/>
          <w:szCs w:val="28"/>
        </w:rPr>
        <w:t>增</w:t>
      </w:r>
      <w:r>
        <w:rPr>
          <w:rFonts w:ascii="宋体" w:hAnsi="宋体" w:cs="宋体" w:eastAsia="宋体" w:hint="default"/>
          <w:b/>
          <w:bCs/>
          <w:w w:val="101"/>
          <w:sz w:val="28"/>
          <w:szCs w:val="28"/>
        </w:rPr>
        <w:t>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1689" w:right="267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3"/>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before="163"/>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spacing w:val="3"/>
              </w:rPr>
              <w:t>财务报告</w:t>
            </w:r>
            <w:r>
              <w:rPr>
                <w:rFonts w:ascii="Times New Roman" w:hAnsi="Times New Roman" w:cs="Times New Roman" w:eastAsia="Times New Roman" w:hint="default"/>
                <w:spacing w:val="3"/>
              </w:rPr>
              <w:tab/>
            </w:r>
            <w:r>
              <w:rPr>
                <w:rFonts w:ascii="Times New Roman" w:hAnsi="Times New Roman" w:cs="Times New Roman" w:eastAsia="Times New Roman" w:hint="default"/>
              </w:rPr>
              <w:t>80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spacing w:val="2"/>
              </w:rPr>
              <w:t>备查文件目录</w:t>
            </w:r>
            <w:r>
              <w:rPr>
                <w:rFonts w:ascii="Times New Roman" w:hAnsi="Times New Roman" w:cs="Times New Roman" w:eastAsia="Times New Roman" w:hint="default"/>
                <w:spacing w:val="2"/>
              </w:rPr>
              <w:tab/>
            </w:r>
            <w:r>
              <w:rPr>
                <w:rFonts w:ascii="Times New Roman" w:hAnsi="Times New Roman" w:cs="Times New Roman" w:eastAsia="Times New Roman" w:hint="default"/>
              </w:rPr>
              <w:t>219</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731" w:footer="981" w:top="1040" w:bottom="1180" w:left="1000" w:right="0"/>
        </w:sectPr>
      </w:pPr>
    </w:p>
    <w:p>
      <w:pPr>
        <w:spacing w:before="953"/>
        <w:ind w:left="1691" w:right="2645"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37"/>
        <w:gridCol w:w="601"/>
        <w:gridCol w:w="5444"/>
      </w:tblGrid>
      <w:tr>
        <w:trPr>
          <w:trHeight w:val="405" w:hRule="exact"/>
        </w:trPr>
        <w:tc>
          <w:tcPr>
            <w:tcW w:w="35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二三四五、本公司、本企业、公司</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391"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网络科技子公司</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上海二三四五网络科技有限公司，系公司全资子公司</w:t>
            </w:r>
          </w:p>
        </w:tc>
      </w:tr>
      <w:tr>
        <w:trPr>
          <w:trHeight w:val="1104" w:hRule="exact"/>
        </w:trPr>
        <w:tc>
          <w:tcPr>
            <w:tcW w:w="35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重大资产重组、本次重组</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88" w:lineRule="auto" w:before="59"/>
              <w:ind w:left="30" w:right="76"/>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年第一次临时股东大会决议及中 国证券监督管理委员会证监许可</w:t>
            </w:r>
            <w:r>
              <w:rPr>
                <w:rFonts w:ascii="Times New Roman" w:hAnsi="Times New Roman" w:cs="Times New Roman" w:eastAsia="Times New Roman" w:hint="default"/>
                <w:sz w:val="18"/>
                <w:szCs w:val="18"/>
              </w:rPr>
              <w:t>[2014]760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号《关于核准上海海隆软 件股份有限公司向庞升东等发行股份购买资产并募集配套资金的批</w:t>
            </w:r>
          </w:p>
          <w:p>
            <w:pPr>
              <w:pStyle w:val="TableParagraph"/>
              <w:spacing w:line="240" w:lineRule="auto" w:before="59"/>
              <w:ind w:left="30" w:right="0"/>
              <w:jc w:val="both"/>
              <w:rPr>
                <w:rFonts w:ascii="宋体" w:hAnsi="宋体" w:cs="宋体" w:eastAsia="宋体" w:hint="default"/>
                <w:sz w:val="18"/>
                <w:szCs w:val="18"/>
              </w:rPr>
            </w:pPr>
            <w:r>
              <w:rPr>
                <w:rFonts w:ascii="宋体" w:hAnsi="宋体" w:cs="宋体" w:eastAsia="宋体" w:hint="default"/>
                <w:sz w:val="18"/>
                <w:szCs w:val="18"/>
              </w:rPr>
              <w:t>复</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月公司按照每股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14.96 </w:t>
            </w:r>
            <w:r>
              <w:rPr>
                <w:rFonts w:ascii="宋体" w:hAnsi="宋体" w:cs="宋体" w:eastAsia="宋体" w:hint="default"/>
                <w:sz w:val="18"/>
                <w:szCs w:val="18"/>
              </w:rPr>
              <w:t>元，发行人民币普通股</w:t>
            </w:r>
          </w:p>
          <w:p>
            <w:pPr>
              <w:pStyle w:val="TableParagraph"/>
              <w:spacing w:line="295" w:lineRule="auto" w:before="66"/>
              <w:ind w:left="30" w:right="58"/>
              <w:jc w:val="both"/>
              <w:rPr>
                <w:rFonts w:ascii="宋体" w:hAnsi="宋体" w:cs="宋体" w:eastAsia="宋体" w:hint="default"/>
                <w:sz w:val="18"/>
                <w:szCs w:val="18"/>
              </w:rPr>
            </w:pPr>
            <w:r>
              <w:rPr>
                <w:rFonts w:ascii="Times New Roman" w:hAnsi="Times New Roman" w:cs="Times New Roman" w:eastAsia="Times New Roman" w:hint="default"/>
                <w:sz w:val="18"/>
                <w:szCs w:val="18"/>
              </w:rPr>
              <w:t>177,139,026 </w:t>
            </w:r>
            <w:r>
              <w:rPr>
                <w:rFonts w:ascii="宋体" w:hAnsi="宋体" w:cs="宋体" w:eastAsia="宋体" w:hint="default"/>
                <w:sz w:val="18"/>
                <w:szCs w:val="18"/>
              </w:rPr>
              <w:t>股，用于购买上海二三四五网络科技有限公司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34.51%</w:t>
            </w:r>
            <w:r>
              <w:rPr>
                <w:rFonts w:ascii="宋体" w:hAnsi="宋体" w:cs="宋体" w:eastAsia="宋体" w:hint="default"/>
                <w:sz w:val="18"/>
                <w:szCs w:val="18"/>
              </w:rPr>
              <w:t>股 权、吉隆瑞美信息咨询有限公司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股权、吉隆瑞信投资有限公司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股权；发行人民币普通股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59,024,062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股用于配套募集资金，变</w:t>
            </w:r>
          </w:p>
          <w:p>
            <w:pPr>
              <w:pStyle w:val="TableParagraph"/>
              <w:spacing w:line="240" w:lineRule="auto" w:before="20"/>
              <w:ind w:left="30" w:right="0"/>
              <w:jc w:val="both"/>
              <w:rPr>
                <w:rFonts w:ascii="宋体" w:hAnsi="宋体" w:cs="宋体" w:eastAsia="宋体" w:hint="default"/>
                <w:sz w:val="18"/>
                <w:szCs w:val="18"/>
              </w:rPr>
            </w:pPr>
            <w:r>
              <w:rPr>
                <w:rFonts w:ascii="宋体" w:hAnsi="宋体" w:cs="宋体" w:eastAsia="宋体" w:hint="default"/>
                <w:sz w:val="18"/>
                <w:szCs w:val="18"/>
              </w:rPr>
              <w:t>更后的注册资本为人民币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34,949.3088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0" w:hRule="exact"/>
        </w:trPr>
        <w:tc>
          <w:tcPr>
            <w:tcW w:w="3537" w:type="dxa"/>
            <w:vMerge/>
            <w:tcBorders>
              <w:left w:val="single" w:sz="6" w:space="0" w:color="000000"/>
              <w:right w:val="single" w:sz="6"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103" w:hRule="exact"/>
        </w:trPr>
        <w:tc>
          <w:tcPr>
            <w:tcW w:w="3537" w:type="dxa"/>
            <w:vMerge/>
            <w:tcBorders>
              <w:left w:val="single" w:sz="6" w:space="0" w:color="000000"/>
              <w:bottom w:val="single" w:sz="6" w:space="0" w:color="000000"/>
              <w:right w:val="single" w:sz="6"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1254" w:hRule="exact"/>
        </w:trPr>
        <w:tc>
          <w:tcPr>
            <w:tcW w:w="35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非公开发行股票、本次非公开发行</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12" w:lineRule="auto" w:before="45"/>
              <w:ind w:left="30" w:right="1"/>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年年度股东大会决议及中国证券监 </w:t>
            </w:r>
            <w:r>
              <w:rPr>
                <w:rFonts w:ascii="宋体" w:hAnsi="宋体" w:cs="宋体" w:eastAsia="宋体" w:hint="default"/>
                <w:spacing w:val="-2"/>
                <w:sz w:val="18"/>
                <w:szCs w:val="18"/>
              </w:rPr>
              <w:t>督管理委员会《关于核准上海二三四五网络控股集团股份有限公司非</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公开发行股票的批复》（证监许可【</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3140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号）核准，同意上海</w:t>
            </w:r>
          </w:p>
          <w:p>
            <w:pPr>
              <w:pStyle w:val="TableParagraph"/>
              <w:spacing w:line="241" w:lineRule="exact"/>
              <w:ind w:left="3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二三四五网络控股集团股份有限公司非公开发行不超过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100,360,500</w:t>
            </w:r>
          </w:p>
          <w:p>
            <w:pPr>
              <w:pStyle w:val="TableParagraph"/>
              <w:spacing w:line="304" w:lineRule="auto" w:before="66"/>
              <w:ind w:left="30" w:right="19"/>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股股票。根据公司于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日披露的《非公开发行股票 </w:t>
            </w:r>
            <w:r>
              <w:rPr>
                <w:rFonts w:ascii="宋体" w:hAnsi="宋体" w:cs="宋体" w:eastAsia="宋体" w:hint="default"/>
                <w:spacing w:val="-3"/>
                <w:w w:val="99"/>
                <w:sz w:val="18"/>
                <w:szCs w:val="18"/>
              </w:rPr>
              <w:t>发行情况报告书暨上市公告书》，本次共发行人民币普通股（</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83,500,000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股，本次发行新增股份已于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日在中国证券 </w:t>
            </w:r>
            <w:r>
              <w:rPr>
                <w:rFonts w:ascii="宋体" w:hAnsi="宋体" w:cs="宋体" w:eastAsia="宋体" w:hint="default"/>
                <w:spacing w:val="-2"/>
                <w:sz w:val="18"/>
                <w:szCs w:val="18"/>
              </w:rPr>
              <w:t>登记结算有限责任公司深圳分公司办理完毕登记托管手续。本次发行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新增股份的性质为有限售条件股份，上市日为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r>
      <w:tr>
        <w:trPr>
          <w:trHeight w:val="390" w:hRule="exact"/>
        </w:trPr>
        <w:tc>
          <w:tcPr>
            <w:tcW w:w="3537" w:type="dxa"/>
            <w:vMerge/>
            <w:tcBorders>
              <w:left w:val="single" w:sz="6" w:space="0" w:color="000000"/>
              <w:right w:val="single" w:sz="6"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254" w:hRule="exact"/>
        </w:trPr>
        <w:tc>
          <w:tcPr>
            <w:tcW w:w="3537" w:type="dxa"/>
            <w:vMerge/>
            <w:tcBorders>
              <w:left w:val="single" w:sz="6" w:space="0" w:color="000000"/>
              <w:bottom w:val="single" w:sz="6" w:space="0" w:color="000000"/>
              <w:right w:val="single" w:sz="6"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《上海二三四五网络控股集团股份有限公司章程》</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r>
        <w:trPr>
          <w:trHeight w:val="157" w:hRule="exact"/>
        </w:trPr>
        <w:tc>
          <w:tcPr>
            <w:tcW w:w="3537"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指定信息披露媒体</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36" w:lineRule="auto" w:before="29"/>
              <w:ind w:left="30" w:right="34"/>
              <w:jc w:val="left"/>
              <w:rPr>
                <w:rFonts w:ascii="宋体" w:hAnsi="宋体" w:cs="宋体" w:eastAsia="宋体" w:hint="default"/>
                <w:sz w:val="18"/>
                <w:szCs w:val="18"/>
              </w:rPr>
            </w:pPr>
            <w:r>
              <w:rPr>
                <w:rFonts w:ascii="宋体" w:hAnsi="宋体" w:cs="宋体" w:eastAsia="宋体" w:hint="default"/>
                <w:spacing w:val="-18"/>
                <w:sz w:val="18"/>
                <w:szCs w:val="18"/>
              </w:rPr>
              <w:t>《中国证券报》、《上海证券报》、《证券日报》、《证券时报》及巨潮资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0" w:hRule="exact"/>
        </w:trPr>
        <w:tc>
          <w:tcPr>
            <w:tcW w:w="3537" w:type="dxa"/>
            <w:vMerge/>
            <w:tcBorders>
              <w:left w:val="single" w:sz="6" w:space="0" w:color="000000"/>
              <w:right w:val="single" w:sz="12"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37" w:type="dxa"/>
            <w:vMerge/>
            <w:tcBorders>
              <w:left w:val="single" w:sz="6" w:space="0" w:color="000000"/>
              <w:bottom w:val="single" w:sz="6" w:space="0" w:color="000000"/>
              <w:right w:val="single" w:sz="12"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r>
        <w:rPr/>
        <w:pict>
          <v:group style="position:absolute;margin-left:171.229996pt;margin-top:273.25pt;width:363.45pt;height:19.5pt;mso-position-horizontal-relative:page;mso-position-vertical-relative:page;z-index:-1159960" coordorigin="3425,5465" coordsize="7269,390">
            <v:group style="position:absolute;left:3425;top:5465;width:30;height:390" coordorigin="3425,5465" coordsize="30,390">
              <v:shape style="position:absolute;left:3425;top:5465;width:30;height:390" coordorigin="3425,5465" coordsize="30,390" path="m3425,5855l3455,5855,3455,5465,3425,5465,3425,5855xe" filled="true" fillcolor="#ffffff" stroked="false">
                <v:path arrowok="t"/>
                <v:fill type="solid"/>
              </v:shape>
            </v:group>
            <v:group style="position:absolute;left:3455;top:5465;width:7239;height:390" coordorigin="3455,5465" coordsize="7239,390">
              <v:shape style="position:absolute;left:3455;top:5465;width:7239;height:390" coordorigin="3455,5465" coordsize="7239,390" path="m3455,5855l10694,5855,10694,5465,3455,5465,3455,5855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2709" w:right="0"/>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二三四五</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002195</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二三四五</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Shanghai 2345 Network Holding Group Co., Ltd.</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11"/>
                <w:position w:val="1"/>
                <w:sz w:val="18"/>
                <w:szCs w:val="18"/>
              </w:rPr>
              <w:t>）</w:t>
            </w:r>
            <w:r>
              <w:rPr>
                <w:rFonts w:ascii="Times New Roman" w:hAnsi="Times New Roman" w:cs="Times New Roman" w:eastAsia="Times New Roman" w:hint="default"/>
                <w:spacing w:val="-11"/>
                <w:sz w:val="18"/>
                <w:szCs w:val="18"/>
              </w:rPr>
              <w:t>2345 </w:t>
            </w:r>
            <w:r>
              <w:rPr>
                <w:rFonts w:ascii="Times New Roman" w:hAnsi="Times New Roman" w:cs="Times New Roman" w:eastAsia="Times New Roman" w:hint="default"/>
                <w:sz w:val="18"/>
                <w:szCs w:val="18"/>
              </w:rPr>
              <w:t>Network</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Holding</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陈于冰</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200233</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上海市浦东新区环科路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201203</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http://www.2345.net</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1">
              <w:r>
                <w:rPr>
                  <w:rFonts w:ascii="Times New Roman"/>
                  <w:sz w:val="18"/>
                </w:rPr>
                <w:t>stock@2345.com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40" w:lineRule="auto" w:before="45"/>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上海市浦东新区环科路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楼</w:t>
            </w:r>
          </w:p>
        </w:tc>
        <w:tc>
          <w:tcPr>
            <w:tcW w:w="3199" w:type="dxa"/>
            <w:vMerge w:val="restart"/>
            <w:tcBorders>
              <w:top w:val="single" w:sz="6" w:space="0" w:color="000000"/>
              <w:left w:val="single" w:sz="6" w:space="0" w:color="000000"/>
              <w:right w:val="single" w:sz="6" w:space="0" w:color="000000"/>
            </w:tcBorders>
          </w:tcPr>
          <w:p>
            <w:pPr/>
          </w:p>
        </w:tc>
      </w:tr>
      <w:tr>
        <w:trPr>
          <w:trHeight w:val="390"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021-64822345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021-64822236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 w:right="0"/>
              <w:jc w:val="left"/>
              <w:rPr>
                <w:rFonts w:ascii="Times New Roman" w:hAnsi="Times New Roman" w:cs="Times New Roman" w:eastAsia="Times New Roman" w:hint="default"/>
                <w:sz w:val="18"/>
                <w:szCs w:val="18"/>
              </w:rPr>
            </w:pPr>
            <w:hyperlink r:id="rId11">
              <w:r>
                <w:rPr>
                  <w:rFonts w:ascii="Times New Roman"/>
                  <w:sz w:val="18"/>
                </w:rPr>
                <w:t>stock@2345.com</w:t>
              </w:r>
            </w:hyperlink>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BodyText"/>
        <w:spacing w:line="240" w:lineRule="auto"/>
        <w:ind w:left="0" w:right="1141"/>
        <w:jc w:val="right"/>
      </w:pPr>
      <w:r>
        <w:rPr/>
        <w:pict>
          <v:shape style="position:absolute;margin-left:56.325001pt;margin-top:-67.588303pt;width:480.25pt;height:154.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9"/>
                    <w:gridCol w:w="6383"/>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91310000607203699D</w:t>
                        </w:r>
                      </w:p>
                    </w:tc>
                  </w:tr>
                  <w:tr>
                    <w:trPr>
                      <w:trHeight w:val="165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15" w:right="107"/>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5"/>
                          <w:ind w:left="14" w:right="4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日，公司的主营业务为软件外包服务。</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5"/>
                            <w:sz w:val="18"/>
                            <w:szCs w:val="18"/>
                          </w:rPr>
                          <w:t>日，公司完成重大资产重组，公司主营业务为：（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）互联网信息服务；（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）互联</w:t>
                        </w:r>
                        <w:r>
                          <w:rPr>
                            <w:rFonts w:ascii="宋体" w:hAnsi="宋体" w:cs="宋体" w:eastAsia="宋体" w:hint="default"/>
                            <w:spacing w:val="-78"/>
                            <w:sz w:val="18"/>
                            <w:szCs w:val="18"/>
                          </w:rPr>
                          <w:t> </w:t>
                        </w:r>
                        <w:r>
                          <w:rPr>
                            <w:rFonts w:ascii="宋体" w:hAnsi="宋体" w:cs="宋体" w:eastAsia="宋体" w:hint="default"/>
                            <w:spacing w:val="-6"/>
                            <w:sz w:val="18"/>
                            <w:szCs w:val="18"/>
                          </w:rPr>
                          <w:t>网金融服务；（</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）软件外包服务。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日公司已完成软件外 </w:t>
                        </w:r>
                        <w:r>
                          <w:rPr>
                            <w:rFonts w:ascii="宋体" w:hAnsi="宋体" w:cs="宋体" w:eastAsia="宋体" w:hint="default"/>
                            <w:spacing w:val="-7"/>
                            <w:sz w:val="18"/>
                            <w:szCs w:val="18"/>
                          </w:rPr>
                          <w:t>包服务的转让，公司主营业务变为：（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）互联网信息服务；（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）互联网金融服务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日，公司的主营业务为互联网信息服务。</w:t>
                        </w:r>
                      </w:p>
                    </w:tc>
                  </w:tr>
                  <w:tr>
                    <w:trPr>
                      <w:trHeight w:val="102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公司无控股股东，自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日起公司实际控制人由包叔平先生变更为无</w:t>
                        </w:r>
                      </w:p>
                      <w:p>
                        <w:pPr>
                          <w:pStyle w:val="TableParagraph"/>
                          <w:spacing w:line="304" w:lineRule="auto" w:before="66"/>
                          <w:ind w:left="14" w:right="46"/>
                          <w:jc w:val="left"/>
                          <w:rPr>
                            <w:rFonts w:ascii="宋体" w:hAnsi="宋体" w:cs="宋体" w:eastAsia="宋体" w:hint="default"/>
                            <w:sz w:val="18"/>
                            <w:szCs w:val="18"/>
                          </w:rPr>
                        </w:pPr>
                        <w:r>
                          <w:rPr>
                            <w:rFonts w:ascii="宋体" w:hAnsi="宋体" w:cs="宋体" w:eastAsia="宋体" w:hint="default"/>
                            <w:sz w:val="18"/>
                            <w:szCs w:val="18"/>
                          </w:rPr>
                          <w:t>实际控制人，详见公司于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日在巨潮资讯网披露的《关于公司无实 </w:t>
                        </w:r>
                        <w:r>
                          <w:rPr>
                            <w:rFonts w:ascii="宋体" w:hAnsi="宋体" w:cs="宋体" w:eastAsia="宋体" w:hint="default"/>
                            <w:spacing w:val="-10"/>
                            <w:sz w:val="18"/>
                            <w:szCs w:val="18"/>
                          </w:rPr>
                          <w:t>际控制人的提示性公告》（公告编号：</w:t>
                        </w:r>
                        <w:r>
                          <w:rPr>
                            <w:rFonts w:ascii="Times New Roman" w:hAnsi="Times New Roman" w:cs="Times New Roman" w:eastAsia="Times New Roman" w:hint="default"/>
                            <w:spacing w:val="-10"/>
                            <w:sz w:val="18"/>
                            <w:szCs w:val="18"/>
                          </w:rPr>
                          <w:t>2017-088</w:t>
                        </w:r>
                        <w:r>
                          <w:rPr>
                            <w:rFonts w:ascii="宋体" w:hAnsi="宋体" w:cs="宋体" w:eastAsia="宋体" w:hint="default"/>
                            <w:spacing w:val="-10"/>
                            <w:sz w:val="18"/>
                            <w:szCs w:val="18"/>
                          </w:rPr>
                          <w:t>）。</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郑斌、范翃</w:t>
            </w:r>
          </w:p>
        </w:tc>
      </w:tr>
    </w:tbl>
    <w:p>
      <w:pPr>
        <w:pStyle w:val="BodyText"/>
        <w:spacing w:line="240" w:lineRule="auto" w:before="45"/>
        <w:ind w:right="0"/>
        <w:jc w:val="left"/>
      </w:pPr>
      <w:r>
        <w:rPr/>
        <w:t>公司聘请的报告期内履行持续督导职责的保荐机构</w:t>
      </w:r>
    </w:p>
    <w:p>
      <w:pPr>
        <w:pStyle w:val="BodyText"/>
        <w:spacing w:line="331"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公司聘请的报告期内履行持续督导职责的财务顾问</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right="0"/>
        <w:jc w:val="left"/>
      </w:pPr>
      <w:r>
        <w:rPr/>
        <w:t>公司是否需追溯调整或重述以前年度会计数据</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2,440,761,431.33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3,773,918,388.17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-35.33%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3,199,617,704.75</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759,120,256.35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1,367,355,675.26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-44.48%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947,545,405.46</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698,960,403.72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1,333,621,319.40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-47.59%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911,869,314.18</w:t>
            </w:r>
          </w:p>
        </w:tc>
      </w:tr>
      <w:tr>
        <w:trPr>
          <w:trHeight w:val="7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1,656,574,971.62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-178,559,858.21</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1,027.74%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165,266,702.73</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0.17</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0.17</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7.89%</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16.55%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13.35%</w:t>
            </w:r>
            <w:r>
              <w:rPr>
                <w:rFonts w:ascii="Times New Roman"/>
                <w:sz w:val="18"/>
              </w:rPr>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11,383,914,927.51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11,775,752,877.27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9,172,181,316.26</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10,159,214,361.09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9,315,673,779.13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9.06%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7,631,856,615.03</w:t>
            </w:r>
          </w:p>
        </w:tc>
      </w:tr>
    </w:tbl>
    <w:p>
      <w:pPr>
        <w:pStyle w:val="BodyText"/>
        <w:spacing w:line="316" w:lineRule="auto" w:before="0"/>
        <w:ind w:right="1126" w:firstLine="360"/>
        <w:jc w:val="both"/>
      </w:pPr>
      <w:r>
        <w:rPr>
          <w:spacing w:val="-2"/>
        </w:rPr>
        <w:t>注：经营活动产生的现金流量净额大于归属于上市公司股东的净利润，主要系报告期内公司业务调整，由公司自有资金</w:t>
      </w:r>
      <w:r>
        <w:rPr/>
        <w:t> </w:t>
      </w:r>
      <w:r>
        <w:rPr>
          <w:spacing w:val="-2"/>
        </w:rPr>
        <w:t>发放的贷款有所减少所致，</w:t>
      </w:r>
      <w:r>
        <w:rPr>
          <w:rFonts w:ascii="宋体" w:hAnsi="宋体" w:cs="宋体" w:eastAsia="宋体" w:hint="default"/>
          <w:spacing w:val="-2"/>
        </w:rPr>
        <w:t>2019</w:t>
      </w:r>
      <w:r>
        <w:rPr>
          <w:spacing w:val="-2"/>
        </w:rPr>
        <w:t>年客户贷款及垫款净增加额金额为</w:t>
      </w:r>
      <w:r>
        <w:rPr>
          <w:rFonts w:ascii="宋体" w:hAnsi="宋体" w:cs="宋体" w:eastAsia="宋体" w:hint="default"/>
          <w:spacing w:val="-2"/>
        </w:rPr>
        <w:t>-605,961,366.80</w:t>
      </w:r>
      <w:r>
        <w:rPr>
          <w:spacing w:val="-2"/>
        </w:rPr>
        <w:t>元，较去年同期减少</w:t>
      </w:r>
      <w:r>
        <w:rPr>
          <w:rFonts w:ascii="宋体" w:hAnsi="宋体" w:cs="宋体" w:eastAsia="宋体" w:hint="default"/>
          <w:spacing w:val="-2"/>
        </w:rPr>
        <w:t>123.42%</w:t>
      </w:r>
      <w:r>
        <w:rPr>
          <w:spacing w:val="-2"/>
        </w:rPr>
        <w:t>。剔除上述</w:t>
      </w:r>
      <w:r>
        <w:rPr>
          <w:spacing w:val="-39"/>
        </w:rPr>
        <w:t> </w:t>
      </w:r>
      <w:r>
        <w:rPr>
          <w:spacing w:val="-39"/>
        </w:rPr>
      </w:r>
      <w:r>
        <w:rPr>
          <w:spacing w:val="-3"/>
        </w:rPr>
        <w:t>影响后，公司经营活动产生的现金流量净额与本年度净利润不存在重大差异（详见“第十一节</w:t>
      </w:r>
      <w:r>
        <w:rPr>
          <w:spacing w:val="21"/>
        </w:rPr>
        <w:t> </w:t>
      </w:r>
      <w:r>
        <w:rPr>
          <w:spacing w:val="-5"/>
        </w:rPr>
        <w:t>财务报告”之“附注七、</w:t>
      </w:r>
      <w:r>
        <w:rPr>
          <w:rFonts w:ascii="宋体" w:hAnsi="宋体" w:cs="宋体" w:eastAsia="宋体" w:hint="default"/>
          <w:spacing w:val="-5"/>
        </w:rPr>
        <w:t>80</w:t>
      </w:r>
      <w:r>
        <w:rPr>
          <w:spacing w:val="-5"/>
        </w:rPr>
        <w:t>、</w:t>
      </w:r>
      <w:r>
        <w:rPr/>
        <w:t> 现金流量表补充资料”）。</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31" w:lineRule="auto" w:before="0"/>
        <w:ind w:right="15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9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1,302,896,769.13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496,935,304.17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390,936,725.96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249,992,632.07</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441,343,686.17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204,778,889.19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sz w:val="18"/>
              </w:rPr>
              <w:t>85,548,714.72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27,448,966.27</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435,102,149.01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182,202,696.50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48,033,077.75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33,622,480.46</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1,168,335,138.91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334,986,429.99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z w:val="18"/>
              </w:rPr>
              <w:t>357,984,385.61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-204,730,982.89</w:t>
            </w:r>
            <w:r>
              <w:rPr>
                <w:rFonts w:ascii="Times New Roman"/>
                <w:sz w:val="18"/>
              </w:rPr>
            </w:r>
          </w:p>
        </w:tc>
      </w:tr>
    </w:tbl>
    <w:p>
      <w:pPr>
        <w:pStyle w:val="BodyText"/>
        <w:spacing w:line="240" w:lineRule="auto"/>
        <w:ind w:right="0"/>
        <w:jc w:val="left"/>
      </w:pPr>
      <w:r>
        <w:rPr/>
        <w:t>上述财务指标或其加总数是否与公司已披露季度报告、半年度报告相关财务指标存在重大差异</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-2,664,652.83</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-11,377,681.03</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297,989.60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7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73,597,203.88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47,466,089.91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13,862,767.13</w:t>
            </w: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36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7"/>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876,738.58</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7"/>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-4,057,002.68</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-2,477,997.32</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-825,000.00</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1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1,782,968.12</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-2,821,870.24</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-1,440,600.00</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3,200,403.92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4,795,244.09</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24,097,726.51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7,058,063.86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3,006,635.33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4,613,129.39</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69,824.29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-5,625.00</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60,159,852.63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33,734,355.86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35,676,091.28</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88" w:lineRule="auto" w:before="66"/>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73" w:lineRule="auto" w:before="11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7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2659"/>
        <w:jc w:val="center"/>
        <w:rPr>
          <w:b w:val="0"/>
          <w:bCs w:val="0"/>
        </w:rPr>
      </w:pPr>
      <w:bookmarkStart w:name="第三节公司业务概要" w:id="16"/>
      <w:bookmarkEnd w:id="16"/>
      <w:r>
        <w:rPr>
          <w:b w:val="0"/>
          <w:bCs w:val="0"/>
        </w:rPr>
      </w:r>
      <w:bookmarkStart w:name="_bookmark2" w:id="17"/>
      <w:bookmarkEnd w:id="17"/>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240" w:lineRule="auto" w:before="96"/>
        <w:ind w:right="0"/>
        <w:jc w:val="left"/>
        <w:rPr>
          <w:b w:val="0"/>
          <w:bCs w:val="0"/>
        </w:rPr>
      </w:pPr>
      <w:r>
        <w:rPr/>
        <w:t>（一）报告期内公司所从事的主要业务、经营模式</w:t>
      </w:r>
      <w:r>
        <w:rPr>
          <w:b w:val="0"/>
          <w:bCs w:val="0"/>
        </w:rPr>
      </w:r>
    </w:p>
    <w:p>
      <w:pPr>
        <w:pStyle w:val="BodyText"/>
        <w:spacing w:line="304" w:lineRule="auto" w:before="80"/>
        <w:ind w:right="1127" w:firstLine="360"/>
        <w:jc w:val="left"/>
      </w:pPr>
      <w:r>
        <w:rPr/>
        <w:t>公司继续秉承</w:t>
      </w:r>
      <w:r>
        <w:rPr>
          <w:rFonts w:ascii="Times New Roman" w:hAnsi="Times New Roman" w:cs="Times New Roman" w:eastAsia="Times New Roman" w:hint="default"/>
        </w:rPr>
        <w:t>“</w:t>
      </w:r>
      <w:r>
        <w:rPr/>
        <w:t>新科技改变生活</w:t>
      </w:r>
      <w:r>
        <w:rPr>
          <w:rFonts w:ascii="Times New Roman" w:hAnsi="Times New Roman" w:cs="Times New Roman" w:eastAsia="Times New Roman" w:hint="default"/>
        </w:rPr>
        <w:t>”</w:t>
      </w:r>
      <w:r>
        <w:rPr/>
        <w:t>的宗旨，为更好地适应市场环境的变化及公司未来发展的需要，报告期内启动并确立 了</w:t>
      </w:r>
      <w:r>
        <w:rPr>
          <w:rFonts w:ascii="Times New Roman" w:hAnsi="Times New Roman" w:cs="Times New Roman" w:eastAsia="Times New Roman" w:hint="default"/>
        </w:rPr>
        <w:t>“</w:t>
      </w:r>
      <w:r>
        <w:rPr/>
        <w:t>移动互联</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的未来发展战略，着力打造移动互联时代的核心技术竞争力。公司于</w:t>
      </w:r>
      <w:r>
        <w:rPr>
          <w:rFonts w:ascii="Times New Roman" w:hAnsi="Times New Roman" w:cs="Times New Roman" w:eastAsia="Times New Roman" w:hint="default"/>
        </w:rPr>
        <w:t>2019</w:t>
      </w:r>
      <w:r>
        <w:rPr/>
        <w:t>年设立中台体系，包括业</w:t>
      </w:r>
      <w:r>
        <w:rPr>
          <w:spacing w:val="-75"/>
        </w:rPr>
        <w:t> </w:t>
      </w:r>
      <w:r>
        <w:rPr/>
        <w:t>务、数据、算法和技术四个方向。智能算法和大数据中心通过海量信息采集、深度数据挖掘和用户行为分析，为用户智能 推荐个性化信息。通过实施中台战略，实现</w:t>
      </w:r>
      <w:r>
        <w:rPr>
          <w:rFonts w:ascii="Times New Roman" w:hAnsi="Times New Roman" w:cs="Times New Roman" w:eastAsia="Times New Roman" w:hint="default"/>
        </w:rPr>
        <w:t>APP</w:t>
      </w:r>
      <w:r>
        <w:rPr/>
        <w:t>工厂化运作和资源的统一调用、统一配置，进而提高工作效率和产出，赋</w:t>
      </w:r>
      <w:r>
        <w:rPr>
          <w:spacing w:val="-73"/>
        </w:rPr>
        <w:t> </w:t>
      </w:r>
      <w:r>
        <w:rPr/>
        <w:t>能业务长远发展。</w:t>
      </w:r>
    </w:p>
    <w:p>
      <w:pPr>
        <w:pStyle w:val="BodyText"/>
        <w:spacing w:line="321" w:lineRule="auto" w:before="31"/>
        <w:ind w:right="1217" w:firstLine="360"/>
        <w:jc w:val="both"/>
      </w:pPr>
      <w:r>
        <w:rPr/>
        <w:t>此外，公司内部鼓励自上而下的创新，采用项目负责制，实现项目部权责利统一，通过项目激励方案选拔优秀的项目 负责人，对产品用户体验不断优化，提升商业化变现能力、用户规模、品牌知名度和行业影响力，增强整体业务可持续发 展能力和市场竞争力，并根据新战略的发展目标逐步回归技术驱动创新的发展道路，实现公司的长期可持续发展。</w:t>
      </w:r>
    </w:p>
    <w:p>
      <w:pPr>
        <w:pStyle w:val="BodyText"/>
        <w:spacing w:line="240" w:lineRule="auto" w:before="18"/>
        <w:ind w:left="501" w:right="0"/>
        <w:jc w:val="left"/>
      </w:pPr>
      <w:r>
        <w:rPr/>
        <w:t>报告期内公司业务主要情况如下：</w:t>
      </w:r>
    </w:p>
    <w:p>
      <w:pPr>
        <w:pStyle w:val="BodyText"/>
        <w:spacing w:line="307" w:lineRule="auto" w:before="65"/>
        <w:ind w:right="1148" w:firstLine="360"/>
        <w:jc w:val="both"/>
      </w:pPr>
      <w:r>
        <w:rPr>
          <w:rFonts w:ascii="Times New Roman" w:hAnsi="Times New Roman" w:cs="Times New Roman" w:eastAsia="Times New Roman" w:hint="default"/>
        </w:rPr>
        <w:t>2345.com</w:t>
      </w:r>
      <w:r>
        <w:rPr/>
        <w:t>自</w:t>
      </w:r>
      <w:r>
        <w:rPr>
          <w:rFonts w:ascii="Times New Roman" w:hAnsi="Times New Roman" w:cs="Times New Roman" w:eastAsia="Times New Roman" w:hint="default"/>
        </w:rPr>
        <w:t>2005</w:t>
      </w:r>
      <w:r>
        <w:rPr/>
        <w:t>年上线以来，始终致力于打造</w:t>
      </w:r>
      <w:r>
        <w:rPr>
          <w:rFonts w:ascii="Times New Roman" w:hAnsi="Times New Roman" w:cs="Times New Roman" w:eastAsia="Times New Roman" w:hint="default"/>
        </w:rPr>
        <w:t>“</w:t>
      </w:r>
      <w:r>
        <w:rPr/>
        <w:t>千万用户的首选上网入口平台</w:t>
      </w:r>
      <w:r>
        <w:rPr>
          <w:rFonts w:ascii="Times New Roman" w:hAnsi="Times New Roman" w:cs="Times New Roman" w:eastAsia="Times New Roman" w:hint="default"/>
        </w:rPr>
        <w:t>”</w:t>
      </w:r>
      <w:r>
        <w:rPr/>
        <w:t>，坚守</w:t>
      </w:r>
      <w:r>
        <w:rPr>
          <w:rFonts w:ascii="Times New Roman" w:hAnsi="Times New Roman" w:cs="Times New Roman" w:eastAsia="Times New Roman" w:hint="default"/>
        </w:rPr>
        <w:t>“</w:t>
      </w:r>
      <w:r>
        <w:rPr/>
        <w:t>用户体验第一</w:t>
      </w:r>
      <w:r>
        <w:rPr>
          <w:rFonts w:ascii="Times New Roman" w:hAnsi="Times New Roman" w:cs="Times New Roman" w:eastAsia="Times New Roman" w:hint="default"/>
        </w:rPr>
        <w:t>”</w:t>
      </w:r>
      <w:r>
        <w:rPr/>
        <w:t>的产品理念，逐 渐形成了较为完善的互联网、移动互联网产品体系。报告期内，公司进一步优化产品、增强用户粘性，大力发展移动端产 品。通过</w:t>
      </w:r>
      <w:r>
        <w:rPr>
          <w:rFonts w:ascii="Times New Roman" w:hAnsi="Times New Roman" w:cs="Times New Roman" w:eastAsia="Times New Roman" w:hint="default"/>
        </w:rPr>
        <w:t>“</w:t>
      </w:r>
      <w:r>
        <w:rPr/>
        <w:t>玩赚星球</w:t>
      </w:r>
      <w:r>
        <w:rPr>
          <w:rFonts w:ascii="Times New Roman" w:hAnsi="Times New Roman" w:cs="Times New Roman" w:eastAsia="Times New Roman" w:hint="default"/>
        </w:rPr>
        <w:t>”APP</w:t>
      </w:r>
      <w:r>
        <w:rPr/>
        <w:t>探索</w:t>
      </w:r>
      <w:r>
        <w:rPr>
          <w:rFonts w:ascii="Times New Roman" w:hAnsi="Times New Roman" w:cs="Times New Roman" w:eastAsia="Times New Roman" w:hint="default"/>
        </w:rPr>
        <w:t>“</w:t>
      </w:r>
      <w:r>
        <w:rPr/>
        <w:t>工具</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双驱动的产品新模式，基于个性化推荐算法，以客户需求为中心，不断通过技术</w:t>
      </w:r>
      <w:r>
        <w:rPr>
          <w:spacing w:val="-77"/>
        </w:rPr>
        <w:t> </w:t>
      </w:r>
      <w:r>
        <w:rPr>
          <w:spacing w:val="-1"/>
        </w:rPr>
        <w:t>加持赋能产品创新；坚持对</w:t>
      </w:r>
      <w:r>
        <w:rPr>
          <w:rFonts w:ascii="Times New Roman" w:hAnsi="Times New Roman" w:cs="Times New Roman" w:eastAsia="Times New Roman" w:hint="default"/>
          <w:spacing w:val="-1"/>
        </w:rPr>
        <w:t>PC</w:t>
      </w:r>
      <w:r>
        <w:rPr>
          <w:spacing w:val="-1"/>
        </w:rPr>
        <w:t>端、移动端和</w:t>
      </w:r>
      <w:r>
        <w:rPr>
          <w:rFonts w:ascii="Times New Roman" w:hAnsi="Times New Roman" w:cs="Times New Roman" w:eastAsia="Times New Roman" w:hint="default"/>
          <w:spacing w:val="-1"/>
        </w:rPr>
        <w:t>WEB</w:t>
      </w:r>
      <w:r>
        <w:rPr>
          <w:spacing w:val="-1"/>
        </w:rPr>
        <w:t>端产品进行深度整合，实现资源共享，提升业务整体运营效率；加强对大</w:t>
      </w:r>
      <w:r>
        <w:rPr>
          <w:spacing w:val="-40"/>
        </w:rPr>
        <w:t> </w:t>
      </w:r>
      <w:r>
        <w:rPr/>
        <w:t>数据、机器学习技术、信息流和精准营销的研发，使新兴技术服务于产品，进一步巩固和提升公司的核心竞争力。</w:t>
      </w:r>
    </w:p>
    <w:p>
      <w:pPr>
        <w:pStyle w:val="BodyText"/>
        <w:spacing w:line="321" w:lineRule="auto" w:before="14"/>
        <w:ind w:right="1227" w:firstLine="360"/>
        <w:jc w:val="both"/>
      </w:pPr>
      <w:r>
        <w:rPr/>
        <w:t>受互联网金融服务业务市场环境变化的影响，为顺应市场发展的规律，公司对金融科技服务业务进行了调整。公司目 前持有互联网小贷、融资租赁、保理、融资担保牌照，可为信用资质良好、提供了足额抵质押物的资金需求方提供融资租 赁、商业保理等服务。</w:t>
      </w:r>
    </w:p>
    <w:p>
      <w:pPr>
        <w:spacing w:line="240" w:lineRule="auto" w:before="7"/>
        <w:rPr>
          <w:rFonts w:ascii="宋体" w:hAnsi="宋体" w:cs="宋体" w:eastAsia="宋体" w:hint="default"/>
          <w:sz w:val="25"/>
          <w:szCs w:val="25"/>
        </w:rPr>
      </w:pPr>
    </w:p>
    <w:p>
      <w:pPr>
        <w:spacing w:line="304" w:lineRule="auto" w:before="0"/>
        <w:ind w:left="501" w:right="1209" w:firstLine="0"/>
        <w:jc w:val="left"/>
        <w:rPr>
          <w:rFonts w:ascii="宋体" w:hAnsi="宋体" w:cs="宋体" w:eastAsia="宋体" w:hint="default"/>
          <w:sz w:val="18"/>
          <w:szCs w:val="18"/>
        </w:rPr>
      </w:pPr>
      <w:r>
        <w:rPr>
          <w:rFonts w:ascii="宋体" w:hAnsi="宋体" w:cs="宋体" w:eastAsia="宋体" w:hint="default"/>
          <w:b/>
          <w:bCs/>
          <w:sz w:val="18"/>
          <w:szCs w:val="18"/>
        </w:rPr>
        <w:t>（二）报告期内公司所处的行业情况说明</w:t>
      </w:r>
      <w:r>
        <w:rPr>
          <w:rFonts w:ascii="宋体" w:hAnsi="宋体" w:cs="宋体" w:eastAsia="宋体" w:hint="default"/>
          <w:b/>
          <w:bCs/>
          <w:w w:val="99"/>
          <w:sz w:val="18"/>
          <w:szCs w:val="18"/>
        </w:rPr>
        <w:t> </w:t>
      </w:r>
      <w:r>
        <w:rPr>
          <w:rFonts w:ascii="宋体" w:hAnsi="宋体" w:cs="宋体" w:eastAsia="宋体" w:hint="default"/>
          <w:sz w:val="18"/>
          <w:szCs w:val="18"/>
        </w:rPr>
        <w:t>根据国家工信部发布的《</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年中国软件行业经济运行报告》数据显示，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年，我国软件和信息技术服务业呈现平</w:t>
      </w:r>
    </w:p>
    <w:p>
      <w:pPr>
        <w:pStyle w:val="BodyText"/>
        <w:spacing w:line="321" w:lineRule="auto" w:before="12"/>
        <w:ind w:right="1209"/>
        <w:jc w:val="left"/>
      </w:pPr>
      <w:r>
        <w:rPr/>
        <w:t>稳向好发展态势，收入和利润均保持较快增长，从业人数稳步增加；信息技术服务加快云化发展，软件应用服务化、平台 化趋势明显；中部地区软件业增速较快，东部地区保持集聚和领先发展态势。</w:t>
      </w:r>
    </w:p>
    <w:p>
      <w:pPr>
        <w:pStyle w:val="BodyText"/>
        <w:spacing w:line="297" w:lineRule="auto" w:before="19"/>
        <w:ind w:right="1127" w:firstLine="360"/>
        <w:jc w:val="left"/>
      </w:pPr>
      <w:r>
        <w:rPr/>
        <w:t>国务院自</w:t>
      </w:r>
      <w:r>
        <w:rPr>
          <w:rFonts w:ascii="Times New Roman" w:hAnsi="Times New Roman" w:cs="Times New Roman" w:eastAsia="Times New Roman" w:hint="default"/>
        </w:rPr>
        <w:t>2017</w:t>
      </w:r>
      <w:r>
        <w:rPr/>
        <w:t>年起在政府工作报告中多次提及</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，并在《</w:t>
      </w:r>
      <w:r>
        <w:rPr>
          <w:rFonts w:ascii="Times New Roman" w:hAnsi="Times New Roman" w:cs="Times New Roman" w:eastAsia="Times New Roman" w:hint="default"/>
        </w:rPr>
        <w:t>2019</w:t>
      </w:r>
      <w:r>
        <w:rPr/>
        <w:t>年政府工作报告》中提出促进新兴产业加快发 展，深化大数据、人工智能等研发应用，加快在各行业领域推进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。国家对人工智能产业的重视程度日益加深，各</w:t>
      </w:r>
      <w:r>
        <w:rPr>
          <w:spacing w:val="-76"/>
        </w:rPr>
        <w:t> </w:t>
      </w:r>
      <w:r>
        <w:rPr/>
        <w:t>项政策的支持和开放的环境为互联网行业的结构性调整提供了方向。</w:t>
      </w:r>
    </w:p>
    <w:p>
      <w:pPr>
        <w:pStyle w:val="BodyText"/>
        <w:spacing w:line="321" w:lineRule="auto" w:before="36"/>
        <w:ind w:right="1227" w:firstLine="360"/>
        <w:jc w:val="both"/>
      </w:pPr>
      <w:r>
        <w:rPr/>
        <w:t>在国家重点支持人工智能科技领域的形势下，公司紧跟趋势，战略投资人工智能相关的公司与股权投资基金；同时加 大研发投入，适时对业务及组织架构进行调整，将发展重点回归到科技创新驱动本身，实现产品服务用户惠及用户，共生</w:t>
      </w:r>
    </w:p>
    <w:p>
      <w:pPr>
        <w:pStyle w:val="BodyText"/>
        <w:spacing w:line="240" w:lineRule="auto" w:before="18"/>
        <w:ind w:right="0"/>
        <w:jc w:val="left"/>
      </w:pPr>
      <w:r>
        <w:rPr/>
        <w:t>、共存与共赢的目的。</w:t>
      </w:r>
    </w:p>
    <w:p>
      <w:pPr>
        <w:pStyle w:val="BodyText"/>
        <w:spacing w:line="240" w:lineRule="auto" w:before="80"/>
        <w:ind w:left="501" w:right="0"/>
        <w:jc w:val="left"/>
      </w:pPr>
      <w:r>
        <w:rPr/>
        <w:t>综上所述，公司大力发展</w:t>
      </w:r>
      <w:r>
        <w:rPr>
          <w:rFonts w:ascii="Times New Roman" w:hAnsi="Times New Roman" w:cs="Times New Roman" w:eastAsia="Times New Roman" w:hint="default"/>
        </w:rPr>
        <w:t>“</w:t>
      </w:r>
      <w:r>
        <w:rPr/>
        <w:t>移动互联</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战略符合国家政策支持、行业发展的规律及公司自身发展的需要。</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360"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p>
      <w:pPr>
        <w:pStyle w:val="BodyText"/>
        <w:spacing w:line="240" w:lineRule="auto"/>
        <w:ind w:left="0" w:right="1147"/>
        <w:jc w:val="right"/>
      </w:pPr>
      <w:r>
        <w:rPr/>
        <w:pict>
          <v:shape style="position:absolute;margin-left:56.325001pt;margin-top:-102.128265pt;width:480.25pt;height:349.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6533"/>
                  </w:tblGrid>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53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较期初下降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78.44%</w:t>
                        </w:r>
                        <w:r>
                          <w:rPr>
                            <w:rFonts w:ascii="宋体" w:hAnsi="宋体" w:cs="宋体" w:eastAsia="宋体" w:hint="default"/>
                            <w:sz w:val="18"/>
                            <w:szCs w:val="18"/>
                          </w:rPr>
                          <w:t>，主要系公司报告期内处置所投资公司所致</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91.45%</w:t>
                        </w:r>
                        <w:r>
                          <w:rPr>
                            <w:rFonts w:ascii="宋体" w:hAnsi="宋体" w:cs="宋体" w:eastAsia="宋体" w:hint="default"/>
                            <w:sz w:val="18"/>
                            <w:szCs w:val="18"/>
                          </w:rPr>
                          <w:t>，主要系公司报告期内加大固定资产投资所致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100.54%</w:t>
                        </w:r>
                        <w:r>
                          <w:rPr>
                            <w:rFonts w:ascii="宋体" w:hAnsi="宋体" w:cs="宋体" w:eastAsia="宋体" w:hint="default"/>
                            <w:sz w:val="18"/>
                            <w:szCs w:val="18"/>
                          </w:rPr>
                          <w:t>，主要系公司报告期内新增购置无形资产所致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报告期内无重大变动</w:t>
                        </w:r>
                      </w:p>
                    </w:tc>
                  </w:tr>
                  <w:tr>
                    <w:trPr>
                      <w:trHeight w:val="72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30" w:right="124"/>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47.61%</w:t>
                        </w:r>
                        <w:r>
                          <w:rPr>
                            <w:rFonts w:ascii="宋体" w:hAnsi="宋体" w:cs="宋体" w:eastAsia="宋体" w:hint="default"/>
                            <w:sz w:val="18"/>
                            <w:szCs w:val="18"/>
                          </w:rPr>
                          <w:t>，主要系公司报告期内购买的理财产品、资管计划、信托计划 基金等增加所致</w:t>
                        </w: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30" w:right="74"/>
                          <w:jc w:val="left"/>
                          <w:rPr>
                            <w:rFonts w:ascii="宋体" w:hAnsi="宋体" w:cs="宋体" w:eastAsia="宋体" w:hint="default"/>
                            <w:sz w:val="18"/>
                            <w:szCs w:val="18"/>
                          </w:rPr>
                        </w:pPr>
                        <w:r>
                          <w:rPr>
                            <w:rFonts w:ascii="宋体" w:hAnsi="宋体" w:cs="宋体" w:eastAsia="宋体" w:hint="default"/>
                            <w:sz w:val="18"/>
                            <w:szCs w:val="18"/>
                          </w:rPr>
                          <w:t>较期初下降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87.50%</w:t>
                        </w:r>
                        <w:r>
                          <w:rPr>
                            <w:rFonts w:ascii="宋体" w:hAnsi="宋体" w:cs="宋体" w:eastAsia="宋体" w:hint="default"/>
                            <w:sz w:val="18"/>
                            <w:szCs w:val="18"/>
                          </w:rPr>
                          <w:t>，主要系公司报告期内存放于第三方账户中</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T+1</w:t>
                        </w:r>
                        <w:r>
                          <w:rPr>
                            <w:rFonts w:ascii="Times New Roman" w:hAnsi="Times New Roman" w:cs="Times New Roman" w:eastAsia="Times New Roman" w:hint="default"/>
                            <w:sz w:val="18"/>
                            <w:szCs w:val="18"/>
                          </w:rPr>
                          <w:t> </w:t>
                        </w:r>
                        <w:r>
                          <w:rPr>
                            <w:rFonts w:ascii="宋体" w:hAnsi="宋体" w:cs="宋体" w:eastAsia="宋体" w:hint="default"/>
                            <w:sz w:val="18"/>
                            <w:szCs w:val="18"/>
                          </w:rPr>
                          <w:t>到账的其他应 收款减少所致</w:t>
                        </w:r>
                      </w:p>
                    </w:tc>
                  </w:tr>
                  <w:tr>
                    <w:trPr>
                      <w:trHeight w:val="72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30" w:right="14"/>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34.30%</w:t>
                        </w:r>
                        <w:r>
                          <w:rPr>
                            <w:rFonts w:ascii="宋体" w:hAnsi="宋体" w:cs="宋体" w:eastAsia="宋体" w:hint="default"/>
                            <w:sz w:val="18"/>
                            <w:szCs w:val="18"/>
                          </w:rPr>
                          <w:t>，主要系公司报告期内将众邦银行</w:t>
                        </w:r>
                        <w:r>
                          <w:rPr>
                            <w:rFonts w:ascii="Times New Roman" w:hAnsi="Times New Roman" w:cs="Times New Roman" w:eastAsia="Times New Roman" w:hint="default"/>
                            <w:sz w:val="18"/>
                            <w:szCs w:val="18"/>
                          </w:rPr>
                          <w:t>-</w:t>
                        </w:r>
                        <w:r>
                          <w:rPr>
                            <w:rFonts w:ascii="宋体" w:hAnsi="宋体" w:cs="宋体" w:eastAsia="宋体" w:hint="default"/>
                            <w:sz w:val="18"/>
                            <w:szCs w:val="18"/>
                          </w:rPr>
                          <w:t>天风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年第一期财产权信 托纳入合并范围所致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61.68%</w:t>
                        </w:r>
                        <w:r>
                          <w:rPr>
                            <w:rFonts w:ascii="宋体" w:hAnsi="宋体" w:cs="宋体" w:eastAsia="宋体" w:hint="default"/>
                            <w:sz w:val="18"/>
                            <w:szCs w:val="18"/>
                          </w:rPr>
                          <w:t>，主要系公司报告期内减少预付给供应商的款项所致</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91.18%</w:t>
                        </w:r>
                        <w:r>
                          <w:rPr>
                            <w:rFonts w:ascii="宋体" w:hAnsi="宋体" w:cs="宋体" w:eastAsia="宋体" w:hint="default"/>
                            <w:sz w:val="18"/>
                            <w:szCs w:val="18"/>
                          </w:rPr>
                          <w:t>，主要系报告期内公司业务调整所致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48.86%</w:t>
                        </w:r>
                        <w:r>
                          <w:rPr>
                            <w:rFonts w:ascii="宋体" w:hAnsi="宋体" w:cs="宋体" w:eastAsia="宋体" w:hint="default"/>
                            <w:sz w:val="18"/>
                            <w:szCs w:val="18"/>
                          </w:rPr>
                          <w:t>，主要系报告期内公司业务调整所致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259.22%</w:t>
                        </w:r>
                        <w:r>
                          <w:rPr>
                            <w:rFonts w:ascii="宋体" w:hAnsi="宋体" w:cs="宋体" w:eastAsia="宋体" w:hint="default"/>
                            <w:sz w:val="18"/>
                            <w:szCs w:val="18"/>
                          </w:rPr>
                          <w:t>，主要系公司报告期内加大对外投资所致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72.42%</w:t>
                        </w:r>
                        <w:r>
                          <w:rPr>
                            <w:rFonts w:ascii="宋体" w:hAnsi="宋体" w:cs="宋体" w:eastAsia="宋体" w:hint="default"/>
                            <w:sz w:val="18"/>
                            <w:szCs w:val="18"/>
                          </w:rPr>
                          <w:t>，主要系公司报告期内可抵扣暂时性差异增加所致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355.45%</w:t>
                        </w:r>
                        <w:r>
                          <w:rPr>
                            <w:rFonts w:ascii="宋体" w:hAnsi="宋体" w:cs="宋体" w:eastAsia="宋体" w:hint="default"/>
                            <w:sz w:val="18"/>
                            <w:szCs w:val="18"/>
                          </w:rPr>
                          <w:t>，主要系公司报告期内加大对外投资所致</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，主要系公司报告期内将自有房产用于对外租赁所致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52"/>
        <w:gridCol w:w="1066"/>
        <w:gridCol w:w="1067"/>
        <w:gridCol w:w="1066"/>
      </w:tblGrid>
      <w:tr>
        <w:trPr>
          <w:trHeight w:val="10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30" w:right="88" w:hanging="271"/>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9"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9"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60"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5"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5" w:right="74"/>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8"/>
              <w:jc w:val="left"/>
              <w:rPr>
                <w:rFonts w:ascii="宋体" w:hAnsi="宋体" w:cs="宋体" w:eastAsia="宋体" w:hint="default"/>
                <w:sz w:val="18"/>
                <w:szCs w:val="18"/>
              </w:rPr>
            </w:pPr>
            <w:r>
              <w:rPr>
                <w:rFonts w:ascii="宋体" w:hAnsi="宋体" w:cs="宋体" w:eastAsia="宋体" w:hint="default"/>
                <w:sz w:val="18"/>
                <w:szCs w:val="18"/>
              </w:rPr>
              <w:t>二三四</w:t>
            </w:r>
            <w:r>
              <w:rPr>
                <w:rFonts w:ascii="宋体" w:hAnsi="宋体" w:cs="宋体" w:eastAsia="宋体" w:hint="default"/>
                <w:spacing w:val="-76"/>
                <w:sz w:val="18"/>
                <w:szCs w:val="18"/>
              </w:rPr>
              <w:t>五</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76"/>
                <w:sz w:val="18"/>
                <w:szCs w:val="18"/>
              </w:rPr>
              <w:t>）</w:t>
            </w:r>
            <w:r>
              <w:rPr>
                <w:rFonts w:ascii="宋体" w:hAnsi="宋体" w:cs="宋体" w:eastAsia="宋体" w:hint="default"/>
                <w:sz w:val="18"/>
                <w:szCs w:val="18"/>
              </w:rPr>
              <w:t>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 w:right="0"/>
              <w:jc w:val="left"/>
              <w:rPr>
                <w:rFonts w:ascii="Times New Roman" w:hAnsi="Times New Roman" w:cs="Times New Roman" w:eastAsia="Times New Roman" w:hint="default"/>
                <w:sz w:val="18"/>
                <w:szCs w:val="18"/>
              </w:rPr>
            </w:pPr>
            <w:r>
              <w:rPr>
                <w:rFonts w:ascii="Times New Roman"/>
                <w:sz w:val="18"/>
              </w:rPr>
              <w:t>1,369,447,06</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6.22 </w:t>
            </w:r>
            <w:r>
              <w:rPr>
                <w:rFonts w:ascii="宋体" w:hAnsi="宋体" w:cs="宋体" w:eastAsia="宋体" w:hint="default"/>
                <w:sz w:val="18"/>
                <w:szCs w:val="18"/>
              </w:rPr>
              <w:t>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4" w:right="29"/>
              <w:jc w:val="left"/>
              <w:rPr>
                <w:rFonts w:ascii="宋体" w:hAnsi="宋体" w:cs="宋体" w:eastAsia="宋体" w:hint="default"/>
                <w:sz w:val="18"/>
                <w:szCs w:val="18"/>
              </w:rPr>
            </w:pPr>
            <w:r>
              <w:rPr>
                <w:rFonts w:ascii="宋体" w:hAnsi="宋体" w:cs="宋体" w:eastAsia="宋体" w:hint="default"/>
                <w:spacing w:val="-13"/>
                <w:sz w:val="18"/>
                <w:szCs w:val="18"/>
              </w:rPr>
              <w:t>全资控股、独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立核算</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-503,869.30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15" w:right="194"/>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41"/>
                <w:sz w:val="18"/>
              </w:rPr>
              <w:t> </w:t>
            </w:r>
            <w:r>
              <w:rPr>
                <w:rFonts w:ascii="Times New Roman"/>
                <w:spacing w:val="-41"/>
                <w:sz w:val="18"/>
              </w:rPr>
            </w:r>
            <w:r>
              <w:rPr>
                <w:rFonts w:ascii="Times New Roman"/>
                <w:spacing w:val="-3"/>
                <w:sz w:val="18"/>
              </w:rPr>
              <w:t>Technology</w:t>
            </w:r>
            <w:r>
              <w:rPr>
                <w:rFonts w:ascii="Times New Roman"/>
                <w:spacing w:val="-36"/>
                <w:sz w:val="18"/>
              </w:rPr>
              <w:t> </w:t>
            </w:r>
            <w:r>
              <w:rPr>
                <w:rFonts w:ascii="Times New Roman"/>
                <w:spacing w:val="-36"/>
                <w:sz w:val="18"/>
              </w:rPr>
            </w:r>
            <w:r>
              <w:rPr>
                <w:rFonts w:ascii="Times New Roman"/>
                <w:sz w:val="18"/>
              </w:rPr>
              <w:t>Pte.</w:t>
            </w:r>
            <w:r>
              <w:rPr>
                <w:rFonts w:ascii="Times New Roman"/>
                <w:spacing w:val="11"/>
                <w:sz w:val="18"/>
              </w:rPr>
              <w:t> </w:t>
            </w:r>
            <w:r>
              <w:rPr>
                <w:rFonts w:ascii="Times New Roman"/>
                <w:sz w:val="18"/>
              </w:rPr>
              <w:t>Ltd.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343,536,009.</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4" w:right="29"/>
              <w:jc w:val="left"/>
              <w:rPr>
                <w:rFonts w:ascii="宋体" w:hAnsi="宋体" w:cs="宋体" w:eastAsia="宋体" w:hint="default"/>
                <w:sz w:val="18"/>
                <w:szCs w:val="18"/>
              </w:rPr>
            </w:pPr>
            <w:r>
              <w:rPr>
                <w:rFonts w:ascii="宋体" w:hAnsi="宋体" w:cs="宋体" w:eastAsia="宋体" w:hint="default"/>
                <w:spacing w:val="-13"/>
                <w:sz w:val="18"/>
                <w:szCs w:val="18"/>
              </w:rPr>
              <w:t>全资控股、独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立核算</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-2,723,016.86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3.38%</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449"/>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41"/>
                <w:sz w:val="18"/>
              </w:rPr>
              <w:t> </w:t>
            </w:r>
            <w:r>
              <w:rPr>
                <w:rFonts w:ascii="Times New Roman"/>
                <w:spacing w:val="-41"/>
                <w:sz w:val="18"/>
              </w:rPr>
            </w:r>
            <w:r>
              <w:rPr>
                <w:rFonts w:ascii="Times New Roman"/>
                <w:spacing w:val="-5"/>
                <w:sz w:val="18"/>
              </w:rPr>
              <w:t>Wealth</w:t>
            </w:r>
          </w:p>
          <w:p>
            <w:pPr>
              <w:pStyle w:val="TableParagraph"/>
              <w:spacing w:line="364" w:lineRule="auto" w:before="4"/>
              <w:ind w:left="15" w:right="113"/>
              <w:jc w:val="left"/>
              <w:rPr>
                <w:rFonts w:ascii="Times New Roman" w:hAnsi="Times New Roman" w:cs="Times New Roman" w:eastAsia="Times New Roman" w:hint="default"/>
                <w:sz w:val="18"/>
                <w:szCs w:val="18"/>
              </w:rPr>
            </w:pPr>
            <w:r>
              <w:rPr>
                <w:rFonts w:ascii="Times New Roman"/>
                <w:spacing w:val="-3"/>
                <w:sz w:val="18"/>
              </w:rPr>
              <w:t>Management</w:t>
            </w:r>
            <w:r>
              <w:rPr>
                <w:rFonts w:ascii="Times New Roman"/>
                <w:spacing w:val="-37"/>
                <w:sz w:val="18"/>
              </w:rPr>
              <w:t> </w:t>
            </w:r>
            <w:r>
              <w:rPr>
                <w:rFonts w:ascii="Times New Roman"/>
                <w:spacing w:val="-37"/>
                <w:sz w:val="18"/>
              </w:rPr>
            </w:r>
            <w:r>
              <w:rPr>
                <w:rFonts w:ascii="Times New Roman"/>
                <w:sz w:val="18"/>
              </w:rPr>
              <w:t>Pte.</w:t>
            </w:r>
            <w:r>
              <w:rPr>
                <w:rFonts w:ascii="Times New Roman"/>
                <w:spacing w:val="11"/>
                <w:sz w:val="18"/>
              </w:rPr>
              <w:t> </w:t>
            </w:r>
            <w:r>
              <w:rPr>
                <w:rFonts w:ascii="Times New Roman"/>
                <w:sz w:val="18"/>
              </w:rPr>
              <w:t>Ltd.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4,517,239.58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4" w:right="29"/>
              <w:jc w:val="left"/>
              <w:rPr>
                <w:rFonts w:ascii="宋体" w:hAnsi="宋体" w:cs="宋体" w:eastAsia="宋体" w:hint="default"/>
                <w:sz w:val="18"/>
                <w:szCs w:val="18"/>
              </w:rPr>
            </w:pPr>
            <w:r>
              <w:rPr>
                <w:rFonts w:ascii="宋体" w:hAnsi="宋体" w:cs="宋体" w:eastAsia="宋体" w:hint="default"/>
                <w:spacing w:val="-13"/>
                <w:sz w:val="18"/>
                <w:szCs w:val="18"/>
              </w:rPr>
              <w:t>全资控股、独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立核算</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-1,287,266.78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15" w:right="29"/>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39"/>
                <w:sz w:val="18"/>
              </w:rPr>
              <w:t> </w:t>
            </w:r>
            <w:r>
              <w:rPr>
                <w:rFonts w:ascii="Times New Roman"/>
                <w:spacing w:val="-39"/>
                <w:sz w:val="18"/>
              </w:rPr>
            </w:r>
            <w:r>
              <w:rPr>
                <w:rFonts w:ascii="Times New Roman"/>
                <w:sz w:val="18"/>
              </w:rPr>
              <w:t>TECHNOLO</w:t>
            </w:r>
            <w:r>
              <w:rPr>
                <w:rFonts w:ascii="Times New Roman"/>
                <w:spacing w:val="-35"/>
                <w:sz w:val="18"/>
              </w:rPr>
              <w:t> </w:t>
            </w:r>
            <w:r>
              <w:rPr>
                <w:rFonts w:ascii="Times New Roman"/>
                <w:spacing w:val="-35"/>
                <w:sz w:val="18"/>
              </w:rPr>
            </w:r>
            <w:r>
              <w:rPr>
                <w:rFonts w:ascii="Times New Roman"/>
                <w:sz w:val="18"/>
              </w:rPr>
              <w:t>GY </w:t>
            </w:r>
            <w:r>
              <w:rPr>
                <w:rFonts w:ascii="Times New Roman"/>
                <w:spacing w:val="-3"/>
                <w:sz w:val="18"/>
              </w:rPr>
              <w:t>USA</w:t>
            </w:r>
            <w:r>
              <w:rPr>
                <w:rFonts w:ascii="Times New Roman"/>
                <w:spacing w:val="-11"/>
                <w:sz w:val="18"/>
              </w:rPr>
              <w:t> </w:t>
            </w:r>
            <w:r>
              <w:rPr>
                <w:rFonts w:ascii="Times New Roman"/>
                <w:sz w:val="18"/>
              </w:rPr>
              <w:t>INC</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6,728,291.38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4" w:right="29"/>
              <w:jc w:val="left"/>
              <w:rPr>
                <w:rFonts w:ascii="宋体" w:hAnsi="宋体" w:cs="宋体" w:eastAsia="宋体" w:hint="default"/>
                <w:sz w:val="18"/>
                <w:szCs w:val="18"/>
              </w:rPr>
            </w:pPr>
            <w:r>
              <w:rPr>
                <w:rFonts w:ascii="宋体" w:hAnsi="宋体" w:cs="宋体" w:eastAsia="宋体" w:hint="default"/>
                <w:spacing w:val="-13"/>
                <w:sz w:val="18"/>
                <w:szCs w:val="18"/>
              </w:rPr>
              <w:t>全资控股、独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立核算</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-312,388.61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spacing w:line="290" w:lineRule="auto" w:before="0"/>
        <w:ind w:left="501" w:right="0" w:firstLine="0"/>
        <w:jc w:val="left"/>
        <w:rPr>
          <w:rFonts w:ascii="宋体" w:hAnsi="宋体" w:cs="宋体" w:eastAsia="宋体" w:hint="default"/>
          <w:sz w:val="18"/>
          <w:szCs w:val="18"/>
        </w:rPr>
      </w:pPr>
      <w:r>
        <w:rPr>
          <w:rFonts w:ascii="宋体" w:hAnsi="宋体" w:cs="宋体" w:eastAsia="宋体" w:hint="default"/>
          <w:b/>
          <w:bCs/>
          <w:sz w:val="18"/>
          <w:szCs w:val="18"/>
        </w:rPr>
        <w:t>（一）国内领先的</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互联网上网入口平台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及强大的推广优势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公司核心产品“2345网址导航”自</w:t>
      </w:r>
      <w:r>
        <w:rPr>
          <w:rFonts w:ascii="宋体" w:hAnsi="宋体" w:cs="宋体" w:eastAsia="宋体" w:hint="default"/>
          <w:spacing w:val="-2"/>
          <w:sz w:val="18"/>
          <w:szCs w:val="18"/>
        </w:rPr>
        <w:t>2005</w:t>
      </w:r>
      <w:r>
        <w:rPr>
          <w:rFonts w:ascii="宋体" w:hAnsi="宋体" w:cs="宋体" w:eastAsia="宋体" w:hint="default"/>
          <w:spacing w:val="-2"/>
          <w:sz w:val="18"/>
          <w:szCs w:val="18"/>
        </w:rPr>
        <w:t>年创建至今已运营近</w:t>
      </w:r>
      <w:r>
        <w:rPr>
          <w:rFonts w:ascii="宋体" w:hAnsi="宋体" w:cs="宋体" w:eastAsia="宋体" w:hint="default"/>
          <w:spacing w:val="-2"/>
          <w:sz w:val="18"/>
          <w:szCs w:val="18"/>
        </w:rPr>
        <w:t>15</w:t>
      </w:r>
      <w:r>
        <w:rPr>
          <w:rFonts w:ascii="宋体" w:hAnsi="宋体" w:cs="宋体" w:eastAsia="宋体" w:hint="default"/>
          <w:spacing w:val="-2"/>
          <w:sz w:val="18"/>
          <w:szCs w:val="18"/>
        </w:rPr>
        <w:t>年，积累了庞大的互联网用户群体，具有明显的市场先发</w:t>
      </w:r>
    </w:p>
    <w:p>
      <w:pPr>
        <w:pStyle w:val="BodyText"/>
        <w:spacing w:line="321" w:lineRule="auto" w:before="26"/>
        <w:ind w:right="1095"/>
        <w:jc w:val="both"/>
      </w:pPr>
      <w:r>
        <w:rPr>
          <w:spacing w:val="-1"/>
        </w:rPr>
        <w:t>和品牌优势；公司于</w:t>
      </w:r>
      <w:r>
        <w:rPr>
          <w:rFonts w:ascii="宋体" w:hAnsi="宋体" w:cs="宋体" w:eastAsia="宋体" w:hint="default"/>
          <w:spacing w:val="-1"/>
        </w:rPr>
        <w:t>2011</w:t>
      </w:r>
      <w:r>
        <w:rPr>
          <w:spacing w:val="-1"/>
        </w:rPr>
        <w:t>年自建“2345王牌联盟”推广平台，是国内领先的线下推广平台。此外，作为公司</w:t>
      </w:r>
      <w:r>
        <w:rPr>
          <w:rFonts w:ascii="宋体" w:hAnsi="宋体" w:cs="宋体" w:eastAsia="宋体" w:hint="default"/>
          <w:spacing w:val="-1"/>
        </w:rPr>
        <w:t>2019</w:t>
      </w:r>
      <w:r>
        <w:rPr>
          <w:spacing w:val="-1"/>
        </w:rPr>
        <w:t>年在移动端</w:t>
      </w:r>
      <w:r>
        <w:rPr>
          <w:spacing w:val="-82"/>
        </w:rPr>
        <w:t> </w:t>
      </w:r>
      <w:r>
        <w:rPr/>
        <w:t>内容类产品方向的探索，玩赚星球</w:t>
      </w:r>
      <w:r>
        <w:rPr>
          <w:rFonts w:ascii="宋体" w:hAnsi="宋体" w:cs="宋体" w:eastAsia="宋体" w:hint="default"/>
        </w:rPr>
        <w:t>APP</w:t>
      </w:r>
      <w:r>
        <w:rPr/>
        <w:t>基于个性化推荐算法，形成了涵盖新闻资讯、天气查询、畅玩游戏、“果园种树”、</w:t>
      </w:r>
      <w:r>
        <w:rPr>
          <w:spacing w:val="-80"/>
        </w:rPr>
        <w:t> </w:t>
      </w:r>
      <w:r>
        <w:rPr>
          <w:spacing w:val="-80"/>
        </w:rPr>
      </w:r>
      <w:r>
        <w:rPr/>
        <w:t>“走路赚钱”等丰富的应用生态场景，实现了提高用户活跃度、增强用户粘性的目的。公司立足于成熟的互联网平台和</w:t>
      </w:r>
      <w:r>
        <w:rPr>
          <w:rFonts w:ascii="宋体" w:hAnsi="宋体" w:cs="宋体" w:eastAsia="宋体" w:hint="default"/>
        </w:rPr>
        <w:t>APP</w:t>
      </w:r>
      <w:r>
        <w:rPr>
          <w:rFonts w:ascii="宋体" w:hAnsi="宋体" w:cs="宋体" w:eastAsia="宋体" w:hint="default"/>
          <w:spacing w:val="-80"/>
        </w:rPr>
        <w:t> </w:t>
      </w:r>
      <w:r>
        <w:rPr/>
        <w:t>舰群优势，通过对产品创新赋能，为公司长期可持续发展提供了有力支持。</w:t>
      </w:r>
    </w:p>
    <w:p>
      <w:pPr>
        <w:spacing w:line="290" w:lineRule="auto" w:before="33"/>
        <w:ind w:left="501" w:right="1119" w:firstLine="0"/>
        <w:jc w:val="left"/>
        <w:rPr>
          <w:rFonts w:ascii="宋体" w:hAnsi="宋体" w:cs="宋体" w:eastAsia="宋体" w:hint="default"/>
          <w:sz w:val="18"/>
          <w:szCs w:val="18"/>
        </w:rPr>
      </w:pPr>
      <w:r>
        <w:rPr>
          <w:rFonts w:ascii="宋体" w:hAnsi="宋体" w:cs="宋体" w:eastAsia="宋体" w:hint="default"/>
          <w:b/>
          <w:bCs/>
          <w:sz w:val="18"/>
          <w:szCs w:val="18"/>
        </w:rPr>
        <w:t>（二）丰富的互联网、移动互联网产品线及技术优势</w:t>
      </w:r>
      <w:r>
        <w:rPr>
          <w:rFonts w:ascii="宋体" w:hAnsi="宋体" w:cs="宋体" w:eastAsia="宋体" w:hint="default"/>
          <w:b/>
          <w:bCs/>
          <w:w w:val="99"/>
          <w:sz w:val="18"/>
          <w:szCs w:val="18"/>
        </w:rPr>
        <w:t> </w:t>
      </w:r>
      <w:r>
        <w:rPr>
          <w:rFonts w:ascii="宋体" w:hAnsi="宋体" w:cs="宋体" w:eastAsia="宋体" w:hint="default"/>
          <w:sz w:val="18"/>
          <w:szCs w:val="18"/>
        </w:rPr>
        <w:t>2345.com</w:t>
      </w:r>
      <w:r>
        <w:rPr>
          <w:rFonts w:ascii="宋体" w:hAnsi="宋体" w:cs="宋体" w:eastAsia="宋体" w:hint="default"/>
          <w:sz w:val="18"/>
          <w:szCs w:val="18"/>
        </w:rPr>
        <w:t>具有较为完善的多元化、多层次的“APP舰群”产品体系，既满足了用户多元化的产品需求，又充分发挥了各</w:t>
      </w:r>
    </w:p>
    <w:p>
      <w:pPr>
        <w:pStyle w:val="BodyText"/>
        <w:spacing w:line="316" w:lineRule="auto" w:before="41"/>
        <w:ind w:right="1096"/>
        <w:jc w:val="both"/>
      </w:pPr>
      <w:r>
        <w:rPr>
          <w:spacing w:val="-2"/>
        </w:rPr>
        <w:t>产品之间优势互补的特点，增强了抵御风险的能力。截至目前，公司</w:t>
      </w:r>
      <w:r>
        <w:rPr>
          <w:rFonts w:ascii="宋体" w:hAnsi="宋体" w:cs="宋体" w:eastAsia="宋体" w:hint="default"/>
          <w:spacing w:val="-2"/>
        </w:rPr>
        <w:t>PC</w:t>
      </w:r>
      <w:r>
        <w:rPr>
          <w:spacing w:val="-2"/>
        </w:rPr>
        <w:t>端软件产品包括</w:t>
      </w:r>
      <w:r>
        <w:rPr>
          <w:rFonts w:ascii="宋体" w:hAnsi="宋体" w:cs="宋体" w:eastAsia="宋体" w:hint="default"/>
          <w:spacing w:val="-2"/>
        </w:rPr>
        <w:t>2345</w:t>
      </w:r>
      <w:r>
        <w:rPr>
          <w:spacing w:val="-2"/>
        </w:rPr>
        <w:t>加速浏览器、</w:t>
      </w:r>
      <w:r>
        <w:rPr>
          <w:rFonts w:ascii="宋体" w:hAnsi="宋体" w:cs="宋体" w:eastAsia="宋体" w:hint="default"/>
          <w:spacing w:val="-2"/>
        </w:rPr>
        <w:t>2345</w:t>
      </w:r>
      <w:r>
        <w:rPr>
          <w:spacing w:val="-2"/>
        </w:rPr>
        <w:t>看图王、</w:t>
      </w:r>
      <w:r>
        <w:rPr>
          <w:rFonts w:ascii="宋体" w:hAnsi="宋体" w:cs="宋体" w:eastAsia="宋体" w:hint="default"/>
          <w:spacing w:val="-2"/>
        </w:rPr>
        <w:t>2345</w:t>
      </w:r>
      <w:r>
        <w:rPr>
          <w:rFonts w:ascii="宋体" w:hAnsi="宋体" w:cs="宋体" w:eastAsia="宋体" w:hint="default"/>
          <w:spacing w:val="-34"/>
        </w:rPr>
        <w:t> </w:t>
      </w:r>
      <w:r>
        <w:rPr>
          <w:spacing w:val="-4"/>
        </w:rPr>
        <w:t>好压、</w:t>
      </w:r>
      <w:r>
        <w:rPr>
          <w:rFonts w:ascii="宋体" w:hAnsi="宋体" w:cs="宋体" w:eastAsia="宋体" w:hint="default"/>
          <w:spacing w:val="-4"/>
        </w:rPr>
        <w:t>2345</w:t>
      </w:r>
      <w:r>
        <w:rPr>
          <w:spacing w:val="-4"/>
        </w:rPr>
        <w:t>王牌输入法、</w:t>
      </w:r>
      <w:r>
        <w:rPr>
          <w:rFonts w:ascii="宋体" w:hAnsi="宋体" w:cs="宋体" w:eastAsia="宋体" w:hint="default"/>
          <w:spacing w:val="-4"/>
        </w:rPr>
        <w:t>2345</w:t>
      </w:r>
      <w:r>
        <w:rPr>
          <w:spacing w:val="-4"/>
        </w:rPr>
        <w:t>安全卫士等；移动端产品有玩赚星球、</w:t>
      </w:r>
      <w:r>
        <w:rPr>
          <w:rFonts w:ascii="宋体" w:hAnsi="宋体" w:cs="宋体" w:eastAsia="宋体" w:hint="default"/>
          <w:spacing w:val="-4"/>
        </w:rPr>
        <w:t>2345</w:t>
      </w:r>
      <w:r>
        <w:rPr>
          <w:spacing w:val="-4"/>
        </w:rPr>
        <w:t>加速手机浏览器、</w:t>
      </w:r>
      <w:r>
        <w:rPr>
          <w:rFonts w:ascii="宋体" w:hAnsi="宋体" w:cs="宋体" w:eastAsia="宋体" w:hint="default"/>
          <w:spacing w:val="-4"/>
        </w:rPr>
        <w:t>2345</w:t>
      </w:r>
      <w:r>
        <w:rPr>
          <w:spacing w:val="-4"/>
        </w:rPr>
        <w:t>手机助手、</w:t>
      </w:r>
      <w:r>
        <w:rPr>
          <w:rFonts w:ascii="宋体" w:hAnsi="宋体" w:cs="宋体" w:eastAsia="宋体" w:hint="default"/>
          <w:spacing w:val="-4"/>
        </w:rPr>
        <w:t>2345</w:t>
      </w:r>
      <w:r>
        <w:rPr>
          <w:spacing w:val="-4"/>
        </w:rPr>
        <w:t>天气王、</w:t>
      </w:r>
      <w:r>
        <w:rPr>
          <w:rFonts w:ascii="宋体" w:hAnsi="宋体" w:cs="宋体" w:eastAsia="宋体" w:hint="default"/>
          <w:spacing w:val="-4"/>
        </w:rPr>
        <w:t>2345</w:t>
      </w:r>
      <w:r>
        <w:rPr>
          <w:rFonts w:ascii="宋体" w:hAnsi="宋体" w:cs="宋体" w:eastAsia="宋体" w:hint="default"/>
          <w:spacing w:val="-56"/>
        </w:rPr>
        <w:t> </w:t>
      </w:r>
      <w:r>
        <w:rPr>
          <w:spacing w:val="-2"/>
        </w:rPr>
        <w:t>网址导航</w:t>
      </w:r>
      <w:r>
        <w:rPr>
          <w:rFonts w:ascii="宋体" w:hAnsi="宋体" w:cs="宋体" w:eastAsia="宋体" w:hint="default"/>
          <w:spacing w:val="-2"/>
        </w:rPr>
        <w:t>APP</w:t>
      </w:r>
      <w:r>
        <w:rPr>
          <w:spacing w:val="-2"/>
        </w:rPr>
        <w:t>、趣看看等；此外，公司开发并运营了</w:t>
      </w:r>
      <w:r>
        <w:rPr>
          <w:rFonts w:ascii="宋体" w:hAnsi="宋体" w:cs="宋体" w:eastAsia="宋体" w:hint="default"/>
          <w:spacing w:val="-2"/>
        </w:rPr>
        <w:t>2345</w:t>
      </w:r>
      <w:r>
        <w:rPr>
          <w:spacing w:val="-2"/>
        </w:rPr>
        <w:t>网址导航桌面版、</w:t>
      </w:r>
      <w:r>
        <w:rPr>
          <w:rFonts w:ascii="宋体" w:hAnsi="宋体" w:cs="宋体" w:eastAsia="宋体" w:hint="default"/>
          <w:spacing w:val="-2"/>
        </w:rPr>
        <w:t>2345</w:t>
      </w:r>
      <w:r>
        <w:rPr>
          <w:spacing w:val="-2"/>
        </w:rPr>
        <w:t>影视大全桌面版、</w:t>
      </w:r>
      <w:r>
        <w:rPr>
          <w:rFonts w:ascii="宋体" w:hAnsi="宋体" w:cs="宋体" w:eastAsia="宋体" w:hint="default"/>
          <w:spacing w:val="-2"/>
        </w:rPr>
        <w:t>PDF</w:t>
      </w:r>
      <w:r>
        <w:rPr>
          <w:spacing w:val="-2"/>
        </w:rPr>
        <w:t>阅读器、</w:t>
      </w:r>
      <w:r>
        <w:rPr>
          <w:rFonts w:ascii="宋体" w:hAnsi="宋体" w:cs="宋体" w:eastAsia="宋体" w:hint="default"/>
          <w:spacing w:val="-2"/>
        </w:rPr>
        <w:t>2345</w:t>
      </w:r>
      <w:r>
        <w:rPr>
          <w:spacing w:val="-2"/>
        </w:rPr>
        <w:t>游戏大厅</w:t>
      </w:r>
      <w:r>
        <w:rPr>
          <w:spacing w:val="-46"/>
        </w:rPr>
        <w:t> </w:t>
      </w:r>
      <w:r>
        <w:rPr>
          <w:spacing w:val="-2"/>
        </w:rPr>
        <w:t>等小工具。另据艾瑞咨询</w:t>
      </w:r>
      <w:r>
        <w:rPr>
          <w:rFonts w:ascii="宋体" w:hAnsi="宋体" w:cs="宋体" w:eastAsia="宋体" w:hint="default"/>
          <w:spacing w:val="-2"/>
        </w:rPr>
        <w:t>2019</w:t>
      </w:r>
      <w:r>
        <w:rPr>
          <w:spacing w:val="-2"/>
        </w:rPr>
        <w:t>年第三季度发布的《中国互联网流量季度分析报告》，</w:t>
      </w:r>
      <w:r>
        <w:rPr>
          <w:rFonts w:ascii="宋体" w:hAnsi="宋体" w:cs="宋体" w:eastAsia="宋体" w:hint="default"/>
          <w:spacing w:val="-2"/>
        </w:rPr>
        <w:t>2345</w:t>
      </w:r>
      <w:r>
        <w:rPr>
          <w:spacing w:val="-2"/>
        </w:rPr>
        <w:t>浏览器、</w:t>
      </w:r>
      <w:r>
        <w:rPr>
          <w:rFonts w:ascii="宋体" w:hAnsi="宋体" w:cs="宋体" w:eastAsia="宋体" w:hint="default"/>
          <w:spacing w:val="-2"/>
        </w:rPr>
        <w:t>2345</w:t>
      </w:r>
      <w:r>
        <w:rPr>
          <w:spacing w:val="-2"/>
        </w:rPr>
        <w:t>天气王分别登上当季</w:t>
      </w:r>
      <w:r>
        <w:rPr>
          <w:spacing w:val="-38"/>
        </w:rPr>
        <w:t> </w:t>
      </w:r>
      <w:r>
        <w:rPr/>
        <w:t>中国移动互联网增速榜，进入千万量级</w:t>
      </w:r>
      <w:r>
        <w:rPr>
          <w:rFonts w:ascii="宋体" w:hAnsi="宋体" w:cs="宋体" w:eastAsia="宋体" w:hint="default"/>
        </w:rPr>
        <w:t>APP</w:t>
      </w:r>
      <w:r>
        <w:rPr/>
        <w:t>用户增速</w:t>
      </w:r>
      <w:r>
        <w:rPr>
          <w:rFonts w:ascii="宋体" w:hAnsi="宋体" w:cs="宋体" w:eastAsia="宋体" w:hint="default"/>
        </w:rPr>
        <w:t>TOP</w:t>
      </w:r>
      <w:r>
        <w:rPr/>
        <w:t>前</w:t>
      </w:r>
      <w:r>
        <w:rPr>
          <w:rFonts w:ascii="宋体" w:hAnsi="宋体" w:cs="宋体" w:eastAsia="宋体" w:hint="default"/>
        </w:rPr>
        <w:t>50</w:t>
      </w:r>
      <w:r>
        <w:rPr/>
        <w:t>。</w:t>
      </w:r>
    </w:p>
    <w:p>
      <w:pPr>
        <w:pStyle w:val="BodyText"/>
        <w:spacing w:line="321" w:lineRule="auto" w:before="22"/>
        <w:ind w:right="0" w:firstLine="360"/>
        <w:jc w:val="left"/>
      </w:pPr>
      <w:r>
        <w:rPr>
          <w:spacing w:val="-2"/>
        </w:rPr>
        <w:t>同时，公司不断优化产品的用户体验，通过邀请部分用户开展交流活动，通过了解用户的使用场景、使用需求，并记录</w:t>
      </w:r>
      <w:r>
        <w:rPr/>
        <w:t> 用户提出的感受和意见以更好的改善产品体系的内容与服务生态。</w:t>
      </w:r>
    </w:p>
    <w:p>
      <w:pPr>
        <w:pStyle w:val="BodyText"/>
        <w:spacing w:line="240" w:lineRule="auto" w:before="18"/>
        <w:ind w:left="501" w:right="0"/>
        <w:jc w:val="left"/>
      </w:pPr>
      <w:r>
        <w:rPr/>
        <w:t>公司各产品线间加强联动效应，深度挖掘用户价值，提升了单个用户贡献值。部分移动端产品如下所示：</w:t>
      </w:r>
    </w:p>
    <w:p>
      <w:pPr>
        <w:spacing w:line="240" w:lineRule="auto" w:before="7"/>
        <w:rPr>
          <w:rFonts w:ascii="宋体" w:hAnsi="宋体" w:cs="宋体" w:eastAsia="宋体" w:hint="default"/>
          <w:sz w:val="7"/>
          <w:szCs w:val="7"/>
        </w:rPr>
      </w:pPr>
    </w:p>
    <w:p>
      <w:pPr>
        <w:spacing w:line="6180" w:lineRule="exact"/>
        <w:ind w:left="134" w:right="0" w:firstLine="0"/>
        <w:rPr>
          <w:rFonts w:ascii="宋体" w:hAnsi="宋体" w:cs="宋体" w:eastAsia="宋体" w:hint="default"/>
          <w:sz w:val="20"/>
          <w:szCs w:val="20"/>
        </w:rPr>
      </w:pPr>
      <w:r>
        <w:rPr>
          <w:rFonts w:ascii="宋体" w:hAnsi="宋体" w:cs="宋体" w:eastAsia="宋体" w:hint="default"/>
          <w:position w:val="-123"/>
          <w:sz w:val="20"/>
          <w:szCs w:val="20"/>
        </w:rPr>
        <w:pict>
          <v:group style="width:478.5pt;height:309pt;mso-position-horizontal-relative:char;mso-position-vertical-relative:line" coordorigin="0,0" coordsize="9570,6180">
            <v:shape style="position:absolute;left:0;top:120;width:3180;height:6060" type="#_x0000_t75" stroked="false">
              <v:imagedata r:id="rId12" o:title=""/>
            </v:shape>
            <v:shape style="position:absolute;left:3180;top:270;width:3150;height:5910" type="#_x0000_t75" stroked="false">
              <v:imagedata r:id="rId13" o:title=""/>
            </v:shape>
            <v:shape style="position:absolute;left:6330;top:0;width:3240;height:6180" type="#_x0000_t75" stroked="false">
              <v:imagedata r:id="rId14" o:title=""/>
            </v:shape>
          </v:group>
        </w:pict>
      </w:r>
      <w:r>
        <w:rPr>
          <w:rFonts w:ascii="宋体" w:hAnsi="宋体" w:cs="宋体" w:eastAsia="宋体" w:hint="default"/>
          <w:position w:val="-123"/>
          <w:sz w:val="20"/>
          <w:szCs w:val="20"/>
        </w:rPr>
      </w:r>
    </w:p>
    <w:p>
      <w:pPr>
        <w:spacing w:line="240" w:lineRule="auto" w:before="0"/>
        <w:rPr>
          <w:rFonts w:ascii="宋体" w:hAnsi="宋体" w:cs="宋体" w:eastAsia="宋体" w:hint="default"/>
          <w:sz w:val="18"/>
          <w:szCs w:val="18"/>
        </w:rPr>
      </w:pPr>
    </w:p>
    <w:p>
      <w:pPr>
        <w:pStyle w:val="BodyText"/>
        <w:spacing w:line="307" w:lineRule="auto" w:before="126"/>
        <w:ind w:left="501" w:right="0"/>
        <w:jc w:val="left"/>
      </w:pPr>
      <w:r>
        <w:rPr>
          <w:rFonts w:ascii="宋体" w:hAnsi="宋体" w:cs="宋体" w:eastAsia="宋体" w:hint="default"/>
          <w:b/>
          <w:bCs/>
        </w:rPr>
        <w:t>（三）优质的客户资源优势</w:t>
      </w:r>
      <w:r>
        <w:rPr>
          <w:rFonts w:ascii="宋体" w:hAnsi="宋体" w:cs="宋体" w:eastAsia="宋体" w:hint="default"/>
          <w:b/>
          <w:bCs/>
          <w:w w:val="99"/>
        </w:rPr>
        <w:t> </w:t>
      </w:r>
      <w:r>
        <w:rPr>
          <w:rFonts w:ascii="宋体" w:hAnsi="宋体" w:cs="宋体" w:eastAsia="宋体" w:hint="default"/>
          <w:spacing w:val="-2"/>
        </w:rPr>
        <w:t>2345.com</w:t>
      </w:r>
      <w:r>
        <w:rPr>
          <w:spacing w:val="-2"/>
        </w:rPr>
        <w:t>网站推广与营销服务已涵盖游戏、网上购物、汽车、财经、旅游、文学等在内的数十个门类，与各门类中的主</w:t>
      </w:r>
    </w:p>
    <w:p>
      <w:pPr>
        <w:pStyle w:val="BodyText"/>
        <w:spacing w:line="321" w:lineRule="auto" w:before="29"/>
        <w:ind w:right="1097"/>
        <w:jc w:val="both"/>
      </w:pPr>
      <w:r>
        <w:rPr>
          <w:spacing w:val="-1"/>
        </w:rPr>
        <w:t>要网站建立了长期稳定的合作关系。国内排名前</w:t>
      </w:r>
      <w:r>
        <w:rPr>
          <w:rFonts w:ascii="宋体" w:hAnsi="宋体" w:cs="宋体" w:eastAsia="宋体" w:hint="default"/>
          <w:spacing w:val="-1"/>
        </w:rPr>
        <w:t>100</w:t>
      </w:r>
      <w:r>
        <w:rPr>
          <w:spacing w:val="-1"/>
        </w:rPr>
        <w:t>名的网站中，有</w:t>
      </w:r>
      <w:r>
        <w:rPr>
          <w:rFonts w:ascii="宋体" w:hAnsi="宋体" w:cs="宋体" w:eastAsia="宋体" w:hint="default"/>
          <w:spacing w:val="-1"/>
        </w:rPr>
        <w:t>80%</w:t>
      </w:r>
      <w:r>
        <w:rPr>
          <w:spacing w:val="-1"/>
        </w:rPr>
        <w:t>以上的公司在</w:t>
      </w:r>
      <w:r>
        <w:rPr>
          <w:rFonts w:ascii="宋体" w:hAnsi="宋体" w:cs="宋体" w:eastAsia="宋体" w:hint="default"/>
          <w:spacing w:val="-1"/>
        </w:rPr>
        <w:t>2345</w:t>
      </w:r>
      <w:r>
        <w:rPr>
          <w:spacing w:val="-1"/>
        </w:rPr>
        <w:t>网址导航付费推广，包括百度、淘</w:t>
      </w:r>
      <w:r>
        <w:rPr>
          <w:spacing w:val="-86"/>
        </w:rPr>
        <w:t> </w:t>
      </w:r>
      <w:r>
        <w:rPr>
          <w:spacing w:val="-86"/>
        </w:rPr>
      </w:r>
      <w:r>
        <w:rPr/>
        <w:t>宝、腾讯、京东等知名互联网企业。</w:t>
      </w:r>
    </w:p>
    <w:p>
      <w:pPr>
        <w:pStyle w:val="Heading4"/>
        <w:spacing w:line="240" w:lineRule="auto" w:before="33"/>
        <w:ind w:right="0"/>
        <w:jc w:val="left"/>
        <w:rPr>
          <w:b w:val="0"/>
          <w:bCs w:val="0"/>
        </w:rPr>
      </w:pPr>
      <w:r>
        <w:rPr/>
        <w:t>（四）稳定的管理团队及人才优势</w:t>
      </w:r>
      <w:r>
        <w:rPr>
          <w:b w:val="0"/>
          <w:bCs w:val="0"/>
        </w:rPr>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316" w:lineRule="auto"/>
        <w:ind w:right="1098" w:firstLine="360"/>
        <w:jc w:val="both"/>
      </w:pPr>
      <w:r>
        <w:rPr>
          <w:spacing w:val="-2"/>
        </w:rPr>
        <w:t>公司经营管理团队长期稳定、研发运营团队具有较强执行力，已拥有一批经验丰富的复合型人才。公司始终高度重视人</w:t>
      </w:r>
      <w:r>
        <w:rPr/>
        <w:t> </w:t>
      </w:r>
      <w:r>
        <w:rPr>
          <w:spacing w:val="-1"/>
        </w:rPr>
        <w:t>才培养与引进工作，先后推出“伯乐计划”、“猎鹰计划”、“算法人才悬赏令”等人才引荐方案，为公司揽入核心业务骨</w:t>
      </w:r>
      <w:r>
        <w:rPr/>
        <w:t> </w:t>
      </w:r>
      <w:r>
        <w:rPr>
          <w:spacing w:val="-2"/>
        </w:rPr>
        <w:t>干、技术骨干以及各层级优秀的管理人员；同时公司内部建立了完备的“培养人机制”和“揽秀计划”，为人才的持续成长</w:t>
      </w:r>
      <w:r>
        <w:rPr>
          <w:spacing w:val="-66"/>
        </w:rPr>
        <w:t> </w:t>
      </w:r>
      <w:r>
        <w:rPr>
          <w:spacing w:val="-66"/>
        </w:rPr>
      </w:r>
      <w:r>
        <w:rPr/>
        <w:t>和优秀人才储备保驾护航。公司员工专业素质整体较高，平均年龄约为</w:t>
      </w:r>
      <w:r>
        <w:rPr>
          <w:rFonts w:ascii="宋体" w:hAnsi="宋体" w:cs="宋体" w:eastAsia="宋体" w:hint="default"/>
        </w:rPr>
        <w:t>30</w:t>
      </w:r>
      <w:r>
        <w:rPr/>
        <w:t>岁，充满生机与活力。</w:t>
      </w:r>
    </w:p>
    <w:p>
      <w:pPr>
        <w:spacing w:line="307" w:lineRule="auto" w:before="37"/>
        <w:ind w:left="501" w:right="1119" w:firstLine="0"/>
        <w:jc w:val="left"/>
        <w:rPr>
          <w:rFonts w:ascii="宋体" w:hAnsi="宋体" w:cs="宋体" w:eastAsia="宋体" w:hint="default"/>
          <w:sz w:val="18"/>
          <w:szCs w:val="18"/>
        </w:rPr>
      </w:pPr>
      <w:r>
        <w:rPr>
          <w:rFonts w:ascii="宋体" w:hAnsi="宋体" w:cs="宋体" w:eastAsia="宋体" w:hint="default"/>
          <w:b/>
          <w:bCs/>
          <w:sz w:val="18"/>
          <w:szCs w:val="18"/>
        </w:rPr>
        <w:t>（五）长期可持续发展的布局优势</w:t>
      </w:r>
      <w:r>
        <w:rPr>
          <w:rFonts w:ascii="宋体" w:hAnsi="宋体" w:cs="宋体" w:eastAsia="宋体" w:hint="default"/>
          <w:b/>
          <w:bCs/>
          <w:w w:val="99"/>
          <w:sz w:val="18"/>
          <w:szCs w:val="18"/>
        </w:rPr>
        <w:t> </w:t>
      </w:r>
      <w:r>
        <w:rPr>
          <w:rFonts w:ascii="宋体" w:hAnsi="宋体" w:cs="宋体" w:eastAsia="宋体" w:hint="default"/>
          <w:sz w:val="18"/>
          <w:szCs w:val="18"/>
        </w:rPr>
        <w:t>近年来公司不断完善战略布局，互联网信息领域在巩固</w:t>
      </w:r>
      <w:r>
        <w:rPr>
          <w:rFonts w:ascii="宋体" w:hAnsi="宋体" w:cs="宋体" w:eastAsia="宋体" w:hint="default"/>
          <w:sz w:val="18"/>
          <w:szCs w:val="18"/>
        </w:rPr>
        <w:t>PC</w:t>
      </w:r>
      <w:r>
        <w:rPr>
          <w:rFonts w:ascii="宋体" w:hAnsi="宋体" w:cs="宋体" w:eastAsia="宋体" w:hint="default"/>
          <w:sz w:val="18"/>
          <w:szCs w:val="18"/>
        </w:rPr>
        <w:t>端优势地位的同时，着力发展移动端产品，践行“APP舰群”</w:t>
      </w:r>
    </w:p>
    <w:p>
      <w:pPr>
        <w:pStyle w:val="BodyText"/>
        <w:spacing w:line="316" w:lineRule="auto" w:before="29"/>
        <w:ind w:right="1102"/>
        <w:jc w:val="both"/>
      </w:pPr>
      <w:r>
        <w:rPr/>
        <w:t>的产品策略，已形成了较为完善的产品线。基于“移动互联</w:t>
      </w:r>
      <w:r>
        <w:rPr>
          <w:rFonts w:ascii="宋体" w:hAnsi="宋体" w:cs="宋体" w:eastAsia="宋体" w:hint="default"/>
        </w:rPr>
        <w:t>+</w:t>
      </w:r>
      <w:r>
        <w:rPr/>
        <w:t>人工智能”的发展战略，目前公司在人工智能领域的研究方向</w:t>
      </w:r>
      <w:r>
        <w:rPr>
          <w:spacing w:val="-85"/>
        </w:rPr>
        <w:t> </w:t>
      </w:r>
      <w:r>
        <w:rPr/>
        <w:t>主要是智能算法，积累了人脸识别、精准营销等</w:t>
      </w:r>
      <w:r>
        <w:rPr>
          <w:rFonts w:ascii="宋体" w:hAnsi="宋体" w:cs="宋体" w:eastAsia="宋体" w:hint="default"/>
        </w:rPr>
        <w:t>30</w:t>
      </w:r>
      <w:r>
        <w:rPr/>
        <w:t>多种机器学习算法、</w:t>
      </w:r>
      <w:r>
        <w:rPr>
          <w:rFonts w:ascii="宋体" w:hAnsi="宋体" w:cs="宋体" w:eastAsia="宋体" w:hint="default"/>
        </w:rPr>
        <w:t>10</w:t>
      </w:r>
      <w:r>
        <w:rPr/>
        <w:t>种深度学习算法以及微服务框架</w:t>
      </w:r>
      <w:r>
        <w:rPr>
          <w:rFonts w:ascii="宋体" w:hAnsi="宋体" w:cs="宋体" w:eastAsia="宋体" w:hint="default"/>
        </w:rPr>
        <w:t>Spring</w:t>
      </w:r>
      <w:r>
        <w:rPr>
          <w:rFonts w:ascii="宋体" w:hAnsi="宋体" w:cs="宋体" w:eastAsia="宋体" w:hint="default"/>
          <w:spacing w:val="-61"/>
        </w:rPr>
        <w:t> </w:t>
      </w:r>
      <w:r>
        <w:rPr>
          <w:rFonts w:ascii="宋体" w:hAnsi="宋体" w:cs="宋体" w:eastAsia="宋体" w:hint="default"/>
        </w:rPr>
        <w:t>Cloud</w:t>
      </w:r>
      <w:r>
        <w:rPr>
          <w:rFonts w:ascii="宋体" w:hAnsi="宋体" w:cs="宋体" w:eastAsia="宋体" w:hint="default"/>
          <w:spacing w:val="-80"/>
        </w:rPr>
        <w:t> </w:t>
      </w:r>
      <w:r>
        <w:rPr>
          <w:spacing w:val="-15"/>
        </w:rPr>
        <w:t>，并 </w:t>
      </w:r>
      <w:r>
        <w:rPr>
          <w:spacing w:val="-2"/>
        </w:rPr>
        <w:t>将研究成果运用于公司</w:t>
      </w:r>
      <w:r>
        <w:rPr>
          <w:rFonts w:ascii="宋体" w:hAnsi="宋体" w:cs="宋体" w:eastAsia="宋体" w:hint="default"/>
          <w:spacing w:val="-2"/>
        </w:rPr>
        <w:t>PC</w:t>
      </w:r>
      <w:r>
        <w:rPr>
          <w:spacing w:val="-2"/>
        </w:rPr>
        <w:t>端及移动端产品中，以提升公司产品的用户体验，实现流量价值的最大化。此外，为进一步丰富生</w:t>
      </w:r>
      <w:r>
        <w:rPr>
          <w:spacing w:val="-37"/>
        </w:rPr>
        <w:t> </w:t>
      </w:r>
      <w:r>
        <w:rPr>
          <w:spacing w:val="-37"/>
        </w:rPr>
      </w:r>
      <w:r>
        <w:rPr>
          <w:spacing w:val="-2"/>
        </w:rPr>
        <w:t>态圈，提升竞争力，公司密切关注人工智能发展动向并参与投资了相关科技公司与股权投资基金，为实现公司多元化经营和</w:t>
      </w:r>
      <w:r>
        <w:rPr>
          <w:spacing w:val="-75"/>
        </w:rPr>
        <w:t> </w:t>
      </w:r>
      <w:r>
        <w:rPr>
          <w:spacing w:val="-75"/>
        </w:rPr>
      </w:r>
      <w:r>
        <w:rPr/>
        <w:t>长期可持续发展打下坚实基础。</w:t>
      </w:r>
    </w:p>
    <w:p>
      <w:pPr>
        <w:spacing w:after="0" w:line="316"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四节经营情况讨论与分析" w:id="23"/>
      <w:bookmarkEnd w:id="23"/>
      <w:r>
        <w:rPr>
          <w:b w:val="0"/>
          <w:bCs w:val="0"/>
        </w:rPr>
      </w:r>
      <w:bookmarkStart w:name="_bookmark3" w:id="24"/>
      <w:bookmarkEnd w:id="24"/>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0" w:firstLine="360"/>
        <w:jc w:val="left"/>
      </w:pPr>
      <w:r>
        <w:rPr/>
        <w:t>报告期内，公司继续秉承“新科技改变生活”的宗旨，为更好地适应市场环境的变化及公司未来发展的需要，公司启动 </w:t>
      </w:r>
      <w:r>
        <w:rPr>
          <w:spacing w:val="-2"/>
        </w:rPr>
        <w:t>并确立了“移动互联</w:t>
      </w:r>
      <w:r>
        <w:rPr>
          <w:rFonts w:ascii="宋体" w:hAnsi="宋体" w:cs="宋体" w:eastAsia="宋体" w:hint="default"/>
          <w:spacing w:val="-2"/>
        </w:rPr>
        <w:t>+</w:t>
      </w:r>
      <w:r>
        <w:rPr>
          <w:spacing w:val="-2"/>
        </w:rPr>
        <w:t>人工智能”的未来发展战略，着力打造移动互联时代的核心技术竞争力。为配合“移动互联</w:t>
      </w:r>
      <w:r>
        <w:rPr>
          <w:rFonts w:ascii="宋体" w:hAnsi="宋体" w:cs="宋体" w:eastAsia="宋体" w:hint="default"/>
          <w:spacing w:val="-2"/>
        </w:rPr>
        <w:t>+</w:t>
      </w:r>
      <w:r>
        <w:rPr>
          <w:spacing w:val="-2"/>
        </w:rPr>
        <w:t>人工智能”</w:t>
      </w:r>
      <w:r>
        <w:rPr>
          <w:spacing w:val="-58"/>
        </w:rPr>
        <w:t> </w:t>
      </w:r>
      <w:r>
        <w:rPr/>
        <w:t>战略的实施，公司进行了业务及组织结构的调整，明确了未来的业务发展方向和基本工作思路。未来公司将根据新战略的进</w:t>
      </w:r>
      <w:r>
        <w:rPr/>
        <w:t> 展情况，适时对业务进行不断优化调整。</w:t>
      </w:r>
    </w:p>
    <w:p>
      <w:pPr>
        <w:pStyle w:val="BodyText"/>
        <w:spacing w:line="314" w:lineRule="auto" w:before="22"/>
        <w:ind w:right="1126" w:firstLine="360"/>
        <w:jc w:val="both"/>
      </w:pPr>
      <w:r>
        <w:rPr>
          <w:rFonts w:ascii="宋体" w:hAnsi="宋体" w:cs="宋体" w:eastAsia="宋体" w:hint="default"/>
          <w:spacing w:val="-2"/>
        </w:rPr>
        <w:t>2019</w:t>
      </w:r>
      <w:r>
        <w:rPr>
          <w:spacing w:val="-2"/>
        </w:rPr>
        <w:t>年度公司合并报表范围内的营业收入为</w:t>
      </w:r>
      <w:r>
        <w:rPr>
          <w:rFonts w:ascii="宋体" w:hAnsi="宋体" w:cs="宋体" w:eastAsia="宋体" w:hint="default"/>
          <w:spacing w:val="-2"/>
        </w:rPr>
        <w:t>244,076.14</w:t>
      </w:r>
      <w:r>
        <w:rPr>
          <w:spacing w:val="-2"/>
        </w:rPr>
        <w:t>万元，较</w:t>
      </w:r>
      <w:r>
        <w:rPr>
          <w:rFonts w:ascii="宋体" w:hAnsi="宋体" w:cs="宋体" w:eastAsia="宋体" w:hint="default"/>
          <w:spacing w:val="-2"/>
        </w:rPr>
        <w:t>2018</w:t>
      </w:r>
      <w:r>
        <w:rPr>
          <w:spacing w:val="-2"/>
        </w:rPr>
        <w:t>年同期下降</w:t>
      </w:r>
      <w:r>
        <w:rPr>
          <w:rFonts w:ascii="宋体" w:hAnsi="宋体" w:cs="宋体" w:eastAsia="宋体" w:hint="default"/>
          <w:spacing w:val="-2"/>
        </w:rPr>
        <w:t>35.33%</w:t>
      </w:r>
      <w:r>
        <w:rPr>
          <w:spacing w:val="-2"/>
        </w:rPr>
        <w:t>；归属于上市公司股东的净利润</w:t>
      </w:r>
      <w:r>
        <w:rPr/>
        <w:t> </w:t>
      </w:r>
      <w:r>
        <w:rPr>
          <w:spacing w:val="-2"/>
        </w:rPr>
        <w:t>为</w:t>
      </w:r>
      <w:r>
        <w:rPr>
          <w:rFonts w:ascii="宋体" w:hAnsi="宋体" w:cs="宋体" w:eastAsia="宋体" w:hint="default"/>
          <w:spacing w:val="-2"/>
        </w:rPr>
        <w:t>75,912.03</w:t>
      </w:r>
      <w:r>
        <w:rPr>
          <w:spacing w:val="-2"/>
        </w:rPr>
        <w:t>万元，较</w:t>
      </w:r>
      <w:r>
        <w:rPr>
          <w:rFonts w:ascii="宋体" w:hAnsi="宋体" w:cs="宋体" w:eastAsia="宋体" w:hint="default"/>
          <w:spacing w:val="-2"/>
        </w:rPr>
        <w:t>2018</w:t>
      </w:r>
      <w:r>
        <w:rPr>
          <w:spacing w:val="-2"/>
        </w:rPr>
        <w:t>年下降</w:t>
      </w:r>
      <w:r>
        <w:rPr>
          <w:rFonts w:ascii="宋体" w:hAnsi="宋体" w:cs="宋体" w:eastAsia="宋体" w:hint="default"/>
          <w:spacing w:val="-2"/>
        </w:rPr>
        <w:t>44.48%</w:t>
      </w:r>
      <w:r>
        <w:rPr>
          <w:spacing w:val="-2"/>
        </w:rPr>
        <w:t>；归属于上市公司股东的扣除非经常性损益的净利润为</w:t>
      </w:r>
      <w:r>
        <w:rPr>
          <w:rFonts w:ascii="宋体" w:hAnsi="宋体" w:cs="宋体" w:eastAsia="宋体" w:hint="default"/>
          <w:spacing w:val="-2"/>
        </w:rPr>
        <w:t>69,896.04</w:t>
      </w:r>
      <w:r>
        <w:rPr>
          <w:spacing w:val="-2"/>
        </w:rPr>
        <w:t>万元，较</w:t>
      </w:r>
      <w:r>
        <w:rPr>
          <w:rFonts w:ascii="宋体" w:hAnsi="宋体" w:cs="宋体" w:eastAsia="宋体" w:hint="default"/>
          <w:spacing w:val="-2"/>
        </w:rPr>
        <w:t>2018</w:t>
      </w:r>
      <w:r>
        <w:rPr>
          <w:spacing w:val="-2"/>
        </w:rPr>
        <w:t>年下</w:t>
      </w:r>
      <w:r>
        <w:rPr>
          <w:spacing w:val="-35"/>
        </w:rPr>
        <w:t> </w:t>
      </w:r>
      <w:r>
        <w:rPr/>
        <w:t>降</w:t>
      </w:r>
      <w:r>
        <w:rPr>
          <w:rFonts w:ascii="宋体" w:hAnsi="宋体" w:cs="宋体" w:eastAsia="宋体" w:hint="default"/>
        </w:rPr>
        <w:t>47.59%</w:t>
      </w:r>
      <w:r>
        <w:rPr/>
        <w:t>。</w:t>
      </w:r>
    </w:p>
    <w:p>
      <w:pPr>
        <w:spacing w:line="321" w:lineRule="auto" w:before="23"/>
        <w:ind w:left="501" w:right="1119" w:firstLine="0"/>
        <w:jc w:val="left"/>
        <w:rPr>
          <w:rFonts w:ascii="宋体" w:hAnsi="宋体" w:cs="宋体" w:eastAsia="宋体" w:hint="default"/>
          <w:sz w:val="18"/>
          <w:szCs w:val="18"/>
        </w:rPr>
      </w:pPr>
      <w:r>
        <w:rPr>
          <w:rFonts w:ascii="宋体" w:hAnsi="宋体" w:cs="宋体" w:eastAsia="宋体" w:hint="default"/>
          <w:b/>
          <w:bCs/>
          <w:sz w:val="18"/>
          <w:szCs w:val="18"/>
        </w:rPr>
        <w:t>（一）报告期内公司所从事的主要业务</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z w:val="18"/>
          <w:szCs w:val="18"/>
        </w:rPr>
        <w:t>报告期内，公司继续发展互联网信息服务业务，加强</w:t>
      </w:r>
      <w:r>
        <w:rPr>
          <w:rFonts w:ascii="宋体" w:hAnsi="宋体" w:cs="宋体" w:eastAsia="宋体" w:hint="default"/>
          <w:sz w:val="18"/>
          <w:szCs w:val="18"/>
        </w:rPr>
        <w:t>PC</w:t>
      </w:r>
      <w:r>
        <w:rPr>
          <w:rFonts w:ascii="宋体" w:hAnsi="宋体" w:cs="宋体" w:eastAsia="宋体" w:hint="default"/>
          <w:sz w:val="18"/>
          <w:szCs w:val="18"/>
        </w:rPr>
        <w:t>端、移动端和</w:t>
      </w:r>
      <w:r>
        <w:rPr>
          <w:rFonts w:ascii="宋体" w:hAnsi="宋体" w:cs="宋体" w:eastAsia="宋体" w:hint="default"/>
          <w:sz w:val="18"/>
          <w:szCs w:val="18"/>
        </w:rPr>
        <w:t>WEB</w:t>
      </w:r>
      <w:r>
        <w:rPr>
          <w:rFonts w:ascii="宋体" w:hAnsi="宋体" w:cs="宋体" w:eastAsia="宋体" w:hint="default"/>
          <w:sz w:val="18"/>
          <w:szCs w:val="18"/>
        </w:rPr>
        <w:t>端的资源整合，运用大数据和机器学习技术加</w:t>
      </w:r>
    </w:p>
    <w:p>
      <w:pPr>
        <w:pStyle w:val="BodyText"/>
        <w:spacing w:line="316" w:lineRule="auto" w:before="18"/>
        <w:ind w:right="1100"/>
        <w:jc w:val="both"/>
      </w:pPr>
      <w:r>
        <w:rPr>
          <w:spacing w:val="-2"/>
        </w:rPr>
        <w:t>大信息流和精准营销的研发。受中国互联网网民增速放缓、互联网红利缩减的影响，</w:t>
      </w:r>
      <w:r>
        <w:rPr>
          <w:rFonts w:ascii="宋体" w:hAnsi="宋体" w:cs="宋体" w:eastAsia="宋体" w:hint="default"/>
          <w:spacing w:val="-2"/>
        </w:rPr>
        <w:t>2019</w:t>
      </w:r>
      <w:r>
        <w:rPr>
          <w:spacing w:val="-2"/>
        </w:rPr>
        <w:t>年度公司互联网信息服务业务实现</w:t>
      </w:r>
      <w:r>
        <w:rPr>
          <w:spacing w:val="-62"/>
        </w:rPr>
        <w:t> </w:t>
      </w:r>
      <w:r>
        <w:rPr>
          <w:spacing w:val="-1"/>
        </w:rPr>
        <w:t>营收</w:t>
      </w:r>
      <w:r>
        <w:rPr>
          <w:rFonts w:ascii="宋体" w:hAnsi="宋体" w:cs="宋体" w:eastAsia="宋体" w:hint="default"/>
          <w:spacing w:val="-1"/>
        </w:rPr>
        <w:t>166,538.64</w:t>
      </w:r>
      <w:r>
        <w:rPr>
          <w:spacing w:val="-1"/>
        </w:rPr>
        <w:t>万元，占总营收的</w:t>
      </w:r>
      <w:r>
        <w:rPr>
          <w:rFonts w:ascii="宋体" w:hAnsi="宋体" w:cs="宋体" w:eastAsia="宋体" w:hint="default"/>
          <w:spacing w:val="-1"/>
        </w:rPr>
        <w:t>68.23%</w:t>
      </w:r>
      <w:r>
        <w:rPr>
          <w:spacing w:val="-1"/>
        </w:rPr>
        <w:t>，较</w:t>
      </w:r>
      <w:r>
        <w:rPr>
          <w:rFonts w:ascii="宋体" w:hAnsi="宋体" w:cs="宋体" w:eastAsia="宋体" w:hint="default"/>
          <w:spacing w:val="-1"/>
        </w:rPr>
        <w:t>2018</w:t>
      </w:r>
      <w:r>
        <w:rPr>
          <w:spacing w:val="-1"/>
        </w:rPr>
        <w:t>年下降</w:t>
      </w:r>
      <w:r>
        <w:rPr>
          <w:rFonts w:ascii="宋体" w:hAnsi="宋体" w:cs="宋体" w:eastAsia="宋体" w:hint="default"/>
          <w:spacing w:val="-1"/>
        </w:rPr>
        <w:t>32.84%</w:t>
      </w:r>
      <w:r>
        <w:rPr>
          <w:spacing w:val="-1"/>
        </w:rPr>
        <w:t>。公司始终坚持以用户需求为中心，深度布局移动端并探索</w:t>
      </w:r>
      <w:r>
        <w:rPr>
          <w:spacing w:val="-81"/>
        </w:rPr>
        <w:t> </w:t>
      </w:r>
      <w:r>
        <w:rPr>
          <w:spacing w:val="-81"/>
        </w:rPr>
      </w:r>
      <w:r>
        <w:rPr/>
        <w:t>内容类产品，通过“玩赚星球”APP</w:t>
      </w:r>
      <w:r>
        <w:rPr>
          <w:spacing w:val="2"/>
        </w:rPr>
        <w:t> </w:t>
      </w:r>
      <w:r>
        <w:rPr/>
        <w:t>进行全新的“工具</w:t>
      </w:r>
      <w:r>
        <w:rPr>
          <w:rFonts w:ascii="宋体" w:hAnsi="宋体" w:cs="宋体" w:eastAsia="宋体" w:hint="default"/>
        </w:rPr>
        <w:t>+</w:t>
      </w:r>
      <w:r>
        <w:rPr/>
        <w:t>内容”双驱动产品模式的探索，基于个性化推荐算法集成丰富的应 用生态场景，服务用户、惠及用户，进而提高用户活跃度、增强用户粘性，实现用户数量的稳定增长。</w:t>
      </w:r>
      <w:r>
        <w:rPr>
          <w:spacing w:val="10"/>
        </w:rPr>
        <w:t> </w:t>
      </w:r>
      <w:r>
        <w:rPr>
          <w:rFonts w:ascii="宋体" w:hAnsi="宋体" w:cs="宋体" w:eastAsia="宋体" w:hint="default"/>
        </w:rPr>
        <w:t>2020</w:t>
      </w:r>
      <w:r>
        <w:rPr/>
        <w:t>年公司将继续 践行“APP舰群”的产品策略，加大研发投入力度，各产品之间协同发展，提升产品的用户体验、用户数及品牌知名度。</w:t>
      </w:r>
    </w:p>
    <w:p>
      <w:pPr>
        <w:pStyle w:val="BodyText"/>
        <w:spacing w:line="316" w:lineRule="auto" w:before="22"/>
        <w:ind w:right="1117" w:firstLine="360"/>
        <w:jc w:val="both"/>
      </w:pPr>
      <w:r>
        <w:rPr/>
        <w:t>受互联网金融服务业务市场环境变化的影响，</w:t>
      </w:r>
      <w:r>
        <w:rPr>
          <w:rFonts w:ascii="宋体" w:hAnsi="宋体" w:cs="宋体" w:eastAsia="宋体" w:hint="default"/>
        </w:rPr>
        <w:t>2019</w:t>
      </w:r>
      <w:r>
        <w:rPr/>
        <w:t>年度公司金融科技服务业务实现营收</w:t>
      </w:r>
      <w:r>
        <w:rPr>
          <w:rFonts w:ascii="宋体" w:hAnsi="宋体" w:cs="宋体" w:eastAsia="宋体" w:hint="default"/>
        </w:rPr>
        <w:t>102,687.67</w:t>
      </w:r>
      <w:r>
        <w:rPr/>
        <w:t>万元，</w:t>
      </w:r>
      <w:r>
        <w:rPr>
          <w:spacing w:val="-35"/>
        </w:rPr>
        <w:t> </w:t>
      </w:r>
      <w:r>
        <w:rPr/>
        <w:t>占总营收的</w:t>
      </w:r>
      <w:r>
        <w:rPr/>
        <w:t> </w:t>
      </w:r>
      <w:r>
        <w:rPr>
          <w:rFonts w:ascii="宋体" w:hAnsi="宋体" w:cs="宋体" w:eastAsia="宋体" w:hint="default"/>
          <w:spacing w:val="-2"/>
        </w:rPr>
        <w:t>42.07%</w:t>
      </w:r>
      <w:r>
        <w:rPr>
          <w:spacing w:val="-2"/>
        </w:rPr>
        <w:t>，较</w:t>
      </w:r>
      <w:r>
        <w:rPr>
          <w:rFonts w:ascii="宋体" w:hAnsi="宋体" w:cs="宋体" w:eastAsia="宋体" w:hint="default"/>
          <w:spacing w:val="-2"/>
        </w:rPr>
        <w:t>2018</w:t>
      </w:r>
      <w:r>
        <w:rPr>
          <w:spacing w:val="-2"/>
        </w:rPr>
        <w:t>年同期下降</w:t>
      </w:r>
      <w:r>
        <w:rPr>
          <w:rFonts w:ascii="宋体" w:hAnsi="宋体" w:cs="宋体" w:eastAsia="宋体" w:hint="default"/>
          <w:spacing w:val="-2"/>
        </w:rPr>
        <w:t>42.71%</w:t>
      </w:r>
      <w:r>
        <w:rPr>
          <w:spacing w:val="-2"/>
        </w:rPr>
        <w:t>。为顺应市场发展的规律，公司将金融科技服务业务进行了调整。公司目前已持有互联网</w:t>
      </w:r>
      <w:r>
        <w:rPr>
          <w:spacing w:val="-41"/>
        </w:rPr>
        <w:t> </w:t>
      </w:r>
      <w:r>
        <w:rPr>
          <w:spacing w:val="-41"/>
        </w:rPr>
      </w:r>
      <w:r>
        <w:rPr>
          <w:spacing w:val="-2"/>
        </w:rPr>
        <w:t>小贷、融资租赁、保理、融资担保牌照，可为信用资质良好、提供了足额抵质押物的资金需求方提供融资租赁、商业保理等</w:t>
      </w:r>
      <w:r>
        <w:rPr>
          <w:spacing w:val="-72"/>
        </w:rPr>
        <w:t> </w:t>
      </w:r>
      <w:r>
        <w:rPr>
          <w:spacing w:val="-72"/>
        </w:rPr>
      </w:r>
      <w:r>
        <w:rPr/>
        <w:t>服务。</w:t>
      </w:r>
    </w:p>
    <w:p>
      <w:pPr>
        <w:spacing w:line="240" w:lineRule="auto" w:before="10"/>
        <w:rPr>
          <w:rFonts w:ascii="宋体" w:hAnsi="宋体" w:cs="宋体" w:eastAsia="宋体" w:hint="default"/>
          <w:sz w:val="25"/>
          <w:szCs w:val="25"/>
        </w:rPr>
      </w:pPr>
    </w:p>
    <w:p>
      <w:pPr>
        <w:spacing w:line="321" w:lineRule="auto" w:before="0"/>
        <w:ind w:left="501" w:right="1119" w:firstLine="0"/>
        <w:jc w:val="left"/>
        <w:rPr>
          <w:rFonts w:ascii="宋体" w:hAnsi="宋体" w:cs="宋体" w:eastAsia="宋体" w:hint="default"/>
          <w:sz w:val="18"/>
          <w:szCs w:val="18"/>
        </w:rPr>
      </w:pPr>
      <w:r>
        <w:rPr>
          <w:rFonts w:ascii="宋体" w:hAnsi="宋体" w:cs="宋体" w:eastAsia="宋体" w:hint="default"/>
          <w:b/>
          <w:bCs/>
          <w:sz w:val="18"/>
          <w:szCs w:val="18"/>
        </w:rPr>
        <w:t>（二）其他重要事项及风险提示</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z w:val="18"/>
          <w:szCs w:val="18"/>
        </w:rPr>
        <w:t>为实现“移动互联</w:t>
      </w:r>
      <w:r>
        <w:rPr>
          <w:rFonts w:ascii="宋体" w:hAnsi="宋体" w:cs="宋体" w:eastAsia="宋体" w:hint="default"/>
          <w:sz w:val="18"/>
          <w:szCs w:val="18"/>
        </w:rPr>
        <w:t>+</w:t>
      </w:r>
      <w:r>
        <w:rPr>
          <w:rFonts w:ascii="宋体" w:hAnsi="宋体" w:cs="宋体" w:eastAsia="宋体" w:hint="default"/>
          <w:sz w:val="18"/>
          <w:szCs w:val="18"/>
        </w:rPr>
        <w:t>人工智能”战略发展目标，公司在中台、智能算法和大数据中心三个方向进行重点投入。以大数据</w:t>
      </w:r>
    </w:p>
    <w:p>
      <w:pPr>
        <w:pStyle w:val="BodyText"/>
        <w:spacing w:line="321" w:lineRule="auto" w:before="4"/>
        <w:ind w:right="1029"/>
        <w:jc w:val="left"/>
      </w:pPr>
      <w:r>
        <w:rPr>
          <w:spacing w:val="-2"/>
        </w:rPr>
        <w:t>为核心、人工智能研究为手段，通过对互联网流量的合理分析及应用，将互联网流量潜能充分发挥，从而实现流量价值的最</w:t>
      </w:r>
      <w:r>
        <w:rPr>
          <w:spacing w:val="-42"/>
        </w:rPr>
        <w:t> </w:t>
      </w:r>
      <w:r>
        <w:rPr>
          <w:spacing w:val="-42"/>
        </w:rPr>
      </w:r>
      <w:r>
        <w:rPr/>
        <w:t>大化；通过对大数据和精准推送的研究，实现对用户兴趣的全面剖析，海量资讯精准匹配，实时分析用户行为，实时推荐， </w:t>
      </w:r>
      <w:r>
        <w:rPr>
          <w:spacing w:val="-2"/>
        </w:rPr>
        <w:t>为用户提供千人千面的资讯内容，提升用户的使用体验。此外，因报告期内公司将金融科技服务业务进行了调整，故短期业</w:t>
      </w:r>
      <w:r>
        <w:rPr>
          <w:spacing w:val="-42"/>
        </w:rPr>
        <w:t> </w:t>
      </w:r>
      <w:r>
        <w:rPr>
          <w:spacing w:val="-42"/>
        </w:rPr>
      </w:r>
      <w:r>
        <w:rPr>
          <w:spacing w:val="-2"/>
        </w:rPr>
        <w:t>绩将面临一定的不利影响。未来公司将根据新战略的发展目标逐步回归技术驱动创新的发展方向，以实现长期健康可持续发</w:t>
      </w:r>
      <w:r>
        <w:rPr>
          <w:spacing w:val="-72"/>
        </w:rPr>
        <w:t> </w:t>
      </w:r>
      <w:r>
        <w:rPr>
          <w:spacing w:val="-72"/>
        </w:rPr>
      </w:r>
      <w:r>
        <w:rPr/>
        <w:t>展。</w:t>
      </w:r>
    </w:p>
    <w:p>
      <w:pPr>
        <w:pStyle w:val="BodyText"/>
        <w:spacing w:line="321" w:lineRule="auto" w:before="4"/>
        <w:ind w:right="1125" w:firstLine="360"/>
        <w:jc w:val="both"/>
      </w:pPr>
      <w:r>
        <w:rPr/>
        <w:t>报告期内，公司各业务实现收入情况详见“第四节</w:t>
      </w:r>
      <w:r>
        <w:rPr>
          <w:spacing w:val="8"/>
        </w:rPr>
        <w:t> </w:t>
      </w:r>
      <w:r>
        <w:rPr/>
        <w:t>经营情况讨论与分析”之“二、主营业务分析”；公司及控股子公</w:t>
      </w:r>
      <w:r>
        <w:rPr/>
        <w:t> 司发生的对外投资、担保等其他重要事项详见本报告“第五节</w:t>
      </w:r>
      <w:r>
        <w:rPr>
          <w:spacing w:val="-4"/>
        </w:rPr>
        <w:t> </w:t>
      </w:r>
      <w:r>
        <w:rPr>
          <w:spacing w:val="-3"/>
        </w:rPr>
        <w:t>重要事项”之“十七、重大合同及其履行情况”之“2、重大</w:t>
      </w:r>
      <w:r>
        <w:rPr/>
        <w:t> 担保”、“十九、其他重大事项的说明”及“二十、公司子公司重大事项”。</w:t>
      </w:r>
    </w:p>
    <w:p>
      <w:pPr>
        <w:pStyle w:val="BodyText"/>
        <w:spacing w:line="321" w:lineRule="auto" w:before="18"/>
        <w:ind w:right="1007" w:firstLine="360"/>
        <w:jc w:val="left"/>
      </w:pPr>
      <w:r>
        <w:rPr>
          <w:spacing w:val="-2"/>
        </w:rPr>
        <w:t>此外，公司战略转型阶段及日常经营中可能面临的风险和应对措施详见本报告“第四节</w:t>
      </w:r>
      <w:r>
        <w:rPr>
          <w:spacing w:val="8"/>
        </w:rPr>
        <w:t> </w:t>
      </w:r>
      <w:r>
        <w:rPr/>
        <w:t>经营情况讨论与分析”之“九、</w:t>
      </w:r>
      <w:r>
        <w:rPr/>
        <w:t> 公司未来发展的展望”。</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2,440,761,431.33</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3,773,918,388.17</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-35.33%</w:t>
            </w:r>
          </w:p>
        </w:tc>
      </w:tr>
      <w:tr>
        <w:trPr>
          <w:trHeight w:val="391"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1,665,386,430.66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68.23%</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2,479,775,340.47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65.71%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-32.84%</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1,026,876,746.06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42.07%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1,792,287,644.00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47.49%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-42.71%</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533,848.38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41,193,568.51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-98.70%</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5"/>
                <w:sz w:val="18"/>
              </w:rPr>
              <w:t>-539,338,164.81</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-14.29%</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-53.27%</w:t>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660,634,436.73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27.07%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888,584,277.17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23.55%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-25.65%</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1,004,751,993.93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41.17%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1,591,191,063.30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42.16%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-36.86%</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1,026,876,746.06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42.07%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1,792,287,644.00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47.49%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-42.71%</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533,848.38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41,193,568.51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-98.70%</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w w:val="95"/>
                <w:sz w:val="18"/>
              </w:rPr>
              <w:t>-539,338,164.81</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-14.29%</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-53.27%</w:t>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2,435,561,601.79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99.79%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3,773,918,388.17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-35.46%</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5,199,829.54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60"/>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81"/>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17"/>
        <w:gridCol w:w="1006"/>
        <w:gridCol w:w="1021"/>
        <w:gridCol w:w="1006"/>
        <w:gridCol w:w="1022"/>
        <w:gridCol w:w="991"/>
        <w:gridCol w:w="1006"/>
        <w:gridCol w:w="1006"/>
        <w:gridCol w:w="1006"/>
      </w:tblGrid>
      <w:tr>
        <w:trPr>
          <w:trHeight w:val="405" w:hRule="exact"/>
        </w:trPr>
        <w:tc>
          <w:tcPr>
            <w:tcW w:w="1517" w:type="dxa"/>
            <w:vMerge w:val="restart"/>
            <w:tcBorders>
              <w:top w:val="single" w:sz="6" w:space="0" w:color="000000"/>
              <w:left w:val="single" w:sz="6" w:space="0" w:color="000000"/>
              <w:right w:val="single" w:sz="6" w:space="0" w:color="000000"/>
            </w:tcBorders>
            <w:shd w:val="clear" w:color="auto" w:fill="D2D2D2"/>
          </w:tcPr>
          <w:p>
            <w:pPr/>
          </w:p>
        </w:tc>
        <w:tc>
          <w:tcPr>
            <w:tcW w:w="405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401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1517" w:type="dxa"/>
            <w:vMerge/>
            <w:tcBorders>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06"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1,302,896,76</w:t>
            </w:r>
          </w:p>
          <w:p>
            <w:pPr>
              <w:pStyle w:val="TableParagraph"/>
              <w:spacing w:line="240" w:lineRule="auto" w:before="108"/>
              <w:ind w:left="652" w:right="0"/>
              <w:jc w:val="left"/>
              <w:rPr>
                <w:rFonts w:ascii="Times New Roman" w:hAnsi="Times New Roman" w:cs="Times New Roman" w:eastAsia="Times New Roman" w:hint="default"/>
                <w:sz w:val="18"/>
                <w:szCs w:val="18"/>
              </w:rPr>
            </w:pPr>
            <w:r>
              <w:rPr>
                <w:rFonts w:ascii="Times New Roman"/>
                <w:sz w:val="18"/>
              </w:rPr>
              <w:t>9.13</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496,935,304.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390,936,725.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96</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249,992,632.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439,153,825.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878,618,724.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1,125,244,60</w:t>
            </w:r>
          </w:p>
          <w:p>
            <w:pPr>
              <w:pStyle w:val="TableParagraph"/>
              <w:spacing w:line="240" w:lineRule="auto" w:before="108"/>
              <w:ind w:left="660" w:right="0"/>
              <w:jc w:val="left"/>
              <w:rPr>
                <w:rFonts w:ascii="Times New Roman" w:hAnsi="Times New Roman" w:cs="Times New Roman" w:eastAsia="Times New Roman" w:hint="default"/>
                <w:sz w:val="18"/>
                <w:szCs w:val="18"/>
              </w:rPr>
            </w:pPr>
            <w:r>
              <w:rPr>
                <w:rFonts w:ascii="Times New Roman"/>
                <w:sz w:val="18"/>
              </w:rPr>
              <w:t>9.01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1,330,901,22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9.70</w:t>
            </w:r>
          </w:p>
        </w:tc>
      </w:tr>
      <w:tr>
        <w:trPr>
          <w:trHeight w:val="721"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441,343,686.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204,778,889.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85,548,714.7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27,448,966.2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216,632,380.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397,581,246.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462,933,201.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290,208,846.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73</w:t>
            </w:r>
          </w:p>
        </w:tc>
      </w:tr>
    </w:tbl>
    <w:p>
      <w:pPr>
        <w:pStyle w:val="BodyText"/>
        <w:spacing w:line="352" w:lineRule="auto"/>
        <w:ind w:right="6609"/>
        <w:jc w:val="left"/>
      </w:pPr>
      <w:r>
        <w:rPr/>
        <w:t>说明经营季节性（或周期性）发生的原因及波动风险 公司经营不存在显著的季节性或周期性特征。</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11"/>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1,665,386,430.66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123,466,789.29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92.59%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3.05%</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1,026,876,746.06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359,931,294.42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64.95%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2.82%</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533,848.38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-98.70%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-0.01%</w:t>
            </w:r>
          </w:p>
        </w:tc>
      </w:tr>
      <w:tr>
        <w:trPr>
          <w:trHeight w:val="391"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660,634,436.73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84,271,088.57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87.24%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1,004,751,993.93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39,195,700.72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96.10%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-75.46%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6.14%</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1,026,876,746.06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359,931,294.42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64.95%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2.82%</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533,848.38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-98.70%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-0.01%</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2,435,561,601.79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231,362,489.94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90.50%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1.07%</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5,199,829.54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9"/>
        <w:ind w:right="0"/>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1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行业和产品分类</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1"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123,466,789.29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53.37%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259,498,790.41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65.04%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-52.42%</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359,931,294.42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155.57%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678,783,120.87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170.13%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-46.97%</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-108.94%</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-539,306,896.43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-135.17%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-53.27%</w:t>
            </w:r>
          </w:p>
        </w:tc>
      </w:tr>
    </w:tbl>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2749"/>
        <w:gridCol w:w="2733"/>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84,271,088.57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36.42%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99,780,101.33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25.01%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-15.54%</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39,195,700.72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16.94%</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159,718,689.08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40.03%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-75.46%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359,931,294.42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155.57%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678,783,120.87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170.13%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-46.97%</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-252,035,593.77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-108.94%</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-539,306,896.43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-135.17%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-53.27%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5"/>
        <w:ind w:right="-19"/>
        <w:jc w:val="left"/>
      </w:pPr>
      <w:r>
        <w:rPr/>
        <w:t>说明</w:t>
      </w:r>
    </w:p>
    <w:p>
      <w:pPr>
        <w:pStyle w:val="BodyText"/>
        <w:spacing w:line="319" w:lineRule="auto" w:before="124"/>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16,365,025.29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7.07%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25,143,056.04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6.30%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-34.91%</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106,925,447.76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46.22%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118,758,192.32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29.76%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-9.96%</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催收费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25,069,755.76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10.84%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83,606,258.51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20.96%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-70.01%</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76,259,233.52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32.96%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22,946,758.60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5.75%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232.33%</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3,080,148.24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11,873,213.55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2.98%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-74.06%</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130,986,605.70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32.83%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3,662,879.37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5,660,930.13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1.42%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-35.30%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0"/>
        <w:jc w:val="left"/>
      </w:pPr>
      <w:r>
        <w:rPr/>
        <w:t>（</w:t>
      </w:r>
      <w:r>
        <w:rPr>
          <w:rFonts w:ascii="Times New Roman" w:hAnsi="Times New Roman" w:cs="Times New Roman" w:eastAsia="Times New Roman" w:hint="default"/>
        </w:rPr>
        <w:t>1</w:t>
      </w:r>
      <w:r>
        <w:rPr/>
        <w:t>）本期新设孙、子公司情况：</w:t>
      </w:r>
    </w:p>
    <w:p>
      <w:pPr>
        <w:spacing w:line="240" w:lineRule="auto" w:before="1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568"/>
        <w:gridCol w:w="1276"/>
        <w:gridCol w:w="1427"/>
        <w:gridCol w:w="1847"/>
        <w:gridCol w:w="901"/>
        <w:gridCol w:w="1652"/>
      </w:tblGrid>
      <w:tr>
        <w:trPr>
          <w:trHeight w:val="661"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95"/>
              <w:ind w:left="1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left="555" w:right="0" w:hanging="541"/>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出资额</w:t>
            </w:r>
          </w:p>
        </w:tc>
      </w:tr>
      <w:tr>
        <w:trPr>
          <w:trHeight w:val="360"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center"/>
              <w:rPr>
                <w:rFonts w:ascii="Times New Roman" w:hAnsi="Times New Roman" w:cs="Times New Roman" w:eastAsia="Times New Roman" w:hint="default"/>
                <w:sz w:val="18"/>
                <w:szCs w:val="18"/>
              </w:rPr>
            </w:pPr>
            <w:r>
              <w:rPr>
                <w:rFonts w:ascii="Times New Roman"/>
                <w:sz w:val="18"/>
              </w:rPr>
              <w:t>Ruifeng Technology </w:t>
            </w:r>
            <w:r>
              <w:rPr>
                <w:rFonts w:ascii="Times New Roman"/>
                <w:spacing w:val="-3"/>
                <w:sz w:val="18"/>
              </w:rPr>
              <w:t>USA</w:t>
            </w:r>
            <w:r>
              <w:rPr>
                <w:rFonts w:ascii="Times New Roman"/>
                <w:spacing w:val="5"/>
                <w:sz w:val="18"/>
              </w:rPr>
              <w:t> </w:t>
            </w:r>
            <w:r>
              <w:rPr>
                <w:rFonts w:ascii="Times New Roman"/>
                <w:sz w:val="18"/>
              </w:rPr>
              <w:t>INC</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sz w:val="18"/>
              </w:rPr>
              <w:t>2019-08-28</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9"/>
              <w:jc w:val="center"/>
              <w:rPr>
                <w:rFonts w:ascii="宋体" w:hAnsi="宋体" w:cs="宋体" w:eastAsia="宋体" w:hint="default"/>
                <w:sz w:val="18"/>
                <w:szCs w:val="18"/>
              </w:rPr>
            </w:pPr>
            <w:r>
              <w:rPr>
                <w:rFonts w:ascii="宋体" w:hAnsi="宋体" w:cs="宋体" w:eastAsia="宋体" w:hint="default"/>
                <w:sz w:val="18"/>
                <w:szCs w:val="18"/>
              </w:rPr>
              <w:t>美国</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8"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r>
      <w:tr>
        <w:trPr>
          <w:trHeight w:val="345"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江苏趣看网络科技有限公司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2019-12-27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95.00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center"/>
              <w:rPr>
                <w:rFonts w:ascii="Times New Roman" w:hAnsi="Times New Roman" w:cs="Times New Roman" w:eastAsia="Times New Roman" w:hint="default"/>
                <w:sz w:val="18"/>
                <w:szCs w:val="18"/>
              </w:rPr>
            </w:pPr>
            <w:r>
              <w:rPr>
                <w:rFonts w:ascii="Times New Roman"/>
                <w:sz w:val="18"/>
              </w:rPr>
              <w:t>0</w:t>
            </w:r>
          </w:p>
        </w:tc>
      </w:tr>
      <w:tr>
        <w:trPr>
          <w:trHeight w:val="361"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曲水惠车网络科技有限公司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2019-03-22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西藏拉萨</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60</w:t>
            </w:r>
            <w:r>
              <w:rPr>
                <w:rFonts w:ascii="宋体" w:hAnsi="宋体" w:cs="宋体" w:eastAsia="宋体" w:hint="default"/>
                <w:sz w:val="18"/>
                <w:szCs w:val="18"/>
              </w:rPr>
              <w:t>万元</w:t>
            </w:r>
          </w:p>
        </w:tc>
      </w:tr>
      <w:tr>
        <w:trPr>
          <w:trHeight w:val="345"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芜湖畅想小额贷款有限公司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2019-02-22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安徽芜湖</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90.00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9,000</w:t>
            </w:r>
            <w:r>
              <w:rPr>
                <w:rFonts w:ascii="宋体" w:hAnsi="宋体" w:cs="宋体" w:eastAsia="宋体" w:hint="default"/>
                <w:sz w:val="18"/>
                <w:szCs w:val="18"/>
              </w:rPr>
              <w:t>万元</w:t>
            </w:r>
          </w:p>
        </w:tc>
      </w:tr>
      <w:tr>
        <w:trPr>
          <w:trHeight w:val="360"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曲水顺吉网络科技有限公司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2019-01-24</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西藏拉萨</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已注销</w:t>
            </w:r>
          </w:p>
        </w:tc>
      </w:tr>
      <w:tr>
        <w:trPr>
          <w:trHeight w:val="361"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贵州融海融资担保有限公司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2019-6-19</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贵州遵义</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20,000</w:t>
            </w:r>
            <w:r>
              <w:rPr>
                <w:rFonts w:ascii="宋体" w:hAnsi="宋体" w:cs="宋体" w:eastAsia="宋体" w:hint="default"/>
                <w:sz w:val="18"/>
                <w:szCs w:val="18"/>
              </w:rPr>
              <w:t>万元</w:t>
            </w:r>
          </w:p>
        </w:tc>
      </w:tr>
    </w:tbl>
    <w:p>
      <w:pPr>
        <w:pStyle w:val="BodyText"/>
        <w:spacing w:line="240" w:lineRule="auto" w:before="14"/>
        <w:ind w:right="0"/>
        <w:jc w:val="left"/>
      </w:pPr>
      <w:r>
        <w:rPr/>
        <w:t>（</w:t>
      </w:r>
      <w:r>
        <w:rPr>
          <w:rFonts w:ascii="Times New Roman" w:hAnsi="Times New Roman" w:cs="Times New Roman" w:eastAsia="Times New Roman" w:hint="default"/>
        </w:rPr>
        <w:t>2</w:t>
      </w:r>
      <w:r>
        <w:rPr/>
        <w:t>）本年购买结构化主体情况：</w:t>
      </w:r>
    </w:p>
    <w:p>
      <w:pPr>
        <w:pStyle w:val="BodyText"/>
        <w:spacing w:line="321" w:lineRule="auto" w:before="36"/>
        <w:ind w:right="1126" w:firstLine="360"/>
        <w:jc w:val="both"/>
      </w:pPr>
      <w:r>
        <w:rPr/>
        <w:t>公司于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31</w:t>
      </w:r>
      <w:r>
        <w:rPr/>
        <w:t>日，向初始持有人购买了众邦银行</w:t>
      </w:r>
      <w:r>
        <w:rPr>
          <w:rFonts w:ascii="宋体" w:hAnsi="宋体" w:cs="宋体" w:eastAsia="宋体" w:hint="default"/>
        </w:rPr>
        <w:t>-</w:t>
      </w:r>
      <w:r>
        <w:rPr/>
        <w:t>天风</w:t>
      </w:r>
      <w:r>
        <w:rPr>
          <w:rFonts w:ascii="宋体" w:hAnsi="宋体" w:cs="宋体" w:eastAsia="宋体" w:hint="default"/>
        </w:rPr>
        <w:t>2019</w:t>
      </w:r>
      <w:r>
        <w:rPr/>
        <w:t>年第一期财产权信托优先</w:t>
      </w:r>
      <w:r>
        <w:rPr>
          <w:rFonts w:ascii="宋体" w:hAnsi="宋体" w:cs="宋体" w:eastAsia="宋体" w:hint="default"/>
        </w:rPr>
        <w:t>C</w:t>
      </w:r>
      <w:r>
        <w:rPr/>
        <w:t>、次级</w:t>
      </w:r>
      <w:r>
        <w:rPr>
          <w:rFonts w:ascii="宋体" w:hAnsi="宋体" w:cs="宋体" w:eastAsia="宋体" w:hint="default"/>
        </w:rPr>
        <w:t>A</w:t>
      </w:r>
      <w:r>
        <w:rPr/>
        <w:t>及次级</w:t>
      </w:r>
      <w:r>
        <w:rPr>
          <w:rFonts w:ascii="宋体" w:hAnsi="宋体" w:cs="宋体" w:eastAsia="宋体" w:hint="default"/>
        </w:rPr>
        <w:t>B</w:t>
      </w:r>
      <w:r>
        <w:rPr/>
        <w:t>，合计</w:t>
      </w:r>
      <w:r>
        <w:rPr>
          <w:rFonts w:ascii="宋体" w:hAnsi="宋体" w:cs="宋体" w:eastAsia="宋体" w:hint="default"/>
        </w:rPr>
        <w:t>1.1 </w:t>
      </w:r>
      <w:r>
        <w:rPr/>
        <w:t>亿元，占比</w:t>
      </w:r>
      <w:r>
        <w:rPr>
          <w:rFonts w:ascii="宋体" w:hAnsi="宋体" w:cs="宋体" w:eastAsia="宋体" w:hint="default"/>
        </w:rPr>
        <w:t>24.44%</w:t>
      </w:r>
      <w:r>
        <w:rPr/>
        <w:t>，于</w:t>
      </w:r>
      <w:r>
        <w:rPr>
          <w:rFonts w:ascii="宋体" w:hAnsi="宋体" w:cs="宋体" w:eastAsia="宋体" w:hint="default"/>
        </w:rPr>
        <w:t>2019</w:t>
      </w:r>
      <w:r>
        <w:rPr/>
        <w:t>年</w:t>
      </w:r>
      <w:r>
        <w:rPr>
          <w:rFonts w:ascii="宋体" w:hAnsi="宋体" w:cs="宋体" w:eastAsia="宋体" w:hint="default"/>
        </w:rPr>
        <w:t>11</w:t>
      </w:r>
      <w:r>
        <w:rPr/>
        <w:t>月购买剩余全部的信托资产即优先</w:t>
      </w:r>
      <w:r>
        <w:rPr>
          <w:rFonts w:ascii="宋体" w:hAnsi="宋体" w:cs="宋体" w:eastAsia="宋体" w:hint="default"/>
        </w:rPr>
        <w:t>A1</w:t>
      </w:r>
      <w:r>
        <w:rPr/>
        <w:t>、优先</w:t>
      </w:r>
      <w:r>
        <w:rPr>
          <w:rFonts w:ascii="宋体" w:hAnsi="宋体" w:cs="宋体" w:eastAsia="宋体" w:hint="default"/>
        </w:rPr>
        <w:t>A2</w:t>
      </w:r>
      <w:r>
        <w:rPr/>
        <w:t>及优先</w:t>
      </w:r>
      <w:r>
        <w:rPr>
          <w:rFonts w:ascii="宋体" w:hAnsi="宋体" w:cs="宋体" w:eastAsia="宋体" w:hint="default"/>
        </w:rPr>
        <w:t>B</w:t>
      </w:r>
      <w:r>
        <w:rPr/>
        <w:t>，合计</w:t>
      </w:r>
      <w:r>
        <w:rPr>
          <w:rFonts w:ascii="宋体" w:hAnsi="宋体" w:cs="宋体" w:eastAsia="宋体" w:hint="default"/>
        </w:rPr>
        <w:t>2.69</w:t>
      </w:r>
      <w:r>
        <w:rPr/>
        <w:t>亿元，占比</w:t>
      </w:r>
      <w:r>
        <w:rPr>
          <w:rFonts w:ascii="宋体" w:hAnsi="宋体" w:cs="宋体" w:eastAsia="宋体" w:hint="default"/>
        </w:rPr>
        <w:t>75.56%</w:t>
      </w:r>
      <w:r>
        <w:rPr/>
        <w:t>。由于</w:t>
      </w:r>
      <w:r>
        <w:rPr>
          <w:spacing w:val="-84"/>
        </w:rPr>
        <w:t> </w:t>
      </w:r>
      <w:r>
        <w:rPr>
          <w:spacing w:val="-2"/>
        </w:rPr>
        <w:t>公司对该信托计划底层资产向众邦银行提供回购保证，并负责贷后管理，自</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月起，将众邦银行</w:t>
      </w:r>
      <w:r>
        <w:rPr>
          <w:rFonts w:ascii="宋体" w:hAnsi="宋体" w:cs="宋体" w:eastAsia="宋体" w:hint="default"/>
          <w:spacing w:val="-2"/>
        </w:rPr>
        <w:t>-</w:t>
      </w:r>
      <w:r>
        <w:rPr>
          <w:spacing w:val="-2"/>
        </w:rPr>
        <w:t>天风</w:t>
      </w:r>
      <w:r>
        <w:rPr>
          <w:rFonts w:ascii="宋体" w:hAnsi="宋体" w:cs="宋体" w:eastAsia="宋体" w:hint="default"/>
          <w:spacing w:val="-2"/>
        </w:rPr>
        <w:t>2019</w:t>
      </w:r>
      <w:r>
        <w:rPr>
          <w:spacing w:val="-2"/>
        </w:rPr>
        <w:t>年第一期财</w:t>
      </w:r>
      <w:r>
        <w:rPr>
          <w:spacing w:val="-56"/>
        </w:rPr>
        <w:t> </w:t>
      </w:r>
      <w:r>
        <w:rPr/>
        <w:t>产权信托纳入合并范围。</w:t>
      </w:r>
    </w:p>
    <w:p>
      <w:pPr>
        <w:spacing w:line="240" w:lineRule="auto" w:before="7"/>
        <w:rPr>
          <w:rFonts w:ascii="宋体" w:hAnsi="宋体" w:cs="宋体" w:eastAsia="宋体" w:hint="default"/>
          <w:sz w:val="25"/>
          <w:szCs w:val="25"/>
        </w:rPr>
      </w:pPr>
    </w:p>
    <w:p>
      <w:pPr>
        <w:pStyle w:val="BodyText"/>
        <w:spacing w:line="290" w:lineRule="auto" w:before="0"/>
        <w:ind w:left="501" w:right="0" w:hanging="361"/>
        <w:jc w:val="left"/>
      </w:pPr>
      <w:r>
        <w:rPr/>
        <w:t>（</w:t>
      </w:r>
      <w:r>
        <w:rPr>
          <w:rFonts w:ascii="Times New Roman" w:hAnsi="Times New Roman" w:cs="Times New Roman" w:eastAsia="Times New Roman" w:hint="default"/>
        </w:rPr>
        <w:t>3</w:t>
      </w:r>
      <w:r>
        <w:rPr/>
        <w:t>）本年清算子公司情况： </w:t>
      </w:r>
      <w:r>
        <w:rPr>
          <w:spacing w:val="-2"/>
        </w:rPr>
        <w:t>本年度，公司对拉萨经济技术开发区联创信息咨询有限公司和拉萨经济技术开发区恒信创业投资管理有限公司进行了吸</w:t>
      </w:r>
    </w:p>
    <w:p>
      <w:pPr>
        <w:spacing w:after="0" w:line="29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1"/>
        <w:jc w:val="both"/>
      </w:pPr>
      <w:r>
        <w:rPr>
          <w:spacing w:val="-2"/>
        </w:rPr>
        <w:t>收合并，拉萨经济技术开发区联创信息咨询有限公司和拉萨经济技术开发区恒信创业投资管理有限公司已注销；公司对二三</w:t>
      </w:r>
      <w:r>
        <w:rPr>
          <w:spacing w:val="-64"/>
        </w:rPr>
        <w:t> </w:t>
      </w:r>
      <w:r>
        <w:rPr>
          <w:spacing w:val="-64"/>
        </w:rPr>
      </w:r>
      <w:r>
        <w:rPr>
          <w:spacing w:val="-2"/>
        </w:rPr>
        <w:t>四五（深圳）区块链技术有限公司、曲水顺吉网络科技有限公司、宁波鑫惠互联网信息服务有限公司进行了清算，不再纳入</w:t>
      </w:r>
      <w:r>
        <w:rPr>
          <w:spacing w:val="-57"/>
        </w:rPr>
        <w:t> </w:t>
      </w:r>
      <w:r>
        <w:rPr>
          <w:spacing w:val="-57"/>
        </w:rPr>
      </w:r>
      <w:r>
        <w:rPr/>
        <w:t>合并范围。</w:t>
      </w:r>
    </w:p>
    <w:p>
      <w:pPr>
        <w:spacing w:line="240" w:lineRule="auto" w:before="7"/>
        <w:rPr>
          <w:rFonts w:ascii="宋体" w:hAnsi="宋体" w:cs="宋体" w:eastAsia="宋体" w:hint="default"/>
          <w:sz w:val="25"/>
          <w:szCs w:val="25"/>
        </w:rPr>
      </w:pPr>
    </w:p>
    <w:p>
      <w:pPr>
        <w:pStyle w:val="BodyText"/>
        <w:spacing w:line="290" w:lineRule="auto" w:before="0"/>
        <w:ind w:left="501" w:right="1126" w:hanging="361"/>
        <w:jc w:val="left"/>
      </w:pPr>
      <w:r>
        <w:rPr/>
        <w:t>（</w:t>
      </w:r>
      <w:r>
        <w:rPr>
          <w:rFonts w:ascii="Times New Roman" w:hAnsi="Times New Roman" w:cs="Times New Roman" w:eastAsia="Times New Roman" w:hint="default"/>
        </w:rPr>
        <w:t>4</w:t>
      </w:r>
      <w:r>
        <w:rPr/>
        <w:t>）本年度结构化主体减少情况： </w:t>
      </w:r>
      <w:r>
        <w:rPr>
          <w:spacing w:val="-2"/>
        </w:rPr>
        <w:t>本年度，富诚海富通君诚一号专项资产管理计划、渤海信托</w:t>
      </w:r>
      <w:r>
        <w:rPr>
          <w:rFonts w:ascii="宋体" w:hAnsi="宋体" w:cs="宋体" w:eastAsia="宋体" w:hint="default"/>
          <w:spacing w:val="-2"/>
        </w:rPr>
        <w:t>*</w:t>
      </w:r>
      <w:r>
        <w:rPr>
          <w:spacing w:val="-2"/>
        </w:rPr>
        <w:t>开心米奇单一资金信托资产计划、天风</w:t>
      </w:r>
      <w:r>
        <w:rPr>
          <w:rFonts w:ascii="宋体" w:hAnsi="宋体" w:cs="宋体" w:eastAsia="宋体" w:hint="default"/>
          <w:spacing w:val="-2"/>
        </w:rPr>
        <w:t>-</w:t>
      </w:r>
      <w:r>
        <w:rPr>
          <w:spacing w:val="-2"/>
        </w:rPr>
        <w:t>二三四五租赁一期</w:t>
      </w:r>
    </w:p>
    <w:p>
      <w:pPr>
        <w:pStyle w:val="BodyText"/>
        <w:spacing w:line="240" w:lineRule="auto" w:before="41"/>
        <w:ind w:right="0"/>
        <w:jc w:val="left"/>
      </w:pPr>
      <w:r>
        <w:rPr/>
        <w:t>资产支持专项计划因注销清算，不再纳入合并范围。</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left="501" w:right="111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 受互联网金融服务业务市场环境变化的影响，</w:t>
      </w:r>
      <w:r>
        <w:rPr>
          <w:rFonts w:ascii="宋体" w:hAnsi="宋体" w:cs="宋体" w:eastAsia="宋体" w:hint="default"/>
        </w:rPr>
        <w:t>2019</w:t>
      </w:r>
      <w:r>
        <w:rPr/>
        <w:t>年度公司金融科技服务业务实现营收</w:t>
      </w:r>
      <w:r>
        <w:rPr>
          <w:rFonts w:ascii="宋体" w:hAnsi="宋体" w:cs="宋体" w:eastAsia="宋体" w:hint="default"/>
        </w:rPr>
        <w:t>102,687.67</w:t>
      </w:r>
      <w:r>
        <w:rPr/>
        <w:t>万元，</w:t>
      </w:r>
      <w:r>
        <w:rPr>
          <w:spacing w:val="5"/>
        </w:rPr>
        <w:t> </w:t>
      </w:r>
      <w:r>
        <w:rPr/>
        <w:t>占总营收的</w:t>
      </w:r>
    </w:p>
    <w:p>
      <w:pPr>
        <w:pStyle w:val="BodyText"/>
        <w:spacing w:line="240" w:lineRule="auto" w:before="10"/>
        <w:ind w:right="0"/>
        <w:jc w:val="left"/>
      </w:pPr>
      <w:r>
        <w:rPr>
          <w:rFonts w:ascii="宋体" w:hAnsi="宋体" w:cs="宋体" w:eastAsia="宋体" w:hint="default"/>
        </w:rPr>
        <w:t>42.07%</w:t>
      </w:r>
      <w:r>
        <w:rPr/>
        <w:t>，较</w:t>
      </w:r>
      <w:r>
        <w:rPr>
          <w:rFonts w:ascii="宋体" w:hAnsi="宋体" w:cs="宋体" w:eastAsia="宋体" w:hint="default"/>
        </w:rPr>
        <w:t>2018</w:t>
      </w:r>
      <w:r>
        <w:rPr/>
        <w:t>年同期下降</w:t>
      </w:r>
      <w:r>
        <w:rPr>
          <w:rFonts w:ascii="宋体" w:hAnsi="宋体" w:cs="宋体" w:eastAsia="宋体" w:hint="default"/>
        </w:rPr>
        <w:t>42.71%</w:t>
      </w:r>
      <w:r>
        <w:rPr/>
        <w:t>。为顺应市场发展的规律，公司将金融科技服务业务进行了调整。未来将根据“移动科技</w:t>
      </w:r>
    </w:p>
    <w:p>
      <w:pPr>
        <w:pStyle w:val="BodyText"/>
        <w:spacing w:line="240" w:lineRule="auto" w:before="79"/>
        <w:ind w:right="0"/>
        <w:jc w:val="left"/>
      </w:pPr>
      <w:r>
        <w:rPr>
          <w:rFonts w:ascii="宋体" w:hAnsi="宋体" w:cs="宋体" w:eastAsia="宋体" w:hint="default"/>
        </w:rPr>
        <w:t>+</w:t>
      </w:r>
      <w:r>
        <w:rPr/>
        <w:t>人工智能”的战略发展目标逐步回归技术驱动创新的发展道路，实现公司的长期可持续发展。</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公司主要销售客户情况</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745,397,164.89</w:t>
            </w:r>
          </w:p>
        </w:tc>
      </w:tr>
      <w:tr>
        <w:trPr>
          <w:trHeight w:val="390"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30.54%</w:t>
            </w:r>
            <w:r>
              <w:rPr>
                <w:rFonts w:ascii="Times New Roman"/>
                <w:sz w:val="18"/>
              </w:rPr>
            </w:r>
          </w:p>
        </w:tc>
      </w:tr>
      <w:tr>
        <w:trPr>
          <w:trHeight w:val="720"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352,412,495.27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14.44%</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142,820,661.82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5.85%</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110,958,737.61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4.55%</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79,201,551.59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3.24%</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60,003,718.60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2.46%</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745,397,164.89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30.54%</w:t>
            </w:r>
            <w:r>
              <w:rPr>
                <w:rFonts w:ascii="Times New Roman"/>
                <w:sz w:val="18"/>
              </w:rPr>
            </w:r>
          </w:p>
        </w:tc>
      </w:tr>
    </w:tbl>
    <w:p>
      <w:pPr>
        <w:pStyle w:val="BodyText"/>
        <w:spacing w:line="240" w:lineRule="auto"/>
        <w:ind w:right="0"/>
        <w:jc w:val="left"/>
      </w:pPr>
      <w:r>
        <w:rPr/>
        <w:t>主要客户其他情况说明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73" w:lineRule="auto" w:before="111"/>
        <w:ind w:right="1149"/>
        <w:jc w:val="left"/>
      </w:pPr>
      <w:r>
        <w:rPr/>
        <w:t>公司前五名客户与公司不存在关联关系，公司董事、监事、高级管理人员、核心技术人员、持股</w:t>
      </w:r>
      <w:r>
        <w:rPr>
          <w:rFonts w:ascii="Times New Roman" w:hAnsi="Times New Roman" w:cs="Times New Roman" w:eastAsia="Times New Roman" w:hint="default"/>
        </w:rPr>
        <w:t>5%</w:t>
      </w:r>
      <w:r>
        <w:rPr/>
        <w:t>以上股东、实际控制人</w:t>
      </w:r>
      <w:r>
        <w:rPr>
          <w:spacing w:val="-81"/>
        </w:rPr>
        <w:t> </w:t>
      </w:r>
      <w:r>
        <w:rPr/>
        <w:t>和其他关联方在主要客户中未直接或者间接拥有权益。</w:t>
      </w:r>
    </w:p>
    <w:p>
      <w:pPr>
        <w:pStyle w:val="BodyText"/>
        <w:spacing w:line="240" w:lineRule="auto" w:before="99"/>
        <w:ind w:right="0"/>
        <w:jc w:val="left"/>
      </w:pPr>
      <w:r>
        <w:rPr/>
        <w:t>公司主要供应商情况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378,386,189.86</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35.26%</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100,829,728.94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9.40%</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96,574,254.01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9.00%</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90,339,919.42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8.42%</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46,818,299.17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4.36%</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43,823,988.32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378,386,189.86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35.26%</w:t>
            </w:r>
            <w:r>
              <w:rPr>
                <w:rFonts w:ascii="Times New Roman"/>
                <w:sz w:val="18"/>
              </w:rPr>
            </w:r>
          </w:p>
        </w:tc>
      </w:tr>
    </w:tbl>
    <w:p>
      <w:pPr>
        <w:pStyle w:val="BodyText"/>
        <w:spacing w:line="240" w:lineRule="auto"/>
        <w:ind w:right="0"/>
        <w:jc w:val="left"/>
      </w:pPr>
      <w:r>
        <w:rPr/>
        <w:t>主要供应商其他情况说明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0" w:lineRule="auto" w:before="111"/>
        <w:ind w:right="1149"/>
        <w:jc w:val="left"/>
      </w:pPr>
      <w:r>
        <w:rPr/>
        <w:t>公司前五名供应商与公司不存在关联关系，公司董事、监事、高级管理人员、核心技术人员、持股</w:t>
      </w:r>
      <w:r>
        <w:rPr>
          <w:rFonts w:ascii="Times New Roman" w:hAnsi="Times New Roman" w:cs="Times New Roman" w:eastAsia="Times New Roman" w:hint="default"/>
        </w:rPr>
        <w:t>5%</w:t>
      </w:r>
      <w:r>
        <w:rPr/>
        <w:t>以上股东、实际控制</w:t>
      </w:r>
      <w:r>
        <w:rPr>
          <w:spacing w:val="-81"/>
        </w:rPr>
        <w:t> </w:t>
      </w:r>
      <w:r>
        <w:rPr/>
        <w:t>人和其他关联方在主要供应商中未直接或者间接拥有权益。</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15"/>
        <w:gridCol w:w="1637"/>
        <w:gridCol w:w="1637"/>
        <w:gridCol w:w="1457"/>
        <w:gridCol w:w="2929"/>
      </w:tblGrid>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450" w:right="0"/>
              <w:jc w:val="left"/>
              <w:rPr>
                <w:rFonts w:ascii="Times New Roman" w:hAnsi="Times New Roman" w:cs="Times New Roman" w:eastAsia="Times New Roman" w:hint="default"/>
                <w:sz w:val="18"/>
                <w:szCs w:val="18"/>
              </w:rPr>
            </w:pPr>
            <w:r>
              <w:rPr>
                <w:rFonts w:ascii="Times New Roman"/>
                <w:sz w:val="18"/>
              </w:rPr>
              <w:t>762,652,109.13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65" w:right="0"/>
              <w:jc w:val="left"/>
              <w:rPr>
                <w:rFonts w:ascii="Times New Roman" w:hAnsi="Times New Roman" w:cs="Times New Roman" w:eastAsia="Times New Roman" w:hint="default"/>
                <w:sz w:val="18"/>
                <w:szCs w:val="18"/>
              </w:rPr>
            </w:pPr>
            <w:r>
              <w:rPr>
                <w:rFonts w:ascii="Times New Roman"/>
                <w:sz w:val="18"/>
              </w:rPr>
              <w:t>805,380,020.77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-5.31%</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200,192,086.30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65" w:right="0"/>
              <w:jc w:val="left"/>
              <w:rPr>
                <w:rFonts w:ascii="Times New Roman" w:hAnsi="Times New Roman" w:cs="Times New Roman" w:eastAsia="Times New Roman" w:hint="default"/>
                <w:sz w:val="18"/>
                <w:szCs w:val="18"/>
              </w:rPr>
            </w:pPr>
            <w:r>
              <w:rPr>
                <w:rFonts w:ascii="Times New Roman"/>
                <w:sz w:val="18"/>
              </w:rPr>
              <w:t>216,597,367.93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-7.57%</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2,002,989.41</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-24,124,271.61</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108.30%</w:t>
            </w:r>
          </w:p>
        </w:tc>
        <w:tc>
          <w:tcPr>
            <w:tcW w:w="2929" w:type="dxa"/>
            <w:vMerge w:val="restart"/>
            <w:tcBorders>
              <w:top w:val="single" w:sz="6" w:space="0" w:color="000000"/>
              <w:left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由于外币汇率变动导致汇兑损失较 上年度增加所致</w:t>
            </w:r>
          </w:p>
        </w:tc>
      </w:tr>
      <w:tr>
        <w:trPr>
          <w:trHeight w:val="390"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2"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7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2"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450" w:right="0"/>
              <w:jc w:val="left"/>
              <w:rPr>
                <w:rFonts w:ascii="Times New Roman" w:hAnsi="Times New Roman" w:cs="Times New Roman" w:eastAsia="Times New Roman" w:hint="default"/>
                <w:sz w:val="18"/>
                <w:szCs w:val="18"/>
              </w:rPr>
            </w:pPr>
            <w:r>
              <w:rPr>
                <w:rFonts w:ascii="Times New Roman"/>
                <w:sz w:val="18"/>
              </w:rPr>
              <w:t>247,091,510.71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65" w:right="0"/>
              <w:jc w:val="left"/>
              <w:rPr>
                <w:rFonts w:ascii="Times New Roman" w:hAnsi="Times New Roman" w:cs="Times New Roman" w:eastAsia="Times New Roman" w:hint="default"/>
                <w:sz w:val="18"/>
                <w:szCs w:val="18"/>
              </w:rPr>
            </w:pPr>
            <w:r>
              <w:rPr>
                <w:rFonts w:ascii="Times New Roman"/>
                <w:sz w:val="18"/>
              </w:rPr>
              <w:t>297,861,977.04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-17.04%</w:t>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left="501" w:right="10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公司立足于互联网、移动互联网及软件产品的研发、生产与服务，始终紧跟科技发展前沿，以创新作为公司发展的强大</w:t>
      </w:r>
    </w:p>
    <w:p>
      <w:pPr>
        <w:pStyle w:val="BodyText"/>
        <w:spacing w:line="319" w:lineRule="auto" w:before="0"/>
        <w:ind w:right="1098"/>
        <w:jc w:val="both"/>
      </w:pPr>
      <w:r>
        <w:rPr/>
        <w:t>动力。截至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日，公司共获得</w:t>
      </w:r>
      <w:r>
        <w:rPr>
          <w:rFonts w:ascii="宋体" w:hAnsi="宋体" w:cs="宋体" w:eastAsia="宋体" w:hint="default"/>
        </w:rPr>
        <w:t>4</w:t>
      </w:r>
      <w:r>
        <w:rPr/>
        <w:t>项发明专利：（</w:t>
      </w:r>
      <w:r>
        <w:rPr>
          <w:rFonts w:ascii="宋体" w:hAnsi="宋体" w:cs="宋体" w:eastAsia="宋体" w:hint="default"/>
        </w:rPr>
        <w:t>1</w:t>
      </w:r>
      <w:r>
        <w:rPr/>
        <w:t>）基于浏览器的弹窗广告拦截方法、系统及相关浏览器；（</w:t>
      </w:r>
      <w:r>
        <w:rPr>
          <w:rFonts w:ascii="宋体" w:hAnsi="宋体" w:cs="宋体" w:eastAsia="宋体" w:hint="default"/>
        </w:rPr>
        <w:t>2</w:t>
      </w:r>
      <w:r>
        <w:rPr/>
        <w:t>）</w:t>
      </w:r>
      <w:r>
        <w:rPr>
          <w:spacing w:val="-83"/>
        </w:rPr>
        <w:t> </w:t>
      </w:r>
      <w:r>
        <w:rPr>
          <w:spacing w:val="-2"/>
        </w:rPr>
        <w:t>一种注册表重定向方法及装置；（</w:t>
      </w:r>
      <w:r>
        <w:rPr>
          <w:rFonts w:ascii="宋体" w:hAnsi="宋体" w:cs="宋体" w:eastAsia="宋体" w:hint="default"/>
          <w:spacing w:val="-2"/>
        </w:rPr>
        <w:t>3</w:t>
      </w:r>
      <w:r>
        <w:rPr>
          <w:spacing w:val="-2"/>
        </w:rPr>
        <w:t>）一种对输入法候选项进行调频排序的控制方法及控制装置；（</w:t>
      </w:r>
      <w:r>
        <w:rPr>
          <w:rFonts w:ascii="宋体" w:hAnsi="宋体" w:cs="宋体" w:eastAsia="宋体" w:hint="default"/>
          <w:spacing w:val="-2"/>
        </w:rPr>
        <w:t>4</w:t>
      </w:r>
      <w:r>
        <w:rPr>
          <w:spacing w:val="-2"/>
        </w:rPr>
        <w:t>）一种基于浏览器播放</w:t>
      </w:r>
      <w:r>
        <w:rPr>
          <w:spacing w:val="-63"/>
        </w:rPr>
        <w:t> </w:t>
      </w:r>
      <w:r>
        <w:rPr>
          <w:spacing w:val="-63"/>
        </w:rPr>
      </w:r>
      <w:r>
        <w:rPr>
          <w:spacing w:val="-2"/>
        </w:rPr>
        <w:t>器播放网页视频的控制方法及控制装置，</w:t>
      </w:r>
      <w:r>
        <w:rPr>
          <w:rFonts w:ascii="宋体" w:hAnsi="宋体" w:cs="宋体" w:eastAsia="宋体" w:hint="default"/>
          <w:spacing w:val="-2"/>
        </w:rPr>
        <w:t>2</w:t>
      </w:r>
      <w:r>
        <w:rPr>
          <w:spacing w:val="-2"/>
        </w:rPr>
        <w:t>项外观设计专利：（</w:t>
      </w:r>
      <w:r>
        <w:rPr>
          <w:rFonts w:ascii="宋体" w:hAnsi="宋体" w:cs="宋体" w:eastAsia="宋体" w:hint="default"/>
          <w:spacing w:val="-2"/>
        </w:rPr>
        <w:t>1</w:t>
      </w:r>
      <w:r>
        <w:rPr>
          <w:spacing w:val="-2"/>
        </w:rPr>
        <w:t>）带图形用户界面的移动终端；（</w:t>
      </w:r>
      <w:r>
        <w:rPr>
          <w:rFonts w:ascii="宋体" w:hAnsi="宋体" w:cs="宋体" w:eastAsia="宋体" w:hint="default"/>
          <w:spacing w:val="-2"/>
        </w:rPr>
        <w:t>2</w:t>
      </w:r>
      <w:r>
        <w:rPr>
          <w:spacing w:val="-2"/>
        </w:rPr>
        <w:t>）储存设备，</w:t>
      </w:r>
      <w:r>
        <w:rPr>
          <w:rFonts w:ascii="宋体" w:hAnsi="宋体" w:cs="宋体" w:eastAsia="宋体" w:hint="default"/>
          <w:spacing w:val="-2"/>
        </w:rPr>
        <w:t>194</w:t>
      </w:r>
      <w:r>
        <w:rPr>
          <w:spacing w:val="-2"/>
        </w:rPr>
        <w:t>项计算</w:t>
      </w:r>
      <w:r>
        <w:rPr>
          <w:spacing w:val="-61"/>
        </w:rPr>
        <w:t> </w:t>
      </w:r>
      <w:r>
        <w:rPr>
          <w:spacing w:val="-1"/>
        </w:rPr>
        <w:t>机软件著作权登记证书。公司高度重视将研发成果转化为生产力，并向广大客户提供优质服务。目前已应用的领域包括：网</w:t>
      </w:r>
      <w:r>
        <w:rPr/>
        <w:t> 址导航系统及浏览器软件（均包含</w:t>
      </w:r>
      <w:r>
        <w:rPr>
          <w:rFonts w:ascii="宋体" w:hAnsi="宋体" w:cs="宋体" w:eastAsia="宋体" w:hint="default"/>
        </w:rPr>
        <w:t>Windows</w:t>
      </w:r>
      <w:r>
        <w:rPr/>
        <w:t>系统、</w:t>
      </w:r>
      <w:r>
        <w:rPr>
          <w:rFonts w:ascii="宋体" w:hAnsi="宋体" w:cs="宋体" w:eastAsia="宋体" w:hint="default"/>
        </w:rPr>
        <w:t>Android</w:t>
      </w:r>
      <w:r>
        <w:rPr/>
        <w:t>系统、</w:t>
      </w:r>
      <w:r>
        <w:rPr>
          <w:rFonts w:ascii="宋体" w:hAnsi="宋体" w:cs="宋体" w:eastAsia="宋体" w:hint="default"/>
        </w:rPr>
        <w:t>iOS</w:t>
      </w:r>
      <w:r>
        <w:rPr/>
        <w:t>系统）、精准营销数据分析系统、移动互联网内容服务</w:t>
      </w:r>
      <w:r>
        <w:rPr>
          <w:spacing w:val="-86"/>
        </w:rPr>
        <w:t> </w:t>
      </w:r>
      <w:r>
        <w:rPr/>
        <w:t>软件等。</w:t>
      </w:r>
    </w:p>
    <w:p>
      <w:pPr>
        <w:pStyle w:val="BodyText"/>
        <w:spacing w:line="240" w:lineRule="auto" w:before="65"/>
        <w:ind w:right="0"/>
        <w:jc w:val="both"/>
      </w:pPr>
      <w:r>
        <w:rPr/>
        <w:t>公司研发投入情况</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-38.23%</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44.96%</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66.11%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-21.15%</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247,091,510.71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297,861,977.04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-17.04%</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10.12%</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7.89%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2.23%</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7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8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ind w:right="-19"/>
        <w:jc w:val="left"/>
      </w:pPr>
      <w:r>
        <w:rPr/>
        <w:t>研发投入总额占营业收入的比重较上年发生显著变化的原因</w:t>
      </w:r>
    </w:p>
    <w:p>
      <w:pPr>
        <w:pStyle w:val="BodyText"/>
        <w:spacing w:line="240" w:lineRule="auto" w:before="125"/>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111"/>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70"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pStyle w:val="BodyText"/>
        <w:spacing w:line="290" w:lineRule="auto" w:before="14"/>
        <w:ind w:right="6789"/>
        <w:jc w:val="left"/>
      </w:pPr>
      <w:r>
        <w:rPr>
          <w:rFonts w:ascii="Times New Roman" w:hAnsi="Times New Roman" w:cs="Times New Roman" w:eastAsia="Times New Roman" w:hint="default"/>
        </w:rPr>
        <w:t>2019</w:t>
      </w:r>
      <w:r>
        <w:rPr/>
        <w:t>年度公司不存在研发投入资本化的情形。 研发投入资本化率大幅变动的原因及其合理性说明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2,961,061,722.11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4,439,999,594.57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-33.31%</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1,304,486,750.49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4,618,559,452.78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-71.76%</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1,656,574,971.62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-178,559,858.21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1,027.74%</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6,601,867,430.93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489,453,869.99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1,248.82%</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7,644,311,996.13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1,055,522,272.12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624.22%</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-1,042,444,565.20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-566,068,402.13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-84.16%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300,207,679.31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2,157,152,800.00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-86.08%</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1,362,857,431.50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1,343,218,618.31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-1,062,649,752.19</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813,934,181.69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-230.56%</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-465,385,911.05</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73,194,352.99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-735.82%</w:t>
            </w:r>
            <w:r>
              <w:rPr>
                <w:rFonts w:ascii="Times New Roman"/>
                <w:sz w:val="18"/>
              </w:rPr>
            </w:r>
          </w:p>
        </w:tc>
      </w:tr>
    </w:tbl>
    <w:p>
      <w:pPr>
        <w:pStyle w:val="BodyText"/>
        <w:spacing w:line="240" w:lineRule="auto"/>
        <w:ind w:right="0"/>
        <w:jc w:val="left"/>
      </w:pPr>
      <w:r>
        <w:rPr/>
        <w:t>相关数据同比发生重大变动的主要影响因素说明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0" w:lineRule="auto" w:before="96"/>
        <w:ind w:right="1104"/>
        <w:jc w:val="left"/>
      </w:pPr>
      <w:r>
        <w:rPr/>
        <w:t>（</w:t>
      </w:r>
      <w:r>
        <w:rPr>
          <w:rFonts w:ascii="Times New Roman" w:hAnsi="Times New Roman" w:cs="Times New Roman" w:eastAsia="Times New Roman" w:hint="default"/>
        </w:rPr>
        <w:t>1</w:t>
      </w:r>
      <w:r>
        <w:rPr/>
        <w:t>）经营活动现金流入较去年同期减少</w:t>
      </w:r>
      <w:r>
        <w:rPr>
          <w:rFonts w:ascii="Times New Roman" w:hAnsi="Times New Roman" w:cs="Times New Roman" w:eastAsia="Times New Roman" w:hint="default"/>
        </w:rPr>
        <w:t>33.31%</w:t>
      </w:r>
      <w:r>
        <w:rPr/>
        <w:t>，主要系公司报告期内业务调整导致销售商品、提供劳务收到的现金减少所</w:t>
      </w:r>
      <w:r>
        <w:rPr>
          <w:spacing w:val="-87"/>
        </w:rPr>
        <w:t> </w:t>
      </w:r>
      <w:r>
        <w:rPr/>
        <w:t>致；</w:t>
      </w:r>
    </w:p>
    <w:p>
      <w:pPr>
        <w:pStyle w:val="BodyText"/>
        <w:spacing w:line="290" w:lineRule="auto" w:before="56"/>
        <w:ind w:right="0"/>
        <w:jc w:val="left"/>
      </w:pPr>
      <w:r>
        <w:rPr>
          <w:spacing w:val="-1"/>
        </w:rPr>
        <w:t>（</w:t>
      </w:r>
      <w:r>
        <w:rPr>
          <w:rFonts w:ascii="Times New Roman" w:hAnsi="Times New Roman" w:cs="Times New Roman" w:eastAsia="Times New Roman" w:hint="default"/>
          <w:spacing w:val="-1"/>
        </w:rPr>
        <w:t>2</w:t>
      </w:r>
      <w:r>
        <w:rPr>
          <w:spacing w:val="-1"/>
        </w:rPr>
        <w:t>）经营活动现金流出较去年同期减少</w:t>
      </w:r>
      <w:r>
        <w:rPr>
          <w:rFonts w:ascii="Times New Roman" w:hAnsi="Times New Roman" w:cs="Times New Roman" w:eastAsia="Times New Roman" w:hint="default"/>
          <w:spacing w:val="-1"/>
        </w:rPr>
        <w:t>71.76%</w:t>
      </w:r>
      <w:r>
        <w:rPr>
          <w:spacing w:val="-1"/>
        </w:rPr>
        <w:t>、经营活动产生的现金流量净额较去年同期增加</w:t>
      </w:r>
      <w:r>
        <w:rPr>
          <w:rFonts w:ascii="Times New Roman" w:hAnsi="Times New Roman" w:cs="Times New Roman" w:eastAsia="Times New Roman" w:hint="default"/>
          <w:spacing w:val="-1"/>
        </w:rPr>
        <w:t>1,027.74%</w:t>
      </w:r>
      <w:r>
        <w:rPr>
          <w:spacing w:val="-1"/>
        </w:rPr>
        <w:t>，主要系公司报告</w:t>
      </w:r>
      <w:r>
        <w:rPr>
          <w:spacing w:val="-67"/>
        </w:rPr>
        <w:t> </w:t>
      </w:r>
      <w:r>
        <w:rPr>
          <w:spacing w:val="-67"/>
        </w:rPr>
      </w:r>
      <w:r>
        <w:rPr/>
        <w:t>期内业务调整所致；</w:t>
      </w:r>
    </w:p>
    <w:p>
      <w:pPr>
        <w:pStyle w:val="BodyText"/>
        <w:spacing w:line="240" w:lineRule="auto" w:before="41"/>
        <w:ind w:right="0"/>
        <w:jc w:val="left"/>
      </w:pPr>
      <w:r>
        <w:rPr/>
        <w:t>（</w:t>
      </w:r>
      <w:r>
        <w:rPr>
          <w:rFonts w:ascii="Times New Roman" w:hAnsi="Times New Roman" w:cs="Times New Roman" w:eastAsia="Times New Roman" w:hint="default"/>
        </w:rPr>
        <w:t>3</w:t>
      </w:r>
      <w:r>
        <w:rPr/>
        <w:t>）投资活动现金流入较去年同期增加</w:t>
      </w:r>
      <w:r>
        <w:rPr>
          <w:rFonts w:ascii="Times New Roman" w:hAnsi="Times New Roman" w:cs="Times New Roman" w:eastAsia="Times New Roman" w:hint="default"/>
        </w:rPr>
        <w:t>1,248.82%</w:t>
      </w:r>
      <w:r>
        <w:rPr/>
        <w:t>，主要系公司报告期内收回理财款项所致；</w:t>
      </w:r>
    </w:p>
    <w:p>
      <w:pPr>
        <w:pStyle w:val="BodyText"/>
        <w:spacing w:line="288" w:lineRule="auto" w:before="66"/>
        <w:ind w:right="1179"/>
        <w:jc w:val="left"/>
      </w:pPr>
      <w:r>
        <w:rPr/>
        <w:t>（</w:t>
      </w:r>
      <w:r>
        <w:rPr>
          <w:rFonts w:ascii="Times New Roman" w:hAnsi="Times New Roman" w:cs="Times New Roman" w:eastAsia="Times New Roman" w:hint="default"/>
        </w:rPr>
        <w:t>4</w:t>
      </w:r>
      <w:r>
        <w:rPr/>
        <w:t>）投资活动现金流出小计较去年同期增加</w:t>
      </w:r>
      <w:r>
        <w:rPr>
          <w:rFonts w:ascii="Times New Roman" w:hAnsi="Times New Roman" w:cs="Times New Roman" w:eastAsia="Times New Roman" w:hint="default"/>
        </w:rPr>
        <w:t>624.22%</w:t>
      </w:r>
      <w:r>
        <w:rPr/>
        <w:t>、投资活动产生的现金流量净额较去年同期减少</w:t>
      </w:r>
      <w:r>
        <w:rPr>
          <w:rFonts w:ascii="Times New Roman" w:hAnsi="Times New Roman" w:cs="Times New Roman" w:eastAsia="Times New Roman" w:hint="default"/>
        </w:rPr>
        <w:t>84.16%</w:t>
      </w:r>
      <w:r>
        <w:rPr/>
        <w:t>，主要系公司</w:t>
      </w:r>
      <w:r>
        <w:rPr>
          <w:spacing w:val="-81"/>
        </w:rPr>
        <w:t> </w:t>
      </w:r>
      <w:r>
        <w:rPr/>
        <w:t>报告期内购买的理财产品及对外投资增加所致；</w:t>
      </w:r>
    </w:p>
    <w:p>
      <w:pPr>
        <w:pStyle w:val="BodyText"/>
        <w:spacing w:line="304" w:lineRule="auto" w:before="59"/>
        <w:ind w:right="1179"/>
        <w:jc w:val="left"/>
      </w:pPr>
      <w:r>
        <w:rPr/>
        <w:t>（</w:t>
      </w:r>
      <w:r>
        <w:rPr>
          <w:rFonts w:ascii="Times New Roman" w:hAnsi="Times New Roman" w:cs="Times New Roman" w:eastAsia="Times New Roman" w:hint="default"/>
        </w:rPr>
        <w:t>5</w:t>
      </w:r>
      <w:r>
        <w:rPr/>
        <w:t>）筹资活动现金流入小计较去年同期减少</w:t>
      </w:r>
      <w:r>
        <w:rPr>
          <w:rFonts w:ascii="Times New Roman" w:hAnsi="Times New Roman" w:cs="Times New Roman" w:eastAsia="Times New Roman" w:hint="default"/>
        </w:rPr>
        <w:t>86.08%</w:t>
      </w:r>
      <w:r>
        <w:rPr/>
        <w:t>、筹资活动产生的现金流量净额较去年同期减少</w:t>
      </w:r>
      <w:r>
        <w:rPr>
          <w:rFonts w:ascii="Times New Roman" w:hAnsi="Times New Roman" w:cs="Times New Roman" w:eastAsia="Times New Roman" w:hint="default"/>
        </w:rPr>
        <w:t>230.56%</w:t>
      </w:r>
      <w:r>
        <w:rPr/>
        <w:t>，主要系公司</w:t>
      </w:r>
      <w:r>
        <w:rPr>
          <w:spacing w:val="-82"/>
        </w:rPr>
        <w:t> </w:t>
      </w:r>
      <w:r>
        <w:rPr/>
        <w:t>报告期内取得银行借款减少、去年同期发行公司债券及</w:t>
      </w:r>
      <w:r>
        <w:rPr>
          <w:rFonts w:ascii="Times New Roman" w:hAnsi="Times New Roman" w:cs="Times New Roman" w:eastAsia="Times New Roman" w:hint="default"/>
        </w:rPr>
        <w:t>ABS</w:t>
      </w:r>
      <w:r>
        <w:rPr/>
        <w:t>专项计划所致；</w:t>
      </w:r>
    </w:p>
    <w:p>
      <w:pPr>
        <w:pStyle w:val="BodyText"/>
        <w:spacing w:line="246" w:lineRule="exact" w:before="0"/>
        <w:ind w:right="0"/>
        <w:jc w:val="left"/>
      </w:pPr>
      <w:r>
        <w:rPr/>
        <w:t>（</w:t>
      </w:r>
      <w:r>
        <w:rPr>
          <w:rFonts w:ascii="Times New Roman" w:hAnsi="Times New Roman" w:cs="Times New Roman" w:eastAsia="Times New Roman" w:hint="default"/>
        </w:rPr>
        <w:t>6</w:t>
      </w:r>
      <w:r>
        <w:rPr/>
        <w:t>）现金及现金等价物净增加额较去年同期减少</w:t>
      </w:r>
      <w:r>
        <w:rPr>
          <w:rFonts w:ascii="Times New Roman" w:hAnsi="Times New Roman" w:cs="Times New Roman" w:eastAsia="Times New Roman" w:hint="default"/>
        </w:rPr>
        <w:t>735.82%</w:t>
      </w:r>
      <w:r>
        <w:rPr/>
        <w:t>，主要系上述经营、投资、筹资活动现金流量变化综合影响所致。</w:t>
      </w:r>
    </w:p>
    <w:p>
      <w:pPr>
        <w:spacing w:after="0" w:line="246" w:lineRule="exact"/>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both"/>
      </w:pPr>
      <w:r>
        <w:rPr/>
        <w:t>报告期内公司经营活动产生的现金净流量与本年度净利润存在重大差异的原因说明</w:t>
      </w:r>
    </w:p>
    <w:p>
      <w:pPr>
        <w:pStyle w:val="BodyText"/>
        <w:spacing w:line="331" w:lineRule="auto" w:before="125"/>
        <w:ind w:left="501" w:right="11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经营活动产生的现金流量净额大于归属于上市公司股东的净利润，主要系报告期内公司业务调整，由公司自有资金发放</w:t>
      </w:r>
    </w:p>
    <w:p>
      <w:pPr>
        <w:pStyle w:val="BodyText"/>
        <w:spacing w:line="314" w:lineRule="auto" w:before="11"/>
        <w:ind w:right="1126"/>
        <w:jc w:val="both"/>
      </w:pPr>
      <w:r>
        <w:rPr>
          <w:spacing w:val="-2"/>
        </w:rPr>
        <w:t>的贷款有所减少所致，</w:t>
      </w:r>
      <w:r>
        <w:rPr>
          <w:rFonts w:ascii="宋体" w:hAnsi="宋体" w:cs="宋体" w:eastAsia="宋体" w:hint="default"/>
          <w:spacing w:val="-2"/>
        </w:rPr>
        <w:t>2019</w:t>
      </w:r>
      <w:r>
        <w:rPr>
          <w:spacing w:val="-2"/>
        </w:rPr>
        <w:t>年客户贷款及垫款净增加额金额为</w:t>
      </w:r>
      <w:r>
        <w:rPr>
          <w:rFonts w:ascii="宋体" w:hAnsi="宋体" w:cs="宋体" w:eastAsia="宋体" w:hint="default"/>
          <w:spacing w:val="-2"/>
        </w:rPr>
        <w:t>-605,961,366.80</w:t>
      </w:r>
      <w:r>
        <w:rPr>
          <w:spacing w:val="-2"/>
        </w:rPr>
        <w:t>元，较去年同期减少</w:t>
      </w:r>
      <w:r>
        <w:rPr>
          <w:rFonts w:ascii="宋体" w:hAnsi="宋体" w:cs="宋体" w:eastAsia="宋体" w:hint="default"/>
          <w:spacing w:val="-2"/>
        </w:rPr>
        <w:t>123.42%</w:t>
      </w:r>
      <w:r>
        <w:rPr>
          <w:spacing w:val="-2"/>
        </w:rPr>
        <w:t>。剔除上述影响</w:t>
      </w:r>
      <w:r>
        <w:rPr>
          <w:spacing w:val="-39"/>
        </w:rPr>
        <w:t> </w:t>
      </w:r>
      <w:r>
        <w:rPr>
          <w:spacing w:val="-39"/>
        </w:rPr>
      </w:r>
      <w:r>
        <w:rPr/>
        <w:t>后，公司经营活动产生的现金流量净额与本年度净利润不存在重大差异（详见“第十一节</w:t>
      </w:r>
      <w:r>
        <w:rPr>
          <w:spacing w:val="7"/>
        </w:rPr>
        <w:t> </w:t>
      </w:r>
      <w:r>
        <w:rPr/>
        <w:t>财务报告”之“附注七、</w:t>
      </w:r>
      <w:r>
        <w:rPr>
          <w:rFonts w:ascii="宋体" w:hAnsi="宋体" w:cs="宋体" w:eastAsia="宋体" w:hint="default"/>
        </w:rPr>
        <w:t>80</w:t>
      </w:r>
      <w:r>
        <w:rPr/>
        <w:t>、现 金流量表补充资料”）。</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三、非主营业务分析" w:id="40"/>
      <w:bookmarkEnd w:id="40"/>
      <w:r>
        <w:rPr>
          <w:b w:val="0"/>
          <w:bCs w:val="0"/>
        </w:rPr>
      </w:r>
      <w:r>
        <w:rPr/>
        <w:t>三、非主营业务分析</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25"/>
        <w:gridCol w:w="1907"/>
        <w:gridCol w:w="1622"/>
        <w:gridCol w:w="2268"/>
        <w:gridCol w:w="2253"/>
      </w:tblGrid>
      <w:tr>
        <w:trPr>
          <w:trHeight w:val="406" w:hRule="exact"/>
        </w:trPr>
        <w:tc>
          <w:tcPr>
            <w:tcW w:w="152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5" w:hRule="exact"/>
        </w:trPr>
        <w:tc>
          <w:tcPr>
            <w:tcW w:w="1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173,431,661.35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21.27%</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23,313,020.20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2.86%</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
        </w:tc>
      </w:tr>
      <w:tr>
        <w:trPr>
          <w:trHeight w:val="323" w:hRule="exact"/>
        </w:trPr>
        <w:tc>
          <w:tcPr>
            <w:tcW w:w="1525"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438,176,235.48</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53.74%</w:t>
            </w:r>
          </w:p>
        </w:tc>
        <w:tc>
          <w:tcPr>
            <w:tcW w:w="2268" w:type="dxa"/>
            <w:vMerge w:val="restart"/>
            <w:tcBorders>
              <w:top w:val="single" w:sz="6" w:space="0" w:color="000000"/>
              <w:left w:val="single" w:sz="6" w:space="0" w:color="000000"/>
              <w:right w:val="single" w:sz="6" w:space="0" w:color="000000"/>
            </w:tcBorders>
          </w:tcPr>
          <w:p>
            <w:pPr>
              <w:pStyle w:val="TableParagraph"/>
              <w:spacing w:line="314" w:lineRule="auto" w:before="44"/>
              <w:ind w:left="30" w:right="60"/>
              <w:jc w:val="both"/>
              <w:rPr>
                <w:rFonts w:ascii="宋体" w:hAnsi="宋体" w:cs="宋体" w:eastAsia="宋体" w:hint="default"/>
                <w:sz w:val="18"/>
                <w:szCs w:val="18"/>
              </w:rPr>
            </w:pPr>
            <w:r>
              <w:rPr>
                <w:rFonts w:ascii="宋体" w:hAnsi="宋体" w:cs="宋体" w:eastAsia="宋体" w:hint="default"/>
                <w:sz w:val="18"/>
                <w:szCs w:val="18"/>
              </w:rPr>
              <w:t>主要系公司报告期内金融科 技业务产生的坏账损失减少 所致</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2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07"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323" w:hRule="exact"/>
        </w:trPr>
        <w:tc>
          <w:tcPr>
            <w:tcW w:w="152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405" w:hRule="exact"/>
        </w:trPr>
        <w:tc>
          <w:tcPr>
            <w:tcW w:w="1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136,243.85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5,632,002.68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ind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9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8513" w:space="423"/>
            <w:col w:w="197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367" w:type="dxa"/>
            <w:vMerge/>
            <w:tcBorders>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73"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2,992,671,815.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26.29%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3,482,843,345.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-3.26%</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448,448,950.7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3.94%</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613,917,790.08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5.21%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-1.27%</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98,672,192.98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0.87%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主要系本年度公司自有房产用于对 外租赁，以投资性房地产进行核算</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center"/>
              <w:rPr>
                <w:rFonts w:ascii="Times New Roman" w:hAnsi="Times New Roman" w:cs="Times New Roman" w:eastAsia="Times New Roman" w:hint="default"/>
                <w:sz w:val="18"/>
                <w:szCs w:val="18"/>
              </w:rPr>
            </w:pPr>
            <w:r>
              <w:rPr>
                <w:rFonts w:ascii="Times New Roman"/>
                <w:sz w:val="18"/>
              </w:rPr>
              <w:t>63,212,205.13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293,150,213.53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-1.93%</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137,487,021.6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1.21%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71,811,802.47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0.61%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0.60%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82" w:right="0"/>
              <w:jc w:val="center"/>
              <w:rPr>
                <w:rFonts w:ascii="Times New Roman" w:hAnsi="Times New Roman" w:cs="Times New Roman" w:eastAsia="Times New Roman" w:hint="default"/>
                <w:sz w:val="18"/>
                <w:szCs w:val="18"/>
              </w:rPr>
            </w:pPr>
            <w:r>
              <w:rPr>
                <w:rFonts w:ascii="Times New Roman"/>
                <w:sz w:val="18"/>
              </w:rPr>
              <w:t>101,207,679.3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0.89%</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516,800,000.00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4.38%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-3.49%</w:t>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97"/>
        <w:gridCol w:w="1100"/>
        <w:gridCol w:w="1082"/>
        <w:gridCol w:w="1096"/>
        <w:gridCol w:w="1093"/>
        <w:gridCol w:w="1093"/>
        <w:gridCol w:w="1081"/>
        <w:gridCol w:w="980"/>
        <w:gridCol w:w="961"/>
      </w:tblGrid>
      <w:tr>
        <w:trPr>
          <w:trHeight w:val="158" w:hRule="exact"/>
        </w:trPr>
        <w:tc>
          <w:tcPr>
            <w:tcW w:w="1097" w:type="dxa"/>
            <w:vMerge w:val="restart"/>
            <w:tcBorders>
              <w:top w:val="single" w:sz="6" w:space="0" w:color="000000"/>
              <w:left w:val="single" w:sz="6" w:space="0" w:color="000000"/>
              <w:right w:val="single" w:sz="6" w:space="0" w:color="000000"/>
            </w:tcBorders>
            <w:shd w:val="clear" w:color="auto" w:fill="D2D2D2"/>
          </w:tcPr>
          <w:p>
            <w:pPr/>
          </w:p>
        </w:tc>
        <w:tc>
          <w:tcPr>
            <w:tcW w:w="1100" w:type="dxa"/>
            <w:vMerge w:val="restart"/>
            <w:tcBorders>
              <w:top w:val="single" w:sz="6" w:space="0" w:color="000000"/>
              <w:left w:val="single" w:sz="6" w:space="0" w:color="000000"/>
              <w:right w:val="single" w:sz="6" w:space="0" w:color="000000"/>
            </w:tcBorders>
            <w:shd w:val="clear" w:color="auto" w:fill="D2D2D2"/>
          </w:tcPr>
          <w:p>
            <w:pPr/>
          </w:p>
        </w:tc>
        <w:tc>
          <w:tcPr>
            <w:tcW w:w="108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86" w:right="9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tcBorders>
              <w:top w:val="single" w:sz="6" w:space="0" w:color="000000"/>
              <w:left w:val="single" w:sz="6" w:space="0" w:color="000000"/>
              <w:bottom w:val="nil" w:sz="6" w:space="0" w:color="auto"/>
              <w:right w:val="single" w:sz="6" w:space="0" w:color="000000"/>
            </w:tcBorders>
            <w:shd w:val="clear" w:color="auto" w:fill="D2D2D2"/>
          </w:tcPr>
          <w:p>
            <w:pPr/>
          </w:p>
        </w:tc>
        <w:tc>
          <w:tcPr>
            <w:tcW w:w="980" w:type="dxa"/>
            <w:vMerge w:val="restart"/>
            <w:tcBorders>
              <w:top w:val="single" w:sz="6" w:space="0" w:color="000000"/>
              <w:left w:val="single" w:sz="6" w:space="0" w:color="000000"/>
              <w:right w:val="single" w:sz="6" w:space="0" w:color="000000"/>
            </w:tcBorders>
            <w:shd w:val="clear" w:color="auto" w:fill="D2D2D2"/>
          </w:tcPr>
          <w:p>
            <w:pPr/>
          </w:p>
        </w:tc>
        <w:tc>
          <w:tcPr>
            <w:tcW w:w="961" w:type="dxa"/>
            <w:vMerge w:val="restart"/>
            <w:tcBorders>
              <w:top w:val="single" w:sz="6" w:space="0" w:color="000000"/>
              <w:left w:val="single" w:sz="6" w:space="0" w:color="000000"/>
              <w:right w:val="single" w:sz="6" w:space="0" w:color="000000"/>
            </w:tcBorders>
            <w:shd w:val="clear" w:color="auto" w:fill="D2D2D2"/>
          </w:tcPr>
          <w:p>
            <w:pPr/>
          </w:p>
        </w:tc>
      </w:tr>
      <w:tr>
        <w:trPr>
          <w:trHeight w:val="151" w:hRule="exact"/>
        </w:trPr>
        <w:tc>
          <w:tcPr>
            <w:tcW w:w="1097" w:type="dxa"/>
            <w:vMerge/>
            <w:tcBorders>
              <w:left w:val="single" w:sz="6" w:space="0" w:color="000000"/>
              <w:bottom w:val="nil" w:sz="6" w:space="0" w:color="auto"/>
              <w:right w:val="single" w:sz="6" w:space="0" w:color="000000"/>
            </w:tcBorders>
            <w:shd w:val="clear" w:color="auto" w:fill="D2D2D2"/>
          </w:tcPr>
          <w:p>
            <w:pPr/>
          </w:p>
        </w:tc>
        <w:tc>
          <w:tcPr>
            <w:tcW w:w="1100" w:type="dxa"/>
            <w:vMerge/>
            <w:tcBorders>
              <w:left w:val="single" w:sz="6" w:space="0" w:color="000000"/>
              <w:bottom w:val="nil" w:sz="6" w:space="0" w:color="auto"/>
              <w:right w:val="single" w:sz="6" w:space="0" w:color="000000"/>
            </w:tcBorders>
            <w:shd w:val="clear" w:color="auto" w:fill="D2D2D2"/>
          </w:tcPr>
          <w:p>
            <w:pPr/>
          </w:p>
        </w:tc>
        <w:tc>
          <w:tcPr>
            <w:tcW w:w="1082"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71" w:right="9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6" w:type="dxa"/>
            <w:vMerge/>
            <w:tcBorders>
              <w:left w:val="single" w:sz="6" w:space="0" w:color="000000"/>
              <w:right w:val="single" w:sz="6" w:space="0" w:color="000000"/>
            </w:tcBorders>
            <w:shd w:val="clear" w:color="auto" w:fill="D2D2D2"/>
          </w:tcPr>
          <w:p>
            <w:pPr/>
          </w:p>
        </w:tc>
        <w:tc>
          <w:tcPr>
            <w:tcW w:w="1093"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356" w:right="89" w:hanging="271"/>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3"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435" w:right="100" w:hanging="361"/>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8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439" w:right="85"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80" w:type="dxa"/>
            <w:vMerge/>
            <w:tcBorders>
              <w:left w:val="single" w:sz="6" w:space="0" w:color="000000"/>
              <w:bottom w:val="nil" w:sz="6" w:space="0" w:color="auto"/>
              <w:right w:val="single" w:sz="6" w:space="0" w:color="000000"/>
            </w:tcBorders>
            <w:shd w:val="clear" w:color="auto" w:fill="D2D2D2"/>
          </w:tcPr>
          <w:p>
            <w:pPr/>
          </w:p>
        </w:tc>
        <w:tc>
          <w:tcPr>
            <w:tcW w:w="961" w:type="dxa"/>
            <w:vMerge/>
            <w:tcBorders>
              <w:left w:val="single" w:sz="6" w:space="0" w:color="000000"/>
              <w:bottom w:val="nil" w:sz="6" w:space="0" w:color="auto"/>
              <w:right w:val="single" w:sz="6" w:space="0" w:color="000000"/>
            </w:tcBorders>
            <w:shd w:val="clear" w:color="auto" w:fill="D2D2D2"/>
          </w:tcPr>
          <w:p>
            <w:pPr/>
          </w:p>
        </w:tc>
      </w:tr>
      <w:tr>
        <w:trPr>
          <w:trHeight w:val="390" w:hRule="exact"/>
        </w:trPr>
        <w:tc>
          <w:tcPr>
            <w:tcW w:w="109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2" w:type="dxa"/>
            <w:vMerge/>
            <w:tcBorders>
              <w:left w:val="single" w:sz="6" w:space="0" w:color="000000"/>
              <w:right w:val="single" w:sz="6" w:space="0" w:color="000000"/>
            </w:tcBorders>
            <w:shd w:val="clear" w:color="auto" w:fill="D2D2D2"/>
          </w:tcPr>
          <w:p>
            <w:pPr/>
          </w:p>
        </w:tc>
        <w:tc>
          <w:tcPr>
            <w:tcW w:w="1096"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8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2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097" w:type="dxa"/>
            <w:vMerge/>
            <w:tcBorders>
              <w:left w:val="single" w:sz="6" w:space="0" w:color="000000"/>
              <w:right w:val="single" w:sz="6" w:space="0" w:color="000000"/>
            </w:tcBorders>
            <w:shd w:val="clear" w:color="auto" w:fill="D2D2D2"/>
          </w:tcPr>
          <w:p>
            <w:pPr/>
          </w:p>
        </w:tc>
        <w:tc>
          <w:tcPr>
            <w:tcW w:w="1100" w:type="dxa"/>
            <w:vMerge w:val="restart"/>
            <w:tcBorders>
              <w:top w:val="nil" w:sz="6" w:space="0" w:color="auto"/>
              <w:left w:val="single" w:sz="6" w:space="0" w:color="000000"/>
              <w:right w:val="single" w:sz="6" w:space="0" w:color="000000"/>
            </w:tcBorders>
            <w:shd w:val="clear" w:color="auto" w:fill="D2D2D2"/>
          </w:tcPr>
          <w:p>
            <w:pPr/>
          </w:p>
        </w:tc>
        <w:tc>
          <w:tcPr>
            <w:tcW w:w="1082" w:type="dxa"/>
            <w:vMerge/>
            <w:tcBorders>
              <w:left w:val="single" w:sz="6" w:space="0" w:color="000000"/>
              <w:bottom w:val="nil" w:sz="6" w:space="0" w:color="auto"/>
              <w:right w:val="single" w:sz="6" w:space="0" w:color="000000"/>
            </w:tcBorders>
            <w:shd w:val="clear" w:color="auto" w:fill="D2D2D2"/>
          </w:tcPr>
          <w:p>
            <w:pPr/>
          </w:p>
        </w:tc>
        <w:tc>
          <w:tcPr>
            <w:tcW w:w="1096"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bottom w:val="nil" w:sz="6" w:space="0" w:color="auto"/>
              <w:right w:val="single" w:sz="6" w:space="0" w:color="000000"/>
            </w:tcBorders>
            <w:shd w:val="clear" w:color="auto" w:fill="D2D2D2"/>
          </w:tcPr>
          <w:p>
            <w:pPr/>
          </w:p>
        </w:tc>
        <w:tc>
          <w:tcPr>
            <w:tcW w:w="1093" w:type="dxa"/>
            <w:vMerge/>
            <w:tcBorders>
              <w:left w:val="single" w:sz="6" w:space="0" w:color="000000"/>
              <w:bottom w:val="nil" w:sz="6" w:space="0" w:color="auto"/>
              <w:right w:val="single" w:sz="6" w:space="0" w:color="000000"/>
            </w:tcBorders>
            <w:shd w:val="clear" w:color="auto" w:fill="D2D2D2"/>
          </w:tcPr>
          <w:p>
            <w:pPr/>
          </w:p>
        </w:tc>
        <w:tc>
          <w:tcPr>
            <w:tcW w:w="1081" w:type="dxa"/>
            <w:vMerge/>
            <w:tcBorders>
              <w:left w:val="single" w:sz="6" w:space="0" w:color="000000"/>
              <w:bottom w:val="nil" w:sz="6" w:space="0" w:color="auto"/>
              <w:right w:val="single" w:sz="6" w:space="0" w:color="000000"/>
            </w:tcBorders>
            <w:shd w:val="clear" w:color="auto" w:fill="D2D2D2"/>
          </w:tcPr>
          <w:p>
            <w:pPr/>
          </w:p>
        </w:tc>
        <w:tc>
          <w:tcPr>
            <w:tcW w:w="980" w:type="dxa"/>
            <w:vMerge w:val="restart"/>
            <w:tcBorders>
              <w:top w:val="nil" w:sz="6" w:space="0" w:color="auto"/>
              <w:left w:val="single" w:sz="6" w:space="0" w:color="000000"/>
              <w:right w:val="single" w:sz="6" w:space="0" w:color="000000"/>
            </w:tcBorders>
            <w:shd w:val="clear" w:color="auto" w:fill="D2D2D2"/>
          </w:tcPr>
          <w:p>
            <w:pPr/>
          </w:p>
        </w:tc>
        <w:tc>
          <w:tcPr>
            <w:tcW w:w="961" w:type="dxa"/>
            <w:vMerge/>
            <w:tcBorders>
              <w:left w:val="single" w:sz="6" w:space="0" w:color="000000"/>
              <w:right w:val="single" w:sz="6" w:space="0" w:color="000000"/>
            </w:tcBorders>
            <w:shd w:val="clear" w:color="auto" w:fill="D2D2D2"/>
          </w:tcPr>
          <w:p>
            <w:pPr/>
          </w:p>
        </w:tc>
      </w:tr>
      <w:tr>
        <w:trPr>
          <w:trHeight w:val="165" w:hRule="exact"/>
        </w:trPr>
        <w:tc>
          <w:tcPr>
            <w:tcW w:w="1097" w:type="dxa"/>
            <w:vMerge/>
            <w:tcBorders>
              <w:left w:val="single" w:sz="6" w:space="0" w:color="000000"/>
              <w:bottom w:val="single" w:sz="6" w:space="0" w:color="000000"/>
              <w:right w:val="single" w:sz="6" w:space="0" w:color="000000"/>
            </w:tcBorders>
            <w:shd w:val="clear" w:color="auto" w:fill="D2D2D2"/>
          </w:tcPr>
          <w:p>
            <w:pPr/>
          </w:p>
        </w:tc>
        <w:tc>
          <w:tcPr>
            <w:tcW w:w="1100" w:type="dxa"/>
            <w:vMerge/>
            <w:tcBorders>
              <w:left w:val="single" w:sz="6" w:space="0" w:color="000000"/>
              <w:bottom w:val="single" w:sz="6" w:space="0" w:color="000000"/>
              <w:right w:val="single" w:sz="6" w:space="0" w:color="000000"/>
            </w:tcBorders>
            <w:shd w:val="clear" w:color="auto" w:fill="D2D2D2"/>
          </w:tcPr>
          <w:p>
            <w:pPr/>
          </w:p>
        </w:tc>
        <w:tc>
          <w:tcPr>
            <w:tcW w:w="10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09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1" w:type="dxa"/>
            <w:tcBorders>
              <w:top w:val="nil" w:sz="6" w:space="0" w:color="auto"/>
              <w:left w:val="single" w:sz="6" w:space="0" w:color="000000"/>
              <w:bottom w:val="single" w:sz="6" w:space="0" w:color="000000"/>
              <w:right w:val="single" w:sz="6" w:space="0" w:color="000000"/>
            </w:tcBorders>
            <w:shd w:val="clear" w:color="auto" w:fill="D2D2D2"/>
          </w:tcPr>
          <w:p>
            <w:pPr/>
          </w:p>
        </w:tc>
        <w:tc>
          <w:tcPr>
            <w:tcW w:w="980" w:type="dxa"/>
            <w:vMerge/>
            <w:tcBorders>
              <w:left w:val="single" w:sz="6" w:space="0" w:color="000000"/>
              <w:bottom w:val="single" w:sz="6" w:space="0" w:color="000000"/>
              <w:right w:val="single" w:sz="6" w:space="0" w:color="000000"/>
            </w:tcBorders>
            <w:shd w:val="clear" w:color="auto" w:fill="D2D2D2"/>
          </w:tcPr>
          <w:p>
            <w:pPr/>
          </w:p>
        </w:tc>
        <w:tc>
          <w:tcPr>
            <w:tcW w:w="961" w:type="dxa"/>
            <w:vMerge/>
            <w:tcBorders>
              <w:left w:val="single" w:sz="6" w:space="0" w:color="000000"/>
              <w:bottom w:val="single" w:sz="6" w:space="0" w:color="000000"/>
              <w:right w:val="single" w:sz="6" w:space="0" w:color="000000"/>
            </w:tcBorders>
            <w:shd w:val="clear" w:color="auto" w:fill="D2D2D2"/>
          </w:tcPr>
          <w:p>
            <w:pPr/>
          </w:p>
        </w:tc>
      </w:tr>
      <w:tr>
        <w:trPr>
          <w:trHeight w:val="398"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85" w:type="dxa"/>
            <w:gridSpan w:val="8"/>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生金融资产）</w:t>
            </w:r>
          </w:p>
        </w:tc>
        <w:tc>
          <w:tcPr>
            <w:tcW w:w="11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1,566,036,218</w:t>
            </w:r>
          </w:p>
          <w:p>
            <w:pPr>
              <w:pStyle w:val="TableParagraph"/>
              <w:spacing w:line="240" w:lineRule="auto" w:before="93"/>
              <w:ind w:right="31"/>
              <w:jc w:val="right"/>
              <w:rPr>
                <w:rFonts w:ascii="Times New Roman" w:hAnsi="Times New Roman" w:cs="Times New Roman" w:eastAsia="Times New Roman" w:hint="default"/>
                <w:sz w:val="18"/>
                <w:szCs w:val="18"/>
              </w:rPr>
            </w:pPr>
            <w:r>
              <w:rPr>
                <w:rFonts w:ascii="Times New Roman"/>
                <w:sz w:val="18"/>
              </w:rPr>
              <w:t>.89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10,824,554.09</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6,912,945,912</w:t>
            </w:r>
          </w:p>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.25</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6,178,165,106</w:t>
            </w:r>
          </w:p>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.69</w:t>
            </w: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2,311,641,5</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78.54</w:t>
            </w:r>
          </w:p>
        </w:tc>
      </w:tr>
      <w:tr>
        <w:trPr>
          <w:trHeight w:val="721"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其他非流动 金融资产</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109,041,334.1</w:t>
            </w:r>
          </w:p>
          <w:p>
            <w:pPr>
              <w:pStyle w:val="TableParagraph"/>
              <w:spacing w:line="240" w:lineRule="auto" w:before="93"/>
              <w:ind w:right="31"/>
              <w:jc w:val="right"/>
              <w:rPr>
                <w:rFonts w:ascii="Times New Roman" w:hAnsi="Times New Roman" w:cs="Times New Roman" w:eastAsia="Times New Roman" w:hint="default"/>
                <w:sz w:val="18"/>
                <w:szCs w:val="18"/>
              </w:rPr>
            </w:pPr>
            <w:r>
              <w:rPr>
                <w:rFonts w:ascii="Times New Roman"/>
                <w:sz w:val="18"/>
              </w:rPr>
              <w:t>5</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12,488,466.11</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270,163,346.6</w:t>
            </w:r>
          </w:p>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1</w:t>
            </w:r>
          </w:p>
        </w:tc>
        <w:tc>
          <w:tcPr>
            <w:tcW w:w="1081"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391,693,146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.87</w:t>
            </w:r>
          </w:p>
        </w:tc>
      </w:tr>
      <w:tr>
        <w:trPr>
          <w:trHeight w:val="706"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2"/>
              <w:jc w:val="right"/>
              <w:rPr>
                <w:rFonts w:ascii="Times New Roman" w:hAnsi="Times New Roman" w:cs="Times New Roman" w:eastAsia="Times New Roman" w:hint="default"/>
                <w:sz w:val="18"/>
                <w:szCs w:val="18"/>
              </w:rPr>
            </w:pPr>
            <w:r>
              <w:rPr>
                <w:rFonts w:ascii="Times New Roman"/>
                <w:sz w:val="18"/>
              </w:rPr>
              <w:t>1,675,077,553</w:t>
            </w:r>
          </w:p>
          <w:p>
            <w:pPr>
              <w:pStyle w:val="TableParagraph"/>
              <w:spacing w:line="240" w:lineRule="auto" w:before="108"/>
              <w:ind w:right="31"/>
              <w:jc w:val="right"/>
              <w:rPr>
                <w:rFonts w:ascii="Times New Roman" w:hAnsi="Times New Roman" w:cs="Times New Roman" w:eastAsia="Times New Roman" w:hint="default"/>
                <w:sz w:val="18"/>
                <w:szCs w:val="18"/>
              </w:rPr>
            </w:pPr>
            <w:r>
              <w:rPr>
                <w:rFonts w:ascii="Times New Roman"/>
                <w:sz w:val="18"/>
              </w:rPr>
              <w:t>.04</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23,313,020.20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z w:val="18"/>
              </w:rPr>
              <w:t>7,183,109,258</w:t>
            </w:r>
          </w:p>
          <w:p>
            <w:pPr>
              <w:pStyle w:val="TableParagraph"/>
              <w:spacing w:line="240" w:lineRule="auto" w:before="108"/>
              <w:ind w:right="24"/>
              <w:jc w:val="right"/>
              <w:rPr>
                <w:rFonts w:ascii="Times New Roman" w:hAnsi="Times New Roman" w:cs="Times New Roman" w:eastAsia="Times New Roman" w:hint="default"/>
                <w:sz w:val="18"/>
                <w:szCs w:val="18"/>
              </w:rPr>
            </w:pPr>
            <w:r>
              <w:rPr>
                <w:rFonts w:ascii="Times New Roman"/>
                <w:sz w:val="18"/>
              </w:rPr>
              <w:t>.86</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
              <w:jc w:val="right"/>
              <w:rPr>
                <w:rFonts w:ascii="Times New Roman" w:hAnsi="Times New Roman" w:cs="Times New Roman" w:eastAsia="Times New Roman" w:hint="default"/>
                <w:sz w:val="18"/>
                <w:szCs w:val="18"/>
              </w:rPr>
            </w:pPr>
            <w:r>
              <w:rPr>
                <w:rFonts w:ascii="Times New Roman"/>
                <w:sz w:val="18"/>
              </w:rPr>
              <w:t>6,178,165,106</w:t>
            </w:r>
          </w:p>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.69</w:t>
            </w: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2,703,334,7</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25.41</w:t>
            </w:r>
          </w:p>
        </w:tc>
      </w:tr>
      <w:tr>
        <w:trPr>
          <w:trHeight w:val="405"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4" w:right="0"/>
              <w:jc w:val="lef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2" w:lineRule="auto"/>
        <w:ind w:right="9489"/>
        <w:jc w:val="left"/>
      </w:pPr>
      <w:r>
        <w:rPr/>
        <w:t>其他变动的内容 无其他变动</w:t>
      </w:r>
    </w:p>
    <w:p>
      <w:pPr>
        <w:pStyle w:val="BodyText"/>
        <w:spacing w:line="240" w:lineRule="auto" w:before="40"/>
        <w:ind w:right="0"/>
        <w:jc w:val="left"/>
      </w:pPr>
      <w:r>
        <w:rPr/>
        <w:t>报告期内公司主要资产计量属性是否发生重大变化</w:t>
      </w:r>
    </w:p>
    <w:p>
      <w:pPr>
        <w:pStyle w:val="BodyText"/>
        <w:spacing w:line="319" w:lineRule="auto" w:before="125"/>
        <w:ind w:right="37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报告期内公司主要资产计量属性发生重大变化的原因说明及对其经营成果和财务状况影响</w:t>
      </w:r>
    </w:p>
    <w:p>
      <w:pPr>
        <w:pStyle w:val="BodyText"/>
        <w:spacing w:line="316" w:lineRule="auto" w:before="65"/>
        <w:ind w:right="1126" w:firstLine="360"/>
        <w:jc w:val="both"/>
      </w:pPr>
      <w:r>
        <w:rPr/>
        <w:t>按照</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日起相继颁布的企业会计准则</w:t>
      </w:r>
      <w:r>
        <w:rPr>
          <w:rFonts w:ascii="宋体" w:hAnsi="宋体" w:cs="宋体" w:eastAsia="宋体" w:hint="default"/>
        </w:rPr>
        <w:t>22</w:t>
      </w:r>
      <w:r>
        <w:rPr/>
        <w:t>号、企业会计准则</w:t>
      </w:r>
      <w:r>
        <w:rPr>
          <w:rFonts w:ascii="宋体" w:hAnsi="宋体" w:cs="宋体" w:eastAsia="宋体" w:hint="default"/>
        </w:rPr>
        <w:t>23</w:t>
      </w:r>
      <w:r>
        <w:rPr/>
        <w:t>号、企业会计准则</w:t>
      </w:r>
      <w:r>
        <w:rPr>
          <w:rFonts w:ascii="宋体" w:hAnsi="宋体" w:cs="宋体" w:eastAsia="宋体" w:hint="default"/>
        </w:rPr>
        <w:t>24</w:t>
      </w:r>
      <w:r>
        <w:rPr/>
        <w:t>号、企业会计准则</w:t>
      </w:r>
      <w:r>
        <w:rPr>
          <w:rFonts w:ascii="宋体" w:hAnsi="宋体" w:cs="宋体" w:eastAsia="宋体" w:hint="default"/>
        </w:rPr>
        <w:t>37</w:t>
      </w:r>
      <w:r>
        <w:rPr/>
        <w:t>号等新 金融工具系列准则和应用指南的要求（以下简称：新金融工具系列准则）以及</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日颁布的《关于修订印发</w:t>
      </w:r>
      <w:r>
        <w:rPr>
          <w:rFonts w:ascii="宋体" w:hAnsi="宋体" w:cs="宋体" w:eastAsia="宋体" w:hint="default"/>
        </w:rPr>
        <w:t>2019</w:t>
      </w:r>
      <w:r>
        <w:rPr/>
        <w:t>年</w:t>
      </w:r>
      <w:r>
        <w:rPr>
          <w:spacing w:val="-81"/>
        </w:rPr>
        <w:t> </w:t>
      </w:r>
      <w:r>
        <w:rPr/>
        <w:t>度一般企业财务报表格式的通知》，国内</w:t>
      </w:r>
      <w:r>
        <w:rPr>
          <w:rFonts w:ascii="宋体" w:hAnsi="宋体" w:cs="宋体" w:eastAsia="宋体" w:hint="default"/>
        </w:rPr>
        <w:t>A</w:t>
      </w:r>
      <w:r>
        <w:rPr/>
        <w:t>股上市公司于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日起实施新金融工具系列准则及新的报表格式，本公司</w:t>
      </w:r>
      <w:r>
        <w:rPr>
          <w:spacing w:val="-86"/>
        </w:rPr>
        <w:t> </w:t>
      </w:r>
      <w:r>
        <w:rPr/>
        <w:t>根据新金融工具系列准则的要求，结合公司管理金融资产的业务模式和金融资产的合同现金流量特征：</w:t>
      </w:r>
    </w:p>
    <w:p>
      <w:pPr>
        <w:pStyle w:val="BodyText"/>
        <w:spacing w:line="316" w:lineRule="auto" w:before="22"/>
        <w:ind w:right="1128" w:firstLine="360"/>
        <w:jc w:val="both"/>
      </w:pPr>
      <w:r>
        <w:rPr>
          <w:rFonts w:ascii="宋体" w:hAnsi="宋体" w:cs="宋体" w:eastAsia="宋体" w:hint="default"/>
        </w:rPr>
        <w:t>1</w:t>
      </w:r>
      <w:r>
        <w:rPr/>
        <w:t>）本报告期对以前年度采用成本法计量的可供出售金融资产按照新的金融工具准则，在初始确认时指定为以公允价值 </w:t>
      </w:r>
      <w:r>
        <w:rPr>
          <w:spacing w:val="-2"/>
        </w:rPr>
        <w:t>计量且其变动计入其他综合收益的金融资产，并对期初数进行了调整，即期初数由原来成本法计量的可供出售金融资产，金</w:t>
      </w:r>
      <w:r>
        <w:rPr>
          <w:spacing w:val="-68"/>
        </w:rPr>
        <w:t> </w:t>
      </w:r>
      <w:r>
        <w:rPr>
          <w:spacing w:val="-68"/>
        </w:rPr>
      </w:r>
      <w:r>
        <w:rPr>
          <w:spacing w:val="-2"/>
        </w:rPr>
        <w:t>额</w:t>
      </w:r>
      <w:r>
        <w:rPr>
          <w:rFonts w:ascii="宋体" w:hAnsi="宋体" w:cs="宋体" w:eastAsia="宋体" w:hint="default"/>
          <w:spacing w:val="-2"/>
        </w:rPr>
        <w:t>100,153,850.00</w:t>
      </w:r>
      <w:r>
        <w:rPr>
          <w:spacing w:val="-2"/>
        </w:rPr>
        <w:t>元，调整为新的以公允价值计量且其变动计入当期损益的金融资产，按照其流动性通过报表项目其他非流</w:t>
      </w:r>
      <w:r>
        <w:rPr>
          <w:spacing w:val="-51"/>
        </w:rPr>
        <w:t> </w:t>
      </w:r>
      <w:r>
        <w:rPr>
          <w:spacing w:val="-51"/>
        </w:rPr>
      </w:r>
      <w:r>
        <w:rPr/>
        <w:t>动金融资产列报，期初数为</w:t>
      </w:r>
      <w:r>
        <w:rPr>
          <w:rFonts w:ascii="宋体" w:hAnsi="宋体" w:cs="宋体" w:eastAsia="宋体" w:hint="default"/>
        </w:rPr>
        <w:t>109,041,334.15</w:t>
      </w:r>
      <w:r>
        <w:rPr/>
        <w:t>元；</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日，公允价值变动余额</w:t>
      </w:r>
      <w:r>
        <w:rPr>
          <w:rFonts w:ascii="宋体" w:hAnsi="宋体" w:cs="宋体" w:eastAsia="宋体" w:hint="default"/>
        </w:rPr>
        <w:t>21,375,950.26</w:t>
      </w:r>
      <w:r>
        <w:rPr/>
        <w:t>元，期末其他非流动金</w:t>
      </w:r>
      <w:r>
        <w:rPr>
          <w:spacing w:val="-85"/>
        </w:rPr>
        <w:t> </w:t>
      </w:r>
      <w:r>
        <w:rPr/>
        <w:t>融资产余额为</w:t>
      </w:r>
      <w:r>
        <w:rPr>
          <w:rFonts w:ascii="宋体" w:hAnsi="宋体" w:cs="宋体" w:eastAsia="宋体" w:hint="default"/>
        </w:rPr>
        <w:t>391,693,146.87</w:t>
      </w:r>
      <w:r>
        <w:rPr/>
        <w:t>元；</w:t>
      </w:r>
    </w:p>
    <w:p>
      <w:pPr>
        <w:pStyle w:val="BodyText"/>
        <w:spacing w:line="316" w:lineRule="auto" w:before="22"/>
        <w:ind w:right="1095" w:firstLine="360"/>
        <w:jc w:val="both"/>
      </w:pPr>
      <w:r>
        <w:rPr>
          <w:rFonts w:ascii="宋体" w:hAnsi="宋体" w:cs="宋体" w:eastAsia="宋体" w:hint="default"/>
        </w:rPr>
        <w:t>2</w:t>
      </w:r>
      <w:r>
        <w:rPr/>
        <w:t>）本报告期对本报告期对以前年度采用成本法计量的理财产品（其他流动资产列报）按照新的金融工具准则，在初始 </w:t>
      </w:r>
      <w:r>
        <w:rPr>
          <w:spacing w:val="-2"/>
        </w:rPr>
        <w:t>确认时重分类为以公允价值计量且其变动计入当期损益的金融资产，并对期初数进行了调整，即期初数由原来成本法计量的</w:t>
      </w:r>
      <w:r>
        <w:rPr>
          <w:spacing w:val="-72"/>
        </w:rPr>
        <w:t> </w:t>
      </w:r>
      <w:r>
        <w:rPr>
          <w:spacing w:val="-72"/>
        </w:rPr>
      </w:r>
      <w:r>
        <w:rPr>
          <w:spacing w:val="-4"/>
        </w:rPr>
        <w:t>理财产品（其他流动资产列报），金额</w:t>
      </w:r>
      <w:r>
        <w:rPr>
          <w:rFonts w:ascii="宋体" w:hAnsi="宋体" w:cs="宋体" w:eastAsia="宋体" w:hint="default"/>
          <w:spacing w:val="-4"/>
        </w:rPr>
        <w:t>1,553,267,194.44</w:t>
      </w:r>
      <w:r>
        <w:rPr>
          <w:spacing w:val="-4"/>
        </w:rPr>
        <w:t>元，调整为新的以公允价值计量且其变动计入当期损益的金融资产，</w:t>
      </w:r>
      <w:r>
        <w:rPr>
          <w:spacing w:val="-68"/>
        </w:rPr>
        <w:t> </w:t>
      </w:r>
      <w:r>
        <w:rPr>
          <w:spacing w:val="-68"/>
        </w:rPr>
      </w:r>
      <w:r>
        <w:rPr/>
        <w:t>按照其流动性通过报表项目交易性金融资产列报，期初数为</w:t>
      </w:r>
      <w:r>
        <w:rPr>
          <w:rFonts w:ascii="宋体" w:hAnsi="宋体" w:cs="宋体" w:eastAsia="宋体" w:hint="default"/>
        </w:rPr>
        <w:t>1,566,036,218.89</w:t>
      </w:r>
      <w:r>
        <w:rPr/>
        <w:t>元，</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日，公允价值变动余额为</w:t>
      </w:r>
      <w:r>
        <w:rPr>
          <w:spacing w:val="1"/>
        </w:rPr>
        <w:t> </w:t>
      </w:r>
      <w:r>
        <w:rPr>
          <w:spacing w:val="1"/>
        </w:rPr>
      </w:r>
      <w:r>
        <w:rPr>
          <w:rFonts w:ascii="宋体" w:hAnsi="宋体" w:cs="宋体" w:eastAsia="宋体" w:hint="default"/>
        </w:rPr>
        <w:t>23,593,578.54</w:t>
      </w:r>
      <w:r>
        <w:rPr/>
        <w:t>元，期末交易性金融资产余额为</w:t>
      </w:r>
      <w:r>
        <w:rPr>
          <w:rFonts w:ascii="宋体" w:hAnsi="宋体" w:cs="宋体" w:eastAsia="宋体" w:hint="default"/>
        </w:rPr>
        <w:t>2,311,641,578.54</w:t>
      </w:r>
      <w:r>
        <w:rPr/>
        <w:t>元；</w:t>
      </w:r>
    </w:p>
    <w:p>
      <w:pPr>
        <w:pStyle w:val="BodyText"/>
        <w:spacing w:line="316" w:lineRule="auto" w:before="22"/>
        <w:ind w:right="1114" w:firstLine="360"/>
        <w:jc w:val="both"/>
      </w:pPr>
      <w:r>
        <w:rPr>
          <w:rFonts w:ascii="宋体" w:hAnsi="宋体" w:cs="宋体" w:eastAsia="宋体" w:hint="default"/>
        </w:rPr>
        <w:t>3</w:t>
      </w:r>
      <w:r>
        <w:rPr/>
        <w:t>）本报告期对本报告期对以前年度采用成本法计量的理财产品（其他流动资产和其他非流动资产列报）按照新的金融 </w:t>
      </w:r>
      <w:r>
        <w:rPr>
          <w:spacing w:val="-2"/>
        </w:rPr>
        <w:t>工具准则，在初始确认时重分类为以摊余成本计量的金融资产，并对期初数进行了调整，即期初数由原来成本法计量的理财</w:t>
      </w:r>
      <w:r>
        <w:rPr>
          <w:spacing w:val="-75"/>
        </w:rPr>
        <w:t> </w:t>
      </w:r>
      <w:r>
        <w:rPr>
          <w:spacing w:val="-75"/>
        </w:rPr>
      </w:r>
      <w:r>
        <w:rPr>
          <w:spacing w:val="-2"/>
        </w:rPr>
        <w:t>产品（其他流动资产和其他非流动资产列报），金额</w:t>
      </w:r>
      <w:r>
        <w:rPr>
          <w:rFonts w:ascii="宋体" w:hAnsi="宋体" w:cs="宋体" w:eastAsia="宋体" w:hint="default"/>
          <w:spacing w:val="-2"/>
        </w:rPr>
        <w:t>200,000,000.00</w:t>
      </w:r>
      <w:r>
        <w:rPr>
          <w:spacing w:val="-2"/>
        </w:rPr>
        <w:t>元，调整为新的以摊余成本计量的金融资产，按照其流</w:t>
      </w:r>
      <w:r>
        <w:rPr>
          <w:spacing w:val="-38"/>
        </w:rPr>
        <w:t> </w:t>
      </w:r>
      <w:r>
        <w:rPr>
          <w:spacing w:val="-38"/>
        </w:rPr>
      </w:r>
      <w:r>
        <w:rPr>
          <w:spacing w:val="-2"/>
        </w:rPr>
        <w:t>动性分别通过报表项目其他流动资产和债权投资列报，期初数分别为</w:t>
      </w:r>
      <w:r>
        <w:rPr>
          <w:rFonts w:ascii="宋体" w:hAnsi="宋体" w:cs="宋体" w:eastAsia="宋体" w:hint="default"/>
          <w:spacing w:val="-2"/>
        </w:rPr>
        <w:t>100,000,000.00</w:t>
      </w:r>
      <w:r>
        <w:rPr>
          <w:spacing w:val="-2"/>
        </w:rPr>
        <w:t>元和</w:t>
      </w:r>
      <w:r>
        <w:rPr>
          <w:rFonts w:ascii="宋体" w:hAnsi="宋体" w:cs="宋体" w:eastAsia="宋体" w:hint="default"/>
          <w:spacing w:val="-2"/>
        </w:rPr>
        <w:t>100,000,000.00</w:t>
      </w:r>
      <w:r>
        <w:rPr>
          <w:spacing w:val="-2"/>
        </w:rPr>
        <w:t>元，</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28"/>
        </w:rPr>
        <w:t> </w:t>
      </w:r>
      <w:r>
        <w:rPr/>
        <w:t>日，期末债权投资余额</w:t>
      </w:r>
      <w:r>
        <w:rPr>
          <w:rFonts w:ascii="宋体" w:hAnsi="宋体" w:cs="宋体" w:eastAsia="宋体" w:hint="default"/>
        </w:rPr>
        <w:t>455,450,636.86</w:t>
      </w:r>
      <w:r>
        <w:rPr/>
        <w:t>元。</w:t>
      </w:r>
    </w:p>
    <w:p>
      <w:pPr>
        <w:spacing w:after="0" w:line="316"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229"/>
        <w:gridCol w:w="3229"/>
        <w:gridCol w:w="3214"/>
      </w:tblGrid>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60"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60" w:right="0"/>
              <w:jc w:val="left"/>
              <w:rPr>
                <w:rFonts w:ascii="宋体" w:hAnsi="宋体" w:cs="宋体" w:eastAsia="宋体" w:hint="default"/>
                <w:sz w:val="18"/>
                <w:szCs w:val="18"/>
              </w:rPr>
            </w:pPr>
            <w:r>
              <w:rPr>
                <w:rFonts w:ascii="宋体" w:hAnsi="宋体" w:cs="宋体" w:eastAsia="宋体" w:hint="default"/>
                <w:sz w:val="18"/>
                <w:szCs w:val="18"/>
              </w:rPr>
              <w:t>年初余额（元）</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信用卡存款</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1,109,053.68</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1,105,686.70</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1,987.21</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24,790,972.71</w:t>
            </w: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1,000,000.00</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71,420,352.94</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98,672,192.98</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172,203,586.81</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25,896,659.41</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27" w:right="0"/>
              <w:jc w:val="left"/>
              <w:rPr>
                <w:rFonts w:ascii="Times New Roman" w:hAnsi="Times New Roman" w:cs="Times New Roman" w:eastAsia="Times New Roman" w:hint="default"/>
                <w:sz w:val="18"/>
                <w:szCs w:val="18"/>
              </w:rPr>
            </w:pPr>
            <w:r>
              <w:rPr>
                <w:rFonts w:ascii="Times New Roman"/>
                <w:sz w:val="18"/>
              </w:rPr>
              <w:t>454,076,525.00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92" w:right="0"/>
              <w:jc w:val="left"/>
              <w:rPr>
                <w:rFonts w:ascii="Times New Roman" w:hAnsi="Times New Roman" w:cs="Times New Roman" w:eastAsia="Times New Roman" w:hint="default"/>
                <w:sz w:val="18"/>
                <w:szCs w:val="18"/>
              </w:rPr>
            </w:pPr>
            <w:r>
              <w:rPr>
                <w:rFonts w:ascii="Times New Roman"/>
                <w:sz w:val="18"/>
              </w:rPr>
              <w:t>3,004,704,344.50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-84.89%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661"/>
        <w:gridCol w:w="2178"/>
        <w:gridCol w:w="286"/>
        <w:gridCol w:w="705"/>
        <w:gridCol w:w="436"/>
        <w:gridCol w:w="421"/>
        <w:gridCol w:w="705"/>
        <w:gridCol w:w="421"/>
        <w:gridCol w:w="571"/>
        <w:gridCol w:w="856"/>
        <w:gridCol w:w="286"/>
        <w:gridCol w:w="856"/>
        <w:gridCol w:w="270"/>
        <w:gridCol w:w="436"/>
        <w:gridCol w:w="495"/>
      </w:tblGrid>
      <w:tr>
        <w:trPr>
          <w:trHeight w:val="1336" w:hRule="exact"/>
        </w:trPr>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45" w:right="58"/>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58"/>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4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2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05" w:right="8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58"/>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2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58"/>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25" w:right="75"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2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44"/>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2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21" w:lineRule="auto" w:before="31"/>
              <w:ind w:left="30" w:right="28"/>
              <w:jc w:val="left"/>
              <w:rPr>
                <w:rFonts w:ascii="宋体" w:hAnsi="宋体" w:cs="宋体" w:eastAsia="宋体" w:hint="default"/>
                <w:sz w:val="18"/>
                <w:szCs w:val="18"/>
              </w:rPr>
            </w:pPr>
            <w:r>
              <w:rPr>
                <w:rFonts w:ascii="宋体" w:hAnsi="宋体" w:cs="宋体" w:eastAsia="宋体" w:hint="default"/>
                <w:sz w:val="18"/>
                <w:szCs w:val="18"/>
              </w:rPr>
              <w:t>（如 有）</w:t>
            </w:r>
          </w:p>
        </w:tc>
        <w:tc>
          <w:tcPr>
            <w:tcW w:w="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58"/>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21" w:lineRule="auto" w:before="31"/>
              <w:ind w:left="60" w:right="58"/>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4159"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5" w:right="88"/>
              <w:jc w:val="both"/>
              <w:rPr>
                <w:rFonts w:ascii="宋体" w:hAnsi="宋体" w:cs="宋体" w:eastAsia="宋体" w:hint="default"/>
                <w:sz w:val="18"/>
                <w:szCs w:val="18"/>
              </w:rPr>
            </w:pPr>
            <w:r>
              <w:rPr>
                <w:rFonts w:ascii="宋体" w:hAnsi="宋体" w:cs="宋体" w:eastAsia="宋体" w:hint="default"/>
                <w:sz w:val="18"/>
                <w:szCs w:val="18"/>
              </w:rPr>
              <w:t>曲水好 融车网 络科技 有限公 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5"/>
              <w:jc w:val="left"/>
              <w:rPr>
                <w:rFonts w:ascii="宋体" w:hAnsi="宋体" w:cs="宋体" w:eastAsia="宋体" w:hint="default"/>
                <w:sz w:val="18"/>
                <w:szCs w:val="18"/>
              </w:rPr>
            </w:pPr>
            <w:r>
              <w:rPr>
                <w:rFonts w:ascii="宋体" w:hAnsi="宋体" w:cs="宋体" w:eastAsia="宋体" w:hint="default"/>
                <w:sz w:val="18"/>
                <w:szCs w:val="18"/>
              </w:rPr>
              <w:t>从事与汽车相关的信息咨 </w:t>
            </w:r>
            <w:r>
              <w:rPr>
                <w:rFonts w:ascii="宋体" w:hAnsi="宋体" w:cs="宋体" w:eastAsia="宋体" w:hint="default"/>
                <w:spacing w:val="-3"/>
                <w:sz w:val="18"/>
                <w:szCs w:val="18"/>
              </w:rPr>
              <w:t>询服务、信息技术服务、交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易代理服务、汽车租赁</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汽车</w:t>
            </w:r>
            <w:r>
              <w:rPr>
                <w:rFonts w:ascii="宋体" w:hAnsi="宋体" w:cs="宋体" w:eastAsia="宋体" w:hint="default"/>
                <w:spacing w:val="-79"/>
                <w:sz w:val="18"/>
                <w:szCs w:val="18"/>
              </w:rPr>
              <w:t> </w:t>
            </w:r>
            <w:r>
              <w:rPr>
                <w:rFonts w:ascii="宋体" w:hAnsi="宋体" w:cs="宋体" w:eastAsia="宋体" w:hint="default"/>
                <w:sz w:val="18"/>
                <w:szCs w:val="18"/>
              </w:rPr>
              <w:t>及零配件的批发与零售</w:t>
            </w:r>
            <w:r>
              <w:rPr>
                <w:rFonts w:ascii="Times New Roman" w:hAnsi="Times New Roman" w:cs="Times New Roman" w:eastAsia="Times New Roman" w:hint="default"/>
                <w:sz w:val="18"/>
                <w:szCs w:val="18"/>
              </w:rPr>
              <w:t>;</w:t>
            </w:r>
            <w:r>
              <w:rPr>
                <w:rFonts w:ascii="宋体" w:hAnsi="宋体" w:cs="宋体" w:eastAsia="宋体" w:hint="default"/>
                <w:sz w:val="18"/>
                <w:szCs w:val="18"/>
              </w:rPr>
              <w:t>设</w:t>
            </w:r>
          </w:p>
          <w:p>
            <w:pPr>
              <w:pStyle w:val="TableParagraph"/>
              <w:spacing w:line="297" w:lineRule="auto" w:before="4"/>
              <w:ind w:left="15" w:right="15"/>
              <w:jc w:val="left"/>
              <w:rPr>
                <w:rFonts w:ascii="宋体" w:hAnsi="宋体" w:cs="宋体" w:eastAsia="宋体" w:hint="default"/>
                <w:sz w:val="18"/>
                <w:szCs w:val="18"/>
              </w:rPr>
            </w:pPr>
            <w:r>
              <w:rPr>
                <w:rFonts w:ascii="宋体" w:hAnsi="宋体" w:cs="宋体" w:eastAsia="宋体" w:hint="default"/>
                <w:spacing w:val="-7"/>
                <w:sz w:val="18"/>
                <w:szCs w:val="18"/>
              </w:rPr>
              <w:t>计、制作、代理、发布广告</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计算机信息科技领域内技 </w:t>
            </w:r>
            <w:r>
              <w:rPr>
                <w:rFonts w:ascii="宋体" w:hAnsi="宋体" w:cs="宋体" w:eastAsia="宋体" w:hint="default"/>
                <w:spacing w:val="-3"/>
                <w:sz w:val="18"/>
                <w:szCs w:val="18"/>
              </w:rPr>
              <w:t>术开发、技术服务、技术转</w:t>
            </w:r>
          </w:p>
          <w:p>
            <w:pPr>
              <w:pStyle w:val="TableParagraph"/>
              <w:spacing w:line="304" w:lineRule="auto" w:before="52"/>
              <w:ind w:left="15" w:right="-13"/>
              <w:jc w:val="left"/>
              <w:rPr>
                <w:rFonts w:ascii="宋体" w:hAnsi="宋体" w:cs="宋体" w:eastAsia="宋体" w:hint="default"/>
                <w:sz w:val="18"/>
                <w:szCs w:val="18"/>
              </w:rPr>
            </w:pPr>
            <w:r>
              <w:rPr>
                <w:rFonts w:ascii="宋体" w:hAnsi="宋体" w:cs="宋体" w:eastAsia="宋体" w:hint="default"/>
                <w:sz w:val="18"/>
                <w:szCs w:val="18"/>
              </w:rPr>
              <w:t>让</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企业管理、企业形象策 </w:t>
            </w:r>
            <w:r>
              <w:rPr>
                <w:rFonts w:ascii="宋体" w:hAnsi="宋体" w:cs="宋体" w:eastAsia="宋体" w:hint="default"/>
                <w:spacing w:val="-3"/>
                <w:sz w:val="18"/>
                <w:szCs w:val="18"/>
              </w:rPr>
              <w:t>划、市场营销策划、商务信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息服务、会议及展览服务。</w:t>
            </w:r>
          </w:p>
          <w:p>
            <w:pPr>
              <w:pStyle w:val="TableParagraph"/>
              <w:spacing w:line="304" w:lineRule="auto" w:before="31"/>
              <w:ind w:left="15" w:right="118"/>
              <w:jc w:val="both"/>
              <w:rPr>
                <w:rFonts w:ascii="宋体" w:hAnsi="宋体" w:cs="宋体" w:eastAsia="宋体" w:hint="default"/>
                <w:sz w:val="18"/>
                <w:szCs w:val="18"/>
              </w:rPr>
            </w:pPr>
            <w:r>
              <w:rPr>
                <w:rFonts w:ascii="宋体" w:hAnsi="宋体" w:cs="宋体" w:eastAsia="宋体" w:hint="default"/>
                <w:sz w:val="18"/>
                <w:szCs w:val="18"/>
              </w:rPr>
              <w:t>【依法须经批准的项目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 相关部门批准后依批准的 </w:t>
            </w:r>
            <w:r>
              <w:rPr>
                <w:rFonts w:ascii="宋体" w:hAnsi="宋体" w:cs="宋体" w:eastAsia="宋体" w:hint="default"/>
                <w:spacing w:val="-9"/>
                <w:sz w:val="18"/>
                <w:szCs w:val="18"/>
              </w:rPr>
              <w:t>内容开展经营活动。】</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1" w:lineRule="auto"/>
              <w:ind w:left="15" w:right="73"/>
              <w:jc w:val="left"/>
              <w:rPr>
                <w:rFonts w:ascii="宋体" w:hAnsi="宋体" w:cs="宋体" w:eastAsia="宋体" w:hint="default"/>
                <w:sz w:val="18"/>
                <w:szCs w:val="18"/>
              </w:rPr>
            </w:pPr>
            <w:r>
              <w:rPr>
                <w:rFonts w:ascii="宋体" w:hAnsi="宋体" w:cs="宋体" w:eastAsia="宋体" w:hint="default"/>
                <w:sz w:val="18"/>
                <w:szCs w:val="18"/>
              </w:rPr>
              <w:t>其 他</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10,428,0</w:t>
            </w:r>
          </w:p>
          <w:p>
            <w:pPr>
              <w:pStyle w:val="TableParagraph"/>
              <w:spacing w:line="240" w:lineRule="auto" w:before="108"/>
              <w:ind w:left="269" w:right="0"/>
              <w:jc w:val="left"/>
              <w:rPr>
                <w:rFonts w:ascii="Times New Roman" w:hAnsi="Times New Roman" w:cs="Times New Roman" w:eastAsia="Times New Roman" w:hint="default"/>
                <w:sz w:val="18"/>
                <w:szCs w:val="18"/>
              </w:rPr>
            </w:pPr>
            <w:r>
              <w:rPr>
                <w:rFonts w:ascii="Times New Roman"/>
                <w:sz w:val="18"/>
              </w:rPr>
              <w:t>00.00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9" w:right="164"/>
              <w:jc w:val="both"/>
              <w:rPr>
                <w:rFonts w:ascii="宋体" w:hAnsi="宋体" w:cs="宋体" w:eastAsia="宋体" w:hint="default"/>
                <w:sz w:val="18"/>
                <w:szCs w:val="18"/>
              </w:rPr>
            </w:pPr>
            <w:r>
              <w:rPr>
                <w:rFonts w:ascii="宋体" w:hAnsi="宋体" w:cs="宋体" w:eastAsia="宋体" w:hint="default"/>
                <w:sz w:val="18"/>
                <w:szCs w:val="18"/>
              </w:rPr>
              <w:t>汽车 信息 咨询 服务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4" w:lineRule="auto"/>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17,085,06</w:t>
            </w:r>
          </w:p>
          <w:p>
            <w:pPr>
              <w:pStyle w:val="TableParagraph"/>
              <w:spacing w:line="240" w:lineRule="auto" w:before="108"/>
              <w:ind w:left="495" w:right="0"/>
              <w:jc w:val="left"/>
              <w:rPr>
                <w:rFonts w:ascii="Times New Roman" w:hAnsi="Times New Roman" w:cs="Times New Roman" w:eastAsia="Times New Roman" w:hint="default"/>
                <w:sz w:val="18"/>
                <w:szCs w:val="18"/>
              </w:rPr>
            </w:pPr>
            <w:r>
              <w:rPr>
                <w:rFonts w:ascii="Times New Roman"/>
                <w:sz w:val="18"/>
              </w:rPr>
              <w:t>6.83</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975"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87"/>
              <w:ind w:left="15" w:right="29"/>
              <w:jc w:val="both"/>
              <w:rPr>
                <w:rFonts w:ascii="Times New Roman" w:hAnsi="Times New Roman" w:cs="Times New Roman" w:eastAsia="Times New Roman" w:hint="default"/>
                <w:sz w:val="18"/>
                <w:szCs w:val="18"/>
              </w:rPr>
            </w:pPr>
            <w:r>
              <w:rPr>
                <w:rFonts w:ascii="Times New Roman"/>
                <w:sz w:val="18"/>
              </w:rPr>
              <w:t>Ruifeng</w:t>
            </w:r>
            <w:r>
              <w:rPr>
                <w:rFonts w:ascii="Times New Roman"/>
                <w:spacing w:val="-41"/>
                <w:sz w:val="18"/>
              </w:rPr>
              <w:t> </w:t>
            </w:r>
            <w:r>
              <w:rPr>
                <w:rFonts w:ascii="Times New Roman"/>
                <w:spacing w:val="-41"/>
                <w:sz w:val="18"/>
              </w:rPr>
            </w:r>
            <w:r>
              <w:rPr>
                <w:rFonts w:ascii="Times New Roman"/>
                <w:spacing w:val="-3"/>
                <w:sz w:val="18"/>
              </w:rPr>
              <w:t>Technol</w:t>
            </w:r>
            <w:r>
              <w:rPr>
                <w:rFonts w:ascii="Times New Roman"/>
                <w:spacing w:val="-39"/>
                <w:sz w:val="18"/>
              </w:rPr>
              <w:t> </w:t>
            </w:r>
            <w:r>
              <w:rPr>
                <w:rFonts w:ascii="Times New Roman"/>
                <w:spacing w:val="-39"/>
                <w:sz w:val="18"/>
              </w:rPr>
            </w:r>
            <w:r>
              <w:rPr>
                <w:rFonts w:ascii="Times New Roman"/>
                <w:spacing w:val="-5"/>
                <w:sz w:val="18"/>
              </w:rPr>
              <w:t>ogy</w:t>
            </w:r>
            <w:r>
              <w:rPr>
                <w:rFonts w:ascii="Times New Roman"/>
                <w:spacing w:val="21"/>
                <w:sz w:val="18"/>
              </w:rPr>
              <w:t> </w:t>
            </w:r>
            <w:r>
              <w:rPr>
                <w:rFonts w:ascii="Times New Roman"/>
                <w:sz w:val="18"/>
              </w:rPr>
              <w:t>Pte.</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48" w:lineRule="auto"/>
              <w:ind w:left="15" w:right="311"/>
              <w:jc w:val="left"/>
              <w:rPr>
                <w:rFonts w:ascii="Times New Roman" w:hAnsi="Times New Roman" w:cs="Times New Roman" w:eastAsia="Times New Roman" w:hint="default"/>
                <w:sz w:val="18"/>
                <w:szCs w:val="18"/>
              </w:rPr>
            </w:pPr>
            <w:r>
              <w:rPr>
                <w:rFonts w:ascii="Times New Roman"/>
                <w:sz w:val="18"/>
              </w:rPr>
              <w:t>INTERNET</w:t>
            </w:r>
            <w:r>
              <w:rPr>
                <w:rFonts w:ascii="Times New Roman"/>
                <w:spacing w:val="-9"/>
                <w:sz w:val="18"/>
              </w:rPr>
              <w:t> </w:t>
            </w:r>
            <w:r>
              <w:rPr>
                <w:rFonts w:ascii="Times New Roman"/>
                <w:sz w:val="18"/>
              </w:rPr>
              <w:t>ACCEDSS</w:t>
            </w:r>
            <w:r>
              <w:rPr>
                <w:rFonts w:ascii="Times New Roman"/>
                <w:w w:val="99"/>
                <w:sz w:val="18"/>
              </w:rPr>
              <w:t> </w:t>
            </w:r>
            <w:r>
              <w:rPr>
                <w:rFonts w:ascii="Times New Roman"/>
                <w:sz w:val="18"/>
              </w:rPr>
              <w:t>PROVIDERS,INCLUDE</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15" w:right="73"/>
              <w:jc w:val="left"/>
              <w:rPr>
                <w:rFonts w:ascii="宋体" w:hAnsi="宋体" w:cs="宋体" w:eastAsia="宋体" w:hint="default"/>
                <w:sz w:val="18"/>
                <w:szCs w:val="18"/>
              </w:rPr>
            </w:pPr>
            <w:r>
              <w:rPr>
                <w:rFonts w:ascii="宋体" w:hAnsi="宋体" w:cs="宋体" w:eastAsia="宋体" w:hint="default"/>
                <w:sz w:val="18"/>
                <w:szCs w:val="18"/>
              </w:rPr>
              <w:t>增 资</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3,365,35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29" w:right="164"/>
              <w:jc w:val="both"/>
              <w:rPr>
                <w:rFonts w:ascii="宋体" w:hAnsi="宋体" w:cs="宋体" w:eastAsia="宋体" w:hint="default"/>
                <w:sz w:val="18"/>
                <w:szCs w:val="18"/>
              </w:rPr>
            </w:pPr>
            <w:r>
              <w:rPr>
                <w:rFonts w:ascii="宋体" w:hAnsi="宋体" w:cs="宋体" w:eastAsia="宋体" w:hint="default"/>
                <w:sz w:val="18"/>
                <w:szCs w:val="18"/>
              </w:rPr>
              <w:t>投资 管理 咨询</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0" w:right="88"/>
              <w:jc w:val="left"/>
              <w:rPr>
                <w:rFonts w:ascii="宋体" w:hAnsi="宋体" w:cs="宋体" w:eastAsia="宋体" w:hint="default"/>
                <w:sz w:val="18"/>
                <w:szCs w:val="18"/>
              </w:rPr>
            </w:pPr>
            <w:r>
              <w:rPr>
                <w:rFonts w:ascii="宋体" w:hAnsi="宋体" w:cs="宋体" w:eastAsia="宋体" w:hint="default"/>
                <w:sz w:val="18"/>
                <w:szCs w:val="18"/>
              </w:rPr>
              <w:t>已完成相 应的工商</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-2,723,016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.86</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199pt;margin-top:463.149994pt;width:13.55pt;height:217.7pt;mso-position-horizontal-relative:page;mso-position-vertical-relative:page;z-index:-1159864" coordorigin="3980,9263" coordsize="271,4354">
            <v:group style="position:absolute;left:3980;top:9263;width:271;height:3123" coordorigin="3980,9263" coordsize="271,3123">
              <v:shape style="position:absolute;left:3980;top:9263;width:271;height:3123" coordorigin="3980,9263" coordsize="271,3123" path="m3980,12386l4251,12386,4251,9263,3980,9263,3980,12386xe" filled="true" fillcolor="#ffffff" stroked="false">
                <v:path arrowok="t"/>
                <v:fill type="solid"/>
              </v:shape>
            </v:group>
            <v:group style="position:absolute;left:3980;top:12386;width:271;height:1231" coordorigin="3980,12386" coordsize="271,1231">
              <v:shape style="position:absolute;left:3980;top:12386;width:271;height:1231" coordorigin="3980,12386" coordsize="271,1231" path="m3980,13617l4251,13617,4251,12386,3980,12386,3980,13617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661"/>
        <w:gridCol w:w="2178"/>
        <w:gridCol w:w="286"/>
        <w:gridCol w:w="705"/>
        <w:gridCol w:w="436"/>
        <w:gridCol w:w="421"/>
        <w:gridCol w:w="705"/>
        <w:gridCol w:w="421"/>
        <w:gridCol w:w="571"/>
        <w:gridCol w:w="856"/>
        <w:gridCol w:w="286"/>
        <w:gridCol w:w="856"/>
        <w:gridCol w:w="270"/>
        <w:gridCol w:w="436"/>
        <w:gridCol w:w="495"/>
      </w:tblGrid>
      <w:tr>
        <w:trPr>
          <w:trHeight w:val="360"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Ltd.</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ISPS</w:t>
            </w:r>
            <w:r>
              <w:rPr>
                <w:rFonts w:ascii="宋体" w:hAnsi="宋体" w:cs="宋体" w:eastAsia="宋体" w:hint="default"/>
                <w:sz w:val="18"/>
                <w:szCs w:val="18"/>
              </w:rPr>
              <w:t>（</w:t>
            </w:r>
            <w:r>
              <w:rPr>
                <w:rFonts w:ascii="Times New Roman" w:hAnsi="Times New Roman" w:cs="Times New Roman" w:eastAsia="Times New Roman" w:hint="default"/>
                <w:sz w:val="18"/>
                <w:szCs w:val="18"/>
              </w:rPr>
              <w:t>61092</w:t>
            </w:r>
            <w:r>
              <w:rPr>
                <w:rFonts w:ascii="宋体" w:hAnsi="宋体" w:cs="宋体" w:eastAsia="宋体" w:hint="default"/>
                <w:sz w:val="18"/>
                <w:szCs w:val="18"/>
              </w:rPr>
              <w:t>）</w:t>
            </w:r>
          </w:p>
        </w:tc>
        <w:tc>
          <w:tcPr>
            <w:tcW w:w="286"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27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15" w:right="43"/>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41"/>
                <w:sz w:val="18"/>
              </w:rPr>
              <w:t> </w:t>
            </w:r>
            <w:r>
              <w:rPr>
                <w:rFonts w:ascii="Times New Roman"/>
                <w:spacing w:val="-41"/>
                <w:sz w:val="18"/>
              </w:rPr>
            </w:r>
            <w:r>
              <w:rPr>
                <w:rFonts w:ascii="Times New Roman"/>
                <w:spacing w:val="-5"/>
                <w:sz w:val="18"/>
              </w:rPr>
              <w:t>Wealth</w:t>
            </w:r>
            <w:r>
              <w:rPr>
                <w:rFonts w:ascii="Times New Roman"/>
                <w:spacing w:val="-41"/>
                <w:sz w:val="18"/>
              </w:rPr>
              <w:t> </w:t>
            </w:r>
            <w:r>
              <w:rPr>
                <w:rFonts w:ascii="Times New Roman"/>
                <w:spacing w:val="-41"/>
                <w:sz w:val="18"/>
              </w:rPr>
            </w:r>
            <w:r>
              <w:rPr>
                <w:rFonts w:ascii="Times New Roman"/>
                <w:sz w:val="18"/>
              </w:rPr>
              <w:t>Manage</w:t>
            </w:r>
            <w:r>
              <w:rPr>
                <w:rFonts w:ascii="Times New Roman"/>
                <w:sz w:val="18"/>
              </w:rPr>
              <w:t> </w:t>
            </w:r>
            <w:r>
              <w:rPr>
                <w:rFonts w:ascii="Times New Roman"/>
                <w:spacing w:val="-3"/>
                <w:sz w:val="18"/>
              </w:rPr>
              <w:t>ment</w:t>
            </w:r>
            <w:r>
              <w:rPr>
                <w:rFonts w:ascii="Times New Roman"/>
                <w:spacing w:val="-43"/>
                <w:sz w:val="18"/>
              </w:rPr>
              <w:t> </w:t>
            </w:r>
            <w:r>
              <w:rPr>
                <w:rFonts w:ascii="Times New Roman"/>
                <w:spacing w:val="-43"/>
                <w:sz w:val="18"/>
              </w:rPr>
            </w:r>
            <w:r>
              <w:rPr>
                <w:rFonts w:ascii="Times New Roman"/>
                <w:sz w:val="18"/>
              </w:rPr>
              <w:t>Pte.</w:t>
            </w:r>
          </w:p>
          <w:p>
            <w:pPr>
              <w:pStyle w:val="TableParagraph"/>
              <w:spacing w:line="200" w:lineRule="exact"/>
              <w:ind w:left="15" w:right="0"/>
              <w:jc w:val="left"/>
              <w:rPr>
                <w:rFonts w:ascii="Times New Roman" w:hAnsi="Times New Roman" w:cs="Times New Roman" w:eastAsia="Times New Roman" w:hint="default"/>
                <w:sz w:val="18"/>
                <w:szCs w:val="18"/>
              </w:rPr>
            </w:pPr>
            <w:r>
              <w:rPr>
                <w:rFonts w:ascii="Times New Roman"/>
                <w:sz w:val="18"/>
              </w:rPr>
              <w:t>Ltd.</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64" w:lineRule="auto"/>
              <w:ind w:left="15" w:right="256"/>
              <w:jc w:val="left"/>
              <w:rPr>
                <w:rFonts w:ascii="Times New Roman" w:hAnsi="Times New Roman" w:cs="Times New Roman" w:eastAsia="Times New Roman" w:hint="default"/>
                <w:sz w:val="18"/>
                <w:szCs w:val="18"/>
              </w:rPr>
            </w:pPr>
            <w:r>
              <w:rPr>
                <w:rFonts w:ascii="Times New Roman"/>
                <w:sz w:val="18"/>
              </w:rPr>
              <w:t>ASSET/PORTFOLIO</w:t>
            </w:r>
            <w:r>
              <w:rPr>
                <w:rFonts w:ascii="Times New Roman"/>
                <w:w w:val="99"/>
                <w:sz w:val="18"/>
              </w:rPr>
              <w:t> </w:t>
            </w:r>
            <w:r>
              <w:rPr>
                <w:rFonts w:ascii="Times New Roman"/>
                <w:sz w:val="18"/>
              </w:rPr>
              <w:t>MANAGEMENT(66301)</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73"/>
              <w:jc w:val="left"/>
              <w:rPr>
                <w:rFonts w:ascii="宋体" w:hAnsi="宋体" w:cs="宋体" w:eastAsia="宋体" w:hint="default"/>
                <w:sz w:val="18"/>
                <w:szCs w:val="18"/>
              </w:rPr>
            </w:pPr>
            <w:r>
              <w:rPr>
                <w:rFonts w:ascii="宋体" w:hAnsi="宋体" w:cs="宋体" w:eastAsia="宋体" w:hint="default"/>
                <w:sz w:val="18"/>
                <w:szCs w:val="18"/>
              </w:rPr>
              <w:t>增 资</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1,729,87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9" w:right="164"/>
              <w:jc w:val="both"/>
              <w:rPr>
                <w:rFonts w:ascii="宋体" w:hAnsi="宋体" w:cs="宋体" w:eastAsia="宋体" w:hint="default"/>
                <w:sz w:val="18"/>
                <w:szCs w:val="18"/>
              </w:rPr>
            </w:pPr>
            <w:r>
              <w:rPr>
                <w:rFonts w:ascii="宋体" w:hAnsi="宋体" w:cs="宋体" w:eastAsia="宋体" w:hint="default"/>
                <w:sz w:val="18"/>
                <w:szCs w:val="18"/>
              </w:rPr>
              <w:t>投资 管理 咨询 行业</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-1,287,266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.78</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1652"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88"/>
              <w:jc w:val="both"/>
              <w:rPr>
                <w:rFonts w:ascii="宋体" w:hAnsi="宋体" w:cs="宋体" w:eastAsia="宋体" w:hint="default"/>
                <w:sz w:val="18"/>
                <w:szCs w:val="18"/>
              </w:rPr>
            </w:pPr>
            <w:r>
              <w:rPr>
                <w:rFonts w:ascii="宋体" w:hAnsi="宋体" w:cs="宋体" w:eastAsia="宋体" w:hint="default"/>
                <w:sz w:val="18"/>
                <w:szCs w:val="18"/>
              </w:rPr>
              <w:t>芜湖畅 想小额 贷款有 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44"/>
              <w:jc w:val="left"/>
              <w:rPr>
                <w:rFonts w:ascii="宋体" w:hAnsi="宋体" w:cs="宋体" w:eastAsia="宋体" w:hint="default"/>
                <w:sz w:val="18"/>
                <w:szCs w:val="18"/>
              </w:rPr>
            </w:pPr>
            <w:r>
              <w:rPr>
                <w:rFonts w:ascii="宋体" w:hAnsi="宋体" w:cs="宋体" w:eastAsia="宋体" w:hint="default"/>
                <w:sz w:val="18"/>
                <w:szCs w:val="18"/>
              </w:rPr>
              <w:t>发放小额贷款</w:t>
            </w:r>
            <w:r>
              <w:rPr>
                <w:rFonts w:ascii="Times New Roman" w:hAnsi="Times New Roman" w:cs="Times New Roman" w:eastAsia="Times New Roman" w:hint="default"/>
                <w:sz w:val="18"/>
                <w:szCs w:val="18"/>
              </w:rPr>
              <w:t>(</w:t>
            </w:r>
            <w:r>
              <w:rPr>
                <w:rFonts w:ascii="宋体" w:hAnsi="宋体" w:cs="宋体" w:eastAsia="宋体" w:hint="default"/>
                <w:sz w:val="18"/>
                <w:szCs w:val="18"/>
              </w:rPr>
              <w:t>未经有权机 构批准不得开展互联网金</w:t>
            </w:r>
          </w:p>
          <w:p>
            <w:pPr>
              <w:pStyle w:val="TableParagraph"/>
              <w:spacing w:line="295" w:lineRule="auto" w:before="67"/>
              <w:ind w:left="15"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融业务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 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经相关部门批准后方 可开展经营活动</w:t>
            </w:r>
            <w:r>
              <w:rPr>
                <w:rFonts w:ascii="Times New Roman" w:hAnsi="Times New Roman" w:cs="Times New Roman" w:eastAsia="Times New Roman" w:hint="default"/>
                <w:sz w:val="18"/>
                <w:szCs w:val="18"/>
              </w:rPr>
              <w:t>)</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15" w:right="73"/>
              <w:jc w:val="left"/>
              <w:rPr>
                <w:rFonts w:ascii="宋体" w:hAnsi="宋体" w:cs="宋体" w:eastAsia="宋体" w:hint="default"/>
                <w:sz w:val="18"/>
                <w:szCs w:val="18"/>
              </w:rPr>
            </w:pPr>
            <w:r>
              <w:rPr>
                <w:rFonts w:ascii="宋体" w:hAnsi="宋体" w:cs="宋体" w:eastAsia="宋体" w:hint="default"/>
                <w:sz w:val="18"/>
                <w:szCs w:val="18"/>
              </w:rPr>
              <w:t>新 设</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44"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93"/>
              <w:ind w:left="269" w:right="0"/>
              <w:jc w:val="left"/>
              <w:rPr>
                <w:rFonts w:ascii="Times New Roman" w:hAnsi="Times New Roman" w:cs="Times New Roman" w:eastAsia="Times New Roman" w:hint="default"/>
                <w:sz w:val="18"/>
                <w:szCs w:val="18"/>
              </w:rPr>
            </w:pPr>
            <w:r>
              <w:rPr>
                <w:rFonts w:ascii="Times New Roman"/>
                <w:sz w:val="18"/>
              </w:rPr>
              <w:t>00.00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90"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上海博 想信息 服务有 限公司</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29" w:right="164"/>
              <w:jc w:val="both"/>
              <w:rPr>
                <w:rFonts w:ascii="宋体" w:hAnsi="宋体" w:cs="宋体" w:eastAsia="宋体" w:hint="default"/>
                <w:sz w:val="18"/>
                <w:szCs w:val="18"/>
              </w:rPr>
            </w:pPr>
            <w:r>
              <w:rPr>
                <w:rFonts w:ascii="宋体" w:hAnsi="宋体" w:cs="宋体" w:eastAsia="宋体" w:hint="default"/>
                <w:sz w:val="18"/>
                <w:szCs w:val="18"/>
              </w:rPr>
              <w:t>小额 贷款 业务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登记</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
              <w:jc w:val="right"/>
              <w:rPr>
                <w:rFonts w:ascii="Times New Roman" w:hAnsi="Times New Roman" w:cs="Times New Roman" w:eastAsia="Times New Roman" w:hint="default"/>
                <w:sz w:val="18"/>
                <w:szCs w:val="18"/>
              </w:rPr>
            </w:pPr>
            <w:r>
              <w:rPr>
                <w:rFonts w:ascii="Times New Roman"/>
                <w:sz w:val="18"/>
              </w:rPr>
              <w:t>1,599,918.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20</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6966"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15" w:right="88"/>
              <w:jc w:val="both"/>
              <w:rPr>
                <w:rFonts w:ascii="宋体" w:hAnsi="宋体" w:cs="宋体" w:eastAsia="宋体" w:hint="default"/>
                <w:sz w:val="18"/>
                <w:szCs w:val="18"/>
              </w:rPr>
            </w:pPr>
            <w:r>
              <w:rPr>
                <w:rFonts w:ascii="宋体" w:hAnsi="宋体" w:cs="宋体" w:eastAsia="宋体" w:hint="default"/>
                <w:sz w:val="18"/>
                <w:szCs w:val="18"/>
              </w:rPr>
              <w:t>贵州融 海融资 担保有 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5"/>
              <w:jc w:val="both"/>
              <w:rPr>
                <w:rFonts w:ascii="宋体" w:hAnsi="宋体" w:cs="宋体" w:eastAsia="宋体" w:hint="default"/>
                <w:sz w:val="18"/>
                <w:szCs w:val="18"/>
              </w:rPr>
            </w:pPr>
            <w:r>
              <w:rPr>
                <w:rFonts w:ascii="宋体" w:hAnsi="宋体" w:cs="宋体" w:eastAsia="宋体" w:hint="default"/>
                <w:spacing w:val="-3"/>
                <w:sz w:val="18"/>
                <w:szCs w:val="18"/>
              </w:rPr>
              <w:t>法律、法规、国务院决定规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定禁止的不得经营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法律、法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规、国务院决定规定应当许</w:t>
            </w:r>
          </w:p>
          <w:p>
            <w:pPr>
              <w:pStyle w:val="TableParagraph"/>
              <w:spacing w:line="300" w:lineRule="auto" w:before="46"/>
              <w:ind w:left="15" w:right="15"/>
              <w:jc w:val="left"/>
              <w:rPr>
                <w:rFonts w:ascii="宋体" w:hAnsi="宋体" w:cs="宋体" w:eastAsia="宋体" w:hint="default"/>
                <w:sz w:val="18"/>
                <w:szCs w:val="18"/>
              </w:rPr>
            </w:pPr>
            <w:r>
              <w:rPr>
                <w:rFonts w:ascii="宋体" w:hAnsi="宋体" w:cs="宋体" w:eastAsia="宋体" w:hint="default"/>
                <w:sz w:val="18"/>
                <w:szCs w:val="18"/>
              </w:rPr>
              <w:t>可</w:t>
            </w:r>
            <w:r>
              <w:rPr>
                <w:rFonts w:ascii="Times New Roman" w:hAnsi="Times New Roman" w:cs="Times New Roman" w:eastAsia="Times New Roman" w:hint="default"/>
                <w:sz w:val="18"/>
                <w:szCs w:val="18"/>
              </w:rPr>
              <w:t>(</w:t>
            </w:r>
            <w:r>
              <w:rPr>
                <w:rFonts w:ascii="宋体" w:hAnsi="宋体" w:cs="宋体" w:eastAsia="宋体" w:hint="default"/>
                <w:sz w:val="18"/>
                <w:szCs w:val="18"/>
              </w:rPr>
              <w:t>审批</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经审批机关批 准后凭许可</w:t>
            </w:r>
            <w:r>
              <w:rPr>
                <w:rFonts w:ascii="Times New Roman" w:hAnsi="Times New Roman" w:cs="Times New Roman" w:eastAsia="Times New Roman" w:hint="default"/>
                <w:sz w:val="18"/>
                <w:szCs w:val="18"/>
              </w:rPr>
              <w:t>(</w:t>
            </w:r>
            <w:r>
              <w:rPr>
                <w:rFonts w:ascii="宋体" w:hAnsi="宋体" w:cs="宋体" w:eastAsia="宋体" w:hint="default"/>
                <w:sz w:val="18"/>
                <w:szCs w:val="18"/>
              </w:rPr>
              <w:t>审批</w:t>
            </w:r>
            <w:r>
              <w:rPr>
                <w:rFonts w:ascii="Times New Roman" w:hAnsi="Times New Roman" w:cs="Times New Roman" w:eastAsia="Times New Roman" w:hint="default"/>
                <w:sz w:val="18"/>
                <w:szCs w:val="18"/>
              </w:rPr>
              <w:t>)</w:t>
            </w:r>
            <w:r>
              <w:rPr>
                <w:rFonts w:ascii="宋体" w:hAnsi="宋体" w:cs="宋体" w:eastAsia="宋体" w:hint="default"/>
                <w:sz w:val="18"/>
                <w:szCs w:val="18"/>
              </w:rPr>
              <w:t>文件经 </w:t>
            </w:r>
            <w:r>
              <w:rPr>
                <w:rFonts w:ascii="宋体" w:hAnsi="宋体" w:cs="宋体" w:eastAsia="宋体" w:hint="default"/>
                <w:spacing w:val="-8"/>
                <w:sz w:val="18"/>
                <w:szCs w:val="18"/>
              </w:rPr>
              <w:t>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法律、法规、国务院决定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规定无需许可</w:t>
            </w:r>
            <w:r>
              <w:rPr>
                <w:rFonts w:ascii="Times New Roman" w:hAnsi="Times New Roman" w:cs="Times New Roman" w:eastAsia="Times New Roman" w:hint="default"/>
                <w:sz w:val="18"/>
                <w:szCs w:val="18"/>
              </w:rPr>
              <w:t>(</w:t>
            </w:r>
            <w:r>
              <w:rPr>
                <w:rFonts w:ascii="宋体" w:hAnsi="宋体" w:cs="宋体" w:eastAsia="宋体" w:hint="default"/>
                <w:sz w:val="18"/>
                <w:szCs w:val="18"/>
              </w:rPr>
              <w:t>审批</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市 场主体自主选择经营。</w:t>
            </w:r>
            <w:r>
              <w:rPr>
                <w:rFonts w:ascii="Times New Roman" w:hAnsi="Times New Roman" w:cs="Times New Roman" w:eastAsia="Times New Roman" w:hint="default"/>
                <w:sz w:val="18"/>
                <w:szCs w:val="18"/>
              </w:rPr>
              <w:t>(</w:t>
            </w:r>
            <w:r>
              <w:rPr>
                <w:rFonts w:ascii="宋体" w:hAnsi="宋体" w:cs="宋体" w:eastAsia="宋体" w:hint="default"/>
                <w:sz w:val="18"/>
                <w:szCs w:val="18"/>
              </w:rPr>
              <w:t>主 营</w:t>
            </w:r>
            <w:r>
              <w:rPr>
                <w:rFonts w:ascii="Times New Roman" w:hAnsi="Times New Roman" w:cs="Times New Roman" w:eastAsia="Times New Roman" w:hint="default"/>
                <w:sz w:val="18"/>
                <w:szCs w:val="18"/>
              </w:rPr>
              <w:t>:</w:t>
            </w:r>
            <w:r>
              <w:rPr>
                <w:rFonts w:ascii="宋体" w:hAnsi="宋体" w:cs="宋体" w:eastAsia="宋体" w:hint="default"/>
                <w:sz w:val="18"/>
                <w:szCs w:val="18"/>
              </w:rPr>
              <w:t>贷款担保</w:t>
            </w:r>
            <w:r>
              <w:rPr>
                <w:rFonts w:ascii="Times New Roman" w:hAnsi="Times New Roman" w:cs="Times New Roman" w:eastAsia="Times New Roman" w:hint="default"/>
                <w:sz w:val="18"/>
                <w:szCs w:val="18"/>
              </w:rPr>
              <w:t>,</w:t>
            </w:r>
            <w:r>
              <w:rPr>
                <w:rFonts w:ascii="宋体" w:hAnsi="宋体" w:cs="宋体" w:eastAsia="宋体" w:hint="default"/>
                <w:sz w:val="18"/>
                <w:szCs w:val="18"/>
              </w:rPr>
              <w:t>票据承兑担保</w:t>
            </w:r>
            <w:r>
              <w:rPr>
                <w:rFonts w:ascii="Times New Roman" w:hAnsi="Times New Roman" w:cs="Times New Roman" w:eastAsia="Times New Roman" w:hint="default"/>
                <w:sz w:val="18"/>
                <w:szCs w:val="18"/>
              </w:rPr>
              <w:t>, </w:t>
            </w:r>
            <w:r>
              <w:rPr>
                <w:rFonts w:ascii="宋体" w:hAnsi="宋体" w:cs="宋体" w:eastAsia="宋体" w:hint="default"/>
                <w:sz w:val="18"/>
                <w:szCs w:val="18"/>
              </w:rPr>
              <w:t>贸易融资担保</w:t>
            </w:r>
            <w:r>
              <w:rPr>
                <w:rFonts w:ascii="Times New Roman" w:hAnsi="Times New Roman" w:cs="Times New Roman" w:eastAsia="Times New Roman" w:hint="default"/>
                <w:sz w:val="18"/>
                <w:szCs w:val="18"/>
              </w:rPr>
              <w:t>,</w:t>
            </w:r>
            <w:r>
              <w:rPr>
                <w:rFonts w:ascii="宋体" w:hAnsi="宋体" w:cs="宋体" w:eastAsia="宋体" w:hint="default"/>
                <w:sz w:val="18"/>
                <w:szCs w:val="18"/>
              </w:rPr>
              <w:t>项目融资担 保</w:t>
            </w:r>
            <w:r>
              <w:rPr>
                <w:rFonts w:ascii="Times New Roman" w:hAnsi="Times New Roman" w:cs="Times New Roman" w:eastAsia="Times New Roman" w:hint="default"/>
                <w:sz w:val="18"/>
                <w:szCs w:val="18"/>
              </w:rPr>
              <w:t>,</w:t>
            </w:r>
            <w:r>
              <w:rPr>
                <w:rFonts w:ascii="宋体" w:hAnsi="宋体" w:cs="宋体" w:eastAsia="宋体" w:hint="default"/>
                <w:sz w:val="18"/>
                <w:szCs w:val="18"/>
              </w:rPr>
              <w:t>信用证担保</w:t>
            </w:r>
            <w:r>
              <w:rPr>
                <w:rFonts w:ascii="Times New Roman" w:hAnsi="Times New Roman" w:cs="Times New Roman" w:eastAsia="Times New Roman" w:hint="default"/>
                <w:sz w:val="18"/>
                <w:szCs w:val="18"/>
              </w:rPr>
              <w:t>,</w:t>
            </w:r>
            <w:r>
              <w:rPr>
                <w:rFonts w:ascii="宋体" w:hAnsi="宋体" w:cs="宋体" w:eastAsia="宋体" w:hint="default"/>
                <w:sz w:val="18"/>
                <w:szCs w:val="18"/>
              </w:rPr>
              <w:t>其他融资性 </w:t>
            </w:r>
            <w:r>
              <w:rPr>
                <w:rFonts w:ascii="宋体" w:hAnsi="宋体" w:cs="宋体" w:eastAsia="宋体" w:hint="default"/>
                <w:spacing w:val="-8"/>
                <w:sz w:val="18"/>
                <w:szCs w:val="18"/>
              </w:rPr>
              <w:t>担保业务。兼营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诉讼保全担</w:t>
            </w:r>
            <w:r>
              <w:rPr>
                <w:rFonts w:ascii="宋体" w:hAnsi="宋体" w:cs="宋体" w:eastAsia="宋体" w:hint="default"/>
                <w:spacing w:val="-80"/>
                <w:sz w:val="18"/>
                <w:szCs w:val="18"/>
              </w:rPr>
              <w:t> </w:t>
            </w:r>
            <w:r>
              <w:rPr>
                <w:rFonts w:ascii="宋体" w:hAnsi="宋体" w:cs="宋体" w:eastAsia="宋体" w:hint="default"/>
                <w:sz w:val="18"/>
                <w:szCs w:val="18"/>
              </w:rPr>
              <w:t>保</w:t>
            </w:r>
            <w:r>
              <w:rPr>
                <w:rFonts w:ascii="Times New Roman" w:hAnsi="Times New Roman" w:cs="Times New Roman" w:eastAsia="Times New Roman" w:hint="default"/>
                <w:sz w:val="18"/>
                <w:szCs w:val="18"/>
              </w:rPr>
              <w:t>,</w:t>
            </w:r>
            <w:r>
              <w:rPr>
                <w:rFonts w:ascii="宋体" w:hAnsi="宋体" w:cs="宋体" w:eastAsia="宋体" w:hint="default"/>
                <w:sz w:val="18"/>
                <w:szCs w:val="18"/>
              </w:rPr>
              <w:t>投标担保、预付款担保 </w:t>
            </w:r>
            <w:r>
              <w:rPr>
                <w:rFonts w:ascii="宋体" w:hAnsi="宋体" w:cs="宋体" w:eastAsia="宋体" w:hint="default"/>
                <w:spacing w:val="-3"/>
                <w:sz w:val="18"/>
                <w:szCs w:val="18"/>
              </w:rPr>
              <w:t>工程履约担保、尾付款如约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偿付担保等履约担保业务</w:t>
            </w:r>
            <w:r>
              <w:rPr>
                <w:rFonts w:ascii="Times New Roman" w:hAnsi="Times New Roman" w:cs="Times New Roman" w:eastAsia="Times New Roman" w:hint="default"/>
                <w:sz w:val="18"/>
                <w:szCs w:val="18"/>
              </w:rPr>
              <w:t>, </w:t>
            </w:r>
            <w:r>
              <w:rPr>
                <w:rFonts w:ascii="宋体" w:hAnsi="宋体" w:cs="宋体" w:eastAsia="宋体" w:hint="default"/>
                <w:sz w:val="18"/>
                <w:szCs w:val="18"/>
              </w:rPr>
              <w:t>与担保业务有关的融资咨</w:t>
            </w:r>
          </w:p>
          <w:p>
            <w:pPr>
              <w:pStyle w:val="TableParagraph"/>
              <w:spacing w:line="312" w:lineRule="auto" w:before="50"/>
              <w:ind w:left="15" w:right="104"/>
              <w:jc w:val="left"/>
              <w:rPr>
                <w:rFonts w:ascii="宋体" w:hAnsi="宋体" w:cs="宋体" w:eastAsia="宋体" w:hint="default"/>
                <w:sz w:val="18"/>
                <w:szCs w:val="18"/>
              </w:rPr>
            </w:pPr>
            <w:r>
              <w:rPr>
                <w:rFonts w:ascii="宋体" w:hAnsi="宋体" w:cs="宋体" w:eastAsia="宋体" w:hint="default"/>
                <w:sz w:val="18"/>
                <w:szCs w:val="18"/>
              </w:rPr>
              <w:t>询、财务顾问等中介服务</w:t>
            </w:r>
            <w:r>
              <w:rPr>
                <w:rFonts w:ascii="Times New Roman" w:hAnsi="Times New Roman" w:cs="Times New Roman" w:eastAsia="Times New Roman" w:hint="default"/>
                <w:sz w:val="18"/>
                <w:szCs w:val="18"/>
              </w:rPr>
              <w:t>; </w:t>
            </w:r>
            <w:r>
              <w:rPr>
                <w:rFonts w:ascii="宋体" w:hAnsi="宋体" w:cs="宋体" w:eastAsia="宋体" w:hint="default"/>
                <w:sz w:val="18"/>
                <w:szCs w:val="18"/>
              </w:rPr>
              <w:t>以及使用不高于净资产 </w:t>
            </w:r>
            <w:r>
              <w:rPr>
                <w:rFonts w:ascii="Times New Roman" w:hAnsi="Times New Roman" w:cs="Times New Roman" w:eastAsia="Times New Roman" w:hint="default"/>
                <w:sz w:val="18"/>
                <w:szCs w:val="18"/>
              </w:rPr>
              <w:t>20%</w:t>
            </w:r>
            <w:r>
              <w:rPr>
                <w:rFonts w:ascii="宋体" w:hAnsi="宋体" w:cs="宋体" w:eastAsia="宋体" w:hint="default"/>
                <w:sz w:val="18"/>
                <w:szCs w:val="18"/>
              </w:rPr>
              <w:t>的自有资金进行符合</w:t>
            </w:r>
          </w:p>
          <w:p>
            <w:pPr>
              <w:pStyle w:val="TableParagraph"/>
              <w:spacing w:line="304" w:lineRule="auto"/>
              <w:ind w:left="15" w:right="104"/>
              <w:jc w:val="both"/>
              <w:rPr>
                <w:rFonts w:ascii="Times New Roman" w:hAnsi="Times New Roman" w:cs="Times New Roman" w:eastAsia="Times New Roman" w:hint="default"/>
                <w:sz w:val="18"/>
                <w:szCs w:val="18"/>
              </w:rPr>
            </w:pPr>
            <w:r>
              <w:rPr>
                <w:rFonts w:ascii="宋体" w:hAnsi="宋体" w:cs="宋体" w:eastAsia="宋体" w:hint="default"/>
                <w:sz w:val="18"/>
                <w:szCs w:val="18"/>
              </w:rPr>
              <w:t>规定的投资。</w:t>
            </w:r>
            <w:r>
              <w:rPr>
                <w:rFonts w:ascii="Times New Roman" w:hAnsi="Times New Roman" w:cs="Times New Roman" w:eastAsia="Times New Roman" w:hint="default"/>
                <w:sz w:val="18"/>
                <w:szCs w:val="18"/>
              </w:rPr>
              <w:t>(</w:t>
            </w:r>
            <w:r>
              <w:rPr>
                <w:rFonts w:ascii="宋体" w:hAnsi="宋体" w:cs="宋体" w:eastAsia="宋体" w:hint="default"/>
                <w:sz w:val="18"/>
                <w:szCs w:val="18"/>
              </w:rPr>
              <w:t>涉及许可经 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应取得相关部门许 可后方可经营</w:t>
            </w:r>
            <w:r>
              <w:rPr>
                <w:rFonts w:ascii="Times New Roman" w:hAnsi="Times New Roman" w:cs="Times New Roman" w:eastAsia="Times New Roman" w:hint="default"/>
                <w:sz w:val="18"/>
                <w:szCs w:val="18"/>
              </w:rPr>
              <w:t>)</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4" w:lineRule="auto"/>
              <w:ind w:left="15" w:right="73"/>
              <w:jc w:val="left"/>
              <w:rPr>
                <w:rFonts w:ascii="宋体" w:hAnsi="宋体" w:cs="宋体" w:eastAsia="宋体" w:hint="default"/>
                <w:sz w:val="18"/>
                <w:szCs w:val="18"/>
              </w:rPr>
            </w:pPr>
            <w:r>
              <w:rPr>
                <w:rFonts w:ascii="宋体" w:hAnsi="宋体" w:cs="宋体" w:eastAsia="宋体" w:hint="default"/>
                <w:sz w:val="18"/>
                <w:szCs w:val="18"/>
              </w:rPr>
              <w:t>新 设</w:t>
            </w:r>
          </w:p>
          <w:p>
            <w:pPr>
              <w:pStyle w:val="TableParagraph"/>
              <w:spacing w:line="240" w:lineRule="auto" w:before="46"/>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9"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000.00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4"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4"/>
              <w:ind w:left="29" w:right="164"/>
              <w:jc w:val="both"/>
              <w:rPr>
                <w:rFonts w:ascii="宋体" w:hAnsi="宋体" w:cs="宋体" w:eastAsia="宋体" w:hint="default"/>
                <w:sz w:val="18"/>
                <w:szCs w:val="18"/>
              </w:rPr>
            </w:pPr>
            <w:r>
              <w:rPr>
                <w:rFonts w:ascii="宋体" w:hAnsi="宋体" w:cs="宋体" w:eastAsia="宋体" w:hint="default"/>
                <w:sz w:val="18"/>
                <w:szCs w:val="18"/>
              </w:rPr>
              <w:t>融资 担保 业务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4"/>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登记</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30"/>
              <w:jc w:val="right"/>
              <w:rPr>
                <w:rFonts w:ascii="Times New Roman" w:hAnsi="Times New Roman" w:cs="Times New Roman" w:eastAsia="Times New Roman" w:hint="default"/>
                <w:sz w:val="18"/>
                <w:szCs w:val="18"/>
              </w:rPr>
            </w:pPr>
            <w:r>
              <w:rPr>
                <w:rFonts w:ascii="Times New Roman"/>
                <w:sz w:val="18"/>
              </w:rPr>
              <w:t>220,812.3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3168"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5" w:right="88"/>
              <w:jc w:val="both"/>
              <w:rPr>
                <w:rFonts w:ascii="宋体" w:hAnsi="宋体" w:cs="宋体" w:eastAsia="宋体" w:hint="default"/>
                <w:sz w:val="18"/>
                <w:szCs w:val="18"/>
              </w:rPr>
            </w:pPr>
            <w:r>
              <w:rPr>
                <w:rFonts w:ascii="宋体" w:hAnsi="宋体" w:cs="宋体" w:eastAsia="宋体" w:hint="default"/>
                <w:sz w:val="18"/>
                <w:szCs w:val="18"/>
              </w:rPr>
              <w:t>曲水惠 车网络 科技有 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5" w:right="15"/>
              <w:jc w:val="left"/>
              <w:rPr>
                <w:rFonts w:ascii="宋体" w:hAnsi="宋体" w:cs="宋体" w:eastAsia="宋体" w:hint="default"/>
                <w:sz w:val="18"/>
                <w:szCs w:val="18"/>
              </w:rPr>
            </w:pPr>
            <w:r>
              <w:rPr>
                <w:rFonts w:ascii="宋体" w:hAnsi="宋体" w:cs="宋体" w:eastAsia="宋体" w:hint="default"/>
                <w:sz w:val="18"/>
                <w:szCs w:val="18"/>
              </w:rPr>
              <w:t>网络科技开发</w:t>
            </w:r>
            <w:r>
              <w:rPr>
                <w:rFonts w:ascii="Times New Roman" w:hAnsi="Times New Roman" w:cs="Times New Roman" w:eastAsia="Times New Roman" w:hint="default"/>
                <w:sz w:val="18"/>
                <w:szCs w:val="18"/>
              </w:rPr>
              <w:t>;</w:t>
            </w:r>
            <w:r>
              <w:rPr>
                <w:rFonts w:ascii="宋体" w:hAnsi="宋体" w:cs="宋体" w:eastAsia="宋体" w:hint="default"/>
                <w:sz w:val="18"/>
                <w:szCs w:val="18"/>
              </w:rPr>
              <w:t>从事与汽车 </w:t>
            </w:r>
            <w:r>
              <w:rPr>
                <w:rFonts w:ascii="宋体" w:hAnsi="宋体" w:cs="宋体" w:eastAsia="宋体" w:hint="default"/>
                <w:spacing w:val="-3"/>
                <w:sz w:val="18"/>
                <w:szCs w:val="18"/>
              </w:rPr>
              <w:t>相关的信息咨询服务、信息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汽车租赁</w:t>
            </w:r>
            <w:r>
              <w:rPr>
                <w:rFonts w:ascii="Times New Roman" w:hAnsi="Times New Roman" w:cs="Times New Roman" w:eastAsia="Times New Roman" w:hint="default"/>
                <w:sz w:val="18"/>
                <w:szCs w:val="18"/>
              </w:rPr>
              <w:t>;</w:t>
            </w:r>
            <w:r>
              <w:rPr>
                <w:rFonts w:ascii="宋体" w:hAnsi="宋体" w:cs="宋体" w:eastAsia="宋体" w:hint="default"/>
                <w:sz w:val="18"/>
                <w:szCs w:val="18"/>
              </w:rPr>
              <w:t>汽车及 零配件的批发与零售</w:t>
            </w:r>
            <w:r>
              <w:rPr>
                <w:rFonts w:ascii="Times New Roman" w:hAnsi="Times New Roman" w:cs="Times New Roman" w:eastAsia="Times New Roman" w:hint="default"/>
                <w:sz w:val="18"/>
                <w:szCs w:val="18"/>
              </w:rPr>
              <w:t>;</w:t>
            </w:r>
            <w:r>
              <w:rPr>
                <w:rFonts w:ascii="宋体" w:hAnsi="宋体" w:cs="宋体" w:eastAsia="宋体" w:hint="default"/>
                <w:sz w:val="18"/>
                <w:szCs w:val="18"/>
              </w:rPr>
              <w:t>设计 </w:t>
            </w:r>
            <w:r>
              <w:rPr>
                <w:rFonts w:ascii="宋体" w:hAnsi="宋体" w:cs="宋体" w:eastAsia="宋体" w:hint="default"/>
                <w:spacing w:val="-8"/>
                <w:sz w:val="18"/>
                <w:szCs w:val="18"/>
              </w:rPr>
              <w:t>制作、代理、发布广告</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计算</w:t>
            </w:r>
            <w:r>
              <w:rPr>
                <w:rFonts w:ascii="宋体" w:hAnsi="宋体" w:cs="宋体" w:eastAsia="宋体" w:hint="default"/>
                <w:spacing w:val="-79"/>
                <w:sz w:val="18"/>
                <w:szCs w:val="18"/>
              </w:rPr>
              <w:t> </w:t>
            </w:r>
            <w:r>
              <w:rPr>
                <w:rFonts w:ascii="宋体" w:hAnsi="宋体" w:cs="宋体" w:eastAsia="宋体" w:hint="default"/>
                <w:sz w:val="18"/>
                <w:szCs w:val="18"/>
              </w:rPr>
              <w:t>机信息科技领域内技术开</w:t>
            </w:r>
          </w:p>
          <w:p>
            <w:pPr>
              <w:pStyle w:val="TableParagraph"/>
              <w:spacing w:line="297" w:lineRule="auto" w:before="48"/>
              <w:ind w:left="15" w:right="106"/>
              <w:jc w:val="left"/>
              <w:rPr>
                <w:rFonts w:ascii="宋体" w:hAnsi="宋体" w:cs="宋体" w:eastAsia="宋体" w:hint="default"/>
                <w:sz w:val="18"/>
                <w:szCs w:val="18"/>
              </w:rPr>
            </w:pPr>
            <w:r>
              <w:rPr>
                <w:rFonts w:ascii="宋体" w:hAnsi="宋体" w:cs="宋体" w:eastAsia="宋体" w:hint="default"/>
                <w:sz w:val="18"/>
                <w:szCs w:val="18"/>
              </w:rPr>
              <w:t>发、技术服务、技术转让</w:t>
            </w:r>
            <w:r>
              <w:rPr>
                <w:rFonts w:ascii="Times New Roman" w:hAnsi="Times New Roman" w:cs="Times New Roman" w:eastAsia="Times New Roman" w:hint="default"/>
                <w:sz w:val="18"/>
                <w:szCs w:val="18"/>
              </w:rPr>
              <w:t>; </w:t>
            </w:r>
            <w:r>
              <w:rPr>
                <w:rFonts w:ascii="宋体" w:hAnsi="宋体" w:cs="宋体" w:eastAsia="宋体" w:hint="default"/>
                <w:sz w:val="18"/>
                <w:szCs w:val="18"/>
              </w:rPr>
              <w:t>企业管理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不含投资管理和 投资咨询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企业形象策划</w:t>
            </w:r>
            <w:r>
              <w:rPr>
                <w:rFonts w:ascii="Times New Roman" w:hAnsi="Times New Roman" w:cs="Times New Roman" w:eastAsia="Times New Roman" w:hint="default"/>
                <w:sz w:val="18"/>
                <w:szCs w:val="18"/>
              </w:rPr>
              <w:t>; </w:t>
            </w:r>
            <w:r>
              <w:rPr>
                <w:rFonts w:ascii="宋体" w:hAnsi="宋体" w:cs="宋体" w:eastAsia="宋体" w:hint="default"/>
                <w:sz w:val="18"/>
                <w:szCs w:val="18"/>
              </w:rPr>
              <w:t>市场营销策划</w:t>
            </w:r>
            <w:r>
              <w:rPr>
                <w:rFonts w:ascii="Times New Roman" w:hAnsi="Times New Roman" w:cs="Times New Roman" w:eastAsia="Times New Roman" w:hint="default"/>
                <w:sz w:val="18"/>
                <w:szCs w:val="18"/>
              </w:rPr>
              <w:t>;</w:t>
            </w:r>
            <w:r>
              <w:rPr>
                <w:rFonts w:ascii="宋体" w:hAnsi="宋体" w:cs="宋体" w:eastAsia="宋体" w:hint="default"/>
                <w:sz w:val="18"/>
                <w:szCs w:val="18"/>
              </w:rPr>
              <w:t>商务信息服</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21" w:lineRule="auto" w:before="49"/>
              <w:ind w:left="15" w:right="73"/>
              <w:jc w:val="left"/>
              <w:rPr>
                <w:rFonts w:ascii="宋体" w:hAnsi="宋体" w:cs="宋体" w:eastAsia="宋体" w:hint="default"/>
                <w:sz w:val="18"/>
                <w:szCs w:val="18"/>
              </w:rPr>
            </w:pPr>
            <w:r>
              <w:rPr>
                <w:rFonts w:ascii="宋体" w:hAnsi="宋体" w:cs="宋体" w:eastAsia="宋体" w:hint="default"/>
                <w:sz w:val="18"/>
                <w:szCs w:val="18"/>
              </w:rPr>
              <w:t>新 设</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8"/>
              <w:ind w:left="269" w:right="0"/>
              <w:jc w:val="left"/>
              <w:rPr>
                <w:rFonts w:ascii="Times New Roman" w:hAnsi="Times New Roman" w:cs="Times New Roman" w:eastAsia="Times New Roman" w:hint="default"/>
                <w:sz w:val="18"/>
                <w:szCs w:val="18"/>
              </w:rPr>
            </w:pPr>
            <w:r>
              <w:rPr>
                <w:rFonts w:ascii="Times New Roman"/>
                <w:sz w:val="18"/>
              </w:rPr>
              <w:t>00.00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9" w:lineRule="auto"/>
              <w:ind w:left="29" w:right="164"/>
              <w:jc w:val="both"/>
              <w:rPr>
                <w:rFonts w:ascii="宋体" w:hAnsi="宋体" w:cs="宋体" w:eastAsia="宋体" w:hint="default"/>
                <w:sz w:val="18"/>
                <w:szCs w:val="18"/>
              </w:rPr>
            </w:pPr>
            <w:r>
              <w:rPr>
                <w:rFonts w:ascii="宋体" w:hAnsi="宋体" w:cs="宋体" w:eastAsia="宋体" w:hint="default"/>
                <w:sz w:val="18"/>
                <w:szCs w:val="18"/>
              </w:rPr>
              <w:t>互联 网及 汽车 信息 服务 业务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4" w:lineRule="auto"/>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登记</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-339,816.4</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26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102.872002pt;margin-top:227.449997pt;width:109.7pt;height:54.8pt;mso-position-horizontal-relative:page;mso-position-vertical-relative:page;z-index:-1159792" type="#_x0000_t202" filled="false" stroked="false">
            <v:textbox inset="0,0,0,0">
              <w:txbxContent>
                <w:p>
                  <w:pPr>
                    <w:pStyle w:val="BodyText"/>
                    <w:spacing w:line="240" w:lineRule="auto" w:before="120"/>
                    <w:ind w:left="0" w:right="0"/>
                    <w:jc w:val="left"/>
                  </w:pPr>
                  <w:r>
                    <w:rPr/>
                    <w:t>（依法须经批准的项目，</w:t>
                  </w: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661"/>
        <w:gridCol w:w="2178"/>
        <w:gridCol w:w="286"/>
        <w:gridCol w:w="705"/>
        <w:gridCol w:w="436"/>
        <w:gridCol w:w="421"/>
        <w:gridCol w:w="705"/>
        <w:gridCol w:w="421"/>
        <w:gridCol w:w="571"/>
        <w:gridCol w:w="856"/>
        <w:gridCol w:w="286"/>
        <w:gridCol w:w="856"/>
        <w:gridCol w:w="270"/>
        <w:gridCol w:w="436"/>
        <w:gridCol w:w="495"/>
      </w:tblGrid>
      <w:tr>
        <w:trPr>
          <w:trHeight w:val="1306" w:hRule="exact"/>
        </w:trPr>
        <w:tc>
          <w:tcPr>
            <w:tcW w:w="661"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
              <w:ind w:left="15" w:right="75"/>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不含投资咨询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会议及 </w:t>
            </w:r>
            <w:r>
              <w:rPr>
                <w:rFonts w:ascii="宋体" w:hAnsi="宋体" w:cs="宋体" w:eastAsia="宋体" w:hint="default"/>
                <w:spacing w:val="-8"/>
                <w:sz w:val="18"/>
                <w:szCs w:val="18"/>
              </w:rPr>
              <w:t>展览服务。【依法需经批准</w:t>
            </w:r>
          </w:p>
          <w:p>
            <w:pPr>
              <w:pStyle w:val="TableParagraph"/>
              <w:spacing w:line="290" w:lineRule="auto" w:before="69"/>
              <w:ind w:left="15" w:right="121"/>
              <w:jc w:val="left"/>
              <w:rPr>
                <w:rFonts w:ascii="宋体" w:hAnsi="宋体" w:cs="宋体" w:eastAsia="宋体" w:hint="default"/>
                <w:sz w:val="18"/>
                <w:szCs w:val="18"/>
              </w:rPr>
            </w:pPr>
            <w:r>
              <w:rPr>
                <w:rFonts w:ascii="宋体" w:hAnsi="宋体" w:cs="宋体" w:eastAsia="宋体" w:hint="default"/>
                <w:sz w:val="18"/>
                <w:szCs w:val="18"/>
              </w:rPr>
              <w:t>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经相关部门批准后 方可开展经营活动】</w:t>
            </w:r>
          </w:p>
        </w:tc>
        <w:tc>
          <w:tcPr>
            <w:tcW w:w="286"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27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2898"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15" w:right="88"/>
              <w:jc w:val="both"/>
              <w:rPr>
                <w:rFonts w:ascii="宋体" w:hAnsi="宋体" w:cs="宋体" w:eastAsia="宋体" w:hint="default"/>
                <w:sz w:val="18"/>
                <w:szCs w:val="18"/>
              </w:rPr>
            </w:pPr>
            <w:r>
              <w:rPr>
                <w:rFonts w:ascii="宋体" w:hAnsi="宋体" w:cs="宋体" w:eastAsia="宋体" w:hint="default"/>
                <w:sz w:val="18"/>
                <w:szCs w:val="18"/>
              </w:rPr>
              <w:t>江苏趣 看网络 科技有 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
              <w:jc w:val="left"/>
              <w:rPr>
                <w:rFonts w:ascii="宋体" w:hAnsi="宋体" w:cs="宋体" w:eastAsia="宋体" w:hint="default"/>
                <w:sz w:val="18"/>
                <w:szCs w:val="18"/>
              </w:rPr>
            </w:pPr>
            <w:r>
              <w:rPr>
                <w:rFonts w:ascii="宋体" w:hAnsi="宋体" w:cs="宋体" w:eastAsia="宋体" w:hint="default"/>
                <w:spacing w:val="-3"/>
                <w:sz w:val="18"/>
                <w:szCs w:val="18"/>
              </w:rPr>
              <w:t>网络信息技术开发；互联网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信息服务；增值电信业务； </w:t>
            </w:r>
            <w:r>
              <w:rPr>
                <w:rFonts w:ascii="宋体" w:hAnsi="宋体" w:cs="宋体" w:eastAsia="宋体" w:hint="default"/>
                <w:spacing w:val="-4"/>
                <w:sz w:val="18"/>
                <w:szCs w:val="18"/>
              </w:rPr>
              <w:t>设计、制作、发布、代理各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种广告；应用软件的技术开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发、技术推广、技术转让、 技术咨询；设计计算机硬 件。 经相关部门批准后方可开 展经营活动）</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07" w:lineRule="auto"/>
              <w:ind w:left="15" w:right="73"/>
              <w:jc w:val="left"/>
              <w:rPr>
                <w:rFonts w:ascii="宋体" w:hAnsi="宋体" w:cs="宋体" w:eastAsia="宋体" w:hint="default"/>
                <w:sz w:val="18"/>
                <w:szCs w:val="18"/>
              </w:rPr>
            </w:pPr>
            <w:r>
              <w:rPr>
                <w:rFonts w:ascii="宋体" w:hAnsi="宋体" w:cs="宋体" w:eastAsia="宋体" w:hint="default"/>
                <w:sz w:val="18"/>
                <w:szCs w:val="18"/>
              </w:rPr>
              <w:t>新 设</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109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13.55pt;height:54.8pt;mso-position-horizontal-relative:char;mso-position-vertical-relative:line" coordorigin="0,0" coordsize="271,1096">
                  <v:group style="position:absolute;left:0;top:0;width:271;height:1096" coordorigin="0,0" coordsize="271,1096">
                    <v:shape style="position:absolute;left:0;top:0;width:271;height:1096" coordorigin="0,0" coordsize="271,1096" path="m0,1096l271,1096,271,0,0,0,0,1096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4" w:right="0"/>
              <w:jc w:val="lef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0" w:right="0"/>
              <w:jc w:val="left"/>
              <w:rPr>
                <w:rFonts w:ascii="Times New Roman" w:hAnsi="Times New Roman" w:cs="Times New Roman" w:eastAsia="Times New Roman" w:hint="default"/>
                <w:sz w:val="18"/>
                <w:szCs w:val="18"/>
              </w:rPr>
            </w:pPr>
            <w:r>
              <w:rPr>
                <w:rFonts w:ascii="Times New Roman"/>
                <w:sz w:val="18"/>
              </w:rPr>
              <w:t>95.0</w:t>
            </w:r>
          </w:p>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07"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徐州报 业网络 传播有 限公司</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07"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29" w:right="164"/>
              <w:jc w:val="both"/>
              <w:rPr>
                <w:rFonts w:ascii="宋体" w:hAnsi="宋体" w:cs="宋体" w:eastAsia="宋体" w:hint="default"/>
                <w:sz w:val="18"/>
                <w:szCs w:val="18"/>
              </w:rPr>
            </w:pPr>
            <w:r>
              <w:rPr>
                <w:rFonts w:ascii="宋体" w:hAnsi="宋体" w:cs="宋体" w:eastAsia="宋体" w:hint="default"/>
                <w:sz w:val="18"/>
                <w:szCs w:val="18"/>
              </w:rPr>
              <w:t>互联 网信 息服 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8"/>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登记</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0.00</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87"/>
              <w:ind w:left="15" w:right="98"/>
              <w:jc w:val="left"/>
              <w:rPr>
                <w:rFonts w:ascii="Times New Roman" w:hAnsi="Times New Roman" w:cs="Times New Roman" w:eastAsia="Times New Roman" w:hint="default"/>
                <w:sz w:val="18"/>
                <w:szCs w:val="18"/>
              </w:rPr>
            </w:pPr>
            <w:r>
              <w:rPr>
                <w:rFonts w:ascii="Times New Roman"/>
                <w:sz w:val="18"/>
              </w:rPr>
              <w:t>RUIFE</w:t>
            </w:r>
            <w:r>
              <w:rPr>
                <w:rFonts w:ascii="Times New Roman"/>
                <w:spacing w:val="-38"/>
                <w:sz w:val="18"/>
              </w:rPr>
              <w:t> </w:t>
            </w:r>
            <w:r>
              <w:rPr>
                <w:rFonts w:ascii="Times New Roman"/>
                <w:spacing w:val="-38"/>
                <w:sz w:val="18"/>
              </w:rPr>
            </w:r>
            <w:r>
              <w:rPr>
                <w:rFonts w:ascii="Times New Roman"/>
                <w:spacing w:val="5"/>
                <w:sz w:val="18"/>
              </w:rPr>
              <w:t>NG</w:t>
            </w:r>
            <w:r>
              <w:rPr>
                <w:rFonts w:ascii="Times New Roman"/>
                <w:spacing w:val="5"/>
                <w:w w:val="99"/>
                <w:sz w:val="18"/>
              </w:rPr>
              <w:t> </w:t>
            </w:r>
            <w:r>
              <w:rPr>
                <w:rFonts w:ascii="Times New Roman"/>
                <w:sz w:val="18"/>
              </w:rPr>
              <w:t>TECH</w:t>
            </w:r>
            <w:r>
              <w:rPr>
                <w:rFonts w:ascii="Times New Roman"/>
                <w:spacing w:val="-42"/>
                <w:sz w:val="18"/>
              </w:rPr>
              <w:t> </w:t>
            </w:r>
            <w:r>
              <w:rPr>
                <w:rFonts w:ascii="Times New Roman"/>
                <w:spacing w:val="-42"/>
                <w:sz w:val="18"/>
              </w:rPr>
            </w:r>
            <w:r>
              <w:rPr>
                <w:rFonts w:ascii="Times New Roman"/>
                <w:sz w:val="18"/>
              </w:rPr>
              <w:t>NOLO</w:t>
            </w:r>
            <w:r>
              <w:rPr>
                <w:rFonts w:ascii="Times New Roman"/>
                <w:spacing w:val="-43"/>
                <w:sz w:val="18"/>
              </w:rPr>
              <w:t> </w:t>
            </w:r>
            <w:r>
              <w:rPr>
                <w:rFonts w:ascii="Times New Roman"/>
                <w:spacing w:val="-43"/>
                <w:sz w:val="18"/>
              </w:rPr>
            </w:r>
            <w:r>
              <w:rPr>
                <w:rFonts w:ascii="Times New Roman"/>
                <w:sz w:val="18"/>
              </w:rPr>
              <w:t>GY</w:t>
            </w:r>
            <w:r>
              <w:rPr>
                <w:rFonts w:ascii="Times New Roman"/>
                <w:spacing w:val="-42"/>
                <w:sz w:val="18"/>
              </w:rPr>
              <w:t> </w:t>
            </w:r>
            <w:r>
              <w:rPr>
                <w:rFonts w:ascii="Times New Roman"/>
                <w:spacing w:val="-42"/>
                <w:sz w:val="18"/>
              </w:rPr>
            </w:r>
            <w:r>
              <w:rPr>
                <w:rFonts w:ascii="Times New Roman"/>
                <w:spacing w:val="-3"/>
                <w:sz w:val="18"/>
              </w:rPr>
              <w:t>USA</w:t>
            </w:r>
            <w:r>
              <w:rPr>
                <w:rFonts w:ascii="Times New Roman"/>
                <w:w w:val="99"/>
                <w:sz w:val="18"/>
              </w:rPr>
              <w:t> </w:t>
            </w:r>
            <w:r>
              <w:rPr>
                <w:rFonts w:ascii="Times New Roman"/>
                <w:sz w:val="18"/>
              </w:rPr>
              <w:t>INC</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3"/>
                <w:sz w:val="18"/>
              </w:rPr>
              <w:t>The </w:t>
            </w:r>
            <w:r>
              <w:rPr>
                <w:rFonts w:ascii="Times New Roman"/>
                <w:sz w:val="18"/>
              </w:rPr>
              <w:t>purpose of</w:t>
            </w:r>
            <w:r>
              <w:rPr>
                <w:rFonts w:ascii="Times New Roman"/>
                <w:spacing w:val="-12"/>
                <w:sz w:val="18"/>
              </w:rPr>
              <w:t> </w:t>
            </w:r>
            <w:r>
              <w:rPr>
                <w:rFonts w:ascii="Times New Roman"/>
                <w:spacing w:val="3"/>
                <w:sz w:val="18"/>
              </w:rPr>
              <w:t>the</w:t>
            </w:r>
          </w:p>
          <w:p>
            <w:pPr>
              <w:pStyle w:val="TableParagraph"/>
              <w:spacing w:line="360" w:lineRule="auto" w:before="93"/>
              <w:ind w:left="15" w:right="50"/>
              <w:jc w:val="left"/>
              <w:rPr>
                <w:rFonts w:ascii="Times New Roman" w:hAnsi="Times New Roman" w:cs="Times New Roman" w:eastAsia="Times New Roman" w:hint="default"/>
                <w:sz w:val="18"/>
                <w:szCs w:val="18"/>
              </w:rPr>
            </w:pPr>
            <w:r>
              <w:rPr>
                <w:rFonts w:ascii="Times New Roman"/>
                <w:sz w:val="18"/>
              </w:rPr>
              <w:t>corporation </w:t>
            </w:r>
            <w:r>
              <w:rPr>
                <w:rFonts w:ascii="Times New Roman"/>
                <w:spacing w:val="-3"/>
                <w:sz w:val="18"/>
              </w:rPr>
              <w:t>is </w:t>
            </w:r>
            <w:r>
              <w:rPr>
                <w:rFonts w:ascii="Times New Roman"/>
                <w:spacing w:val="4"/>
                <w:sz w:val="18"/>
              </w:rPr>
              <w:t>to </w:t>
            </w:r>
            <w:r>
              <w:rPr>
                <w:rFonts w:ascii="Times New Roman"/>
                <w:spacing w:val="-5"/>
                <w:sz w:val="18"/>
              </w:rPr>
              <w:t>engage </w:t>
            </w:r>
            <w:r>
              <w:rPr>
                <w:rFonts w:ascii="Times New Roman"/>
                <w:spacing w:val="-3"/>
                <w:sz w:val="18"/>
              </w:rPr>
              <w:t>in</w:t>
            </w:r>
            <w:r>
              <w:rPr>
                <w:rFonts w:ascii="Times New Roman"/>
                <w:spacing w:val="-27"/>
                <w:sz w:val="18"/>
              </w:rPr>
              <w:t> </w:t>
            </w:r>
            <w:r>
              <w:rPr>
                <w:rFonts w:ascii="Times New Roman"/>
                <w:spacing w:val="-27"/>
                <w:sz w:val="18"/>
              </w:rPr>
            </w:r>
            <w:r>
              <w:rPr>
                <w:rFonts w:ascii="Times New Roman"/>
                <w:sz w:val="18"/>
              </w:rPr>
              <w:t>any lawful </w:t>
            </w:r>
            <w:r>
              <w:rPr>
                <w:rFonts w:ascii="Times New Roman"/>
                <w:spacing w:val="-4"/>
                <w:sz w:val="18"/>
              </w:rPr>
              <w:t>act </w:t>
            </w:r>
            <w:r>
              <w:rPr>
                <w:rFonts w:ascii="Times New Roman"/>
                <w:sz w:val="18"/>
              </w:rPr>
              <w:t>or activity</w:t>
            </w:r>
            <w:r>
              <w:rPr>
                <w:rFonts w:ascii="Times New Roman"/>
                <w:spacing w:val="26"/>
                <w:sz w:val="18"/>
              </w:rPr>
              <w:t> </w:t>
            </w:r>
            <w:r>
              <w:rPr>
                <w:rFonts w:ascii="Times New Roman"/>
                <w:sz w:val="18"/>
              </w:rPr>
              <w:t>for</w:t>
            </w:r>
            <w:r>
              <w:rPr>
                <w:rFonts w:ascii="Times New Roman"/>
                <w:w w:val="99"/>
                <w:sz w:val="18"/>
              </w:rPr>
              <w:t> </w:t>
            </w:r>
            <w:r>
              <w:rPr>
                <w:rFonts w:ascii="Times New Roman"/>
                <w:sz w:val="18"/>
              </w:rPr>
              <w:t>which a corporation </w:t>
            </w:r>
            <w:r>
              <w:rPr>
                <w:rFonts w:ascii="Times New Roman"/>
                <w:spacing w:val="-4"/>
                <w:sz w:val="18"/>
              </w:rPr>
              <w:t>may</w:t>
            </w:r>
            <w:r>
              <w:rPr>
                <w:rFonts w:ascii="Times New Roman"/>
                <w:spacing w:val="11"/>
                <w:sz w:val="18"/>
              </w:rPr>
              <w:t> </w:t>
            </w:r>
            <w:r>
              <w:rPr>
                <w:rFonts w:ascii="Times New Roman"/>
                <w:sz w:val="18"/>
              </w:rPr>
              <w:t>be</w:t>
            </w:r>
            <w:r>
              <w:rPr>
                <w:rFonts w:ascii="Times New Roman"/>
                <w:sz w:val="18"/>
              </w:rPr>
              <w:t> </w:t>
            </w:r>
            <w:r>
              <w:rPr>
                <w:rFonts w:ascii="Times New Roman"/>
                <w:spacing w:val="-3"/>
                <w:sz w:val="18"/>
              </w:rPr>
              <w:t>organized </w:t>
            </w:r>
            <w:r>
              <w:rPr>
                <w:rFonts w:ascii="Times New Roman"/>
                <w:sz w:val="18"/>
              </w:rPr>
              <w:t>under </w:t>
            </w:r>
            <w:r>
              <w:rPr>
                <w:rFonts w:ascii="Times New Roman"/>
                <w:spacing w:val="3"/>
                <w:sz w:val="18"/>
              </w:rPr>
              <w:t>the</w:t>
            </w:r>
            <w:r>
              <w:rPr>
                <w:rFonts w:ascii="Times New Roman"/>
                <w:spacing w:val="-3"/>
                <w:sz w:val="18"/>
              </w:rPr>
              <w:t> </w:t>
            </w:r>
            <w:r>
              <w:rPr>
                <w:rFonts w:ascii="Times New Roman"/>
                <w:sz w:val="18"/>
              </w:rPr>
              <w:t>Business</w:t>
            </w:r>
            <w:r>
              <w:rPr>
                <w:rFonts w:ascii="Times New Roman"/>
                <w:w w:val="99"/>
                <w:sz w:val="18"/>
              </w:rPr>
              <w:t> </w:t>
            </w:r>
            <w:r>
              <w:rPr>
                <w:rFonts w:ascii="Times New Roman"/>
                <w:sz w:val="18"/>
              </w:rPr>
              <w:t>Corporation</w:t>
            </w:r>
            <w:r>
              <w:rPr>
                <w:rFonts w:ascii="Times New Roman"/>
                <w:spacing w:val="12"/>
                <w:sz w:val="18"/>
              </w:rPr>
              <w:t> </w:t>
            </w:r>
            <w:r>
              <w:rPr>
                <w:rFonts w:ascii="Times New Roman"/>
                <w:spacing w:val="-5"/>
                <w:sz w:val="18"/>
              </w:rPr>
              <w:t>Law.</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15" w:right="73"/>
              <w:jc w:val="left"/>
              <w:rPr>
                <w:rFonts w:ascii="宋体" w:hAnsi="宋体" w:cs="宋体" w:eastAsia="宋体" w:hint="default"/>
                <w:sz w:val="18"/>
                <w:szCs w:val="18"/>
              </w:rPr>
            </w:pPr>
            <w:r>
              <w:rPr>
                <w:rFonts w:ascii="宋体" w:hAnsi="宋体" w:cs="宋体" w:eastAsia="宋体" w:hint="default"/>
                <w:sz w:val="18"/>
                <w:szCs w:val="18"/>
              </w:rPr>
              <w:t>新 设</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7,053,30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9" w:right="164"/>
              <w:jc w:val="both"/>
              <w:rPr>
                <w:rFonts w:ascii="宋体" w:hAnsi="宋体" w:cs="宋体" w:eastAsia="宋体" w:hint="default"/>
                <w:sz w:val="18"/>
                <w:szCs w:val="18"/>
              </w:rPr>
            </w:pPr>
            <w:r>
              <w:rPr>
                <w:rFonts w:ascii="宋体" w:hAnsi="宋体" w:cs="宋体" w:eastAsia="宋体" w:hint="default"/>
                <w:sz w:val="18"/>
                <w:szCs w:val="18"/>
              </w:rPr>
              <w:t>投资 管理 咨询 服务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登记</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-312,388.6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6035"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5" w:right="88"/>
              <w:jc w:val="both"/>
              <w:rPr>
                <w:rFonts w:ascii="宋体" w:hAnsi="宋体" w:cs="宋体" w:eastAsia="宋体" w:hint="default"/>
                <w:sz w:val="18"/>
                <w:szCs w:val="18"/>
              </w:rPr>
            </w:pPr>
            <w:r>
              <w:rPr>
                <w:rFonts w:ascii="宋体" w:hAnsi="宋体" w:cs="宋体" w:eastAsia="宋体" w:hint="default"/>
                <w:sz w:val="18"/>
                <w:szCs w:val="18"/>
              </w:rPr>
              <w:t>曲水汇 通信息 服务有 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5"/>
              <w:jc w:val="left"/>
              <w:rPr>
                <w:rFonts w:ascii="宋体" w:hAnsi="宋体" w:cs="宋体" w:eastAsia="宋体" w:hint="default"/>
                <w:sz w:val="18"/>
                <w:szCs w:val="18"/>
              </w:rPr>
            </w:pPr>
            <w:r>
              <w:rPr>
                <w:rFonts w:ascii="宋体" w:hAnsi="宋体" w:cs="宋体" w:eastAsia="宋体" w:hint="default"/>
                <w:spacing w:val="-3"/>
                <w:sz w:val="18"/>
                <w:szCs w:val="18"/>
              </w:rPr>
              <w:t>计算机软件硬件领域、电子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产品、电信终端设备的技术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研发</w:t>
            </w:r>
            <w:r>
              <w:rPr>
                <w:rFonts w:ascii="Times New Roman" w:hAnsi="Times New Roman" w:cs="Times New Roman" w:eastAsia="Times New Roman" w:hint="default"/>
                <w:sz w:val="18"/>
                <w:szCs w:val="18"/>
              </w:rPr>
              <w:t>(</w:t>
            </w:r>
            <w:r>
              <w:rPr>
                <w:rFonts w:ascii="宋体" w:hAnsi="宋体" w:cs="宋体" w:eastAsia="宋体" w:hint="default"/>
                <w:sz w:val="18"/>
                <w:szCs w:val="18"/>
              </w:rPr>
              <w:t>不含电信增值业务及 金融类业务</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p>
            <w:pPr>
              <w:pStyle w:val="TableParagraph"/>
              <w:spacing w:line="314" w:lineRule="auto"/>
              <w:ind w:left="15" w:right="-13"/>
              <w:jc w:val="left"/>
              <w:rPr>
                <w:rFonts w:ascii="宋体" w:hAnsi="宋体" w:cs="宋体" w:eastAsia="宋体" w:hint="default"/>
                <w:sz w:val="18"/>
                <w:szCs w:val="18"/>
              </w:rPr>
            </w:pPr>
            <w:r>
              <w:rPr>
                <w:rFonts w:ascii="宋体" w:hAnsi="宋体" w:cs="宋体" w:eastAsia="宋体" w:hint="default"/>
                <w:spacing w:val="-3"/>
                <w:sz w:val="18"/>
                <w:szCs w:val="18"/>
              </w:rPr>
              <w:t>技术转让、技术外包、技术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咨询及销售；设计、制作、 </w:t>
            </w:r>
            <w:r>
              <w:rPr>
                <w:rFonts w:ascii="宋体" w:hAnsi="宋体" w:cs="宋体" w:eastAsia="宋体" w:hint="default"/>
                <w:spacing w:val="-3"/>
                <w:sz w:val="18"/>
                <w:szCs w:val="18"/>
              </w:rPr>
              <w:t>发布、代理各类广告；市场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营销策划；电子商务</w:t>
            </w:r>
            <w:r>
              <w:rPr>
                <w:rFonts w:ascii="Times New Roman" w:hAnsi="Times New Roman" w:cs="Times New Roman" w:eastAsia="Times New Roman" w:hint="default"/>
                <w:sz w:val="18"/>
                <w:szCs w:val="18"/>
              </w:rPr>
              <w:t>(</w:t>
            </w:r>
            <w:r>
              <w:rPr>
                <w:rFonts w:ascii="宋体" w:hAnsi="宋体" w:cs="宋体" w:eastAsia="宋体" w:hint="default"/>
                <w:sz w:val="18"/>
                <w:szCs w:val="18"/>
              </w:rPr>
              <w:t>不含 电信增值业务及金融类业</w:t>
            </w:r>
          </w:p>
          <w:p>
            <w:pPr>
              <w:pStyle w:val="TableParagraph"/>
              <w:spacing w:line="309" w:lineRule="auto" w:before="38"/>
              <w:ind w:left="15" w:right="15"/>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；企业管理咨询（不含 </w:t>
            </w:r>
            <w:r>
              <w:rPr>
                <w:rFonts w:ascii="宋体" w:hAnsi="宋体" w:cs="宋体" w:eastAsia="宋体" w:hint="default"/>
                <w:spacing w:val="-8"/>
                <w:sz w:val="18"/>
                <w:szCs w:val="18"/>
              </w:rPr>
              <w:t>投资咨询和投资管理）；物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业管理（不含保安服务）；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商务信息咨询（不含投资咨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询）；市场信息咨询与调查</w:t>
            </w:r>
          </w:p>
          <w:p>
            <w:pPr>
              <w:pStyle w:val="TableParagraph"/>
              <w:spacing w:line="290" w:lineRule="auto" w:before="42"/>
              <w:ind w:left="15"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不得从事社会调研、社会</w:t>
            </w:r>
            <w:r>
              <w:rPr>
                <w:rFonts w:ascii="宋体" w:hAnsi="宋体" w:cs="宋体" w:eastAsia="宋体" w:hint="default"/>
                <w:w w:val="99"/>
                <w:sz w:val="18"/>
                <w:szCs w:val="18"/>
              </w:rPr>
              <w:t> </w:t>
            </w:r>
            <w:r>
              <w:rPr>
                <w:rFonts w:ascii="宋体" w:hAnsi="宋体" w:cs="宋体" w:eastAsia="宋体" w:hint="default"/>
                <w:spacing w:val="-14"/>
                <w:w w:val="99"/>
                <w:sz w:val="18"/>
                <w:szCs w:val="18"/>
              </w:rPr>
              <w:t>调查、民意测验</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。）【依法</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3"/>
                <w:sz w:val="18"/>
                <w:szCs w:val="18"/>
              </w:rPr>
              <w:t>需经批准的项目，经相关部</w:t>
            </w:r>
          </w:p>
          <w:p>
            <w:pPr>
              <w:pStyle w:val="TableParagraph"/>
              <w:spacing w:line="321" w:lineRule="auto" w:before="42"/>
              <w:ind w:left="15" w:right="165"/>
              <w:jc w:val="left"/>
              <w:rPr>
                <w:rFonts w:ascii="宋体" w:hAnsi="宋体" w:cs="宋体" w:eastAsia="宋体" w:hint="default"/>
                <w:sz w:val="18"/>
                <w:szCs w:val="18"/>
              </w:rPr>
            </w:pPr>
            <w:r>
              <w:rPr>
                <w:rFonts w:ascii="宋体" w:hAnsi="宋体" w:cs="宋体" w:eastAsia="宋体" w:hint="default"/>
                <w:sz w:val="18"/>
                <w:szCs w:val="18"/>
              </w:rPr>
              <w:t>门批准后方可开展经营活 </w:t>
            </w:r>
            <w:r>
              <w:rPr>
                <w:rFonts w:ascii="宋体" w:hAnsi="宋体" w:cs="宋体" w:eastAsia="宋体" w:hint="default"/>
                <w:spacing w:val="-30"/>
                <w:sz w:val="18"/>
                <w:szCs w:val="18"/>
              </w:rPr>
              <w:t>动。】</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7" w:lineRule="auto"/>
              <w:ind w:left="15" w:right="73"/>
              <w:jc w:val="left"/>
              <w:rPr>
                <w:rFonts w:ascii="宋体" w:hAnsi="宋体" w:cs="宋体" w:eastAsia="宋体" w:hint="default"/>
                <w:sz w:val="18"/>
                <w:szCs w:val="18"/>
              </w:rPr>
            </w:pPr>
            <w:r>
              <w:rPr>
                <w:rFonts w:ascii="宋体" w:hAnsi="宋体" w:cs="宋体" w:eastAsia="宋体" w:hint="default"/>
                <w:sz w:val="18"/>
                <w:szCs w:val="18"/>
              </w:rPr>
              <w:t>增 资</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000.00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7" w:lineRule="auto"/>
              <w:ind w:left="14" w:right="2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7"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1" w:lineRule="auto"/>
              <w:ind w:left="29" w:right="164"/>
              <w:jc w:val="both"/>
              <w:rPr>
                <w:rFonts w:ascii="宋体" w:hAnsi="宋体" w:cs="宋体" w:eastAsia="宋体" w:hint="default"/>
                <w:sz w:val="18"/>
                <w:szCs w:val="18"/>
              </w:rPr>
            </w:pPr>
            <w:r>
              <w:rPr>
                <w:rFonts w:ascii="宋体" w:hAnsi="宋体" w:cs="宋体" w:eastAsia="宋体" w:hint="default"/>
                <w:sz w:val="18"/>
                <w:szCs w:val="18"/>
              </w:rPr>
              <w:t>金融 信息 服务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1" w:lineRule="auto"/>
              <w:ind w:left="30" w:right="88"/>
              <w:jc w:val="both"/>
              <w:rPr>
                <w:rFonts w:ascii="宋体" w:hAnsi="宋体" w:cs="宋体" w:eastAsia="宋体" w:hint="default"/>
                <w:sz w:val="18"/>
                <w:szCs w:val="18"/>
              </w:rPr>
            </w:pPr>
            <w:r>
              <w:rPr>
                <w:rFonts w:ascii="宋体" w:hAnsi="宋体" w:cs="宋体" w:eastAsia="宋体" w:hint="default"/>
                <w:sz w:val="18"/>
                <w:szCs w:val="18"/>
              </w:rPr>
              <w:t>已完成相 应的工商 登记</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58,342,43</w:t>
            </w:r>
          </w:p>
          <w:p>
            <w:pPr>
              <w:pStyle w:val="TableParagraph"/>
              <w:spacing w:line="240" w:lineRule="auto" w:before="93"/>
              <w:ind w:left="495" w:right="0"/>
              <w:jc w:val="left"/>
              <w:rPr>
                <w:rFonts w:ascii="Times New Roman" w:hAnsi="Times New Roman" w:cs="Times New Roman" w:eastAsia="Times New Roman" w:hint="default"/>
                <w:sz w:val="18"/>
                <w:szCs w:val="18"/>
              </w:rPr>
            </w:pPr>
            <w:r>
              <w:rPr>
                <w:rFonts w:ascii="Times New Roman"/>
                <w:sz w:val="18"/>
              </w:rPr>
              <w:t>2.20</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1636"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88"/>
              <w:jc w:val="both"/>
              <w:rPr>
                <w:rFonts w:ascii="宋体" w:hAnsi="宋体" w:cs="宋体" w:eastAsia="宋体" w:hint="default"/>
                <w:sz w:val="18"/>
                <w:szCs w:val="18"/>
              </w:rPr>
            </w:pPr>
            <w:r>
              <w:rPr>
                <w:rFonts w:ascii="宋体" w:hAnsi="宋体" w:cs="宋体" w:eastAsia="宋体" w:hint="default"/>
                <w:sz w:val="18"/>
                <w:szCs w:val="18"/>
              </w:rPr>
              <w:t>上海二 三四五 科技投 资有限 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15" w:right="15"/>
              <w:jc w:val="left"/>
              <w:rPr>
                <w:rFonts w:ascii="宋体" w:hAnsi="宋体" w:cs="宋体" w:eastAsia="宋体" w:hint="default"/>
                <w:sz w:val="18"/>
                <w:szCs w:val="18"/>
              </w:rPr>
            </w:pPr>
            <w:r>
              <w:rPr>
                <w:rFonts w:ascii="宋体" w:hAnsi="宋体" w:cs="宋体" w:eastAsia="宋体" w:hint="default"/>
                <w:spacing w:val="-3"/>
                <w:sz w:val="18"/>
                <w:szCs w:val="18"/>
              </w:rPr>
              <w:t>投资管理，资产管理，投资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咨询、企业管理咨询（以上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咨询均除经纪），实业投资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项目投资，创业投资。【依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法须经批准的项目，经相关</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08" w:lineRule="exact"/>
              <w:ind w:left="15" w:right="0"/>
              <w:jc w:val="left"/>
              <w:rPr>
                <w:rFonts w:ascii="宋体" w:hAnsi="宋体" w:cs="宋体" w:eastAsia="宋体" w:hint="default"/>
                <w:sz w:val="18"/>
                <w:szCs w:val="18"/>
              </w:rPr>
            </w:pPr>
            <w:r>
              <w:rPr>
                <w:rFonts w:ascii="宋体" w:hAnsi="宋体" w:cs="宋体" w:eastAsia="宋体" w:hint="default"/>
                <w:sz w:val="18"/>
                <w:szCs w:val="18"/>
              </w:rPr>
              <w:t>增</w:t>
            </w:r>
          </w:p>
          <w:p>
            <w:pPr>
              <w:pStyle w:val="TableParagraph"/>
              <w:spacing w:line="158"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15" w:right="0"/>
              <w:jc w:val="left"/>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721" w:lineRule="exact"/>
              <w:ind w:right="-3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12.8pt;height:36.050pt;mso-position-horizontal-relative:char;mso-position-vertical-relative:line" coordorigin="0,0" coordsize="256,721">
                  <v:group style="position:absolute;left:8;top:8;width:2;height:706" coordorigin="8,8" coordsize="2,706">
                    <v:shape style="position:absolute;left:8;top:8;width:2;height:706" coordorigin="8,8" coordsize="0,706" path="m8,8l8,714e" filled="false" stroked="true" strokeweight=".75pt" strokecolor="#ffffff">
                      <v:path arrowok="t"/>
                    </v:shape>
                  </v:group>
                  <v:group style="position:absolute;left:15;top:8;width:241;height:361" coordorigin="15,8" coordsize="241,361">
                    <v:shape style="position:absolute;left:15;top:8;width:241;height:361" coordorigin="15,8" coordsize="241,361" path="m15,368l256,368,256,8,15,8,15,368xe" filled="true" fillcolor="#ffffff" stroked="false">
                      <v:path arrowok="t"/>
                      <v:fill type="solid"/>
                    </v:shape>
                  </v:group>
                  <v:group style="position:absolute;left:15;top:368;width:241;height:346" coordorigin="15,368" coordsize="241,346">
                    <v:shape style="position:absolute;left:15;top:368;width:241;height:346" coordorigin="15,368" coordsize="241,346" path="m15,713l256,713,256,368,15,368,15,713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4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8"/>
              <w:ind w:left="269" w:right="0"/>
              <w:jc w:val="left"/>
              <w:rPr>
                <w:rFonts w:ascii="Times New Roman" w:hAnsi="Times New Roman" w:cs="Times New Roman" w:eastAsia="Times New Roman" w:hint="default"/>
                <w:sz w:val="18"/>
                <w:szCs w:val="18"/>
              </w:rPr>
            </w:pPr>
            <w:r>
              <w:rPr>
                <w:rFonts w:ascii="Times New Roman"/>
                <w:sz w:val="18"/>
              </w:rPr>
              <w:t>00.00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29" w:right="164"/>
              <w:jc w:val="both"/>
              <w:rPr>
                <w:rFonts w:ascii="宋体" w:hAnsi="宋体" w:cs="宋体" w:eastAsia="宋体" w:hint="default"/>
                <w:sz w:val="18"/>
                <w:szCs w:val="18"/>
              </w:rPr>
            </w:pPr>
            <w:r>
              <w:rPr>
                <w:rFonts w:ascii="宋体" w:hAnsi="宋体" w:cs="宋体" w:eastAsia="宋体" w:hint="default"/>
                <w:sz w:val="18"/>
                <w:szCs w:val="18"/>
              </w:rPr>
              <w:t>互联 网信 息服 务业 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30" w:right="88"/>
              <w:jc w:val="both"/>
              <w:rPr>
                <w:rFonts w:ascii="宋体" w:hAnsi="宋体" w:cs="宋体" w:eastAsia="宋体" w:hint="default"/>
                <w:sz w:val="18"/>
                <w:szCs w:val="18"/>
              </w:rPr>
            </w:pPr>
            <w:r>
              <w:rPr>
                <w:rFonts w:ascii="宋体" w:hAnsi="宋体" w:cs="宋体" w:eastAsia="宋体" w:hint="default"/>
                <w:sz w:val="18"/>
                <w:szCs w:val="18"/>
              </w:rPr>
              <w:t>办理工商 变更登记 中</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30"/>
              <w:jc w:val="right"/>
              <w:rPr>
                <w:rFonts w:ascii="Times New Roman" w:hAnsi="Times New Roman" w:cs="Times New Roman" w:eastAsia="Times New Roman" w:hint="default"/>
                <w:sz w:val="18"/>
                <w:szCs w:val="18"/>
              </w:rPr>
            </w:pPr>
            <w:r>
              <w:rPr>
                <w:rFonts w:ascii="Times New Roman"/>
                <w:w w:val="95"/>
                <w:sz w:val="18"/>
              </w:rPr>
              <w:t>-5,026,599</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.52</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24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661"/>
        <w:gridCol w:w="2178"/>
        <w:gridCol w:w="286"/>
        <w:gridCol w:w="705"/>
        <w:gridCol w:w="436"/>
        <w:gridCol w:w="421"/>
        <w:gridCol w:w="705"/>
        <w:gridCol w:w="421"/>
        <w:gridCol w:w="571"/>
        <w:gridCol w:w="856"/>
        <w:gridCol w:w="286"/>
        <w:gridCol w:w="856"/>
        <w:gridCol w:w="270"/>
        <w:gridCol w:w="436"/>
        <w:gridCol w:w="495"/>
      </w:tblGrid>
      <w:tr>
        <w:trPr>
          <w:trHeight w:val="675" w:hRule="exact"/>
        </w:trPr>
        <w:tc>
          <w:tcPr>
            <w:tcW w:w="661"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65"/>
              <w:jc w:val="left"/>
              <w:rPr>
                <w:rFonts w:ascii="宋体" w:hAnsi="宋体" w:cs="宋体" w:eastAsia="宋体" w:hint="default"/>
                <w:sz w:val="18"/>
                <w:szCs w:val="18"/>
              </w:rPr>
            </w:pPr>
            <w:r>
              <w:rPr>
                <w:rFonts w:ascii="宋体" w:hAnsi="宋体" w:cs="宋体" w:eastAsia="宋体" w:hint="default"/>
                <w:sz w:val="18"/>
                <w:szCs w:val="18"/>
              </w:rPr>
              <w:t>部门批准后方可开展经营 活动】</w:t>
            </w:r>
          </w:p>
        </w:tc>
        <w:tc>
          <w:tcPr>
            <w:tcW w:w="286"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27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6020"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15" w:right="88"/>
              <w:jc w:val="both"/>
              <w:rPr>
                <w:rFonts w:ascii="宋体" w:hAnsi="宋体" w:cs="宋体" w:eastAsia="宋体" w:hint="default"/>
                <w:sz w:val="18"/>
                <w:szCs w:val="18"/>
              </w:rPr>
            </w:pPr>
            <w:r>
              <w:rPr>
                <w:rFonts w:ascii="宋体" w:hAnsi="宋体" w:cs="宋体" w:eastAsia="宋体" w:hint="default"/>
                <w:sz w:val="18"/>
                <w:szCs w:val="18"/>
              </w:rPr>
              <w:t>二三四 五（深 圳）区 块链技 术有限 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
              <w:jc w:val="left"/>
              <w:rPr>
                <w:rFonts w:ascii="宋体" w:hAnsi="宋体" w:cs="宋体" w:eastAsia="宋体" w:hint="default"/>
                <w:sz w:val="18"/>
                <w:szCs w:val="18"/>
              </w:rPr>
            </w:pPr>
            <w:r>
              <w:rPr>
                <w:rFonts w:ascii="宋体" w:hAnsi="宋体" w:cs="宋体" w:eastAsia="宋体" w:hint="default"/>
                <w:sz w:val="18"/>
                <w:szCs w:val="18"/>
              </w:rPr>
              <w:t>一般经营项目是</w:t>
            </w:r>
            <w:r>
              <w:rPr>
                <w:rFonts w:ascii="Times New Roman" w:hAnsi="Times New Roman" w:cs="Times New Roman" w:eastAsia="Times New Roman" w:hint="default"/>
                <w:sz w:val="18"/>
                <w:szCs w:val="18"/>
              </w:rPr>
              <w:t>:</w:t>
            </w:r>
            <w:r>
              <w:rPr>
                <w:rFonts w:ascii="宋体" w:hAnsi="宋体" w:cs="宋体" w:eastAsia="宋体" w:hint="default"/>
                <w:sz w:val="18"/>
                <w:szCs w:val="18"/>
              </w:rPr>
              <w:t>区块链的 </w:t>
            </w:r>
            <w:r>
              <w:rPr>
                <w:rFonts w:ascii="宋体" w:hAnsi="宋体" w:cs="宋体" w:eastAsia="宋体" w:hint="default"/>
                <w:spacing w:val="-3"/>
                <w:sz w:val="18"/>
                <w:szCs w:val="18"/>
              </w:rPr>
              <w:t>技术开发、技术咨询、技术</w:t>
            </w:r>
          </w:p>
          <w:p>
            <w:pPr>
              <w:pStyle w:val="TableParagraph"/>
              <w:spacing w:line="290" w:lineRule="auto" w:before="67"/>
              <w:ind w:left="15" w:right="30"/>
              <w:jc w:val="left"/>
              <w:rPr>
                <w:rFonts w:ascii="宋体" w:hAnsi="宋体" w:cs="宋体" w:eastAsia="宋体" w:hint="default"/>
                <w:sz w:val="18"/>
                <w:szCs w:val="18"/>
              </w:rPr>
            </w:pPr>
            <w:r>
              <w:rPr>
                <w:rFonts w:ascii="宋体" w:hAnsi="宋体" w:cs="宋体" w:eastAsia="宋体" w:hint="default"/>
                <w:spacing w:val="-8"/>
                <w:sz w:val="18"/>
                <w:szCs w:val="18"/>
              </w:rPr>
              <w:t>服务、技术推广</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计算机系统</w:t>
            </w:r>
            <w:r>
              <w:rPr>
                <w:rFonts w:ascii="宋体" w:hAnsi="宋体" w:cs="宋体" w:eastAsia="宋体" w:hint="default"/>
                <w:spacing w:val="-80"/>
                <w:sz w:val="18"/>
                <w:szCs w:val="18"/>
              </w:rPr>
              <w:t> </w:t>
            </w:r>
            <w:r>
              <w:rPr>
                <w:rFonts w:ascii="宋体" w:hAnsi="宋体" w:cs="宋体" w:eastAsia="宋体" w:hint="default"/>
                <w:sz w:val="18"/>
                <w:szCs w:val="18"/>
              </w:rPr>
              <w:t>的技术服务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计算机软硬件 及辅助设备的技术开发和</w:t>
            </w:r>
          </w:p>
          <w:p>
            <w:pPr>
              <w:pStyle w:val="TableParagraph"/>
              <w:spacing w:line="312" w:lineRule="auto" w:before="57"/>
              <w:ind w:left="15" w:right="15"/>
              <w:jc w:val="both"/>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从事广告业务</w:t>
            </w:r>
            <w:r>
              <w:rPr>
                <w:rFonts w:ascii="Times New Roman" w:hAnsi="Times New Roman" w:cs="Times New Roman" w:eastAsia="Times New Roman" w:hint="default"/>
                <w:sz w:val="18"/>
                <w:szCs w:val="18"/>
              </w:rPr>
              <w:t>(</w:t>
            </w:r>
            <w:r>
              <w:rPr>
                <w:rFonts w:ascii="宋体" w:hAnsi="宋体" w:cs="宋体" w:eastAsia="宋体" w:hint="default"/>
                <w:sz w:val="18"/>
                <w:szCs w:val="18"/>
              </w:rPr>
              <w:t>法律法 </w:t>
            </w:r>
            <w:r>
              <w:rPr>
                <w:rFonts w:ascii="宋体" w:hAnsi="宋体" w:cs="宋体" w:eastAsia="宋体" w:hint="default"/>
                <w:spacing w:val="-3"/>
                <w:sz w:val="18"/>
                <w:szCs w:val="18"/>
              </w:rPr>
              <w:t>规、国务院规定需另行办理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广告经营审批的</w:t>
            </w:r>
            <w:r>
              <w:rPr>
                <w:rFonts w:ascii="Times New Roman" w:hAnsi="Times New Roman" w:cs="Times New Roman" w:eastAsia="Times New Roman" w:hint="default"/>
                <w:sz w:val="18"/>
                <w:szCs w:val="18"/>
              </w:rPr>
              <w:t>,</w:t>
            </w:r>
            <w:r>
              <w:rPr>
                <w:rFonts w:ascii="宋体" w:hAnsi="宋体" w:cs="宋体" w:eastAsia="宋体" w:hint="default"/>
                <w:sz w:val="18"/>
                <w:szCs w:val="18"/>
              </w:rPr>
              <w:t>需取得许</w:t>
            </w:r>
          </w:p>
          <w:p>
            <w:pPr>
              <w:pStyle w:val="TableParagraph"/>
              <w:spacing w:line="297" w:lineRule="auto" w:before="6"/>
              <w:ind w:left="15" w:right="15"/>
              <w:jc w:val="left"/>
              <w:rPr>
                <w:rFonts w:ascii="宋体" w:hAnsi="宋体" w:cs="宋体" w:eastAsia="宋体" w:hint="default"/>
                <w:sz w:val="18"/>
                <w:szCs w:val="18"/>
              </w:rPr>
            </w:pPr>
            <w:r>
              <w:rPr>
                <w:rFonts w:ascii="宋体" w:hAnsi="宋体" w:cs="宋体" w:eastAsia="宋体" w:hint="default"/>
                <w:sz w:val="18"/>
                <w:szCs w:val="18"/>
              </w:rPr>
              <w:t>可后方可经营</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企业管理咨 询、投资咨询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以上均不含 限制项目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在网上从事商贸 活动</w:t>
            </w:r>
            <w:r>
              <w:rPr>
                <w:rFonts w:ascii="Times New Roman" w:hAnsi="Times New Roman" w:cs="Times New Roman" w:eastAsia="Times New Roman" w:hint="default"/>
                <w:sz w:val="18"/>
                <w:szCs w:val="18"/>
              </w:rPr>
              <w:t>(</w:t>
            </w:r>
            <w:r>
              <w:rPr>
                <w:rFonts w:ascii="宋体" w:hAnsi="宋体" w:cs="宋体" w:eastAsia="宋体" w:hint="default"/>
                <w:sz w:val="18"/>
                <w:szCs w:val="18"/>
              </w:rPr>
              <w:t>不含限制项目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国内 贸易</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不含专营、专控、专 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以上各项涉及法 </w:t>
            </w:r>
            <w:r>
              <w:rPr>
                <w:rFonts w:ascii="宋体" w:hAnsi="宋体" w:cs="宋体" w:eastAsia="宋体" w:hint="default"/>
                <w:spacing w:val="-3"/>
                <w:sz w:val="18"/>
                <w:szCs w:val="18"/>
              </w:rPr>
              <w:t>律、行政法规、国务院决定</w:t>
            </w:r>
          </w:p>
          <w:p>
            <w:pPr>
              <w:pStyle w:val="TableParagraph"/>
              <w:spacing w:line="300" w:lineRule="auto" w:before="51"/>
              <w:ind w:left="15" w:right="58"/>
              <w:jc w:val="both"/>
              <w:rPr>
                <w:rFonts w:ascii="宋体" w:hAnsi="宋体" w:cs="宋体" w:eastAsia="宋体" w:hint="default"/>
                <w:sz w:val="18"/>
                <w:szCs w:val="18"/>
              </w:rPr>
            </w:pPr>
            <w:r>
              <w:rPr>
                <w:rFonts w:ascii="宋体" w:hAnsi="宋体" w:cs="宋体" w:eastAsia="宋体" w:hint="default"/>
                <w:sz w:val="18"/>
                <w:szCs w:val="18"/>
              </w:rPr>
              <w:t>禁止的项目除外</w:t>
            </w:r>
            <w:r>
              <w:rPr>
                <w:rFonts w:ascii="Times New Roman" w:hAnsi="Times New Roman" w:cs="Times New Roman" w:eastAsia="Times New Roman" w:hint="default"/>
                <w:sz w:val="18"/>
                <w:szCs w:val="18"/>
              </w:rPr>
              <w:t>,</w:t>
            </w:r>
            <w:r>
              <w:rPr>
                <w:rFonts w:ascii="宋体" w:hAnsi="宋体" w:cs="宋体" w:eastAsia="宋体" w:hint="default"/>
                <w:sz w:val="18"/>
                <w:szCs w:val="18"/>
              </w:rPr>
              <w:t>限制的项 目须取得许可后方可经营</w:t>
            </w:r>
            <w:r>
              <w:rPr>
                <w:rFonts w:ascii="Times New Roman" w:hAnsi="Times New Roman" w:cs="Times New Roman" w:eastAsia="Times New Roman" w:hint="default"/>
                <w:sz w:val="18"/>
                <w:szCs w:val="18"/>
              </w:rPr>
              <w:t>), </w:t>
            </w:r>
            <w:r>
              <w:rPr>
                <w:rFonts w:ascii="宋体" w:hAnsi="宋体" w:cs="宋体" w:eastAsia="宋体" w:hint="default"/>
                <w:sz w:val="18"/>
                <w:szCs w:val="18"/>
              </w:rPr>
              <w:t>许可经营项目是</w:t>
            </w:r>
            <w:r>
              <w:rPr>
                <w:rFonts w:ascii="Times New Roman" w:hAnsi="Times New Roman" w:cs="Times New Roman" w:eastAsia="Times New Roman" w:hint="default"/>
                <w:sz w:val="18"/>
                <w:szCs w:val="18"/>
              </w:rPr>
              <w:t>:</w:t>
            </w:r>
            <w:r>
              <w:rPr>
                <w:rFonts w:ascii="宋体" w:hAnsi="宋体" w:cs="宋体" w:eastAsia="宋体" w:hint="default"/>
                <w:sz w:val="18"/>
                <w:szCs w:val="18"/>
              </w:rPr>
              <w:t>增值电信 业务。</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1" w:lineRule="auto"/>
              <w:ind w:left="15" w:right="73"/>
              <w:jc w:val="left"/>
              <w:rPr>
                <w:rFonts w:ascii="宋体" w:hAnsi="宋体" w:cs="宋体" w:eastAsia="宋体" w:hint="default"/>
                <w:sz w:val="18"/>
                <w:szCs w:val="18"/>
              </w:rPr>
            </w:pPr>
            <w:r>
              <w:rPr>
                <w:rFonts w:ascii="宋体" w:hAnsi="宋体" w:cs="宋体" w:eastAsia="宋体" w:hint="default"/>
                <w:sz w:val="18"/>
                <w:szCs w:val="18"/>
              </w:rPr>
              <w:t>增 资</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0.00</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1" w:lineRule="auto"/>
              <w:ind w:left="14" w:right="2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无期 限</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29" w:right="164"/>
              <w:jc w:val="both"/>
              <w:rPr>
                <w:rFonts w:ascii="宋体" w:hAnsi="宋体" w:cs="宋体" w:eastAsia="宋体" w:hint="default"/>
                <w:sz w:val="18"/>
                <w:szCs w:val="18"/>
              </w:rPr>
            </w:pPr>
            <w:r>
              <w:rPr>
                <w:rFonts w:ascii="宋体" w:hAnsi="宋体" w:cs="宋体" w:eastAsia="宋体" w:hint="default"/>
                <w:sz w:val="18"/>
                <w:szCs w:val="18"/>
              </w:rPr>
              <w:t>互联 网信 息服 务业 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0"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28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-93,498.75</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6"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454,076,</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525.00</w:t>
            </w:r>
          </w:p>
        </w:tc>
        <w:tc>
          <w:tcPr>
            <w:tcW w:w="4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93"/>
              <w:ind w:left="119" w:right="0"/>
              <w:jc w:val="center"/>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67,465,64</w:t>
            </w:r>
          </w:p>
          <w:p>
            <w:pPr>
              <w:pStyle w:val="TableParagraph"/>
              <w:spacing w:line="240" w:lineRule="auto" w:before="93"/>
              <w:ind w:left="495" w:right="0"/>
              <w:jc w:val="left"/>
              <w:rPr>
                <w:rFonts w:ascii="Times New Roman" w:hAnsi="Times New Roman" w:cs="Times New Roman" w:eastAsia="Times New Roman" w:hint="default"/>
                <w:sz w:val="18"/>
                <w:szCs w:val="18"/>
              </w:rPr>
            </w:pPr>
            <w:r>
              <w:rPr>
                <w:rFonts w:ascii="Times New Roman"/>
                <w:sz w:val="18"/>
              </w:rPr>
              <w:t>2.63</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w:t>
            </w:r>
          </w:p>
        </w:tc>
        <w:tc>
          <w:tcPr>
            <w:tcW w:w="4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50"/>
          <w:pgMar w:header="731" w:footer="981" w:top="1040" w:bottom="1180" w:left="1000" w:right="0"/>
        </w:sectPr>
      </w:pPr>
    </w:p>
    <w:p>
      <w:pPr>
        <w:pStyle w:val="Heading3"/>
        <w:spacing w:line="240" w:lineRule="auto" w:before="35"/>
        <w:ind w:right="-12"/>
        <w:jc w:val="left"/>
        <w:rPr>
          <w:b w:val="0"/>
          <w:bCs w:val="0"/>
        </w:rPr>
      </w:pPr>
      <w:r>
        <w:rPr/>
        <w:pict>
          <v:shape style="position:absolute;margin-left:199pt;margin-top:-48.31134pt;width:13.508922pt;height:35.25pt;mso-position-horizontal-relative:page;mso-position-vertical-relative:paragraph;z-index:1288" type="#_x0000_t75" stroked="false">
            <v:imagedata r:id="rId15" o:title=""/>
          </v:shape>
        </w:pict>
      </w:r>
      <w:r>
        <w:rPr/>
        <w:pict>
          <v:shape style="position:absolute;margin-left:476.100006pt;margin-top:-48.31134pt;width:13.478969pt;height:35.25pt;mso-position-horizontal-relative:page;mso-position-vertical-relative:paragraph;z-index:1312" type="#_x0000_t75" stroked="false">
            <v:imagedata r:id="rId16" o:title=""/>
          </v:shape>
        </w:pict>
      </w: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12"/>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BodyText"/>
        <w:spacing w:line="240" w:lineRule="auto" w:before="0"/>
        <w:ind w:left="697" w:right="0"/>
        <w:jc w:val="left"/>
      </w:pPr>
      <w:r>
        <w:rPr/>
        <w:t>单位：元</w:t>
      </w:r>
    </w:p>
    <w:p>
      <w:pPr>
        <w:spacing w:after="0" w:line="240" w:lineRule="auto"/>
        <w:jc w:val="left"/>
        <w:sectPr>
          <w:type w:val="continuous"/>
          <w:pgSz w:w="11910" w:h="16850"/>
          <w:pgMar w:top="1040" w:bottom="1180" w:left="1000" w:right="0"/>
          <w:cols w:num="2" w:equalWidth="0">
            <w:col w:w="4472" w:space="3909"/>
            <w:col w:w="2529"/>
          </w:cols>
        </w:sectPr>
      </w:pP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82"/>
        <w:gridCol w:w="902"/>
        <w:gridCol w:w="1096"/>
        <w:gridCol w:w="1171"/>
        <w:gridCol w:w="1202"/>
        <w:gridCol w:w="961"/>
        <w:gridCol w:w="946"/>
        <w:gridCol w:w="961"/>
        <w:gridCol w:w="961"/>
      </w:tblGrid>
      <w:tr>
        <w:trPr>
          <w:trHeight w:val="1020"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70" w:right="75"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90" w:right="9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44" w:hanging="361"/>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29" w:hanging="181"/>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75" w:right="15"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2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0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-1,256,322.24</w:t>
            </w:r>
            <w:r>
              <w:rPr>
                <w:rFonts w:ascii="Times New Roman"/>
                <w:sz w:val="18"/>
              </w:rPr>
            </w: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303,966,120.58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59,799,120.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58</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8,713,511.8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242,910,677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.76</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90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4,250,175.93</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364,881,000.00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1,234,553.9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339,131,175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.93</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1,675,077,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553.04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20,319,166.5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6,514,262,138.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6,088,365,9</w:t>
            </w:r>
          </w:p>
          <w:p>
            <w:pPr>
              <w:pStyle w:val="TableParagraph"/>
              <w:spacing w:line="240" w:lineRule="auto" w:before="108"/>
              <w:ind w:left="511" w:right="0"/>
              <w:jc w:val="left"/>
              <w:rPr>
                <w:rFonts w:ascii="Times New Roman" w:hAnsi="Times New Roman" w:cs="Times New Roman" w:eastAsia="Times New Roman" w:hint="default"/>
                <w:sz w:val="18"/>
                <w:szCs w:val="18"/>
              </w:rPr>
            </w:pPr>
            <w:r>
              <w:rPr>
                <w:rFonts w:ascii="Times New Roman"/>
                <w:sz w:val="18"/>
              </w:rPr>
              <w:t>86.11</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96,683,251.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2,121,292,8</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71.72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1,675,077,</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553.04</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23,313,020.2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7,183,109,258.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86</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6,178,165,1</w:t>
            </w:r>
          </w:p>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06.69</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106,631,316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2,703,334,7</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25.41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871"/>
        <w:gridCol w:w="856"/>
        <w:gridCol w:w="886"/>
        <w:gridCol w:w="871"/>
        <w:gridCol w:w="871"/>
        <w:gridCol w:w="871"/>
        <w:gridCol w:w="871"/>
        <w:gridCol w:w="871"/>
        <w:gridCol w:w="871"/>
        <w:gridCol w:w="872"/>
        <w:gridCol w:w="871"/>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07" w:lineRule="auto"/>
              <w:ind w:left="255"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29"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07" w:lineRule="auto"/>
              <w:ind w:left="14" w:right="104"/>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164,695.28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9,074.05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167,511.22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117,346.85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71.25%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19"/>
              <w:jc w:val="left"/>
              <w:rPr>
                <w:rFonts w:ascii="宋体" w:hAnsi="宋体" w:cs="宋体" w:eastAsia="宋体" w:hint="default"/>
                <w:sz w:val="18"/>
                <w:szCs w:val="18"/>
              </w:rPr>
            </w:pPr>
            <w:r>
              <w:rPr>
                <w:rFonts w:ascii="宋体" w:hAnsi="宋体" w:cs="宋体" w:eastAsia="宋体" w:hint="default"/>
                <w:sz w:val="18"/>
                <w:szCs w:val="18"/>
              </w:rPr>
              <w:t>永久补充 流动资金</w:t>
            </w:r>
          </w:p>
          <w:p>
            <w:pPr>
              <w:pStyle w:val="TableParagraph"/>
              <w:spacing w:line="240" w:lineRule="auto" w:before="19"/>
              <w:ind w:left="15"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14" w:lineRule="auto" w:before="66"/>
              <w:ind w:left="15" w:right="3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0"/>
                <w:sz w:val="18"/>
                <w:szCs w:val="18"/>
              </w:rPr>
              <w:t>日，公</w:t>
            </w:r>
            <w:r>
              <w:rPr>
                <w:rFonts w:ascii="宋体" w:hAnsi="宋体" w:cs="宋体" w:eastAsia="宋体" w:hint="default"/>
                <w:sz w:val="18"/>
                <w:szCs w:val="18"/>
              </w:rPr>
              <w:t> 司已将募 集资金专 项账户余 额全部转 至自有资 金账户）</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21" w:right="0"/>
              <w:jc w:val="center"/>
              <w:rPr>
                <w:rFonts w:ascii="Times New Roman" w:hAnsi="Times New Roman" w:cs="Times New Roman" w:eastAsia="Times New Roman" w:hint="default"/>
                <w:sz w:val="18"/>
                <w:szCs w:val="18"/>
              </w:rPr>
            </w:pPr>
            <w:r>
              <w:rPr>
                <w:rFonts w:ascii="Times New Roman"/>
                <w:sz w:val="18"/>
              </w:rPr>
              <w:t>164,695.28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9,074.05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167,511.22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center"/>
              <w:rPr>
                <w:rFonts w:ascii="Times New Roman" w:hAnsi="Times New Roman" w:cs="Times New Roman" w:eastAsia="Times New Roman" w:hint="default"/>
                <w:sz w:val="18"/>
                <w:szCs w:val="18"/>
              </w:rPr>
            </w:pPr>
            <w:r>
              <w:rPr>
                <w:rFonts w:ascii="Times New Roman"/>
                <w:sz w:val="18"/>
              </w:rPr>
              <w:t>117,346.85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71.25%</w:t>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28" w:hRule="exact"/>
        </w:trPr>
        <w:tc>
          <w:tcPr>
            <w:tcW w:w="958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年非公开发行股票的募集资金使用情况：根据公司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年度股东大会决议，并经中国证监会《关于核准上海二三四 </w:t>
            </w:r>
            <w:r>
              <w:rPr>
                <w:rFonts w:ascii="宋体" w:hAnsi="宋体" w:cs="宋体" w:eastAsia="宋体" w:hint="default"/>
                <w:spacing w:val="-4"/>
                <w:sz w:val="18"/>
                <w:szCs w:val="18"/>
              </w:rPr>
              <w:t>五网络控股集团股份有限公司非公开发行股票的批复》（证监许可</w:t>
            </w:r>
            <w:r>
              <w:rPr>
                <w:rFonts w:ascii="Times New Roman" w:hAnsi="Times New Roman" w:cs="Times New Roman" w:eastAsia="Times New Roman" w:hint="default"/>
                <w:spacing w:val="-4"/>
                <w:sz w:val="18"/>
                <w:szCs w:val="18"/>
              </w:rPr>
              <w:t>[2015]3140</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号），公司非公开发行新增股份</w:t>
            </w:r>
            <w:r>
              <w:rPr>
                <w:rFonts w:ascii="宋体" w:hAnsi="宋体" w:cs="宋体" w:eastAsia="宋体" w:hint="default"/>
                <w:sz w:val="18"/>
                <w:szCs w:val="18"/>
              </w:rPr>
              <w:t> </w:t>
            </w:r>
            <w:r>
              <w:rPr>
                <w:rFonts w:ascii="Times New Roman" w:hAnsi="Times New Roman" w:cs="Times New Roman" w:eastAsia="Times New Roman" w:hint="default"/>
                <w:sz w:val="18"/>
                <w:szCs w:val="18"/>
              </w:rPr>
              <w:t>83,500,000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 发行价格为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股，共计募集货币资金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1,670,000,000.00 </w:t>
            </w:r>
            <w:r>
              <w:rPr>
                <w:rFonts w:ascii="宋体" w:hAnsi="宋体" w:cs="宋体" w:eastAsia="宋体" w:hint="default"/>
                <w:sz w:val="18"/>
                <w:szCs w:val="18"/>
              </w:rPr>
              <w:t>元，扣除与发行有关的费用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23,047,151.20 </w:t>
            </w:r>
            <w:r>
              <w:rPr>
                <w:rFonts w:ascii="宋体" w:hAnsi="宋体" w:cs="宋体" w:eastAsia="宋体" w:hint="default"/>
                <w:sz w:val="18"/>
                <w:szCs w:val="18"/>
              </w:rPr>
              <w:t>元，实际募集资金</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1,646,952,848.80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日，上述资金已全部到位，已经立信会计师事务所（特殊普通合伙）对</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本次发行进行了验资，并出具</w:t>
            </w:r>
            <w:r>
              <w:rPr>
                <w:rFonts w:ascii="宋体" w:hAnsi="宋体" w:cs="宋体" w:eastAsia="宋体" w:hint="default"/>
                <w:spacing w:val="3"/>
                <w:sz w:val="18"/>
                <w:szCs w:val="18"/>
              </w:rPr>
              <w:t>了</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110078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。报告期内，公司实际使用募集资金为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9,074.05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计使用募集资金为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167,511.22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万元；收到利息收入扣减手续费净额为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220.99 </w:t>
            </w:r>
            <w:r>
              <w:rPr>
                <w:rFonts w:ascii="宋体" w:hAnsi="宋体" w:cs="宋体" w:eastAsia="宋体" w:hint="default"/>
                <w:sz w:val="18"/>
                <w:szCs w:val="18"/>
              </w:rPr>
              <w:t>万元，累计收到利息收入扣减手续费净额为</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13,561.07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日召开第六届董事会第三十四次会议及第六届监事会第二十二次会议，于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年度股东大会，分别审议通过了《关于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年非公开发行股票募投项目结项并拟将节余募集资金永久</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日，公司已将募集资金专户中节余募集资金（含利息收入、理财收</w:t>
            </w:r>
            <w:r>
              <w:rPr>
                <w:rFonts w:ascii="宋体" w:hAnsi="宋体" w:cs="宋体" w:eastAsia="宋体" w:hint="default"/>
                <w:spacing w:val="-15"/>
                <w:sz w:val="18"/>
                <w:szCs w:val="18"/>
              </w:rPr>
              <w:t>入</w:t>
            </w:r>
            <w:r>
              <w:rPr>
                <w:rFonts w:ascii="宋体" w:hAnsi="宋体" w:cs="宋体" w:eastAsia="宋体" w:hint="default"/>
                <w:sz w:val="18"/>
                <w:szCs w:val="18"/>
              </w:rPr>
              <w:t>）合计</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107,451,360.98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元转入公司自有资金账户，并办理完毕募集资金专户的销户手续，详见公司于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日在巨潮资讯</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网披露的《关于完成注销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年非公开发行股票募集资金专户的公告</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2019-046</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772"/>
        <w:gridCol w:w="781"/>
        <w:gridCol w:w="781"/>
        <w:gridCol w:w="781"/>
        <w:gridCol w:w="781"/>
        <w:gridCol w:w="781"/>
        <w:gridCol w:w="781"/>
        <w:gridCol w:w="781"/>
        <w:gridCol w:w="781"/>
        <w:gridCol w:w="781"/>
        <w:gridCol w:w="781"/>
      </w:tblGrid>
      <w:tr>
        <w:trPr>
          <w:trHeight w:val="713"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10" w:right="7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05" w:right="30" w:hanging="91"/>
              <w:jc w:val="left"/>
              <w:rPr>
                <w:rFonts w:ascii="宋体" w:hAnsi="宋体" w:cs="宋体" w:eastAsia="宋体" w:hint="default"/>
                <w:sz w:val="18"/>
                <w:szCs w:val="18"/>
              </w:rPr>
            </w:pPr>
            <w:r>
              <w:rPr>
                <w:rFonts w:ascii="宋体" w:hAnsi="宋体" w:cs="宋体" w:eastAsia="宋体" w:hint="default"/>
                <w:sz w:val="18"/>
                <w:szCs w:val="18"/>
              </w:rPr>
              <w:t>是否已变 更项目</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5" w:right="30"/>
              <w:jc w:val="left"/>
              <w:rPr>
                <w:rFonts w:ascii="宋体" w:hAnsi="宋体" w:cs="宋体" w:eastAsia="宋体" w:hint="default"/>
                <w:sz w:val="18"/>
                <w:szCs w:val="18"/>
              </w:rPr>
            </w:pPr>
            <w:r>
              <w:rPr>
                <w:rFonts w:ascii="宋体" w:hAnsi="宋体" w:cs="宋体" w:eastAsia="宋体" w:hint="default"/>
                <w:sz w:val="18"/>
                <w:szCs w:val="18"/>
              </w:rPr>
              <w:t>募集资金 承诺投资</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04" w:right="29"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5" w:right="30"/>
              <w:jc w:val="left"/>
              <w:rPr>
                <w:rFonts w:ascii="宋体" w:hAnsi="宋体" w:cs="宋体" w:eastAsia="宋体" w:hint="default"/>
                <w:sz w:val="18"/>
                <w:szCs w:val="18"/>
              </w:rPr>
            </w:pPr>
            <w:r>
              <w:rPr>
                <w:rFonts w:ascii="宋体" w:hAnsi="宋体" w:cs="宋体" w:eastAsia="宋体" w:hint="default"/>
                <w:sz w:val="18"/>
                <w:szCs w:val="18"/>
              </w:rPr>
              <w:t>截至期末 累计投入</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4" w:right="29"/>
              <w:jc w:val="left"/>
              <w:rPr>
                <w:rFonts w:ascii="宋体" w:hAnsi="宋体" w:cs="宋体" w:eastAsia="宋体" w:hint="default"/>
                <w:sz w:val="18"/>
                <w:szCs w:val="18"/>
              </w:rPr>
            </w:pPr>
            <w:r>
              <w:rPr>
                <w:rFonts w:ascii="宋体" w:hAnsi="宋体" w:cs="宋体" w:eastAsia="宋体" w:hint="default"/>
                <w:sz w:val="18"/>
                <w:szCs w:val="18"/>
              </w:rPr>
              <w:t>截至期末 投资进度</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5" w:right="28"/>
              <w:jc w:val="left"/>
              <w:rPr>
                <w:rFonts w:ascii="宋体" w:hAnsi="宋体" w:cs="宋体" w:eastAsia="宋体" w:hint="default"/>
                <w:sz w:val="18"/>
                <w:szCs w:val="18"/>
              </w:rPr>
            </w:pPr>
            <w:r>
              <w:rPr>
                <w:rFonts w:ascii="宋体" w:hAnsi="宋体" w:cs="宋体" w:eastAsia="宋体" w:hint="default"/>
                <w:sz w:val="18"/>
                <w:szCs w:val="18"/>
              </w:rPr>
              <w:t>项目达到 预定可使</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5" w:right="29"/>
              <w:jc w:val="left"/>
              <w:rPr>
                <w:rFonts w:ascii="宋体" w:hAnsi="宋体" w:cs="宋体" w:eastAsia="宋体" w:hint="default"/>
                <w:sz w:val="18"/>
                <w:szCs w:val="18"/>
              </w:rPr>
            </w:pPr>
            <w:r>
              <w:rPr>
                <w:rFonts w:ascii="宋体" w:hAnsi="宋体" w:cs="宋体" w:eastAsia="宋体" w:hint="default"/>
                <w:sz w:val="18"/>
                <w:szCs w:val="18"/>
              </w:rPr>
              <w:t>本报告期 实现的效</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5" w:right="28"/>
              <w:jc w:val="left"/>
              <w:rPr>
                <w:rFonts w:ascii="宋体" w:hAnsi="宋体" w:cs="宋体" w:eastAsia="宋体" w:hint="default"/>
                <w:sz w:val="18"/>
                <w:szCs w:val="18"/>
              </w:rPr>
            </w:pPr>
            <w:r>
              <w:rPr>
                <w:rFonts w:ascii="宋体" w:hAnsi="宋体" w:cs="宋体" w:eastAsia="宋体" w:hint="default"/>
                <w:sz w:val="18"/>
                <w:szCs w:val="18"/>
              </w:rPr>
              <w:t>项目可行 性是否发</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72"/>
        <w:gridCol w:w="781"/>
        <w:gridCol w:w="781"/>
        <w:gridCol w:w="781"/>
        <w:gridCol w:w="781"/>
        <w:gridCol w:w="781"/>
        <w:gridCol w:w="781"/>
        <w:gridCol w:w="781"/>
        <w:gridCol w:w="781"/>
        <w:gridCol w:w="781"/>
        <w:gridCol w:w="781"/>
      </w:tblGrid>
      <w:tr>
        <w:trPr>
          <w:trHeight w:val="67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14"/>
              <w:ind w:left="165" w:right="88" w:hanging="9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总额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right="13"/>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14"/>
              <w:ind w:left="134" w:right="164" w:firstLine="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285" w:right="28" w:hanging="271"/>
              <w:jc w:val="left"/>
              <w:rPr>
                <w:rFonts w:ascii="宋体" w:hAnsi="宋体" w:cs="宋体" w:eastAsia="宋体" w:hint="default"/>
                <w:sz w:val="18"/>
                <w:szCs w:val="18"/>
              </w:rPr>
            </w:pPr>
            <w:r>
              <w:rPr>
                <w:rFonts w:ascii="宋体" w:hAnsi="宋体" w:cs="宋体" w:eastAsia="宋体" w:hint="default"/>
                <w:sz w:val="18"/>
                <w:szCs w:val="18"/>
              </w:rPr>
              <w:t>用状态日 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285" w:right="28" w:hanging="271"/>
              <w:jc w:val="left"/>
              <w:rPr>
                <w:rFonts w:ascii="宋体" w:hAnsi="宋体" w:cs="宋体" w:eastAsia="宋体" w:hint="default"/>
                <w:sz w:val="18"/>
                <w:szCs w:val="18"/>
              </w:rPr>
            </w:pPr>
            <w:r>
              <w:rPr>
                <w:rFonts w:ascii="宋体" w:hAnsi="宋体" w:cs="宋体" w:eastAsia="宋体" w:hint="default"/>
                <w:sz w:val="18"/>
                <w:szCs w:val="18"/>
              </w:rPr>
              <w:t>生重大变 化</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互联网金融平台项 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152,860.8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47,348.43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9,074.05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50,164.37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105.95%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9,928.52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15"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互联网金融超市项 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11,834.39</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5"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互联网小贷公司项 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117,346.8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117,346.8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164,695.2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164,695.2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9,074.05</w:t>
            </w: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167,511.2</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9,928.52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164,695.2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164,695.2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9,074.05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167,511.2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9,928.52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597"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12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97" w:lineRule="auto" w:before="59"/>
              <w:ind w:left="7" w:right="8"/>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互联网金融平台项目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业务发展大幅增长，累计实现的收益已超过预计效益，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互联网金融平台</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已积累了规模较大的活跃贷款用户群体，且平台的软硬件建设已基本完成，无需继续投入大量的研 发及建设资金，因此为保障全体股东利益最大化，公司计划对上述项目的投入金额进行控制，缩小</w:t>
            </w:r>
          </w:p>
          <w:p>
            <w:pPr>
              <w:pStyle w:val="TableParagraph"/>
              <w:spacing w:line="297" w:lineRule="auto" w:before="52"/>
              <w:ind w:left="7" w:right="13"/>
              <w:jc w:val="both"/>
              <w:rPr>
                <w:rFonts w:ascii="宋体" w:hAnsi="宋体" w:cs="宋体" w:eastAsia="宋体" w:hint="default"/>
                <w:sz w:val="18"/>
                <w:szCs w:val="18"/>
              </w:rPr>
            </w:pPr>
            <w:r>
              <w:rPr>
                <w:rFonts w:ascii="宋体" w:hAnsi="宋体" w:cs="宋体" w:eastAsia="宋体" w:hint="default"/>
                <w:sz w:val="18"/>
                <w:szCs w:val="18"/>
              </w:rPr>
              <w:t>原计划投入金额规模。</w:t>
            </w:r>
            <w:r>
              <w:rPr>
                <w:rFonts w:ascii="Times New Roman" w:hAnsi="Times New Roman" w:cs="Times New Roman" w:eastAsia="Times New Roman" w:hint="default"/>
                <w:sz w:val="18"/>
                <w:szCs w:val="18"/>
              </w:rPr>
              <w:t>2</w:t>
            </w:r>
            <w:r>
              <w:rPr>
                <w:rFonts w:ascii="宋体" w:hAnsi="宋体" w:cs="宋体" w:eastAsia="宋体" w:hint="default"/>
                <w:sz w:val="18"/>
                <w:szCs w:val="18"/>
              </w:rPr>
              <w:t>、受互联网金融领域的市场环境发生变化的影响，原计划开展的</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w:t>
            </w:r>
            <w:r>
              <w:rPr>
                <w:rFonts w:ascii="宋体" w:hAnsi="宋体" w:cs="宋体" w:eastAsia="宋体" w:hint="default"/>
                <w:spacing w:val="-72"/>
                <w:sz w:val="18"/>
                <w:szCs w:val="18"/>
              </w:rPr>
              <w:t> </w:t>
            </w:r>
            <w:r>
              <w:rPr>
                <w:rFonts w:ascii="宋体" w:hAnsi="宋体" w:cs="宋体" w:eastAsia="宋体" w:hint="default"/>
                <w:spacing w:val="-3"/>
                <w:sz w:val="18"/>
                <w:szCs w:val="18"/>
              </w:rPr>
              <w:t>融超市项目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暂未使用募集资金进行投入，由于未来国家对相关产业政策进行调整的不确定性，公司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原定开展的</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互联网金融超市项目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可能会受到一定影响，因此为保障全体股东利益最大化，公司计</w:t>
            </w:r>
            <w:r>
              <w:rPr>
                <w:rFonts w:ascii="宋体" w:hAnsi="宋体" w:cs="宋体" w:eastAsia="宋体" w:hint="default"/>
                <w:spacing w:val="-82"/>
                <w:sz w:val="18"/>
                <w:szCs w:val="18"/>
              </w:rPr>
              <w:t> </w:t>
            </w:r>
            <w:r>
              <w:rPr>
                <w:rFonts w:ascii="宋体" w:hAnsi="宋体" w:cs="宋体" w:eastAsia="宋体" w:hint="default"/>
                <w:sz w:val="18"/>
                <w:szCs w:val="18"/>
              </w:rPr>
              <w:t>划取消</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互联网金融超市项目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并对募集资金进行相应变更。上述事项已经公司于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18"/>
              <w:ind w:left="7" w:right="0"/>
              <w:jc w:val="both"/>
              <w:rPr>
                <w:rFonts w:ascii="宋体" w:hAnsi="宋体" w:cs="宋体" w:eastAsia="宋体" w:hint="default"/>
                <w:sz w:val="18"/>
                <w:szCs w:val="18"/>
              </w:rPr>
            </w:pPr>
            <w:r>
              <w:rPr>
                <w:rFonts w:ascii="宋体" w:hAnsi="宋体" w:cs="宋体" w:eastAsia="宋体" w:hint="default"/>
                <w:sz w:val="18"/>
                <w:szCs w:val="18"/>
              </w:rPr>
              <w:t>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年第三次临时股东大会审议通过，并于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月实施完毕。</w:t>
            </w:r>
          </w:p>
        </w:tc>
      </w:tr>
      <w:tr>
        <w:trPr>
          <w:trHeight w:val="391"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5" w:right="3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z w:val="18"/>
                <w:szCs w:val="18"/>
              </w:rPr>
              <w:t> 及使用进展情况</w:t>
            </w: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gridSpan w:val="10"/>
            <w:tcBorders>
              <w:top w:val="single" w:sz="6" w:space="0" w:color="000000"/>
              <w:left w:val="single" w:sz="12" w:space="0" w:color="000000"/>
              <w:bottom w:val="single" w:sz="6" w:space="0" w:color="000000"/>
              <w:right w:val="single" w:sz="6" w:space="0" w:color="000000"/>
            </w:tcBorders>
          </w:tcPr>
          <w:p>
            <w:pP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1772" w:type="dxa"/>
            <w:vMerge/>
            <w:tcBorders>
              <w:left w:val="single" w:sz="6" w:space="0" w:color="000000"/>
              <w:right w:val="single" w:sz="6" w:space="0" w:color="000000"/>
            </w:tcBorders>
            <w:shd w:val="clear" w:color="auto" w:fill="D2D2D2"/>
          </w:tcPr>
          <w:p>
            <w:pPr/>
          </w:p>
        </w:tc>
        <w:tc>
          <w:tcPr>
            <w:tcW w:w="7810" w:type="dxa"/>
            <w:gridSpan w:val="10"/>
            <w:tcBorders>
              <w:top w:val="single" w:sz="6" w:space="0" w:color="000000"/>
              <w:left w:val="single" w:sz="12" w:space="0" w:color="000000"/>
              <w:bottom w:val="single" w:sz="6" w:space="0" w:color="000000"/>
              <w:right w:val="single" w:sz="6" w:space="0" w:color="000000"/>
            </w:tcBorders>
          </w:tcPr>
          <w:p>
            <w:pPr/>
          </w:p>
        </w:tc>
      </w:tr>
      <w:tr>
        <w:trPr>
          <w:trHeight w:val="405"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gridSpan w:val="10"/>
            <w:tcBorders>
              <w:top w:val="single" w:sz="6" w:space="0" w:color="000000"/>
              <w:left w:val="single" w:sz="12" w:space="0" w:color="000000"/>
              <w:bottom w:val="single" w:sz="6" w:space="0" w:color="000000"/>
              <w:right w:val="single" w:sz="6" w:space="0" w:color="000000"/>
            </w:tcBorders>
          </w:tcPr>
          <w:p>
            <w:pPr/>
          </w:p>
        </w:tc>
      </w:tr>
      <w:tr>
        <w:trPr>
          <w:trHeight w:val="390"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5" w:hRule="exact"/>
        </w:trPr>
        <w:tc>
          <w:tcPr>
            <w:tcW w:w="1772" w:type="dxa"/>
            <w:vMerge/>
            <w:tcBorders>
              <w:left w:val="single" w:sz="6" w:space="0" w:color="000000"/>
              <w:right w:val="single" w:sz="6" w:space="0" w:color="000000"/>
            </w:tcBorders>
            <w:shd w:val="clear" w:color="auto" w:fill="D2D2D2"/>
          </w:tcPr>
          <w:p>
            <w:pP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291"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日召开第六届董事会第二十二次会议、第六届监事会第十二次会议及</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p>
          <w:p>
            <w:pPr>
              <w:pStyle w:val="TableParagraph"/>
              <w:spacing w:line="312" w:lineRule="auto" w:before="51"/>
              <w:ind w:left="7" w:right="1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年第三次临时股东大会审议通过了《关于部分变更非公开发行股票募集资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金用途的议案》，将互联网金融超市项目的全部募集资金、互联网金融平台项目的部分募集资金变更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为收购互联网小贷公司部分股权及增资。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月，收购互联网小贷公司部分股权及增资事项已</w:t>
            </w:r>
          </w:p>
        </w:tc>
      </w:tr>
    </w:tbl>
    <w:p>
      <w:pPr>
        <w:spacing w:after="0" w:line="312" w:lineRule="auto"/>
        <w:jc w:val="both"/>
        <w:rPr>
          <w:rFonts w:ascii="宋体" w:hAnsi="宋体" w:cs="宋体" w:eastAsia="宋体" w:hint="default"/>
          <w:sz w:val="18"/>
          <w:szCs w:val="18"/>
        </w:rPr>
        <w:sectPr>
          <w:pgSz w:w="11910" w:h="16850"/>
          <w:pgMar w:header="731" w:footer="981" w:top="1040" w:bottom="126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72"/>
        <w:gridCol w:w="7810"/>
      </w:tblGrid>
      <w:tr>
        <w:trPr>
          <w:trHeight w:val="36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经完成。</w:t>
            </w: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5" w:right="12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1"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1"/>
              <w:ind w:left="15" w:right="12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6"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37"/>
              <w:jc w:val="both"/>
              <w:rPr>
                <w:rFonts w:ascii="宋体" w:hAnsi="宋体" w:cs="宋体" w:eastAsia="宋体" w:hint="default"/>
                <w:sz w:val="18"/>
                <w:szCs w:val="18"/>
              </w:rPr>
            </w:pPr>
            <w:r>
              <w:rPr>
                <w:rFonts w:ascii="宋体" w:hAnsi="宋体" w:cs="宋体" w:eastAsia="宋体" w:hint="default"/>
                <w:sz w:val="18"/>
                <w:szCs w:val="18"/>
              </w:rPr>
              <w:t>公司从项目实际情况出发，严格管理，合理配置资源，有效的节约了开支；同时，公司在确保不影 响募集资金投资计划的前提下运用部分暂时闲置募集资金进行安全性高、流动性好的短期保本型理 财产品投资，通过进行合理的低风险的短期理财，提高资金使用效率，获得一定的投资效益，也为 公司股东谋取更多的投资回报。</w:t>
            </w:r>
          </w:p>
        </w:tc>
      </w:tr>
      <w:tr>
        <w:trPr>
          <w:trHeight w:val="1967"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4" w:lineRule="auto"/>
              <w:ind w:left="15" w:right="12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日召开第六届董事会第三十四次会议及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pacing w:val="-9"/>
                <w:sz w:val="18"/>
                <w:szCs w:val="18"/>
              </w:rPr>
              <w:t>会，审议通过了《关于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年非公开发行股票募投项目结项并拟将节余募集资金永久性补充流动资</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日，公司已将募集资金专户中节余募集资金（含利息收入、理财收</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入）合计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107,451,360.98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元转入公司自有资金账户，并办理完毕募集资金专户的销户手续。详见公</w:t>
            </w:r>
          </w:p>
          <w:p>
            <w:pPr>
              <w:pStyle w:val="TableParagraph"/>
              <w:spacing w:line="302" w:lineRule="auto" w:before="66"/>
              <w:ind w:left="15" w:right="31"/>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日在巨潮资讯网披露的《关于完成注销</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年非公开发行股票募集资金专户的 </w:t>
            </w:r>
            <w:r>
              <w:rPr>
                <w:rFonts w:ascii="宋体" w:hAnsi="宋体" w:cs="宋体" w:eastAsia="宋体" w:hint="default"/>
                <w:spacing w:val="-20"/>
                <w:sz w:val="18"/>
                <w:szCs w:val="18"/>
              </w:rPr>
              <w:t>公告》（</w:t>
            </w:r>
            <w:r>
              <w:rPr>
                <w:rFonts w:ascii="Times New Roman" w:hAnsi="Times New Roman" w:cs="Times New Roman" w:eastAsia="Times New Roman" w:hint="default"/>
                <w:spacing w:val="-20"/>
                <w:sz w:val="18"/>
                <w:szCs w:val="18"/>
              </w:rPr>
              <w:t>2019-046</w:t>
            </w:r>
            <w:r>
              <w:rPr>
                <w:rFonts w:ascii="宋体" w:hAnsi="宋体" w:cs="宋体" w:eastAsia="宋体" w:hint="default"/>
                <w:spacing w:val="-20"/>
                <w:sz w:val="18"/>
                <w:szCs w:val="18"/>
              </w:rPr>
              <w:t>）。</w:t>
            </w:r>
            <w:r>
              <w:rPr>
                <w:rFonts w:ascii="宋体" w:hAnsi="宋体" w:cs="宋体" w:eastAsia="宋体" w:hint="default"/>
                <w:sz w:val="18"/>
                <w:szCs w:val="18"/>
              </w:rPr>
            </w:r>
          </w:p>
        </w:tc>
      </w:tr>
      <w:tr>
        <w:trPr>
          <w:trHeight w:val="102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公司报告期不存在募集资金变更项目情况。</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4841" w:space="4095"/>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51"/>
        <w:gridCol w:w="932"/>
        <w:gridCol w:w="1307"/>
        <w:gridCol w:w="1051"/>
        <w:gridCol w:w="1051"/>
        <w:gridCol w:w="1037"/>
        <w:gridCol w:w="1051"/>
        <w:gridCol w:w="1051"/>
        <w:gridCol w:w="1051"/>
      </w:tblGrid>
      <w:tr>
        <w:trPr>
          <w:trHeight w:val="4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198.199997pt;margin-top:72.820pt;width:75.95pt;height:140.4pt;mso-position-horizontal-relative:page;mso-position-vertical-relative:page;z-index:-1159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8"/>
                    <w:ind w:left="0" w:right="0"/>
                    <w:jc w:val="left"/>
                  </w:pPr>
                  <w:r>
                    <w:rPr/>
                    <w:t>发布、</w:t>
                  </w:r>
                </w:p>
              </w:txbxContent>
            </v:textbox>
            <w10:wrap type="none"/>
          </v:shape>
        </w:pict>
      </w:r>
      <w:r>
        <w:rPr/>
        <w:pict>
          <v:group style="position:absolute;margin-left:222.279999pt;margin-top:72.820pt;width:51.85pt;height:140.4pt;mso-position-horizontal-relative:page;mso-position-vertical-relative:page;z-index:-1159696" coordorigin="4446,1456" coordsize="1037,2808">
            <v:shape style="position:absolute;left:4446;top:1456;width:1037;height:2808" coordorigin="4446,1456" coordsize="1037,2808" path="m4446,4264l5482,4264,5482,1456,4446,1456,4446,4264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51"/>
        <w:gridCol w:w="932"/>
        <w:gridCol w:w="1322"/>
        <w:gridCol w:w="1036"/>
        <w:gridCol w:w="1051"/>
        <w:gridCol w:w="1052"/>
        <w:gridCol w:w="1036"/>
        <w:gridCol w:w="1051"/>
        <w:gridCol w:w="1051"/>
      </w:tblGrid>
      <w:tr>
        <w:trPr>
          <w:trHeight w:val="633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1" w:lineRule="auto"/>
              <w:ind w:left="15" w:right="118"/>
              <w:jc w:val="both"/>
              <w:rPr>
                <w:rFonts w:ascii="宋体" w:hAnsi="宋体" w:cs="宋体" w:eastAsia="宋体" w:hint="default"/>
                <w:sz w:val="18"/>
                <w:szCs w:val="18"/>
              </w:rPr>
            </w:pPr>
            <w:r>
              <w:rPr>
                <w:rFonts w:ascii="宋体" w:hAnsi="宋体" w:cs="宋体" w:eastAsia="宋体" w:hint="default"/>
                <w:sz w:val="18"/>
                <w:szCs w:val="18"/>
              </w:rPr>
              <w:t>上海二三四 五网络科技 有限公司</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48"/>
              <w:jc w:val="both"/>
              <w:rPr>
                <w:rFonts w:ascii="宋体" w:hAnsi="宋体" w:cs="宋体" w:eastAsia="宋体" w:hint="default"/>
                <w:sz w:val="18"/>
                <w:szCs w:val="18"/>
              </w:rPr>
            </w:pPr>
            <w:r>
              <w:rPr>
                <w:rFonts w:ascii="宋体" w:hAnsi="宋体" w:cs="宋体" w:eastAsia="宋体" w:hint="default"/>
                <w:sz w:val="18"/>
                <w:szCs w:val="18"/>
              </w:rPr>
              <w:t>计算机软硬件 及辅助设备的 开发、销售</w:t>
            </w:r>
            <w:r>
              <w:rPr>
                <w:rFonts w:ascii="Times New Roman" w:hAnsi="Times New Roman" w:cs="Times New Roman" w:eastAsia="Times New Roman" w:hint="default"/>
                <w:sz w:val="18"/>
                <w:szCs w:val="18"/>
              </w:rPr>
              <w:t>,</w:t>
            </w:r>
            <w:r>
              <w:rPr>
                <w:rFonts w:ascii="宋体" w:hAnsi="宋体" w:cs="宋体" w:eastAsia="宋体" w:hint="default"/>
                <w:sz w:val="18"/>
                <w:szCs w:val="18"/>
              </w:rPr>
              <w:t>设</w:t>
            </w:r>
          </w:p>
          <w:p>
            <w:pPr>
              <w:pStyle w:val="TableParagraph"/>
              <w:spacing w:line="219" w:lineRule="exact"/>
              <w:ind w:left="30" w:right="0"/>
              <w:jc w:val="left"/>
              <w:rPr>
                <w:rFonts w:ascii="宋体" w:hAnsi="宋体" w:cs="宋体" w:eastAsia="宋体" w:hint="default"/>
                <w:sz w:val="18"/>
                <w:szCs w:val="18"/>
              </w:rPr>
            </w:pPr>
            <w:r>
              <w:rPr>
                <w:rFonts w:ascii="宋体" w:hAnsi="宋体" w:cs="宋体" w:eastAsia="宋体" w:hint="default"/>
                <w:spacing w:val="-9"/>
                <w:sz w:val="18"/>
                <w:szCs w:val="18"/>
              </w:rPr>
              <w:t>计、制作、</w:t>
            </w:r>
          </w:p>
          <w:p>
            <w:pPr>
              <w:pStyle w:val="TableParagraph"/>
              <w:spacing w:line="302" w:lineRule="auto" w:before="94"/>
              <w:ind w:left="30" w:right="14"/>
              <w:jc w:val="left"/>
              <w:rPr>
                <w:rFonts w:ascii="宋体" w:hAnsi="宋体" w:cs="宋体" w:eastAsia="宋体" w:hint="default"/>
                <w:sz w:val="18"/>
                <w:szCs w:val="18"/>
              </w:rPr>
            </w:pPr>
            <w:r>
              <w:rPr>
                <w:rFonts w:ascii="宋体" w:hAnsi="宋体" w:cs="宋体" w:eastAsia="宋体" w:hint="default"/>
                <w:sz w:val="18"/>
                <w:szCs w:val="18"/>
              </w:rPr>
              <w:t>代理各类广告</w:t>
            </w:r>
            <w:r>
              <w:rPr>
                <w:rFonts w:ascii="Times New Roman" w:hAnsi="Times New Roman" w:cs="Times New Roman" w:eastAsia="Times New Roman" w:hint="default"/>
                <w:sz w:val="18"/>
                <w:szCs w:val="18"/>
              </w:rPr>
              <w:t>, </w:t>
            </w:r>
            <w:r>
              <w:rPr>
                <w:rFonts w:ascii="宋体" w:hAnsi="宋体" w:cs="宋体" w:eastAsia="宋体" w:hint="default"/>
                <w:sz w:val="18"/>
                <w:szCs w:val="18"/>
              </w:rPr>
              <w:t>企业管理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投资 咨询</w:t>
            </w:r>
            <w:r>
              <w:rPr>
                <w:rFonts w:ascii="Times New Roman" w:hAnsi="Times New Roman" w:cs="Times New Roman" w:eastAsia="Times New Roman" w:hint="default"/>
                <w:sz w:val="18"/>
                <w:szCs w:val="18"/>
              </w:rPr>
              <w:t>,</w:t>
            </w:r>
            <w:r>
              <w:rPr>
                <w:rFonts w:ascii="宋体" w:hAnsi="宋体" w:cs="宋体" w:eastAsia="宋体" w:hint="default"/>
                <w:sz w:val="18"/>
                <w:szCs w:val="18"/>
              </w:rPr>
              <w:t>市场信息 咨询和调查</w:t>
            </w:r>
            <w:r>
              <w:rPr>
                <w:rFonts w:ascii="Times New Roman" w:hAnsi="Times New Roman" w:cs="Times New Roman" w:eastAsia="Times New Roman" w:hint="default"/>
                <w:sz w:val="18"/>
                <w:szCs w:val="18"/>
              </w:rPr>
              <w:t>(</w:t>
            </w:r>
            <w:r>
              <w:rPr>
                <w:rFonts w:ascii="宋体" w:hAnsi="宋体" w:cs="宋体" w:eastAsia="宋体" w:hint="default"/>
                <w:sz w:val="18"/>
                <w:szCs w:val="18"/>
              </w:rPr>
              <w:t>不 得从事社会调 查、社会调研、 民意调查、民意</w:t>
            </w:r>
          </w:p>
          <w:p>
            <w:pPr>
              <w:pStyle w:val="TableParagraph"/>
              <w:spacing w:line="307" w:lineRule="auto" w:before="48"/>
              <w:ind w:left="30" w:right="45"/>
              <w:jc w:val="left"/>
              <w:rPr>
                <w:rFonts w:ascii="宋体" w:hAnsi="宋体" w:cs="宋体" w:eastAsia="宋体" w:hint="default"/>
                <w:sz w:val="18"/>
                <w:szCs w:val="18"/>
              </w:rPr>
            </w:pPr>
            <w:r>
              <w:rPr>
                <w:rFonts w:ascii="宋体" w:hAnsi="宋体" w:cs="宋体" w:eastAsia="宋体" w:hint="default"/>
                <w:sz w:val="18"/>
                <w:szCs w:val="18"/>
              </w:rPr>
              <w:t>测验</w:t>
            </w:r>
            <w:r>
              <w:rPr>
                <w:rFonts w:ascii="Times New Roman" w:hAnsi="Times New Roman" w:cs="Times New Roman" w:eastAsia="Times New Roman" w:hint="default"/>
                <w:sz w:val="18"/>
                <w:szCs w:val="18"/>
              </w:rPr>
              <w:t>),</w:t>
            </w:r>
            <w:r>
              <w:rPr>
                <w:rFonts w:ascii="宋体" w:hAnsi="宋体" w:cs="宋体" w:eastAsia="宋体" w:hint="default"/>
                <w:sz w:val="18"/>
                <w:szCs w:val="18"/>
              </w:rPr>
              <w:t>百货的销 售</w:t>
            </w:r>
            <w:r>
              <w:rPr>
                <w:rFonts w:ascii="Times New Roman" w:hAnsi="Times New Roman" w:cs="Times New Roman" w:eastAsia="Times New Roman" w:hint="default"/>
                <w:sz w:val="18"/>
                <w:szCs w:val="18"/>
              </w:rPr>
              <w:t>;</w:t>
            </w:r>
            <w:r>
              <w:rPr>
                <w:rFonts w:ascii="宋体" w:hAnsi="宋体" w:cs="宋体" w:eastAsia="宋体" w:hint="default"/>
                <w:sz w:val="18"/>
                <w:szCs w:val="18"/>
              </w:rPr>
              <w:t>增值电信业 务</w:t>
            </w:r>
            <w:r>
              <w:rPr>
                <w:rFonts w:ascii="Times New Roman" w:hAnsi="Times New Roman" w:cs="Times New Roman" w:eastAsia="Times New Roman" w:hint="default"/>
                <w:sz w:val="18"/>
                <w:szCs w:val="18"/>
              </w:rPr>
              <w:t>(</w:t>
            </w:r>
            <w:r>
              <w:rPr>
                <w:rFonts w:ascii="宋体" w:hAnsi="宋体" w:cs="宋体" w:eastAsia="宋体" w:hint="default"/>
                <w:sz w:val="18"/>
                <w:szCs w:val="18"/>
              </w:rPr>
              <w:t>详见增值电 信业务经营许 </w:t>
            </w:r>
            <w:r>
              <w:rPr>
                <w:rFonts w:ascii="宋体" w:hAnsi="宋体" w:cs="宋体" w:eastAsia="宋体" w:hint="default"/>
                <w:spacing w:val="-12"/>
                <w:sz w:val="18"/>
                <w:szCs w:val="18"/>
              </w:rPr>
              <w:t>可证</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。【依法须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经批准的项目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经相关部门批 准后方可开展 经营活动】</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93"/>
              <w:ind w:left="14" w:right="0"/>
              <w:jc w:val="lef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4,454,753,78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2.30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3,557,279,11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5.58</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1,397,061,37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258,767,251.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247,586,620.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73</w:t>
            </w:r>
          </w:p>
        </w:tc>
      </w:tr>
      <w:tr>
        <w:trPr>
          <w:trHeight w:val="726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4" w:lineRule="auto"/>
              <w:ind w:left="15" w:right="118"/>
              <w:jc w:val="both"/>
              <w:rPr>
                <w:rFonts w:ascii="宋体" w:hAnsi="宋体" w:cs="宋体" w:eastAsia="宋体" w:hint="default"/>
                <w:sz w:val="18"/>
                <w:szCs w:val="18"/>
              </w:rPr>
            </w:pPr>
            <w:r>
              <w:rPr>
                <w:rFonts w:ascii="宋体" w:hAnsi="宋体" w:cs="宋体" w:eastAsia="宋体" w:hint="default"/>
                <w:sz w:val="18"/>
                <w:szCs w:val="18"/>
              </w:rPr>
              <w:t>上海洪昇智 能科技有限 公司</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从事智能科技、 计算机软、硬件 领域内的技术 开发、技术咨 询、技术服务、 技术转让</w:t>
            </w:r>
            <w:r>
              <w:rPr>
                <w:rFonts w:ascii="Times New Roman" w:hAnsi="Times New Roman" w:cs="Times New Roman" w:eastAsia="Times New Roman" w:hint="default"/>
                <w:sz w:val="18"/>
                <w:szCs w:val="18"/>
              </w:rPr>
              <w:t>,</w:t>
            </w:r>
            <w:r>
              <w:rPr>
                <w:rFonts w:ascii="宋体" w:hAnsi="宋体" w:cs="宋体" w:eastAsia="宋体" w:hint="default"/>
                <w:sz w:val="18"/>
                <w:szCs w:val="18"/>
              </w:rPr>
              <w:t>金融 信息服务</w:t>
            </w:r>
            <w:r>
              <w:rPr>
                <w:rFonts w:ascii="Times New Roman" w:hAnsi="Times New Roman" w:cs="Times New Roman" w:eastAsia="Times New Roman" w:hint="default"/>
                <w:sz w:val="18"/>
                <w:szCs w:val="18"/>
              </w:rPr>
              <w:t>(</w:t>
            </w:r>
            <w:r>
              <w:rPr>
                <w:rFonts w:ascii="宋体" w:hAnsi="宋体" w:cs="宋体" w:eastAsia="宋体" w:hint="default"/>
                <w:sz w:val="18"/>
                <w:szCs w:val="18"/>
              </w:rPr>
              <w:t>除金 融业务</w:t>
            </w:r>
            <w:r>
              <w:rPr>
                <w:rFonts w:ascii="Times New Roman" w:hAnsi="Times New Roman" w:cs="Times New Roman" w:eastAsia="Times New Roman" w:hint="default"/>
                <w:sz w:val="18"/>
                <w:szCs w:val="18"/>
              </w:rPr>
              <w:t>),</w:t>
            </w:r>
            <w:r>
              <w:rPr>
                <w:rFonts w:ascii="宋体" w:hAnsi="宋体" w:cs="宋体" w:eastAsia="宋体" w:hint="default"/>
                <w:sz w:val="18"/>
                <w:szCs w:val="18"/>
              </w:rPr>
              <w:t>接受金 融机构委托从 事金融信息技 术外包、金融业 务流程外包、金 融知识流程外</w:t>
            </w:r>
          </w:p>
          <w:p>
            <w:pPr>
              <w:pStyle w:val="TableParagraph"/>
              <w:spacing w:line="304" w:lineRule="auto" w:before="40"/>
              <w:ind w:left="30" w:right="103"/>
              <w:jc w:val="left"/>
              <w:rPr>
                <w:rFonts w:ascii="宋体" w:hAnsi="宋体" w:cs="宋体" w:eastAsia="宋体" w:hint="default"/>
                <w:sz w:val="18"/>
                <w:szCs w:val="18"/>
              </w:rPr>
            </w:pPr>
            <w:r>
              <w:rPr>
                <w:rFonts w:ascii="宋体" w:hAnsi="宋体" w:cs="宋体" w:eastAsia="宋体" w:hint="default"/>
                <w:sz w:val="18"/>
                <w:szCs w:val="18"/>
              </w:rPr>
              <w:t>包</w:t>
            </w:r>
            <w:r>
              <w:rPr>
                <w:rFonts w:ascii="Times New Roman" w:hAnsi="Times New Roman" w:cs="Times New Roman" w:eastAsia="Times New Roman" w:hint="default"/>
                <w:sz w:val="18"/>
                <w:szCs w:val="18"/>
              </w:rPr>
              <w:t>,</w:t>
            </w:r>
            <w:r>
              <w:rPr>
                <w:rFonts w:ascii="宋体" w:hAnsi="宋体" w:cs="宋体" w:eastAsia="宋体" w:hint="default"/>
                <w:sz w:val="18"/>
                <w:szCs w:val="18"/>
              </w:rPr>
              <w:t>实业投资</w:t>
            </w:r>
            <w:r>
              <w:rPr>
                <w:rFonts w:ascii="Times New Roman" w:hAnsi="Times New Roman" w:cs="Times New Roman" w:eastAsia="Times New Roman" w:hint="default"/>
                <w:sz w:val="18"/>
                <w:szCs w:val="18"/>
              </w:rPr>
              <w:t>,</w:t>
            </w:r>
            <w:r>
              <w:rPr>
                <w:rFonts w:ascii="宋体" w:hAnsi="宋体" w:cs="宋体" w:eastAsia="宋体" w:hint="default"/>
                <w:sz w:val="18"/>
                <w:szCs w:val="18"/>
              </w:rPr>
              <w:t>投 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资产管 理</w:t>
            </w:r>
            <w:r>
              <w:rPr>
                <w:rFonts w:ascii="Times New Roman" w:hAnsi="Times New Roman" w:cs="Times New Roman" w:eastAsia="Times New Roman" w:hint="default"/>
                <w:sz w:val="18"/>
                <w:szCs w:val="18"/>
              </w:rPr>
              <w:t>,</w:t>
            </w:r>
            <w:r>
              <w:rPr>
                <w:rFonts w:ascii="宋体" w:hAnsi="宋体" w:cs="宋体" w:eastAsia="宋体" w:hint="default"/>
                <w:sz w:val="18"/>
                <w:szCs w:val="18"/>
              </w:rPr>
              <w:t>投资咨询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商 务信息咨询</w:t>
            </w:r>
            <w:r>
              <w:rPr>
                <w:rFonts w:ascii="Times New Roman" w:hAnsi="Times New Roman" w:cs="Times New Roman" w:eastAsia="Times New Roman" w:hint="default"/>
                <w:sz w:val="18"/>
                <w:szCs w:val="18"/>
              </w:rPr>
              <w:t>,</w:t>
            </w:r>
            <w:r>
              <w:rPr>
                <w:rFonts w:ascii="宋体" w:hAnsi="宋体" w:cs="宋体" w:eastAsia="宋体" w:hint="default"/>
                <w:sz w:val="18"/>
                <w:szCs w:val="18"/>
              </w:rPr>
              <w:t>企 业管理咨询</w:t>
            </w:r>
            <w:r>
              <w:rPr>
                <w:rFonts w:ascii="Times New Roman" w:hAnsi="Times New Roman" w:cs="Times New Roman" w:eastAsia="Times New Roman" w:hint="default"/>
                <w:sz w:val="18"/>
                <w:szCs w:val="18"/>
              </w:rPr>
              <w:t>,</w:t>
            </w:r>
            <w:r>
              <w:rPr>
                <w:rFonts w:ascii="宋体" w:hAnsi="宋体" w:cs="宋体" w:eastAsia="宋体" w:hint="default"/>
                <w:sz w:val="18"/>
                <w:szCs w:val="18"/>
              </w:rPr>
              <w:t>财 </w:t>
            </w:r>
            <w:r>
              <w:rPr>
                <w:rFonts w:ascii="宋体" w:hAnsi="宋体" w:cs="宋体" w:eastAsia="宋体" w:hint="default"/>
                <w:spacing w:val="-13"/>
                <w:sz w:val="18"/>
                <w:szCs w:val="18"/>
              </w:rPr>
              <w:t>务咨询。【依法</w:t>
            </w:r>
            <w:r>
              <w:rPr>
                <w:rFonts w:ascii="宋体" w:hAnsi="宋体" w:cs="宋体" w:eastAsia="宋体" w:hint="default"/>
                <w:sz w:val="18"/>
                <w:szCs w:val="18"/>
              </w:rPr>
              <w:t> 须经批准的项 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经相关部门 批准后方可开 展经营活动】</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1,740,000,00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3,905,497,24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6.37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2,536,939,71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1.25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481,688,883.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356,009,327.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332,406,002.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07</w:t>
            </w:r>
          </w:p>
        </w:tc>
      </w:tr>
      <w:tr>
        <w:trPr>
          <w:trHeight w:val="40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上海二三四</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4" w:right="0"/>
              <w:jc w:val="left"/>
              <w:rPr>
                <w:rFonts w:ascii="Times New Roman" w:hAnsi="Times New Roman" w:cs="Times New Roman" w:eastAsia="Times New Roman" w:hint="default"/>
                <w:sz w:val="18"/>
                <w:szCs w:val="18"/>
              </w:rPr>
            </w:pPr>
            <w:r>
              <w:rPr>
                <w:rFonts w:ascii="Times New Roman"/>
                <w:sz w:val="18"/>
              </w:rPr>
              <w:t>10,000,000.0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497,295,593.</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444,212,399.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293,388,582.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175,972,905.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155,380,517.</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198.199997pt;margin-top:371.579987pt;width:75.95pt;height:186.2pt;mso-position-horizontal-relative:page;mso-position-vertical-relative:page;z-index:-1159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before="0"/>
                    <w:ind w:left="0" w:right="0"/>
                    <w:jc w:val="left"/>
                  </w:pPr>
                  <w:r>
                    <w:rPr/>
                    <w:t>发布、</w:t>
                  </w:r>
                </w:p>
              </w:txbxContent>
            </v:textbox>
            <w10:wrap type="none"/>
          </v:shape>
        </w:pict>
      </w:r>
      <w:r>
        <w:rPr/>
        <w:pict>
          <v:group style="position:absolute;margin-left:222.279999pt;margin-top:371.579987pt;width:51.85pt;height:186.2pt;mso-position-horizontal-relative:page;mso-position-vertical-relative:page;z-index:-1159648" coordorigin="4446,7432" coordsize="1037,3724">
            <v:shape style="position:absolute;left:4446;top:7432;width:1037;height:3724" coordorigin="4446,7432" coordsize="1037,3724" path="m4446,11155l5482,11155,5482,7432,4446,7432,4446,11155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51"/>
        <w:gridCol w:w="932"/>
        <w:gridCol w:w="1322"/>
        <w:gridCol w:w="1036"/>
        <w:gridCol w:w="1051"/>
        <w:gridCol w:w="1052"/>
        <w:gridCol w:w="1036"/>
        <w:gridCol w:w="1051"/>
        <w:gridCol w:w="1051"/>
      </w:tblGrid>
      <w:tr>
        <w:trPr>
          <w:trHeight w:val="599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18"/>
              <w:jc w:val="left"/>
              <w:rPr>
                <w:rFonts w:ascii="宋体" w:hAnsi="宋体" w:cs="宋体" w:eastAsia="宋体" w:hint="default"/>
                <w:sz w:val="18"/>
                <w:szCs w:val="18"/>
              </w:rPr>
            </w:pPr>
            <w:r>
              <w:rPr>
                <w:rFonts w:ascii="宋体" w:hAnsi="宋体" w:cs="宋体" w:eastAsia="宋体" w:hint="default"/>
                <w:sz w:val="18"/>
                <w:szCs w:val="18"/>
              </w:rPr>
              <w:t>五移动科技 有限公司</w:t>
            </w:r>
          </w:p>
        </w:tc>
        <w:tc>
          <w:tcPr>
            <w:tcW w:w="9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30" w:right="133"/>
              <w:jc w:val="left"/>
              <w:rPr>
                <w:rFonts w:ascii="宋体" w:hAnsi="宋体" w:cs="宋体" w:eastAsia="宋体" w:hint="default"/>
                <w:sz w:val="18"/>
                <w:szCs w:val="18"/>
              </w:rPr>
            </w:pPr>
            <w:r>
              <w:rPr>
                <w:rFonts w:ascii="宋体" w:hAnsi="宋体" w:cs="宋体" w:eastAsia="宋体" w:hint="default"/>
                <w:sz w:val="18"/>
                <w:szCs w:val="18"/>
              </w:rPr>
              <w:t>及辅助设备</w:t>
            </w:r>
            <w:r>
              <w:rPr>
                <w:rFonts w:ascii="Times New Roman" w:hAnsi="Times New Roman" w:cs="Times New Roman" w:eastAsia="Times New Roman" w:hint="default"/>
                <w:sz w:val="18"/>
                <w:szCs w:val="18"/>
              </w:rPr>
              <w:t>(</w:t>
            </w:r>
            <w:r>
              <w:rPr>
                <w:rFonts w:ascii="宋体" w:hAnsi="宋体" w:cs="宋体" w:eastAsia="宋体" w:hint="default"/>
                <w:sz w:val="18"/>
                <w:szCs w:val="18"/>
              </w:rPr>
              <w:t>除 计算机信息系 统安全专用产</w:t>
            </w:r>
          </w:p>
          <w:p>
            <w:pPr>
              <w:pStyle w:val="TableParagraph"/>
              <w:spacing w:line="292" w:lineRule="auto" w:before="51"/>
              <w:ind w:left="30" w:right="-29"/>
              <w:jc w:val="left"/>
              <w:rPr>
                <w:rFonts w:ascii="宋体" w:hAnsi="宋体" w:cs="宋体" w:eastAsia="宋体" w:hint="default"/>
                <w:sz w:val="18"/>
                <w:szCs w:val="18"/>
              </w:rPr>
            </w:pPr>
            <w:r>
              <w:rPr>
                <w:rFonts w:ascii="宋体" w:hAnsi="宋体" w:cs="宋体" w:eastAsia="宋体" w:hint="default"/>
                <w:sz w:val="18"/>
                <w:szCs w:val="18"/>
              </w:rPr>
              <w:t>品</w:t>
            </w:r>
            <w:r>
              <w:rPr>
                <w:rFonts w:ascii="Times New Roman" w:hAnsi="Times New Roman" w:cs="Times New Roman" w:eastAsia="Times New Roman" w:hint="default"/>
                <w:sz w:val="18"/>
                <w:szCs w:val="18"/>
              </w:rPr>
              <w:t>)</w:t>
            </w:r>
            <w:r>
              <w:rPr>
                <w:rFonts w:ascii="宋体" w:hAnsi="宋体" w:cs="宋体" w:eastAsia="宋体" w:hint="default"/>
                <w:sz w:val="18"/>
                <w:szCs w:val="18"/>
              </w:rPr>
              <w:t>的开发、销 售</w:t>
            </w:r>
            <w:r>
              <w:rPr>
                <w:rFonts w:ascii="Times New Roman" w:hAnsi="Times New Roman" w:cs="Times New Roman" w:eastAsia="Times New Roman" w:hint="default"/>
                <w:sz w:val="18"/>
                <w:szCs w:val="18"/>
              </w:rPr>
              <w:t>,</w:t>
            </w:r>
            <w:r>
              <w:rPr>
                <w:rFonts w:ascii="宋体" w:hAnsi="宋体" w:cs="宋体" w:eastAsia="宋体" w:hint="default"/>
                <w:sz w:val="18"/>
                <w:szCs w:val="18"/>
              </w:rPr>
              <w:t>设计、制作、 代理各类广告</w:t>
            </w:r>
            <w:r>
              <w:rPr>
                <w:rFonts w:ascii="Times New Roman" w:hAnsi="Times New Roman" w:cs="Times New Roman" w:eastAsia="Times New Roman" w:hint="default"/>
                <w:sz w:val="18"/>
                <w:szCs w:val="18"/>
              </w:rPr>
              <w:t>, </w:t>
            </w:r>
            <w:r>
              <w:rPr>
                <w:rFonts w:ascii="宋体" w:hAnsi="宋体" w:cs="宋体" w:eastAsia="宋体" w:hint="default"/>
                <w:sz w:val="18"/>
                <w:szCs w:val="18"/>
              </w:rPr>
              <w:t>企业管理咨询</w:t>
            </w:r>
          </w:p>
          <w:p>
            <w:pPr>
              <w:pStyle w:val="TableParagraph"/>
              <w:spacing w:line="304" w:lineRule="auto" w:before="55"/>
              <w:ind w:left="30"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除经纪</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w:t>
            </w:r>
            <w:r>
              <w:rPr>
                <w:rFonts w:ascii="宋体" w:hAnsi="宋体" w:cs="宋体" w:eastAsia="宋体" w:hint="default"/>
                <w:w w:val="99"/>
                <w:sz w:val="18"/>
                <w:szCs w:val="18"/>
              </w:rPr>
              <w:t> </w:t>
            </w: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市场信息咨</w:t>
            </w:r>
            <w:r>
              <w:rPr>
                <w:rFonts w:ascii="宋体" w:hAnsi="宋体" w:cs="宋体" w:eastAsia="宋体" w:hint="default"/>
                <w:w w:val="99"/>
                <w:sz w:val="18"/>
                <w:szCs w:val="18"/>
              </w:rPr>
              <w:t> </w:t>
            </w:r>
            <w:r>
              <w:rPr>
                <w:rFonts w:ascii="宋体" w:hAnsi="宋体" w:cs="宋体" w:eastAsia="宋体" w:hint="default"/>
                <w:sz w:val="18"/>
                <w:szCs w:val="18"/>
              </w:rPr>
              <w:t>询与调查</w:t>
            </w:r>
            <w:r>
              <w:rPr>
                <w:rFonts w:ascii="Times New Roman" w:hAnsi="Times New Roman" w:cs="Times New Roman" w:eastAsia="Times New Roman" w:hint="default"/>
                <w:sz w:val="18"/>
                <w:szCs w:val="18"/>
              </w:rPr>
              <w:t>(</w:t>
            </w:r>
            <w:r>
              <w:rPr>
                <w:rFonts w:ascii="宋体" w:hAnsi="宋体" w:cs="宋体" w:eastAsia="宋体" w:hint="default"/>
                <w:sz w:val="18"/>
                <w:szCs w:val="18"/>
              </w:rPr>
              <w:t>不得</w:t>
            </w:r>
            <w:r>
              <w:rPr>
                <w:rFonts w:ascii="宋体" w:hAnsi="宋体" w:cs="宋体" w:eastAsia="宋体" w:hint="default"/>
                <w:w w:val="99"/>
                <w:sz w:val="18"/>
                <w:szCs w:val="18"/>
              </w:rPr>
              <w:t> </w:t>
            </w:r>
            <w:r>
              <w:rPr>
                <w:rFonts w:ascii="宋体" w:hAnsi="宋体" w:cs="宋体" w:eastAsia="宋体" w:hint="default"/>
                <w:sz w:val="18"/>
                <w:szCs w:val="18"/>
              </w:rPr>
              <w:t>从事社会调研、</w:t>
            </w:r>
            <w:r>
              <w:rPr>
                <w:rFonts w:ascii="宋体" w:hAnsi="宋体" w:cs="宋体" w:eastAsia="宋体" w:hint="default"/>
                <w:w w:val="99"/>
                <w:sz w:val="18"/>
                <w:szCs w:val="18"/>
              </w:rPr>
              <w:t> </w:t>
            </w:r>
            <w:r>
              <w:rPr>
                <w:rFonts w:ascii="宋体" w:hAnsi="宋体" w:cs="宋体" w:eastAsia="宋体" w:hint="default"/>
                <w:sz w:val="18"/>
                <w:szCs w:val="18"/>
              </w:rPr>
              <w:t>社会调查、民意</w:t>
            </w:r>
            <w:r>
              <w:rPr>
                <w:rFonts w:ascii="宋体" w:hAnsi="宋体" w:cs="宋体" w:eastAsia="宋体" w:hint="default"/>
                <w:w w:val="99"/>
                <w:sz w:val="18"/>
                <w:szCs w:val="18"/>
              </w:rPr>
              <w:t> </w:t>
            </w:r>
            <w:r>
              <w:rPr>
                <w:rFonts w:ascii="宋体" w:hAnsi="宋体" w:cs="宋体" w:eastAsia="宋体" w:hint="default"/>
                <w:sz w:val="18"/>
                <w:szCs w:val="18"/>
              </w:rPr>
              <w:t>调查、民意测</w:t>
            </w:r>
          </w:p>
          <w:p>
            <w:pPr>
              <w:pStyle w:val="TableParagraph"/>
              <w:spacing w:line="290" w:lineRule="auto" w:before="46"/>
              <w:ind w:left="30" w:right="90"/>
              <w:jc w:val="left"/>
              <w:rPr>
                <w:rFonts w:ascii="宋体" w:hAnsi="宋体" w:cs="宋体" w:eastAsia="宋体" w:hint="default"/>
                <w:sz w:val="18"/>
                <w:szCs w:val="18"/>
              </w:rPr>
            </w:pPr>
            <w:r>
              <w:rPr>
                <w:rFonts w:ascii="宋体" w:hAnsi="宋体" w:cs="宋体" w:eastAsia="宋体" w:hint="default"/>
                <w:sz w:val="18"/>
                <w:szCs w:val="18"/>
              </w:rPr>
              <w:t>验</w:t>
            </w:r>
            <w:r>
              <w:rPr>
                <w:rFonts w:ascii="Times New Roman" w:hAnsi="Times New Roman" w:cs="Times New Roman" w:eastAsia="Times New Roman" w:hint="default"/>
                <w:sz w:val="18"/>
                <w:szCs w:val="18"/>
              </w:rPr>
              <w:t>),</w:t>
            </w:r>
            <w:r>
              <w:rPr>
                <w:rFonts w:ascii="宋体" w:hAnsi="宋体" w:cs="宋体" w:eastAsia="宋体" w:hint="default"/>
                <w:sz w:val="18"/>
                <w:szCs w:val="18"/>
              </w:rPr>
              <w:t>日用百货的 </w:t>
            </w:r>
            <w:r>
              <w:rPr>
                <w:rFonts w:ascii="宋体" w:hAnsi="宋体" w:cs="宋体" w:eastAsia="宋体" w:hint="default"/>
                <w:spacing w:val="-13"/>
                <w:sz w:val="18"/>
                <w:szCs w:val="18"/>
              </w:rPr>
              <w:t>销售。【依法须</w:t>
            </w:r>
          </w:p>
          <w:p>
            <w:pPr>
              <w:pStyle w:val="TableParagraph"/>
              <w:spacing w:line="297" w:lineRule="auto" w:before="56"/>
              <w:ind w:left="30" w:right="148"/>
              <w:jc w:val="both"/>
              <w:rPr>
                <w:rFonts w:ascii="宋体" w:hAnsi="宋体" w:cs="宋体" w:eastAsia="宋体" w:hint="default"/>
                <w:sz w:val="18"/>
                <w:szCs w:val="18"/>
              </w:rPr>
            </w:pPr>
            <w:r>
              <w:rPr>
                <w:rFonts w:ascii="宋体" w:hAnsi="宋体" w:cs="宋体" w:eastAsia="宋体" w:hint="default"/>
                <w:sz w:val="18"/>
                <w:szCs w:val="18"/>
              </w:rPr>
              <w:t>经批准的项目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经相关部门批 准后方可开展</w:t>
            </w:r>
          </w:p>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76</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65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11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76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28</w:t>
            </w:r>
          </w:p>
        </w:tc>
      </w:tr>
      <w:tr>
        <w:trPr>
          <w:trHeight w:val="8152"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4" w:lineRule="auto"/>
              <w:ind w:left="15" w:right="118"/>
              <w:jc w:val="both"/>
              <w:rPr>
                <w:rFonts w:ascii="宋体" w:hAnsi="宋体" w:cs="宋体" w:eastAsia="宋体" w:hint="default"/>
                <w:sz w:val="18"/>
                <w:szCs w:val="18"/>
              </w:rPr>
            </w:pPr>
            <w:r>
              <w:rPr>
                <w:rFonts w:ascii="宋体" w:hAnsi="宋体" w:cs="宋体" w:eastAsia="宋体" w:hint="default"/>
                <w:sz w:val="18"/>
                <w:szCs w:val="18"/>
              </w:rPr>
              <w:t>曲水汇通信 息服务有限 公司</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30" w:right="14"/>
              <w:jc w:val="left"/>
              <w:rPr>
                <w:rFonts w:ascii="宋体" w:hAnsi="宋体" w:cs="宋体" w:eastAsia="宋体" w:hint="default"/>
                <w:sz w:val="18"/>
                <w:szCs w:val="18"/>
              </w:rPr>
            </w:pPr>
            <w:r>
              <w:rPr>
                <w:rFonts w:ascii="宋体" w:hAnsi="宋体" w:cs="宋体" w:eastAsia="宋体" w:hint="default"/>
                <w:sz w:val="18"/>
                <w:szCs w:val="18"/>
              </w:rPr>
              <w:t>计算机软件硬 件领域、电子产 品、电信终端设 备的技术研发</w:t>
            </w:r>
          </w:p>
          <w:p>
            <w:pPr>
              <w:pStyle w:val="TableParagraph"/>
              <w:spacing w:line="288" w:lineRule="auto" w:before="37"/>
              <w:ind w:left="30"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不含电信增值</w:t>
            </w:r>
            <w:r>
              <w:rPr>
                <w:rFonts w:ascii="宋体" w:hAnsi="宋体" w:cs="宋体" w:eastAsia="宋体" w:hint="default"/>
                <w:w w:val="99"/>
                <w:sz w:val="18"/>
                <w:szCs w:val="18"/>
              </w:rPr>
              <w:t> </w:t>
            </w:r>
            <w:r>
              <w:rPr>
                <w:rFonts w:ascii="宋体" w:hAnsi="宋体" w:cs="宋体" w:eastAsia="宋体" w:hint="default"/>
                <w:sz w:val="18"/>
                <w:szCs w:val="18"/>
              </w:rPr>
              <w:t>业务及金融类</w:t>
            </w:r>
          </w:p>
          <w:p>
            <w:pPr>
              <w:pStyle w:val="TableParagraph"/>
              <w:spacing w:line="297" w:lineRule="auto" w:before="59"/>
              <w:ind w:left="30" w:right="14"/>
              <w:jc w:val="left"/>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 务、技术转让、 技术外包、技术</w:t>
            </w:r>
          </w:p>
          <w:p>
            <w:pPr>
              <w:pStyle w:val="TableParagraph"/>
              <w:spacing w:line="290" w:lineRule="auto" w:before="51"/>
              <w:ind w:left="30" w:right="143"/>
              <w:jc w:val="left"/>
              <w:rPr>
                <w:rFonts w:ascii="宋体" w:hAnsi="宋体" w:cs="宋体" w:eastAsia="宋体" w:hint="default"/>
                <w:sz w:val="18"/>
                <w:szCs w:val="18"/>
              </w:rPr>
            </w:pPr>
            <w:r>
              <w:rPr>
                <w:rFonts w:ascii="宋体" w:hAnsi="宋体" w:cs="宋体" w:eastAsia="宋体" w:hint="default"/>
                <w:sz w:val="18"/>
                <w:szCs w:val="18"/>
              </w:rPr>
              <w:t>咨询及销售</w:t>
            </w:r>
            <w:r>
              <w:rPr>
                <w:rFonts w:ascii="Times New Roman" w:hAnsi="Times New Roman" w:cs="Times New Roman" w:eastAsia="Times New Roman" w:hint="default"/>
                <w:sz w:val="18"/>
                <w:szCs w:val="18"/>
              </w:rPr>
              <w:t>;</w:t>
            </w:r>
            <w:r>
              <w:rPr>
                <w:rFonts w:ascii="宋体" w:hAnsi="宋体" w:cs="宋体" w:eastAsia="宋体" w:hint="default"/>
                <w:sz w:val="18"/>
                <w:szCs w:val="18"/>
              </w:rPr>
              <w:t>设 </w:t>
            </w:r>
            <w:r>
              <w:rPr>
                <w:rFonts w:ascii="宋体" w:hAnsi="宋体" w:cs="宋体" w:eastAsia="宋体" w:hint="default"/>
                <w:spacing w:val="-9"/>
                <w:sz w:val="18"/>
                <w:szCs w:val="18"/>
              </w:rPr>
              <w:t>计、制作、</w:t>
            </w:r>
          </w:p>
          <w:p>
            <w:pPr>
              <w:pStyle w:val="TableParagraph"/>
              <w:spacing w:line="292" w:lineRule="auto" w:before="57"/>
              <w:ind w:left="30" w:right="83"/>
              <w:jc w:val="both"/>
              <w:rPr>
                <w:rFonts w:ascii="宋体" w:hAnsi="宋体" w:cs="宋体" w:eastAsia="宋体" w:hint="default"/>
                <w:sz w:val="18"/>
                <w:szCs w:val="18"/>
              </w:rPr>
            </w:pPr>
            <w:r>
              <w:rPr>
                <w:rFonts w:ascii="宋体" w:hAnsi="宋体" w:cs="宋体" w:eastAsia="宋体" w:hint="default"/>
                <w:sz w:val="18"/>
                <w:szCs w:val="18"/>
              </w:rPr>
              <w:t>代理各类广告</w:t>
            </w:r>
            <w:r>
              <w:rPr>
                <w:rFonts w:ascii="Times New Roman" w:hAnsi="Times New Roman" w:cs="Times New Roman" w:eastAsia="Times New Roman" w:hint="default"/>
                <w:sz w:val="18"/>
                <w:szCs w:val="18"/>
              </w:rPr>
              <w:t>; </w:t>
            </w:r>
            <w:r>
              <w:rPr>
                <w:rFonts w:ascii="宋体" w:hAnsi="宋体" w:cs="宋体" w:eastAsia="宋体" w:hint="default"/>
                <w:sz w:val="18"/>
                <w:szCs w:val="18"/>
              </w:rPr>
              <w:t>市场营销策划</w:t>
            </w:r>
            <w:r>
              <w:rPr>
                <w:rFonts w:ascii="Times New Roman" w:hAnsi="Times New Roman" w:cs="Times New Roman" w:eastAsia="Times New Roman" w:hint="default"/>
                <w:sz w:val="18"/>
                <w:szCs w:val="18"/>
              </w:rPr>
              <w:t>; </w:t>
            </w:r>
            <w:r>
              <w:rPr>
                <w:rFonts w:ascii="宋体" w:hAnsi="宋体" w:cs="宋体" w:eastAsia="宋体" w:hint="default"/>
                <w:sz w:val="18"/>
                <w:szCs w:val="18"/>
              </w:rPr>
              <w:t>电子商务</w:t>
            </w:r>
            <w:r>
              <w:rPr>
                <w:rFonts w:ascii="Times New Roman" w:hAnsi="Times New Roman" w:cs="Times New Roman" w:eastAsia="Times New Roman" w:hint="default"/>
                <w:sz w:val="18"/>
                <w:szCs w:val="18"/>
              </w:rPr>
              <w:t>(</w:t>
            </w:r>
            <w:r>
              <w:rPr>
                <w:rFonts w:ascii="宋体" w:hAnsi="宋体" w:cs="宋体" w:eastAsia="宋体" w:hint="default"/>
                <w:sz w:val="18"/>
                <w:szCs w:val="18"/>
              </w:rPr>
              <w:t>不含 电信增值业务</w:t>
            </w:r>
          </w:p>
          <w:p>
            <w:pPr>
              <w:pStyle w:val="TableParagraph"/>
              <w:spacing w:line="300" w:lineRule="auto" w:before="55"/>
              <w:ind w:left="30" w:right="83"/>
              <w:jc w:val="left"/>
              <w:rPr>
                <w:rFonts w:ascii="宋体" w:hAnsi="宋体" w:cs="宋体" w:eastAsia="宋体" w:hint="default"/>
                <w:sz w:val="18"/>
                <w:szCs w:val="18"/>
              </w:rPr>
            </w:pPr>
            <w:r>
              <w:rPr>
                <w:rFonts w:ascii="宋体" w:hAnsi="宋体" w:cs="宋体" w:eastAsia="宋体" w:hint="default"/>
                <w:sz w:val="18"/>
                <w:szCs w:val="18"/>
              </w:rPr>
              <w:t>及金融类业务</w:t>
            </w:r>
            <w:r>
              <w:rPr>
                <w:rFonts w:ascii="Times New Roman" w:hAnsi="Times New Roman" w:cs="Times New Roman" w:eastAsia="Times New Roman" w:hint="default"/>
                <w:sz w:val="18"/>
                <w:szCs w:val="18"/>
              </w:rPr>
              <w:t>); </w:t>
            </w:r>
            <w:r>
              <w:rPr>
                <w:rFonts w:ascii="宋体" w:hAnsi="宋体" w:cs="宋体" w:eastAsia="宋体" w:hint="default"/>
                <w:sz w:val="18"/>
                <w:szCs w:val="18"/>
              </w:rPr>
              <w:t>企业管理咨询 </w:t>
            </w:r>
            <w:r>
              <w:rPr>
                <w:rFonts w:ascii="Times New Roman" w:hAnsi="Times New Roman" w:cs="Times New Roman" w:eastAsia="Times New Roman" w:hint="default"/>
                <w:sz w:val="18"/>
                <w:szCs w:val="18"/>
              </w:rPr>
              <w:t>(</w:t>
            </w:r>
            <w:r>
              <w:rPr>
                <w:rFonts w:ascii="宋体" w:hAnsi="宋体" w:cs="宋体" w:eastAsia="宋体" w:hint="default"/>
                <w:sz w:val="18"/>
                <w:szCs w:val="18"/>
              </w:rPr>
              <w:t>不含投资咨询 和投资管理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物 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不含保 安服务</w:t>
            </w:r>
            <w:r>
              <w:rPr>
                <w:rFonts w:ascii="Times New Roman" w:hAnsi="Times New Roman" w:cs="Times New Roman" w:eastAsia="Times New Roman" w:hint="default"/>
                <w:sz w:val="18"/>
                <w:szCs w:val="18"/>
              </w:rPr>
              <w:t>);</w:t>
            </w:r>
            <w:r>
              <w:rPr>
                <w:rFonts w:ascii="宋体" w:hAnsi="宋体" w:cs="宋体" w:eastAsia="宋体" w:hint="default"/>
                <w:sz w:val="18"/>
                <w:szCs w:val="18"/>
              </w:rPr>
              <w:t>商务信 息咨询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不含投 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市场信 息咨询与调查</w:t>
            </w:r>
          </w:p>
          <w:p>
            <w:pPr>
              <w:pStyle w:val="TableParagraph"/>
              <w:spacing w:line="288" w:lineRule="auto" w:before="50"/>
              <w:ind w:left="30"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不得从事社会</w:t>
            </w:r>
            <w:r>
              <w:rPr>
                <w:rFonts w:ascii="宋体" w:hAnsi="宋体" w:cs="宋体" w:eastAsia="宋体" w:hint="default"/>
                <w:w w:val="99"/>
                <w:sz w:val="18"/>
                <w:szCs w:val="18"/>
              </w:rPr>
              <w:t> </w:t>
            </w:r>
            <w:r>
              <w:rPr>
                <w:rFonts w:ascii="宋体" w:hAnsi="宋体" w:cs="宋体" w:eastAsia="宋体" w:hint="default"/>
                <w:sz w:val="18"/>
                <w:szCs w:val="18"/>
              </w:rPr>
              <w:t>调研、社会调</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550,000,000.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478,452,150.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32</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129,725,000.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536,915,104.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64,010,894.2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58,342,432.2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24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51"/>
        <w:gridCol w:w="932"/>
        <w:gridCol w:w="1322"/>
        <w:gridCol w:w="1036"/>
        <w:gridCol w:w="1051"/>
        <w:gridCol w:w="1052"/>
        <w:gridCol w:w="1036"/>
        <w:gridCol w:w="1051"/>
        <w:gridCol w:w="1051"/>
      </w:tblGrid>
      <w:tr>
        <w:trPr>
          <w:trHeight w:val="1921" w:hRule="exact"/>
        </w:trPr>
        <w:tc>
          <w:tcPr>
            <w:tcW w:w="1051"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查、民意测验</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w:t>
            </w:r>
          </w:p>
          <w:p>
            <w:pPr>
              <w:pStyle w:val="TableParagraph"/>
              <w:spacing w:line="312" w:lineRule="auto" w:before="36"/>
              <w:ind w:left="30" w:right="148"/>
              <w:jc w:val="both"/>
              <w:rPr>
                <w:rFonts w:ascii="宋体" w:hAnsi="宋体" w:cs="宋体" w:eastAsia="宋体" w:hint="default"/>
                <w:sz w:val="18"/>
                <w:szCs w:val="18"/>
              </w:rPr>
            </w:pPr>
            <w:r>
              <w:rPr>
                <w:rFonts w:ascii="宋体" w:hAnsi="宋体" w:cs="宋体" w:eastAsia="宋体" w:hint="default"/>
                <w:sz w:val="18"/>
                <w:szCs w:val="18"/>
              </w:rPr>
              <w:t>【依法需经批 准的项目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 关部门批准后</w:t>
            </w:r>
          </w:p>
          <w:p>
            <w:pPr>
              <w:pStyle w:val="TableParagraph"/>
              <w:spacing w:line="321" w:lineRule="auto" w:before="25"/>
              <w:ind w:left="30" w:right="194"/>
              <w:jc w:val="both"/>
              <w:rPr>
                <w:rFonts w:ascii="宋体" w:hAnsi="宋体" w:cs="宋体" w:eastAsia="宋体" w:hint="default"/>
                <w:sz w:val="18"/>
                <w:szCs w:val="18"/>
              </w:rPr>
            </w:pPr>
            <w:r>
              <w:rPr>
                <w:rFonts w:ascii="宋体" w:hAnsi="宋体" w:cs="宋体" w:eastAsia="宋体" w:hint="default"/>
                <w:sz w:val="18"/>
                <w:szCs w:val="18"/>
              </w:rPr>
              <w:t>方可开展经营 </w:t>
            </w:r>
            <w:r>
              <w:rPr>
                <w:rFonts w:ascii="宋体" w:hAnsi="宋体" w:cs="宋体" w:eastAsia="宋体" w:hint="default"/>
                <w:spacing w:val="-23"/>
                <w:sz w:val="18"/>
                <w:szCs w:val="18"/>
              </w:rPr>
              <w:t>活动。】</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报告期内取得和处置子公司的情况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24"/>
        <w:gridCol w:w="3123"/>
        <w:gridCol w:w="3334"/>
      </w:tblGrid>
      <w:tr>
        <w:trPr>
          <w:trHeight w:val="406" w:hRule="exact"/>
        </w:trPr>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4"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芜湖畅想小额贷款有限公司</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6"/>
              <w:jc w:val="center"/>
              <w:rPr>
                <w:rFonts w:ascii="宋体" w:hAnsi="宋体" w:cs="宋体" w:eastAsia="宋体" w:hint="default"/>
                <w:sz w:val="18"/>
                <w:szCs w:val="18"/>
              </w:rPr>
            </w:pPr>
            <w:r>
              <w:rPr>
                <w:rFonts w:ascii="宋体" w:hAnsi="宋体" w:cs="宋体" w:eastAsia="宋体" w:hint="default"/>
                <w:sz w:val="18"/>
                <w:szCs w:val="18"/>
              </w:rPr>
              <w:t>报告期内未对公司合并利润产生重大影响</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贵州融海融资担保有限公司</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6"/>
              <w:jc w:val="center"/>
              <w:rPr>
                <w:rFonts w:ascii="宋体" w:hAnsi="宋体" w:cs="宋体" w:eastAsia="宋体" w:hint="default"/>
                <w:sz w:val="18"/>
                <w:szCs w:val="18"/>
              </w:rPr>
            </w:pPr>
            <w:r>
              <w:rPr>
                <w:rFonts w:ascii="宋体" w:hAnsi="宋体" w:cs="宋体" w:eastAsia="宋体" w:hint="default"/>
                <w:sz w:val="18"/>
                <w:szCs w:val="18"/>
              </w:rPr>
              <w:t>报告期内未对公司合并利润产生重大影响</w:t>
            </w:r>
          </w:p>
        </w:tc>
      </w:tr>
      <w:tr>
        <w:trPr>
          <w:trHeight w:val="406"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曲水惠车网络科技有限公司</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6"/>
              <w:jc w:val="center"/>
              <w:rPr>
                <w:rFonts w:ascii="宋体" w:hAnsi="宋体" w:cs="宋体" w:eastAsia="宋体" w:hint="default"/>
                <w:sz w:val="18"/>
                <w:szCs w:val="18"/>
              </w:rPr>
            </w:pPr>
            <w:r>
              <w:rPr>
                <w:rFonts w:ascii="宋体" w:hAnsi="宋体" w:cs="宋体" w:eastAsia="宋体" w:hint="default"/>
                <w:sz w:val="18"/>
                <w:szCs w:val="18"/>
              </w:rPr>
              <w:t>报告期内未对公司合并利润产生重大影响</w:t>
            </w:r>
          </w:p>
        </w:tc>
      </w:tr>
      <w:tr>
        <w:trPr>
          <w:trHeight w:val="391"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曲水顺吉网络科技有限公司</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6"/>
              <w:jc w:val="center"/>
              <w:rPr>
                <w:rFonts w:ascii="宋体" w:hAnsi="宋体" w:cs="宋体" w:eastAsia="宋体" w:hint="default"/>
                <w:sz w:val="18"/>
                <w:szCs w:val="18"/>
              </w:rPr>
            </w:pPr>
            <w:r>
              <w:rPr>
                <w:rFonts w:ascii="宋体" w:hAnsi="宋体" w:cs="宋体" w:eastAsia="宋体" w:hint="default"/>
                <w:sz w:val="18"/>
                <w:szCs w:val="18"/>
              </w:rPr>
              <w:t>报告期内未对公司合并利润产生重大影响</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曲水顺吉网络科技有限公司</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6"/>
              <w:jc w:val="center"/>
              <w:rPr>
                <w:rFonts w:ascii="宋体" w:hAnsi="宋体" w:cs="宋体" w:eastAsia="宋体" w:hint="default"/>
                <w:sz w:val="18"/>
                <w:szCs w:val="18"/>
              </w:rPr>
            </w:pPr>
            <w:r>
              <w:rPr>
                <w:rFonts w:ascii="宋体" w:hAnsi="宋体" w:cs="宋体" w:eastAsia="宋体" w:hint="default"/>
                <w:sz w:val="18"/>
                <w:szCs w:val="18"/>
              </w:rPr>
              <w:t>报告期内未对公司合并利润产生重大影响</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江苏趣看网络科技有限公司</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6"/>
              <w:jc w:val="center"/>
              <w:rPr>
                <w:rFonts w:ascii="宋体" w:hAnsi="宋体" w:cs="宋体" w:eastAsia="宋体" w:hint="default"/>
                <w:sz w:val="18"/>
                <w:szCs w:val="18"/>
              </w:rPr>
            </w:pPr>
            <w:r>
              <w:rPr>
                <w:rFonts w:ascii="宋体" w:hAnsi="宋体" w:cs="宋体" w:eastAsia="宋体" w:hint="default"/>
                <w:sz w:val="18"/>
                <w:szCs w:val="18"/>
              </w:rPr>
              <w:t>报告期内未对公司合并利润产生重大影响</w:t>
            </w:r>
          </w:p>
        </w:tc>
      </w:tr>
      <w:tr>
        <w:trPr>
          <w:trHeight w:val="391"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RUIFENG TECHNOLOGY </w:t>
            </w:r>
            <w:r>
              <w:rPr>
                <w:rFonts w:ascii="Times New Roman"/>
                <w:spacing w:val="-3"/>
                <w:sz w:val="18"/>
              </w:rPr>
              <w:t>USA</w:t>
            </w:r>
            <w:r>
              <w:rPr>
                <w:rFonts w:ascii="Times New Roman"/>
                <w:spacing w:val="-14"/>
                <w:sz w:val="18"/>
              </w:rPr>
              <w:t> </w:t>
            </w:r>
            <w:r>
              <w:rPr>
                <w:rFonts w:ascii="Times New Roman"/>
                <w:sz w:val="18"/>
              </w:rPr>
              <w:t>INC</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center"/>
              <w:rPr>
                <w:rFonts w:ascii="宋体" w:hAnsi="宋体" w:cs="宋体" w:eastAsia="宋体" w:hint="default"/>
                <w:sz w:val="18"/>
                <w:szCs w:val="18"/>
              </w:rPr>
            </w:pPr>
            <w:r>
              <w:rPr>
                <w:rFonts w:ascii="宋体" w:hAnsi="宋体" w:cs="宋体" w:eastAsia="宋体" w:hint="default"/>
                <w:sz w:val="18"/>
                <w:szCs w:val="18"/>
              </w:rPr>
              <w:t>报告期内未对公司合并利润产生重大影响</w:t>
            </w:r>
          </w:p>
        </w:tc>
      </w:tr>
    </w:tbl>
    <w:p>
      <w:pPr>
        <w:pStyle w:val="BodyText"/>
        <w:spacing w:line="240" w:lineRule="auto"/>
        <w:ind w:right="0"/>
        <w:jc w:val="left"/>
      </w:pPr>
      <w:r>
        <w:rPr/>
        <w:t>主要控股参股公司情况说明</w:t>
      </w:r>
    </w:p>
    <w:p>
      <w:pPr>
        <w:pStyle w:val="BodyText"/>
        <w:spacing w:line="297" w:lineRule="auto" w:before="140"/>
        <w:ind w:right="1034"/>
        <w:jc w:val="left"/>
      </w:pPr>
      <w:r>
        <w:rPr>
          <w:spacing w:val="-4"/>
        </w:rPr>
        <w:t>（</w:t>
      </w:r>
      <w:r>
        <w:rPr>
          <w:rFonts w:ascii="Times New Roman" w:hAnsi="Times New Roman" w:cs="Times New Roman" w:eastAsia="Times New Roman" w:hint="default"/>
          <w:spacing w:val="-4"/>
        </w:rPr>
        <w:t>1</w:t>
      </w:r>
      <w:r>
        <w:rPr>
          <w:spacing w:val="-4"/>
        </w:rPr>
        <w:t>）上海二三四五网络科技有限公司系公司之全资子公司，成立于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16</w:t>
      </w:r>
      <w:r>
        <w:rPr>
          <w:spacing w:val="-4"/>
        </w:rPr>
        <w:t>日，统一社会信用代码</w:t>
      </w:r>
      <w:r>
        <w:rPr>
          <w:rFonts w:ascii="Times New Roman" w:hAnsi="Times New Roman" w:cs="Times New Roman" w:eastAsia="Times New Roman" w:hint="default"/>
          <w:spacing w:val="-4"/>
        </w:rPr>
        <w:t>91310115591679552Q</w:t>
      </w:r>
      <w:r>
        <w:rPr>
          <w:spacing w:val="-4"/>
        </w:rPr>
        <w:t>，</w:t>
      </w:r>
      <w:r>
        <w:rPr>
          <w:spacing w:val="-32"/>
        </w:rPr>
        <w:t> </w:t>
      </w:r>
      <w:r>
        <w:rPr/>
        <w:t>注册资本：</w:t>
      </w:r>
      <w:r>
        <w:rPr>
          <w:rFonts w:ascii="Times New Roman" w:hAnsi="Times New Roman" w:cs="Times New Roman" w:eastAsia="Times New Roman" w:hint="default"/>
        </w:rPr>
        <w:t>200,000</w:t>
      </w:r>
      <w:r>
        <w:rPr/>
        <w:t>万元人民币，注册地为上海市浦东新区杨高北路</w:t>
      </w:r>
      <w:r>
        <w:rPr>
          <w:rFonts w:ascii="Times New Roman" w:hAnsi="Times New Roman" w:cs="Times New Roman" w:eastAsia="Times New Roman" w:hint="default"/>
        </w:rPr>
        <w:t>528</w:t>
      </w:r>
      <w:r>
        <w:rPr/>
        <w:t>号</w:t>
      </w:r>
      <w:r>
        <w:rPr>
          <w:rFonts w:ascii="Times New Roman" w:hAnsi="Times New Roman" w:cs="Times New Roman" w:eastAsia="Times New Roman" w:hint="default"/>
        </w:rPr>
        <w:t>14</w:t>
      </w:r>
      <w:r>
        <w:rPr/>
        <w:t>幢</w:t>
      </w:r>
      <w:r>
        <w:rPr>
          <w:rFonts w:ascii="Times New Roman" w:hAnsi="Times New Roman" w:cs="Times New Roman" w:eastAsia="Times New Roman" w:hint="default"/>
        </w:rPr>
        <w:t>1-5</w:t>
      </w:r>
      <w:r>
        <w:rPr/>
        <w:t>层，经营范围为计算机软硬件及辅助设备</w:t>
      </w:r>
      <w:r>
        <w:rPr>
          <w:spacing w:val="-85"/>
        </w:rPr>
        <w:t> </w:t>
      </w:r>
      <w:r>
        <w:rPr/>
        <w:t>的开发、销售、设计、制作、发布、代理各类广告，企业管理投资咨询，市场信息咨询和调查</w:t>
      </w:r>
      <w:r>
        <w:rPr>
          <w:rFonts w:ascii="Times New Roman" w:hAnsi="Times New Roman" w:cs="Times New Roman" w:eastAsia="Times New Roman" w:hint="default"/>
        </w:rPr>
        <w:t>(</w:t>
      </w:r>
      <w:r>
        <w:rPr/>
        <w:t>不得从事社会调查、社会调</w:t>
      </w:r>
      <w:r>
        <w:rPr>
          <w:spacing w:val="-82"/>
        </w:rPr>
        <w:t> </w:t>
      </w:r>
      <w:r>
        <w:rPr/>
        <w:t>研、民意调查、民意测验</w:t>
      </w:r>
      <w:r>
        <w:rPr>
          <w:rFonts w:ascii="Times New Roman" w:hAnsi="Times New Roman" w:cs="Times New Roman" w:eastAsia="Times New Roman" w:hint="default"/>
        </w:rPr>
        <w:t>)</w:t>
      </w:r>
      <w:r>
        <w:rPr/>
        <w:t>，百货的销售；增值电信业务</w:t>
      </w:r>
      <w:r>
        <w:rPr>
          <w:rFonts w:ascii="Times New Roman" w:hAnsi="Times New Roman" w:cs="Times New Roman" w:eastAsia="Times New Roman" w:hint="default"/>
        </w:rPr>
        <w:t>(</w:t>
      </w:r>
      <w:r>
        <w:rPr/>
        <w:t>详见增值电信业务经营许可证</w:t>
      </w:r>
      <w:r>
        <w:rPr>
          <w:rFonts w:ascii="Times New Roman" w:hAnsi="Times New Roman" w:cs="Times New Roman" w:eastAsia="Times New Roman" w:hint="default"/>
        </w:rPr>
        <w:t>)</w:t>
      </w:r>
      <w:r>
        <w:rPr/>
        <w:t>。【依法须经批准的项目</w:t>
      </w:r>
      <w:r>
        <w:rPr>
          <w:rFonts w:ascii="Times New Roman" w:hAnsi="Times New Roman" w:cs="Times New Roman" w:eastAsia="Times New Roman" w:hint="default"/>
        </w:rPr>
        <w:t>,</w:t>
      </w:r>
      <w:r>
        <w:rPr/>
        <w:t>经相关部</w:t>
      </w:r>
      <w:r>
        <w:rPr>
          <w:spacing w:val="-81"/>
        </w:rPr>
        <w:t> </w:t>
      </w:r>
      <w:r>
        <w:rPr/>
        <w:t>门批准后方可开展经营活动】</w:t>
      </w:r>
    </w:p>
    <w:p>
      <w:pPr>
        <w:pStyle w:val="BodyText"/>
        <w:spacing w:line="304" w:lineRule="auto" w:before="51"/>
        <w:ind w:right="1111"/>
        <w:jc w:val="both"/>
      </w:pPr>
      <w:r>
        <w:rPr/>
        <w:t>（</w:t>
      </w:r>
      <w:r>
        <w:rPr>
          <w:rFonts w:ascii="Times New Roman" w:hAnsi="Times New Roman" w:cs="Times New Roman" w:eastAsia="Times New Roman" w:hint="default"/>
        </w:rPr>
        <w:t>2</w:t>
      </w:r>
      <w:r>
        <w:rPr/>
        <w:t>）上海洪昇智能科技有限公司系公司之全资子公司，成立于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日，统一社会信用代码</w:t>
      </w:r>
      <w:r>
        <w:rPr>
          <w:rFonts w:ascii="Times New Roman" w:hAnsi="Times New Roman" w:cs="Times New Roman" w:eastAsia="Times New Roman" w:hint="default"/>
        </w:rPr>
        <w:t>91310115332811803P</w:t>
      </w:r>
      <w:r>
        <w:rPr/>
        <w:t>，注</w:t>
      </w:r>
      <w:r>
        <w:rPr>
          <w:spacing w:val="-77"/>
        </w:rPr>
        <w:t> </w:t>
      </w:r>
      <w:r>
        <w:rPr/>
        <w:t>册资本：</w:t>
      </w:r>
      <w:r>
        <w:rPr>
          <w:rFonts w:ascii="Times New Roman" w:hAnsi="Times New Roman" w:cs="Times New Roman" w:eastAsia="Times New Roman" w:hint="default"/>
        </w:rPr>
        <w:t>174,000</w:t>
      </w:r>
      <w:r>
        <w:rPr/>
        <w:t>万元人民币，注册地为中国（上海）自由贸易试验区浦东南路</w:t>
      </w:r>
      <w:r>
        <w:rPr>
          <w:rFonts w:ascii="Times New Roman" w:hAnsi="Times New Roman" w:cs="Times New Roman" w:eastAsia="Times New Roman" w:hint="default"/>
        </w:rPr>
        <w:t>2250</w:t>
      </w:r>
      <w:r>
        <w:rPr/>
        <w:t>号</w:t>
      </w:r>
      <w:r>
        <w:rPr>
          <w:rFonts w:ascii="Times New Roman" w:hAnsi="Times New Roman" w:cs="Times New Roman" w:eastAsia="Times New Roman" w:hint="default"/>
        </w:rPr>
        <w:t>3</w:t>
      </w:r>
      <w:r>
        <w:rPr/>
        <w:t>幢</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A638</w:t>
      </w:r>
      <w:r>
        <w:rPr/>
        <w:t>室，经营范围为从事智能</w:t>
      </w:r>
      <w:r>
        <w:rPr>
          <w:spacing w:val="-79"/>
        </w:rPr>
        <w:t> </w:t>
      </w:r>
      <w:r>
        <w:rPr>
          <w:spacing w:val="-79"/>
        </w:rPr>
      </w:r>
      <w:r>
        <w:rPr>
          <w:spacing w:val="-2"/>
        </w:rPr>
        <w:t>科技、计算机软、硬件领域内的技术开发、技术咨询、技术服务、技术转让，金融信息服务（除金融业务），接受金融机构</w:t>
      </w:r>
      <w:r>
        <w:rPr>
          <w:spacing w:val="-75"/>
        </w:rPr>
        <w:t> </w:t>
      </w:r>
      <w:r>
        <w:rPr>
          <w:spacing w:val="-75"/>
        </w:rPr>
      </w:r>
      <w:r>
        <w:rPr>
          <w:spacing w:val="-2"/>
        </w:rPr>
        <w:t>委托从事金融信息技术外包、金融业务流程外包、金融知识流程外包，实业投资，投资管理，资产管理，投资咨询，商务信</w:t>
      </w:r>
      <w:r>
        <w:rPr>
          <w:spacing w:val="-71"/>
        </w:rPr>
        <w:t> </w:t>
      </w:r>
      <w:r>
        <w:rPr>
          <w:spacing w:val="-71"/>
        </w:rPr>
      </w:r>
      <w:r>
        <w:rPr/>
        <w:t>息咨询，企业管理咨询，财务咨询。【依法须经批准的项目，经相关部门批准后方可开展经营活动】</w:t>
      </w:r>
    </w:p>
    <w:p>
      <w:pPr>
        <w:pStyle w:val="BodyText"/>
        <w:spacing w:line="297" w:lineRule="auto" w:before="46"/>
        <w:ind w:right="1117"/>
        <w:jc w:val="left"/>
      </w:pPr>
      <w:r>
        <w:rPr/>
        <w:t>（</w:t>
      </w:r>
      <w:r>
        <w:rPr>
          <w:rFonts w:ascii="Times New Roman" w:hAnsi="Times New Roman" w:cs="Times New Roman" w:eastAsia="Times New Roman" w:hint="default"/>
        </w:rPr>
        <w:t>3</w:t>
      </w:r>
      <w:r>
        <w:rPr/>
        <w:t>）上海二三四五移动科技有限公司系公司间接持股</w:t>
      </w:r>
      <w:r>
        <w:rPr>
          <w:rFonts w:ascii="Times New Roman" w:hAnsi="Times New Roman" w:cs="Times New Roman" w:eastAsia="Times New Roman" w:hint="default"/>
        </w:rPr>
        <w:t>100%</w:t>
      </w:r>
      <w:r>
        <w:rPr/>
        <w:t>之全资子公司，成立于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日，统一社会信用代码</w:t>
      </w:r>
      <w:r>
        <w:rPr>
          <w:spacing w:val="-85"/>
        </w:rPr>
        <w:t> </w:t>
      </w:r>
      <w:r>
        <w:rPr>
          <w:rFonts w:ascii="Times New Roman" w:hAnsi="Times New Roman" w:cs="Times New Roman" w:eastAsia="Times New Roman" w:hint="default"/>
          <w:spacing w:val="-1"/>
        </w:rPr>
        <w:t>913101150729060470</w:t>
      </w:r>
      <w:r>
        <w:rPr>
          <w:spacing w:val="-1"/>
        </w:rPr>
        <w:t>，注册资本：</w:t>
      </w:r>
      <w:r>
        <w:rPr>
          <w:rFonts w:ascii="Times New Roman" w:hAnsi="Times New Roman" w:cs="Times New Roman" w:eastAsia="Times New Roman" w:hint="default"/>
          <w:spacing w:val="-1"/>
        </w:rPr>
        <w:t>1,000</w:t>
      </w:r>
      <w:r>
        <w:rPr>
          <w:spacing w:val="-1"/>
        </w:rPr>
        <w:t>万人民币，注册地为上海市浦东新区江东路</w:t>
      </w:r>
      <w:r>
        <w:rPr>
          <w:rFonts w:ascii="Times New Roman" w:hAnsi="Times New Roman" w:cs="Times New Roman" w:eastAsia="Times New Roman" w:hint="default"/>
          <w:spacing w:val="-1"/>
        </w:rPr>
        <w:t>1666</w:t>
      </w:r>
      <w:r>
        <w:rPr>
          <w:spacing w:val="-1"/>
        </w:rPr>
        <w:t>号</w:t>
      </w:r>
      <w:r>
        <w:rPr>
          <w:rFonts w:ascii="Times New Roman" w:hAnsi="Times New Roman" w:cs="Times New Roman" w:eastAsia="Times New Roman" w:hint="default"/>
          <w:spacing w:val="-1"/>
        </w:rPr>
        <w:t>4</w:t>
      </w:r>
      <w:r>
        <w:rPr>
          <w:spacing w:val="-1"/>
        </w:rPr>
        <w:t>幢</w:t>
      </w:r>
      <w:r>
        <w:rPr>
          <w:rFonts w:ascii="Times New Roman" w:hAnsi="Times New Roman" w:cs="Times New Roman" w:eastAsia="Times New Roman" w:hint="default"/>
          <w:spacing w:val="-1"/>
        </w:rPr>
        <w:t>1013</w:t>
      </w:r>
      <w:r>
        <w:rPr>
          <w:spacing w:val="-1"/>
        </w:rPr>
        <w:t>室，经营范围为计算机软</w:t>
      </w:r>
      <w:r>
        <w:rPr>
          <w:spacing w:val="-60"/>
        </w:rPr>
        <w:t> </w:t>
      </w:r>
      <w:r>
        <w:rPr>
          <w:spacing w:val="-60"/>
        </w:rPr>
      </w:r>
      <w:r>
        <w:rPr>
          <w:spacing w:val="-1"/>
        </w:rPr>
        <w:t>硬件及辅助设备</w:t>
      </w:r>
      <w:r>
        <w:rPr>
          <w:rFonts w:ascii="Times New Roman" w:hAnsi="Times New Roman" w:cs="Times New Roman" w:eastAsia="Times New Roman" w:hint="default"/>
          <w:spacing w:val="-1"/>
        </w:rPr>
        <w:t>(</w:t>
      </w:r>
      <w:r>
        <w:rPr>
          <w:spacing w:val="-1"/>
        </w:rPr>
        <w:t>除计算机信息系统安全专用产品</w:t>
      </w:r>
      <w:r>
        <w:rPr>
          <w:rFonts w:ascii="Times New Roman" w:hAnsi="Times New Roman" w:cs="Times New Roman" w:eastAsia="Times New Roman" w:hint="default"/>
          <w:spacing w:val="-1"/>
        </w:rPr>
        <w:t>)</w:t>
      </w:r>
      <w:r>
        <w:rPr>
          <w:spacing w:val="-1"/>
        </w:rPr>
        <w:t>的开发、销售</w:t>
      </w:r>
      <w:r>
        <w:rPr>
          <w:rFonts w:ascii="Times New Roman" w:hAnsi="Times New Roman" w:cs="Times New Roman" w:eastAsia="Times New Roman" w:hint="default"/>
          <w:spacing w:val="-1"/>
        </w:rPr>
        <w:t>,</w:t>
      </w:r>
      <w:r>
        <w:rPr>
          <w:spacing w:val="-1"/>
        </w:rPr>
        <w:t>设计、制作、代理各类广告</w:t>
      </w:r>
      <w:r>
        <w:rPr>
          <w:rFonts w:ascii="Times New Roman" w:hAnsi="Times New Roman" w:cs="Times New Roman" w:eastAsia="Times New Roman" w:hint="default"/>
          <w:spacing w:val="-1"/>
        </w:rPr>
        <w:t>,</w:t>
      </w:r>
      <w:r>
        <w:rPr>
          <w:spacing w:val="-1"/>
        </w:rPr>
        <w:t>企业管理咨询</w:t>
      </w:r>
      <w:r>
        <w:rPr>
          <w:rFonts w:ascii="Times New Roman" w:hAnsi="Times New Roman" w:cs="Times New Roman" w:eastAsia="Times New Roman" w:hint="default"/>
          <w:spacing w:val="-1"/>
        </w:rPr>
        <w:t>(</w:t>
      </w:r>
      <w:r>
        <w:rPr>
          <w:spacing w:val="-1"/>
        </w:rPr>
        <w:t>除经纪</w:t>
      </w:r>
      <w:r>
        <w:rPr>
          <w:rFonts w:ascii="Times New Roman" w:hAnsi="Times New Roman" w:cs="Times New Roman" w:eastAsia="Times New Roman" w:hint="default"/>
          <w:spacing w:val="-1"/>
        </w:rPr>
        <w:t>)</w:t>
      </w:r>
      <w:r>
        <w:rPr>
          <w:spacing w:val="-1"/>
        </w:rPr>
        <w:t>，投资管</w:t>
      </w:r>
      <w:r>
        <w:rPr>
          <w:spacing w:val="-86"/>
        </w:rPr>
        <w:t> </w:t>
      </w:r>
      <w:r>
        <w:rPr>
          <w:spacing w:val="-86"/>
        </w:rPr>
      </w:r>
      <w:r>
        <w:rPr>
          <w:spacing w:val="-2"/>
        </w:rPr>
        <w:t>理，市场信息咨询与调查</w:t>
      </w:r>
      <w:r>
        <w:rPr>
          <w:rFonts w:ascii="Times New Roman" w:hAnsi="Times New Roman" w:cs="Times New Roman" w:eastAsia="Times New Roman" w:hint="default"/>
          <w:spacing w:val="-2"/>
        </w:rPr>
        <w:t>(</w:t>
      </w:r>
      <w:r>
        <w:rPr>
          <w:spacing w:val="-2"/>
        </w:rPr>
        <w:t>不得从事社会调研、社会调查、民意调查、民意测验</w:t>
      </w:r>
      <w:r>
        <w:rPr>
          <w:rFonts w:ascii="Times New Roman" w:hAnsi="Times New Roman" w:cs="Times New Roman" w:eastAsia="Times New Roman" w:hint="default"/>
          <w:spacing w:val="-2"/>
        </w:rPr>
        <w:t>)</w:t>
      </w:r>
      <w:r>
        <w:rPr>
          <w:spacing w:val="-2"/>
        </w:rPr>
        <w:t>，日用百货的销售。【依法须经批准的项目</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经相关部门批准后方可开展经营活动】</w:t>
      </w:r>
    </w:p>
    <w:p>
      <w:pPr>
        <w:pStyle w:val="BodyText"/>
        <w:spacing w:line="297" w:lineRule="auto" w:before="51"/>
        <w:ind w:right="1029"/>
        <w:jc w:val="left"/>
      </w:pPr>
      <w:r>
        <w:rPr/>
        <w:t>（</w:t>
      </w:r>
      <w:r>
        <w:rPr>
          <w:rFonts w:ascii="Times New Roman" w:hAnsi="Times New Roman" w:cs="Times New Roman" w:eastAsia="Times New Roman" w:hint="default"/>
        </w:rPr>
        <w:t>4</w:t>
      </w:r>
      <w:r>
        <w:rPr/>
        <w:t>）曲水汇通信息服务有限公司系公司间接持股</w:t>
      </w:r>
      <w:r>
        <w:rPr>
          <w:rFonts w:ascii="Times New Roman" w:hAnsi="Times New Roman" w:cs="Times New Roman" w:eastAsia="Times New Roman" w:hint="default"/>
        </w:rPr>
        <w:t>100%</w:t>
      </w:r>
      <w:r>
        <w:rPr/>
        <w:t>之全资子公司，成立于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日，统一社会信用代码</w:t>
      </w:r>
      <w:r>
        <w:rPr>
          <w:spacing w:val="-85"/>
        </w:rPr>
        <w:t> </w:t>
      </w:r>
      <w:r>
        <w:rPr>
          <w:rFonts w:ascii="Times New Roman" w:hAnsi="Times New Roman" w:cs="Times New Roman" w:eastAsia="Times New Roman" w:hint="default"/>
          <w:spacing w:val="-1"/>
        </w:rPr>
        <w:t>91540124MA6T1X333M</w:t>
      </w:r>
      <w:r>
        <w:rPr>
          <w:rFonts w:ascii="Times New Roman" w:hAnsi="Times New Roman" w:cs="Times New Roman" w:eastAsia="Times New Roman" w:hint="default"/>
        </w:rPr>
        <w:t> </w:t>
      </w:r>
      <w:r>
        <w:rPr>
          <w:spacing w:val="-2"/>
        </w:rPr>
        <w:t>，注册资本：</w:t>
      </w:r>
      <w:r>
        <w:rPr>
          <w:rFonts w:ascii="Times New Roman" w:hAnsi="Times New Roman" w:cs="Times New Roman" w:eastAsia="Times New Roman" w:hint="default"/>
          <w:spacing w:val="-2"/>
        </w:rPr>
        <w:t>55,000</w:t>
      </w:r>
      <w:r>
        <w:rPr>
          <w:spacing w:val="-2"/>
        </w:rPr>
        <w:t>万元人民币，注册地为西藏自治区拉萨市曲水人民路雅江工业园</w:t>
      </w:r>
      <w:r>
        <w:rPr>
          <w:rFonts w:ascii="Times New Roman" w:hAnsi="Times New Roman" w:cs="Times New Roman" w:eastAsia="Times New Roman" w:hint="default"/>
          <w:spacing w:val="-2"/>
        </w:rPr>
        <w:t>101-10</w:t>
      </w:r>
      <w:r>
        <w:rPr>
          <w:spacing w:val="-2"/>
        </w:rPr>
        <w:t>室，经营</w:t>
      </w:r>
      <w:r>
        <w:rPr>
          <w:spacing w:val="-59"/>
        </w:rPr>
        <w:t> </w:t>
      </w:r>
      <w:r>
        <w:rPr>
          <w:spacing w:val="-59"/>
        </w:rPr>
      </w:r>
      <w:r>
        <w:rPr>
          <w:spacing w:val="-4"/>
        </w:rPr>
        <w:t>范围为计算机软件硬件领域、电子产品、电信终端设备的技术研发</w:t>
      </w:r>
      <w:r>
        <w:rPr>
          <w:rFonts w:ascii="Times New Roman" w:hAnsi="Times New Roman" w:cs="Times New Roman" w:eastAsia="Times New Roman" w:hint="default"/>
          <w:spacing w:val="-4"/>
        </w:rPr>
        <w:t>(</w:t>
      </w:r>
      <w:r>
        <w:rPr>
          <w:spacing w:val="-4"/>
        </w:rPr>
        <w:t>不含电信增值业务及金融类业务</w:t>
      </w:r>
      <w:r>
        <w:rPr>
          <w:rFonts w:ascii="Times New Roman" w:hAnsi="Times New Roman" w:cs="Times New Roman" w:eastAsia="Times New Roman" w:hint="default"/>
          <w:spacing w:val="-4"/>
        </w:rPr>
        <w:t>)</w:t>
      </w:r>
      <w:r>
        <w:rPr>
          <w:spacing w:val="-4"/>
        </w:rPr>
        <w:t>、技术服务、技术转让、</w:t>
      </w:r>
      <w:r>
        <w:rPr>
          <w:spacing w:val="-37"/>
        </w:rPr>
        <w:t> </w:t>
      </w:r>
      <w:r>
        <w:rPr>
          <w:spacing w:val="-37"/>
        </w:rPr>
      </w:r>
      <w:r>
        <w:rPr/>
        <w:t>技术外包、技术咨询及销售；设计、制作、发布、代理各类广告；市场营销策划；电子商务</w:t>
      </w:r>
      <w:r>
        <w:rPr>
          <w:rFonts w:ascii="Times New Roman" w:hAnsi="Times New Roman" w:cs="Times New Roman" w:eastAsia="Times New Roman" w:hint="default"/>
        </w:rPr>
        <w:t>(</w:t>
      </w:r>
      <w:r>
        <w:rPr/>
        <w:t>不含电信增值业务及金融类业</w:t>
      </w:r>
      <w:r>
        <w:rPr>
          <w:spacing w:val="-82"/>
        </w:rPr>
        <w:t> </w:t>
      </w:r>
      <w:r>
        <w:rPr>
          <w:spacing w:val="-2"/>
        </w:rPr>
        <w:t>务</w:t>
      </w:r>
      <w:r>
        <w:rPr>
          <w:rFonts w:ascii="Times New Roman" w:hAnsi="Times New Roman" w:cs="Times New Roman" w:eastAsia="Times New Roman" w:hint="default"/>
          <w:spacing w:val="-2"/>
        </w:rPr>
        <w:t>)</w:t>
      </w:r>
      <w:r>
        <w:rPr>
          <w:spacing w:val="-2"/>
        </w:rPr>
        <w:t>；企业管理咨询，物业管理，商务信息咨询，市场信息咨询与调查</w:t>
      </w:r>
      <w:r>
        <w:rPr>
          <w:rFonts w:ascii="Times New Roman" w:hAnsi="Times New Roman" w:cs="Times New Roman" w:eastAsia="Times New Roman" w:hint="default"/>
          <w:spacing w:val="-2"/>
        </w:rPr>
        <w:t>(</w:t>
      </w:r>
      <w:r>
        <w:rPr>
          <w:spacing w:val="-2"/>
        </w:rPr>
        <w:t>不得从事社会调研、社会调查、民意测验</w:t>
      </w:r>
      <w:r>
        <w:rPr>
          <w:rFonts w:ascii="Times New Roman" w:hAnsi="Times New Roman" w:cs="Times New Roman" w:eastAsia="Times New Roman" w:hint="default"/>
          <w:spacing w:val="-2"/>
        </w:rPr>
        <w:t>)</w:t>
      </w:r>
      <w:r>
        <w:rPr>
          <w:spacing w:val="-2"/>
        </w:rPr>
        <w:t>。）【依法</w:t>
      </w:r>
      <w:r>
        <w:rPr>
          <w:spacing w:val="-61"/>
        </w:rPr>
        <w:t> </w:t>
      </w:r>
      <w:r>
        <w:rPr>
          <w:spacing w:val="-61"/>
        </w:rPr>
      </w:r>
      <w:r>
        <w:rPr/>
        <w:t>需经批准的项目，经相关部门批准后方可开展经营活动。】</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both"/>
      </w:pPr>
      <w:r>
        <w:rPr/>
        <w:t>本年购买结构化主体情况：</w:t>
      </w:r>
    </w:p>
    <w:p>
      <w:pPr>
        <w:pStyle w:val="BodyText"/>
        <w:spacing w:line="295" w:lineRule="auto" w:before="94"/>
        <w:ind w:right="1096"/>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日，向初始持有人购买了众邦银行</w:t>
      </w:r>
      <w:r>
        <w:rPr>
          <w:rFonts w:ascii="Times New Roman" w:hAnsi="Times New Roman" w:cs="Times New Roman" w:eastAsia="Times New Roman" w:hint="default"/>
          <w:spacing w:val="-2"/>
        </w:rPr>
        <w:t>-</w:t>
      </w:r>
      <w:r>
        <w:rPr>
          <w:spacing w:val="-2"/>
        </w:rPr>
        <w:t>天风</w:t>
      </w:r>
      <w:r>
        <w:rPr>
          <w:rFonts w:ascii="Times New Roman" w:hAnsi="Times New Roman" w:cs="Times New Roman" w:eastAsia="Times New Roman" w:hint="default"/>
          <w:spacing w:val="-2"/>
        </w:rPr>
        <w:t>2019</w:t>
      </w:r>
      <w:r>
        <w:rPr>
          <w:spacing w:val="-2"/>
        </w:rPr>
        <w:t>年第一期财产权信托优先</w:t>
      </w:r>
      <w:r>
        <w:rPr>
          <w:rFonts w:ascii="Times New Roman" w:hAnsi="Times New Roman" w:cs="Times New Roman" w:eastAsia="Times New Roman" w:hint="default"/>
          <w:spacing w:val="-2"/>
        </w:rPr>
        <w:t>C</w:t>
      </w:r>
      <w:r>
        <w:rPr>
          <w:spacing w:val="-2"/>
        </w:rPr>
        <w:t>、次级</w:t>
      </w:r>
      <w:r>
        <w:rPr>
          <w:rFonts w:ascii="Times New Roman" w:hAnsi="Times New Roman" w:cs="Times New Roman" w:eastAsia="Times New Roman" w:hint="default"/>
          <w:spacing w:val="-2"/>
        </w:rPr>
        <w:t>A</w:t>
      </w:r>
      <w:r>
        <w:rPr>
          <w:spacing w:val="-2"/>
        </w:rPr>
        <w:t>及次级</w:t>
      </w:r>
      <w:r>
        <w:rPr>
          <w:rFonts w:ascii="Times New Roman" w:hAnsi="Times New Roman" w:cs="Times New Roman" w:eastAsia="Times New Roman" w:hint="default"/>
          <w:spacing w:val="-2"/>
        </w:rPr>
        <w:t>B</w:t>
      </w:r>
      <w:r>
        <w:rPr>
          <w:spacing w:val="-2"/>
        </w:rPr>
        <w:t>，合计</w:t>
      </w:r>
      <w:r>
        <w:rPr>
          <w:rFonts w:ascii="Times New Roman" w:hAnsi="Times New Roman" w:cs="Times New Roman" w:eastAsia="Times New Roman" w:hint="default"/>
          <w:spacing w:val="-2"/>
        </w:rPr>
        <w:t>1.1</w:t>
      </w:r>
      <w:r>
        <w:rPr>
          <w:spacing w:val="-2"/>
        </w:rPr>
        <w:t>亿元，</w:t>
      </w:r>
      <w:r>
        <w:rPr>
          <w:spacing w:val="-48"/>
        </w:rPr>
        <w:t> </w:t>
      </w:r>
      <w:r>
        <w:rPr>
          <w:spacing w:val="-1"/>
        </w:rPr>
        <w:t>占比</w:t>
      </w:r>
      <w:r>
        <w:rPr>
          <w:rFonts w:ascii="Times New Roman" w:hAnsi="Times New Roman" w:cs="Times New Roman" w:eastAsia="Times New Roman" w:hint="default"/>
          <w:spacing w:val="-1"/>
        </w:rPr>
        <w:t>24.44%</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月购买剩余全部的信托资产即优先</w:t>
      </w:r>
      <w:r>
        <w:rPr>
          <w:rFonts w:ascii="Times New Roman" w:hAnsi="Times New Roman" w:cs="Times New Roman" w:eastAsia="Times New Roman" w:hint="default"/>
          <w:spacing w:val="-1"/>
        </w:rPr>
        <w:t>A1</w:t>
      </w:r>
      <w:r>
        <w:rPr>
          <w:spacing w:val="-1"/>
        </w:rPr>
        <w:t>、优先</w:t>
      </w:r>
      <w:r>
        <w:rPr>
          <w:rFonts w:ascii="Times New Roman" w:hAnsi="Times New Roman" w:cs="Times New Roman" w:eastAsia="Times New Roman" w:hint="default"/>
          <w:spacing w:val="-1"/>
        </w:rPr>
        <w:t>A2</w:t>
      </w:r>
      <w:r>
        <w:rPr>
          <w:spacing w:val="-1"/>
        </w:rPr>
        <w:t>及优先</w:t>
      </w:r>
      <w:r>
        <w:rPr>
          <w:rFonts w:ascii="Times New Roman" w:hAnsi="Times New Roman" w:cs="Times New Roman" w:eastAsia="Times New Roman" w:hint="default"/>
          <w:spacing w:val="-1"/>
        </w:rPr>
        <w:t>B</w:t>
      </w:r>
      <w:r>
        <w:rPr>
          <w:spacing w:val="-1"/>
        </w:rPr>
        <w:t>，合计</w:t>
      </w:r>
      <w:r>
        <w:rPr>
          <w:rFonts w:ascii="Times New Roman" w:hAnsi="Times New Roman" w:cs="Times New Roman" w:eastAsia="Times New Roman" w:hint="default"/>
          <w:spacing w:val="-1"/>
        </w:rPr>
        <w:t>2.69</w:t>
      </w:r>
      <w:r>
        <w:rPr>
          <w:spacing w:val="-1"/>
        </w:rPr>
        <w:t>亿元，占比</w:t>
      </w:r>
      <w:r>
        <w:rPr>
          <w:rFonts w:ascii="Times New Roman" w:hAnsi="Times New Roman" w:cs="Times New Roman" w:eastAsia="Times New Roman" w:hint="default"/>
          <w:spacing w:val="-1"/>
        </w:rPr>
        <w:t>75.56%</w:t>
      </w:r>
      <w:r>
        <w:rPr>
          <w:spacing w:val="-1"/>
        </w:rPr>
        <w:t>。由于公司对</w:t>
      </w:r>
      <w:r>
        <w:rPr>
          <w:spacing w:val="-85"/>
        </w:rPr>
        <w:t> </w:t>
      </w:r>
      <w:r>
        <w:rPr>
          <w:spacing w:val="-85"/>
        </w:rPr>
      </w:r>
      <w:r>
        <w:rPr>
          <w:spacing w:val="-1"/>
        </w:rPr>
        <w:t>该信托计划底层资产向众邦银行提供回购保证，并负责贷后管理，自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月起，将众邦银行</w:t>
      </w:r>
      <w:r>
        <w:rPr>
          <w:rFonts w:ascii="Times New Roman" w:hAnsi="Times New Roman" w:cs="Times New Roman" w:eastAsia="Times New Roman" w:hint="default"/>
          <w:spacing w:val="-1"/>
        </w:rPr>
        <w:t>-</w:t>
      </w:r>
      <w:r>
        <w:rPr>
          <w:spacing w:val="-1"/>
        </w:rPr>
        <w:t>天风</w:t>
      </w:r>
      <w:r>
        <w:rPr>
          <w:rFonts w:ascii="Times New Roman" w:hAnsi="Times New Roman" w:cs="Times New Roman" w:eastAsia="Times New Roman" w:hint="default"/>
          <w:spacing w:val="-1"/>
        </w:rPr>
        <w:t>2019</w:t>
      </w:r>
      <w:r>
        <w:rPr>
          <w:spacing w:val="-1"/>
        </w:rPr>
        <w:t>年第一期财产权信</w:t>
      </w:r>
      <w:r>
        <w:rPr>
          <w:spacing w:val="-69"/>
        </w:rPr>
        <w:t> </w:t>
      </w:r>
      <w:r>
        <w:rPr/>
        <w:t>托纳入合并范围。</w:t>
      </w:r>
    </w:p>
    <w:p>
      <w:pPr>
        <w:spacing w:line="240" w:lineRule="auto" w:before="11"/>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
        <w:rPr>
          <w:rFonts w:ascii="宋体" w:hAnsi="宋体" w:cs="宋体" w:eastAsia="宋体" w:hint="default"/>
          <w:b/>
          <w:bCs/>
          <w:sz w:val="26"/>
          <w:szCs w:val="26"/>
        </w:rPr>
      </w:pPr>
    </w:p>
    <w:p>
      <w:pPr>
        <w:pStyle w:val="Heading4"/>
        <w:spacing w:line="240" w:lineRule="auto"/>
        <w:ind w:right="0"/>
        <w:jc w:val="left"/>
        <w:rPr>
          <w:b w:val="0"/>
          <w:bCs w:val="0"/>
        </w:rPr>
      </w:pPr>
      <w:r>
        <w:rPr/>
        <w:t>（一）行业发展趋势</w:t>
      </w:r>
      <w:r>
        <w:rPr>
          <w:b w:val="0"/>
          <w:bCs w:val="0"/>
        </w:rPr>
      </w:r>
    </w:p>
    <w:p>
      <w:pPr>
        <w:pStyle w:val="BodyText"/>
        <w:spacing w:line="292" w:lineRule="auto" w:before="95"/>
        <w:ind w:right="0" w:firstLine="360"/>
        <w:jc w:val="left"/>
      </w:pP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以来，我国将软件和信息技术服务业作为构建现代信息技术产业体系的核心，在国家产业扶持政策的推动下， </w:t>
      </w:r>
      <w:r>
        <w:rPr>
          <w:spacing w:val="-1"/>
        </w:rPr>
        <w:t>我国软件产业呈现持续快速发展态势。根据国家工信部发布的《</w:t>
      </w:r>
      <w:r>
        <w:rPr>
          <w:rFonts w:ascii="Times New Roman" w:hAnsi="Times New Roman" w:cs="Times New Roman" w:eastAsia="Times New Roman" w:hint="default"/>
          <w:spacing w:val="-1"/>
        </w:rPr>
        <w:t>2019</w:t>
      </w:r>
      <w:r>
        <w:rPr>
          <w:spacing w:val="-1"/>
        </w:rPr>
        <w:t>年软件和信息技术服务业统计公报》，</w:t>
      </w:r>
      <w:r>
        <w:rPr>
          <w:rFonts w:ascii="Times New Roman" w:hAnsi="Times New Roman" w:cs="Times New Roman" w:eastAsia="Times New Roman" w:hint="default"/>
          <w:spacing w:val="-1"/>
        </w:rPr>
        <w:t>2019</w:t>
      </w:r>
      <w:r>
        <w:rPr>
          <w:spacing w:val="-1"/>
        </w:rPr>
        <w:t>年全国软件</w:t>
      </w:r>
      <w:r>
        <w:rPr>
          <w:spacing w:val="-84"/>
        </w:rPr>
        <w:t> </w:t>
      </w:r>
      <w:r>
        <w:rPr/>
        <w:t>和信息技术服务业规模以上企业超</w:t>
      </w:r>
      <w:r>
        <w:rPr>
          <w:rFonts w:ascii="Times New Roman" w:hAnsi="Times New Roman" w:cs="Times New Roman" w:eastAsia="Times New Roman" w:hint="default"/>
        </w:rPr>
        <w:t>4</w:t>
      </w:r>
      <w:r>
        <w:rPr/>
        <w:t>万家，累计完成软件业务收入</w:t>
      </w:r>
      <w:r>
        <w:rPr>
          <w:rFonts w:ascii="Times New Roman" w:hAnsi="Times New Roman" w:cs="Times New Roman" w:eastAsia="Times New Roman" w:hint="default"/>
        </w:rPr>
        <w:t>7.17</w:t>
      </w:r>
      <w:r>
        <w:rPr/>
        <w:t>万亿元，同比增长</w:t>
      </w:r>
      <w:r>
        <w:rPr>
          <w:rFonts w:ascii="Times New Roman" w:hAnsi="Times New Roman" w:cs="Times New Roman" w:eastAsia="Times New Roman" w:hint="default"/>
        </w:rPr>
        <w:t>15.4%</w:t>
      </w:r>
      <w:r>
        <w:rPr/>
        <w:t>。</w:t>
      </w:r>
      <w:r>
        <w:rPr>
          <w:rFonts w:ascii="Times New Roman" w:hAnsi="Times New Roman" w:cs="Times New Roman" w:eastAsia="Times New Roman" w:hint="default"/>
        </w:rPr>
        <w:t>5G</w:t>
      </w:r>
      <w:r>
        <w:rPr/>
        <w:t>网络加速建设驱动新一</w:t>
      </w:r>
      <w:r>
        <w:rPr>
          <w:spacing w:val="-78"/>
        </w:rPr>
        <w:t> </w:t>
      </w:r>
      <w:r>
        <w:rPr>
          <w:spacing w:val="-5"/>
        </w:rPr>
        <w:t>轮科技革命，软件和信息技术服务业结构继续调整，产业生态链不断完善，为制造强国和网络强国建设提供重要支撑和保障。</w:t>
      </w:r>
    </w:p>
    <w:p>
      <w:pPr>
        <w:pStyle w:val="BodyText"/>
        <w:spacing w:line="304" w:lineRule="auto" w:before="55"/>
        <w:ind w:right="1135" w:firstLine="360"/>
        <w:jc w:val="both"/>
      </w:pPr>
      <w:r>
        <w:rPr>
          <w:rFonts w:ascii="Times New Roman" w:hAnsi="Times New Roman" w:cs="Times New Roman" w:eastAsia="Times New Roman" w:hint="default"/>
        </w:rPr>
        <w:t>2017</w:t>
      </w:r>
      <w:r>
        <w:rPr/>
        <w:t>年以来，国务院的政府工作报告中多次出现</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月，党中央全面深化改革委员会在《关于促进人 </w:t>
      </w:r>
      <w:r>
        <w:rPr>
          <w:spacing w:val="-2"/>
        </w:rPr>
        <w:t>工智能和实体经济深度融合的指导意见》中提出促进人工智能和实体经济深度融合，坚持以市场需求为导向，以产业应用为</w:t>
      </w:r>
      <w:r>
        <w:rPr>
          <w:spacing w:val="-75"/>
        </w:rPr>
        <w:t> </w:t>
      </w:r>
      <w:r>
        <w:rPr>
          <w:spacing w:val="-75"/>
        </w:rPr>
      </w:r>
      <w:r>
        <w:rPr>
          <w:spacing w:val="-2"/>
        </w:rPr>
        <w:t>目标，深化改革创新，优化制度环境，激发企业创新活力和内生动力，结合不同行业、不同区域特点，探索创新成果应用转</w:t>
      </w:r>
      <w:r>
        <w:rPr>
          <w:spacing w:val="-72"/>
        </w:rPr>
        <w:t> </w:t>
      </w:r>
      <w:r>
        <w:rPr>
          <w:spacing w:val="-72"/>
        </w:rPr>
      </w:r>
      <w:r>
        <w:rPr/>
        <w:t>化的路径和方法，构建数据驱动、人机协动、跨界融合、共创分享的智能经济形态。</w:t>
      </w:r>
    </w:p>
    <w:p>
      <w:pPr>
        <w:pStyle w:val="BodyText"/>
        <w:spacing w:line="295" w:lineRule="auto" w:before="46"/>
        <w:ind w:right="0" w:firstLine="360"/>
        <w:jc w:val="left"/>
      </w:pPr>
      <w:r>
        <w:rPr/>
        <w:t>据中国产业信息网和中国信息通信研究院数据，世界人工智能市场将在</w:t>
      </w:r>
      <w:r>
        <w:rPr>
          <w:rFonts w:ascii="Times New Roman" w:hAnsi="Times New Roman" w:cs="Times New Roman" w:eastAsia="Times New Roman" w:hint="default"/>
        </w:rPr>
        <w:t>2020</w:t>
      </w:r>
      <w:r>
        <w:rPr/>
        <w:t>年达到</w:t>
      </w:r>
      <w:r>
        <w:rPr>
          <w:rFonts w:ascii="Times New Roman" w:hAnsi="Times New Roman" w:cs="Times New Roman" w:eastAsia="Times New Roman" w:hint="default"/>
        </w:rPr>
        <w:t>6,800</w:t>
      </w:r>
      <w:r>
        <w:rPr/>
        <w:t>亿元人民币，复合增长率达 </w:t>
      </w:r>
      <w:r>
        <w:rPr>
          <w:rFonts w:ascii="Times New Roman" w:hAnsi="Times New Roman" w:cs="Times New Roman" w:eastAsia="Times New Roman" w:hint="default"/>
        </w:rPr>
        <w:t>26.2%</w:t>
      </w:r>
      <w:r>
        <w:rPr/>
        <w:t>，而中国人工智能市场也将在</w:t>
      </w:r>
      <w:r>
        <w:rPr>
          <w:rFonts w:ascii="Times New Roman" w:hAnsi="Times New Roman" w:cs="Times New Roman" w:eastAsia="Times New Roman" w:hint="default"/>
        </w:rPr>
        <w:t>2020</w:t>
      </w:r>
      <w:r>
        <w:rPr/>
        <w:t>年达到</w:t>
      </w:r>
      <w:r>
        <w:rPr>
          <w:rFonts w:ascii="Times New Roman" w:hAnsi="Times New Roman" w:cs="Times New Roman" w:eastAsia="Times New Roman" w:hint="default"/>
        </w:rPr>
        <w:t>710</w:t>
      </w:r>
      <w:r>
        <w:rPr/>
        <w:t>亿元人民币，复合增长率达</w:t>
      </w:r>
      <w:r>
        <w:rPr>
          <w:rFonts w:ascii="Times New Roman" w:hAnsi="Times New Roman" w:cs="Times New Roman" w:eastAsia="Times New Roman" w:hint="default"/>
        </w:rPr>
        <w:t>44.5%</w:t>
      </w:r>
      <w:r>
        <w:rPr/>
        <w:t>。国家</w:t>
      </w:r>
      <w:r>
        <w:rPr>
          <w:rFonts w:ascii="Times New Roman" w:hAnsi="Times New Roman" w:cs="Times New Roman" w:eastAsia="Times New Roman" w:hint="default"/>
        </w:rPr>
        <w:t>2020</w:t>
      </w:r>
      <w:r>
        <w:rPr/>
        <w:t>年的发展规划以</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为</w:t>
      </w:r>
      <w:r>
        <w:rPr>
          <w:spacing w:val="-79"/>
        </w:rPr>
        <w:t> </w:t>
      </w:r>
      <w:r>
        <w:rPr/>
        <w:t>重心，大力支持</w:t>
      </w:r>
      <w:r>
        <w:rPr>
          <w:rFonts w:ascii="Times New Roman" w:hAnsi="Times New Roman" w:cs="Times New Roman" w:eastAsia="Times New Roman" w:hint="default"/>
        </w:rPr>
        <w:t>5G</w:t>
      </w:r>
      <w:r>
        <w:rPr/>
        <w:t>、人工智能、数据中心等科技创新领域的发展，为互联网行业的结构性调整提供了方向。公司将紧密结</w:t>
      </w:r>
      <w:r>
        <w:rPr>
          <w:spacing w:val="-77"/>
        </w:rPr>
        <w:t> </w:t>
      </w:r>
      <w:r>
        <w:rPr>
          <w:spacing w:val="-77"/>
        </w:rPr>
      </w:r>
      <w:r>
        <w:rPr/>
        <w:t>合国家发展规划，发挥技术与服务的优势，实现未来长期可持续发展。</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（二）公司发展战略</w:t>
      </w:r>
      <w:r>
        <w:rPr>
          <w:b w:val="0"/>
          <w:bCs w:val="0"/>
        </w:rPr>
      </w:r>
    </w:p>
    <w:p>
      <w:pPr>
        <w:pStyle w:val="BodyText"/>
        <w:spacing w:line="314" w:lineRule="auto" w:before="95"/>
        <w:ind w:right="1127" w:firstLine="360"/>
        <w:jc w:val="left"/>
      </w:pPr>
      <w:r>
        <w:rPr/>
        <w:t>公司于</w:t>
      </w:r>
      <w:r>
        <w:rPr>
          <w:rFonts w:ascii="Times New Roman" w:hAnsi="Times New Roman" w:cs="Times New Roman" w:eastAsia="Times New Roman" w:hint="default"/>
        </w:rPr>
        <w:t>2019</w:t>
      </w:r>
      <w:r>
        <w:rPr/>
        <w:t>年启动并确立了</w:t>
      </w:r>
      <w:r>
        <w:rPr>
          <w:rFonts w:ascii="Times New Roman" w:hAnsi="Times New Roman" w:cs="Times New Roman" w:eastAsia="Times New Roman" w:hint="default"/>
        </w:rPr>
        <w:t>“</w:t>
      </w:r>
      <w:r>
        <w:rPr/>
        <w:t>移动互联</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的未来发展战略，着力打造移动互联时代的核心技术竞争力。为实现 新的战略发展目标，公司在中台、智能算法和大数据中心三个方向进行重点投入并取得一定的成果：大数据方面，完成公 司所有产品的数据统一存储和建模，形成全用户的数据仓库，为公司的产品决策提供智能分析和报表，更快的对市场做出 反应；算法方面，深入机器学习技术，建立了公司自有推荐系统，为用户提供千人千面的资讯和视频内容，大幅提升公司</w:t>
      </w:r>
      <w:r>
        <w:rPr>
          <w:spacing w:val="-80"/>
        </w:rPr>
        <w:t> </w:t>
      </w:r>
      <w:r>
        <w:rPr>
          <w:spacing w:val="-80"/>
        </w:rPr>
      </w:r>
      <w:r>
        <w:rPr/>
        <w:t>的内容类产品的核心指标，接近于业内智能推荐系统水平；业务中台方面，公司已建立统一的用户触达和智能运营平台， 辅以大数据的用户画像，为用户提供个性化的产品服务和体验，实现流量的深耕。</w:t>
      </w:r>
    </w:p>
    <w:p>
      <w:pPr>
        <w:pStyle w:val="BodyText"/>
        <w:spacing w:line="314" w:lineRule="auto" w:before="24"/>
        <w:ind w:right="1227" w:firstLine="360"/>
        <w:jc w:val="both"/>
      </w:pPr>
      <w:r>
        <w:rPr/>
        <w:t>同时，公司根据整体发展战略积极布局人工智能投资领域，为实现产业协同效应并获得较高的资本增值收益，先后参 与投资了致力于人工智能算法和关键技术研发的公司、及以信息技术、先进制造、新材料及新能源等领域为投资方向的人 工智能股权投资基金等。</w:t>
      </w:r>
    </w:p>
    <w:p>
      <w:pPr>
        <w:pStyle w:val="BodyText"/>
        <w:spacing w:line="309" w:lineRule="auto" w:before="23"/>
        <w:ind w:right="1207" w:firstLine="360"/>
        <w:jc w:val="both"/>
      </w:pPr>
      <w:r>
        <w:rPr/>
        <w:t>报告期内公司对金融科技服务业务进行了调整，未来将逐步回归技术驱动创新的发展道路，以做好产品为工作主线， 继续加大研发投入，加强各产品之间协同发展，通过</w:t>
      </w:r>
      <w:r>
        <w:rPr>
          <w:rFonts w:ascii="Times New Roman" w:hAnsi="Times New Roman" w:cs="Times New Roman" w:eastAsia="Times New Roman" w:hint="default"/>
        </w:rPr>
        <w:t>AI</w:t>
      </w:r>
      <w:r>
        <w:rPr/>
        <w:t>、大数据等技术加持赋能产品创新，提升产品的用户体验、用户数</w:t>
      </w:r>
      <w:r>
        <w:rPr>
          <w:spacing w:val="-81"/>
        </w:rPr>
        <w:t> </w:t>
      </w:r>
      <w:r>
        <w:rPr/>
        <w:t>及品牌知名度，持续提升用户流量变现的能力；并适时通过投资、收购、兼并等方式整合行业内优质资源，多维度地寻找 新技术与公司现有业务的结合，增强未来发展的战略价值，提升公司长期竞争优势，更好地回报上市公司全体股东。</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（三）</w:t>
      </w:r>
      <w:r>
        <w:rPr>
          <w:rFonts w:ascii="宋体" w:hAnsi="宋体" w:cs="宋体" w:eastAsia="宋体" w:hint="default"/>
        </w:rPr>
        <w:t>2020</w:t>
      </w:r>
      <w:r>
        <w:rPr/>
        <w:t>年度公司经营计划</w:t>
      </w:r>
      <w:r>
        <w:rPr>
          <w:b w:val="0"/>
          <w:bCs w:val="0"/>
        </w:rPr>
      </w:r>
    </w:p>
    <w:p>
      <w:pPr>
        <w:pStyle w:val="BodyText"/>
        <w:spacing w:line="304" w:lineRule="auto" w:before="95"/>
        <w:ind w:right="0" w:firstLine="360"/>
        <w:jc w:val="left"/>
      </w:pPr>
      <w:r>
        <w:rPr>
          <w:rFonts w:ascii="Times New Roman" w:hAnsi="Times New Roman" w:cs="Times New Roman" w:eastAsia="Times New Roman" w:hint="default"/>
        </w:rPr>
        <w:t>2020</w:t>
      </w:r>
      <w:r>
        <w:rPr/>
        <w:t>年初新型冠状病毒肺炎疫情的爆发和传播对社会造成了广泛而深刻的影响，公司积极响应国家关于防控疫情工作 的安排而延迟复工，因客户的互联网推广支出有所减少，同时公司的互联网推广活动也因疫情受到影响，对公司的经营计</w:t>
      </w:r>
      <w:r>
        <w:rPr>
          <w:spacing w:val="-87"/>
        </w:rPr>
        <w:t> </w:t>
      </w:r>
      <w:r>
        <w:rPr>
          <w:spacing w:val="-87"/>
        </w:rPr>
      </w:r>
      <w:r>
        <w:rPr/>
        <w:t>划推进和落地进度产生了一定的影响；此外由于公司</w:t>
      </w:r>
      <w:r>
        <w:rPr>
          <w:rFonts w:ascii="Times New Roman" w:hAnsi="Times New Roman" w:cs="Times New Roman" w:eastAsia="Times New Roman" w:hint="default"/>
        </w:rPr>
        <w:t>2019</w:t>
      </w:r>
      <w:r>
        <w:rPr/>
        <w:t>年对金融科技服务业务进行了调整，因此</w:t>
      </w:r>
      <w:r>
        <w:rPr>
          <w:rFonts w:ascii="Times New Roman" w:hAnsi="Times New Roman" w:cs="Times New Roman" w:eastAsia="Times New Roman" w:hint="default"/>
        </w:rPr>
        <w:t>2020</w:t>
      </w:r>
      <w:r>
        <w:rPr/>
        <w:t>年内公司的业绩将</w:t>
      </w:r>
      <w:r>
        <w:rPr>
          <w:spacing w:val="-81"/>
        </w:rPr>
        <w:t> </w:t>
      </w:r>
      <w:r>
        <w:rPr/>
        <w:t>面临一定的不利影响。公司会积极采取措施应对挑战，尽可能减少对财务状况、经营成果等方面的影响，并继续坚持</w:t>
      </w:r>
      <w:r>
        <w:rPr>
          <w:rFonts w:ascii="Times New Roman" w:hAnsi="Times New Roman" w:cs="Times New Roman" w:eastAsia="Times New Roman" w:hint="default"/>
        </w:rPr>
        <w:t>“</w:t>
      </w:r>
      <w:r>
        <w:rPr/>
        <w:t>移动</w:t>
      </w:r>
      <w:r>
        <w:rPr>
          <w:spacing w:val="-69"/>
        </w:rPr>
        <w:t> </w:t>
      </w:r>
      <w:r>
        <w:rPr/>
        <w:t>互联</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的发展战略砥砺前行。</w:t>
      </w:r>
      <w:r>
        <w:rPr>
          <w:rFonts w:ascii="Times New Roman" w:hAnsi="Times New Roman" w:cs="Times New Roman" w:eastAsia="Times New Roman" w:hint="default"/>
        </w:rPr>
        <w:t>2020</w:t>
      </w:r>
      <w:r>
        <w:rPr/>
        <w:t>年度公司将重点做好以下工作：</w:t>
      </w:r>
    </w:p>
    <w:p>
      <w:pPr>
        <w:pStyle w:val="Heading4"/>
        <w:spacing w:line="233" w:lineRule="exact"/>
        <w:ind w:right="0"/>
        <w:jc w:val="left"/>
        <w:rPr>
          <w:b w:val="0"/>
          <w:bCs w:val="0"/>
        </w:rPr>
      </w:pPr>
      <w:r>
        <w:rPr/>
        <w:t>（</w:t>
      </w:r>
      <w:r>
        <w:rPr>
          <w:rFonts w:ascii="宋体" w:hAnsi="宋体" w:cs="宋体" w:eastAsia="宋体" w:hint="default"/>
        </w:rPr>
        <w:t>1</w:t>
      </w:r>
      <w:r>
        <w:rPr/>
        <w:t>）运用新兴技术，提升互联网信息服务业务商业运营能力</w:t>
      </w:r>
      <w:r>
        <w:rPr>
          <w:b w:val="0"/>
          <w:bCs w:val="0"/>
        </w:rPr>
      </w:r>
    </w:p>
    <w:p>
      <w:pPr>
        <w:pStyle w:val="BodyText"/>
        <w:spacing w:line="240" w:lineRule="auto" w:before="95"/>
        <w:ind w:left="501" w:right="0"/>
        <w:jc w:val="left"/>
      </w:pPr>
      <w:r>
        <w:rPr>
          <w:rFonts w:ascii="Times New Roman" w:hAnsi="Times New Roman" w:cs="Times New Roman" w:eastAsia="Times New Roman" w:hint="default"/>
        </w:rPr>
        <w:t>2020</w:t>
      </w:r>
      <w:r>
        <w:rPr/>
        <w:t>年，公司将针对机器学习、大数据等方向全力发展，从技术思维转向产品、服务、用户思维，建立科学的评价体</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9" w:lineRule="auto"/>
        <w:ind w:right="1217"/>
        <w:jc w:val="both"/>
      </w:pPr>
      <w:r>
        <w:rPr/>
        <w:t>系，积极改进系统功能。在业务中台方向，聚焦完善公共服务矩阵、统一配置和业务实现平台，新建触达平台和业务预警 平台，做好公共服务能力建设；数据中台方向，持续推进数据仓库和数据标签体系建设，为业务提供统一高效的报表和分 析平台，助力项目产品运营决策效率的提升，同时深挖数据价值，为各项目提供统一的数据服务；算法中台上，加强算法 自身基础平台建设和技术沉淀，重点做好信息流推荐、商业化广告、精准营销等核心业务场景，同时在市场推广、用户留</w:t>
      </w:r>
      <w:r>
        <w:rPr>
          <w:spacing w:val="-80"/>
        </w:rPr>
        <w:t> </w:t>
      </w:r>
      <w:r>
        <w:rPr>
          <w:spacing w:val="-80"/>
        </w:rPr>
      </w:r>
      <w:r>
        <w:rPr/>
        <w:t>存及增长等场景上寻求突破；技术中台上，聚焦于统一网关平台的建设，不断完善持续交付系统和容器化平台，完成性能 和稳定性指标体系建设，助力业务研发团队目标的达成。</w:t>
      </w:r>
    </w:p>
    <w:p>
      <w:pPr>
        <w:pStyle w:val="BodyText"/>
        <w:spacing w:line="321" w:lineRule="auto" w:before="20"/>
        <w:ind w:right="1227" w:firstLine="360"/>
        <w:jc w:val="both"/>
      </w:pPr>
      <w:r>
        <w:rPr/>
        <w:t>通过中台体系的不断完善，公司将持续提升产品和内容的丰富度，从而服务和运营好用户，实现创新驱动，力求为公 司和行业带来更多的科技价值。</w:t>
      </w:r>
    </w:p>
    <w:p>
      <w:pPr>
        <w:pStyle w:val="Heading4"/>
        <w:spacing w:line="224" w:lineRule="exact"/>
        <w:ind w:right="0"/>
        <w:jc w:val="left"/>
        <w:rPr>
          <w:b w:val="0"/>
          <w:bCs w:val="0"/>
        </w:rPr>
      </w:pPr>
      <w:r>
        <w:rPr/>
        <w:t>（</w:t>
      </w:r>
      <w:r>
        <w:rPr>
          <w:rFonts w:ascii="宋体" w:hAnsi="宋体" w:cs="宋体" w:eastAsia="宋体" w:hint="default"/>
        </w:rPr>
        <w:t>2</w:t>
      </w:r>
      <w:r>
        <w:rPr/>
        <w:t>）加强内部资源整合与优化，发挥协同效应，提升综合竞争力</w:t>
      </w:r>
      <w:r>
        <w:rPr>
          <w:b w:val="0"/>
          <w:bCs w:val="0"/>
        </w:rPr>
      </w:r>
    </w:p>
    <w:p>
      <w:pPr>
        <w:pStyle w:val="BodyText"/>
        <w:spacing w:line="312" w:lineRule="auto" w:before="95"/>
        <w:ind w:right="1223" w:firstLine="360"/>
        <w:jc w:val="both"/>
      </w:pPr>
      <w:r>
        <w:rPr>
          <w:rFonts w:ascii="Times New Roman" w:hAnsi="Times New Roman" w:cs="Times New Roman" w:eastAsia="Times New Roman" w:hint="default"/>
        </w:rPr>
        <w:t>2020</w:t>
      </w:r>
      <w:r>
        <w:rPr/>
        <w:t>年，公司将重点加强各业务板块之间的协作，继续践行</w:t>
      </w:r>
      <w:r>
        <w:rPr>
          <w:rFonts w:ascii="Times New Roman" w:hAnsi="Times New Roman" w:cs="Times New Roman" w:eastAsia="Times New Roman" w:hint="default"/>
        </w:rPr>
        <w:t>“APP</w:t>
      </w:r>
      <w:r>
        <w:rPr/>
        <w:t>舰群</w:t>
      </w:r>
      <w:r>
        <w:rPr>
          <w:rFonts w:ascii="Times New Roman" w:hAnsi="Times New Roman" w:cs="Times New Roman" w:eastAsia="Times New Roman" w:hint="default"/>
        </w:rPr>
        <w:t>”</w:t>
      </w:r>
      <w:r>
        <w:rPr/>
        <w:t>的产品策略整合人力、产品、技术和运营能力 等内部资源，充分发挥各部门间协同效应，从而降低公司内部成本，提高运营效率，实现各条业务线间优势互补，增强公</w:t>
      </w:r>
      <w:r>
        <w:rPr>
          <w:spacing w:val="-86"/>
        </w:rPr>
        <w:t> </w:t>
      </w:r>
      <w:r>
        <w:rPr>
          <w:spacing w:val="-86"/>
        </w:rPr>
      </w:r>
      <w:r>
        <w:rPr/>
        <w:t>司综合竞争力。</w:t>
      </w:r>
    </w:p>
    <w:p>
      <w:pPr>
        <w:pStyle w:val="BodyText"/>
        <w:spacing w:line="321" w:lineRule="auto" w:before="11"/>
        <w:ind w:left="501" w:right="1209"/>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）加大研发投入</w:t>
      </w:r>
      <w:r>
        <w:rPr>
          <w:rFonts w:ascii="宋体" w:hAnsi="宋体" w:cs="宋体" w:eastAsia="宋体" w:hint="default"/>
          <w:b/>
          <w:bCs/>
          <w:w w:val="99"/>
        </w:rPr>
        <w:t> </w:t>
      </w:r>
      <w:r>
        <w:rPr/>
        <w:t>未来，公司还将对互联网领域的前瞻性技术进行深入研究，探索人工智能、大数据、机器学习、区块链等领域，让大</w:t>
      </w:r>
    </w:p>
    <w:p>
      <w:pPr>
        <w:pStyle w:val="BodyText"/>
        <w:spacing w:line="240" w:lineRule="auto" w:before="19"/>
        <w:ind w:right="0"/>
        <w:jc w:val="left"/>
      </w:pPr>
      <w:r>
        <w:rPr/>
        <w:t>数据和算法产生规模化效应，结合业务中台实现</w:t>
      </w:r>
      <w:r>
        <w:rPr>
          <w:rFonts w:ascii="Times New Roman" w:hAnsi="Times New Roman" w:cs="Times New Roman" w:eastAsia="Times New Roman" w:hint="default"/>
        </w:rPr>
        <w:t>APP</w:t>
      </w:r>
      <w:r>
        <w:rPr/>
        <w:t>工厂化运作，更高效的服务于用户。</w:t>
      </w:r>
    </w:p>
    <w:p>
      <w:pPr>
        <w:spacing w:line="336" w:lineRule="auto" w:before="51"/>
        <w:ind w:left="501" w:right="120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）加强人才队伍建设，优化人力资源结构</w:t>
      </w:r>
      <w:r>
        <w:rPr>
          <w:rFonts w:ascii="宋体" w:hAnsi="宋体" w:cs="宋体" w:eastAsia="宋体" w:hint="default"/>
          <w:b/>
          <w:bCs/>
          <w:w w:val="99"/>
          <w:sz w:val="18"/>
          <w:szCs w:val="18"/>
        </w:rPr>
        <w:t> </w:t>
      </w:r>
      <w:r>
        <w:rPr>
          <w:rFonts w:ascii="宋体" w:hAnsi="宋体" w:cs="宋体" w:eastAsia="宋体" w:hint="default"/>
          <w:sz w:val="18"/>
          <w:szCs w:val="18"/>
        </w:rPr>
        <w:t>公司始终把人才队伍建设作为工作的重中之重，</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年度公司将通过培养现有各板块优秀人才，并通过绩效奖励制度</w:t>
      </w:r>
    </w:p>
    <w:p>
      <w:pPr>
        <w:pStyle w:val="BodyText"/>
        <w:spacing w:line="222" w:lineRule="exact" w:before="0"/>
        <w:ind w:right="0"/>
        <w:jc w:val="left"/>
      </w:pPr>
      <w:r>
        <w:rPr/>
        <w:t>、公平的竞争晋升机制，提升员工积极性。同时简化内部组织架构，通过项目负责制选拔优秀的项目负责人，实现管理扁</w:t>
      </w:r>
    </w:p>
    <w:p>
      <w:pPr>
        <w:pStyle w:val="BodyText"/>
        <w:spacing w:line="240" w:lineRule="auto" w:before="65"/>
        <w:ind w:right="0"/>
        <w:jc w:val="left"/>
      </w:pPr>
      <w:r>
        <w:rPr/>
        <w:t>平化、去中心化。</w:t>
      </w:r>
    </w:p>
    <w:p>
      <w:pPr>
        <w:spacing w:line="240" w:lineRule="auto" w:before="0"/>
        <w:rPr>
          <w:rFonts w:ascii="宋体" w:hAnsi="宋体" w:cs="宋体" w:eastAsia="宋体" w:hint="default"/>
          <w:sz w:val="18"/>
          <w:szCs w:val="18"/>
        </w:rPr>
      </w:pPr>
    </w:p>
    <w:p>
      <w:pPr>
        <w:pStyle w:val="Heading4"/>
        <w:spacing w:line="240" w:lineRule="auto" w:before="144"/>
        <w:ind w:right="0"/>
        <w:jc w:val="left"/>
        <w:rPr>
          <w:b w:val="0"/>
          <w:bCs w:val="0"/>
        </w:rPr>
      </w:pPr>
      <w:r>
        <w:rPr/>
        <w:t>（四）风险及应对措施</w:t>
      </w:r>
      <w:r>
        <w:rPr>
          <w:b w:val="0"/>
          <w:bCs w:val="0"/>
        </w:rPr>
      </w:r>
    </w:p>
    <w:p>
      <w:pPr>
        <w:spacing w:line="336" w:lineRule="auto" w:before="79"/>
        <w:ind w:left="501" w:right="120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）宏观环境风险及新冠病毒肺炎疫情影响</w:t>
      </w:r>
      <w:r>
        <w:rPr>
          <w:rFonts w:ascii="宋体" w:hAnsi="宋体" w:cs="宋体" w:eastAsia="宋体" w:hint="default"/>
          <w:b/>
          <w:bCs/>
          <w:w w:val="99"/>
          <w:sz w:val="18"/>
          <w:szCs w:val="18"/>
        </w:rPr>
        <w:t> </w:t>
      </w:r>
      <w:r>
        <w:rPr>
          <w:rFonts w:ascii="宋体" w:hAnsi="宋体" w:cs="宋体" w:eastAsia="宋体" w:hint="default"/>
          <w:sz w:val="18"/>
          <w:szCs w:val="18"/>
        </w:rPr>
        <w:t>中国经济目前正面临结构转型期、人口红利缩减、社会老龄化趋势加快的周期调整压力。根据中国互联网络信息中心</w:t>
      </w:r>
    </w:p>
    <w:p>
      <w:pPr>
        <w:pStyle w:val="BodyText"/>
        <w:spacing w:line="302" w:lineRule="auto" w:before="0"/>
        <w:ind w:right="1142"/>
        <w:jc w:val="both"/>
      </w:pPr>
      <w:r>
        <w:rPr/>
        <w:t>（</w:t>
      </w:r>
      <w:r>
        <w:rPr>
          <w:rFonts w:ascii="Times New Roman" w:hAnsi="Times New Roman" w:cs="Times New Roman" w:eastAsia="Times New Roman" w:hint="default"/>
        </w:rPr>
        <w:t>CNNIC</w:t>
      </w:r>
      <w:r>
        <w:rPr/>
        <w:t>）发布的《第</w:t>
      </w:r>
      <w:r>
        <w:rPr>
          <w:rFonts w:ascii="Times New Roman" w:hAnsi="Times New Roman" w:cs="Times New Roman" w:eastAsia="Times New Roman" w:hint="default"/>
        </w:rPr>
        <w:t>44</w:t>
      </w:r>
      <w:r>
        <w:rPr/>
        <w:t>次中国互联网络发展状况统计报告》显示，截至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月，我国网民规模达</w:t>
      </w:r>
      <w:r>
        <w:rPr>
          <w:rFonts w:ascii="Times New Roman" w:hAnsi="Times New Roman" w:cs="Times New Roman" w:eastAsia="Times New Roman" w:hint="default"/>
        </w:rPr>
        <w:t>8.54</w:t>
      </w:r>
      <w:r>
        <w:rPr/>
        <w:t>亿，互联网普及</w:t>
      </w:r>
      <w:r>
        <w:rPr>
          <w:spacing w:val="-75"/>
        </w:rPr>
        <w:t> </w:t>
      </w:r>
      <w:r>
        <w:rPr/>
        <w:t>率达</w:t>
      </w:r>
      <w:r>
        <w:rPr>
          <w:rFonts w:ascii="Times New Roman" w:hAnsi="Times New Roman" w:cs="Times New Roman" w:eastAsia="Times New Roman" w:hint="default"/>
        </w:rPr>
        <w:t>61.2%</w:t>
      </w:r>
      <w:r>
        <w:rPr/>
        <w:t>，网民增速持续下降，移动网民覆盖率已超过</w:t>
      </w:r>
      <w:r>
        <w:rPr>
          <w:rFonts w:ascii="Times New Roman" w:hAnsi="Times New Roman" w:cs="Times New Roman" w:eastAsia="Times New Roman" w:hint="default"/>
        </w:rPr>
        <w:t>99%</w:t>
      </w:r>
      <w:r>
        <w:rPr/>
        <w:t>，网民</w:t>
      </w:r>
      <w:r>
        <w:rPr>
          <w:rFonts w:ascii="Times New Roman" w:hAnsi="Times New Roman" w:cs="Times New Roman" w:eastAsia="Times New Roman" w:hint="default"/>
        </w:rPr>
        <w:t>“</w:t>
      </w:r>
      <w:r>
        <w:rPr/>
        <w:t>移动升级</w:t>
      </w:r>
      <w:r>
        <w:rPr>
          <w:rFonts w:ascii="Times New Roman" w:hAnsi="Times New Roman" w:cs="Times New Roman" w:eastAsia="Times New Roman" w:hint="default"/>
        </w:rPr>
        <w:t>”</w:t>
      </w:r>
      <w:r>
        <w:rPr/>
        <w:t>的红利空间也已触顶。</w:t>
      </w:r>
    </w:p>
    <w:p>
      <w:pPr>
        <w:pStyle w:val="BodyText"/>
        <w:spacing w:line="312" w:lineRule="auto" w:before="14"/>
        <w:ind w:right="1220" w:firstLine="360"/>
        <w:jc w:val="both"/>
      </w:pPr>
      <w:r>
        <w:rPr/>
        <w:t>叠加新冠病毒肺炎疫情对经济的冲击，虽然目前国内疫情已得到初步控制，但全球疫情扩散形势严峻，全球经济前景 存在较大的不确定性。宏观环境及疫情的影响也为公司</w:t>
      </w:r>
      <w:r>
        <w:rPr>
          <w:rFonts w:ascii="Times New Roman" w:hAnsi="Times New Roman" w:cs="Times New Roman" w:eastAsia="Times New Roman" w:hint="default"/>
        </w:rPr>
        <w:t>2020</w:t>
      </w:r>
      <w:r>
        <w:rPr/>
        <w:t>年的经营发展工作及业绩带来一定影响，后续公司将继续密切</w:t>
      </w:r>
      <w:r>
        <w:rPr>
          <w:spacing w:val="-85"/>
        </w:rPr>
        <w:t> </w:t>
      </w:r>
      <w:r>
        <w:rPr/>
        <w:t>关注新冠病毒肺炎疫情发展情况，积极应对疫情带来的挑战。</w:t>
      </w:r>
    </w:p>
    <w:p>
      <w:pPr>
        <w:spacing w:line="336" w:lineRule="auto" w:before="0"/>
        <w:ind w:left="501" w:right="120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）市场竞争加剧及业务调整的风险</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z w:val="18"/>
          <w:szCs w:val="18"/>
        </w:rPr>
        <w:t>公司从事的互联网信息服务及金融科技行业创新和技术开发迭代速度快，存在着激烈的市场竞争，如果未来市场竞争</w:t>
      </w:r>
    </w:p>
    <w:p>
      <w:pPr>
        <w:pStyle w:val="BodyText"/>
        <w:spacing w:line="321" w:lineRule="auto" w:before="7"/>
        <w:ind w:left="501" w:right="1209" w:hanging="361"/>
        <w:jc w:val="left"/>
      </w:pPr>
      <w:r>
        <w:rPr/>
        <w:t>进一步加剧，将可能影响公司未来业务的发展和产品推广，给公司的发展带来一定影响。 同时公司也面临如部分业务调整、市场营销成本上升等方面带来的挑战。未来公司将继续保持持续创新能力、充分利</w:t>
      </w:r>
    </w:p>
    <w:p>
      <w:pPr>
        <w:pStyle w:val="BodyText"/>
        <w:spacing w:line="304" w:lineRule="auto" w:before="19"/>
        <w:ind w:right="1226"/>
        <w:jc w:val="both"/>
      </w:pPr>
      <w:r>
        <w:rPr/>
        <w:t>用已有优势资源、准确捕捉市场变化、抓住未来市场发展的主流趋势，提升公司的管理和运营效率，进一步提高市场覆盖 率和用户粘性。</w:t>
      </w:r>
    </w:p>
    <w:p>
      <w:pPr>
        <w:pStyle w:val="BodyText"/>
        <w:spacing w:line="321" w:lineRule="auto" w:before="31"/>
        <w:ind w:right="1227" w:firstLine="360"/>
        <w:jc w:val="both"/>
      </w:pPr>
      <w:r>
        <w:rPr/>
        <w:t>公司将通过更深入地了解行业应用需求，加快研发和应用技术创新，不断地推出差异化的行业应用解决方案，持续保 持市场定位。</w:t>
      </w:r>
    </w:p>
    <w:p>
      <w:pPr>
        <w:spacing w:line="336" w:lineRule="auto" w:before="4"/>
        <w:ind w:left="501" w:right="120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）人才资源不足的风险</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对于互联网公司而言，掌握行业核心技术与保持核心技术团队稳定是公司生存和发展的根本。随着行业的快速发展、</w:t>
      </w:r>
    </w:p>
    <w:p>
      <w:pPr>
        <w:pStyle w:val="BodyText"/>
        <w:spacing w:line="321" w:lineRule="auto" w:before="0"/>
        <w:ind w:left="501" w:right="1209" w:hanging="361"/>
        <w:jc w:val="left"/>
      </w:pPr>
      <w:r>
        <w:rPr/>
        <w:t>市场竞争的加剧、专业知识的更新，人才的竞争和流动性必然会加大，使得公司存在一定的人才资源风险。 公司已通过提供有竞争力的薪酬福利、建立公平的竞争晋升机制等多种方式吸引专业管理和技术人才，同时加强对员</w:t>
      </w:r>
    </w:p>
    <w:p>
      <w:pPr>
        <w:pStyle w:val="BodyText"/>
        <w:spacing w:line="321" w:lineRule="auto" w:before="18"/>
        <w:ind w:left="501" w:right="1209" w:hanging="361"/>
        <w:jc w:val="left"/>
      </w:pPr>
      <w:r>
        <w:rPr/>
        <w:t>工的培训工作，全面提升员工的综合素质和技能，以满足公司业务持续快速发展的需要。 由于研发投入需要较长周期，专业技术人员引进、培养的成本及加大研发投入短期来看可能对公司的业绩产生一定的</w:t>
      </w:r>
    </w:p>
    <w:p>
      <w:pPr>
        <w:pStyle w:val="BodyText"/>
        <w:spacing w:line="240" w:lineRule="auto" w:before="18"/>
        <w:ind w:right="0"/>
        <w:jc w:val="left"/>
      </w:pPr>
      <w:r>
        <w:rPr/>
        <w:t>影响，但从长期来看研发投入的增长有利于提升公司的竞争优势与可持续发展能力。</w:t>
      </w:r>
    </w:p>
    <w:p>
      <w:pPr>
        <w:pStyle w:val="BodyText"/>
        <w:spacing w:line="336" w:lineRule="auto" w:before="50"/>
        <w:ind w:left="501" w:right="1209"/>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）信息安全风险</w:t>
      </w:r>
      <w:r>
        <w:rPr>
          <w:rFonts w:ascii="宋体" w:hAnsi="宋体" w:cs="宋体" w:eastAsia="宋体" w:hint="default"/>
          <w:b/>
          <w:bCs/>
          <w:w w:val="99"/>
        </w:rPr>
        <w:t> </w:t>
      </w:r>
      <w:r>
        <w:rPr/>
        <w:t>公司从事互联网信息服务，具备互联网属性，涉及网络信息安全。一旦用户数据遭到窃取、泄露或非法篡改等将对客</w:t>
      </w:r>
    </w:p>
    <w:p>
      <w:pPr>
        <w:spacing w:after="0" w:line="336"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21" w:lineRule="auto"/>
        <w:ind w:right="1209"/>
        <w:jc w:val="left"/>
      </w:pPr>
      <w:r>
        <w:rPr/>
        <w:t>户隐私、客户权益构成一定威胁。因此，公司面临着计算机软硬件故障、黑客攻击、数据安全受到威胁等信息安全风险。 一旦发生安全风险，不但威胁到用户的利益，也会给企业本身带来巨大的损失，破坏整个行业的发展。</w:t>
      </w:r>
    </w:p>
    <w:p>
      <w:pPr>
        <w:pStyle w:val="BodyText"/>
        <w:spacing w:line="307" w:lineRule="auto" w:before="18"/>
        <w:ind w:right="1209" w:firstLine="360"/>
        <w:jc w:val="left"/>
      </w:pPr>
      <w:r>
        <w:rPr/>
        <w:t>公司将不断加强信息安全管理体系的建立，将产品安全需求、安全设计、安全开发、安全测试等环节融入到产品开发 流程中，优化完善安全立体防护体系，保障关键信息基础设施安全，提高公司信息系统整体安全防护水平。</w:t>
      </w:r>
    </w:p>
    <w:p>
      <w:pPr>
        <w:pStyle w:val="BodyText"/>
        <w:spacing w:line="336" w:lineRule="auto" w:before="14"/>
        <w:ind w:left="501" w:right="1209"/>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）经营管理风险</w:t>
      </w:r>
      <w:r>
        <w:rPr>
          <w:rFonts w:ascii="宋体" w:hAnsi="宋体" w:cs="宋体" w:eastAsia="宋体" w:hint="default"/>
          <w:b/>
          <w:bCs/>
          <w:w w:val="99"/>
        </w:rPr>
        <w:t> </w:t>
      </w:r>
      <w:r>
        <w:rPr/>
        <w:t>近年来，随着公司资产规模不断增长、子公司数量不断增加，业务不断延伸，对公司的经营管理、财务规划以及人力</w:t>
      </w:r>
    </w:p>
    <w:p>
      <w:pPr>
        <w:pStyle w:val="BodyText"/>
        <w:spacing w:line="321" w:lineRule="auto" w:before="7"/>
        <w:ind w:right="1209"/>
        <w:jc w:val="left"/>
      </w:pPr>
      <w:r>
        <w:rPr/>
        <w:t>资源配置等提出了更高要求。如果公司不能及时优化管理模式、完善风险控制制度、增强执行力、提高管理能力，将面临 相应的运营管理和内部控制等方面的挑战，可能阻碍公司业务的正常推进或错失发展机遇。</w:t>
      </w:r>
    </w:p>
    <w:p>
      <w:pPr>
        <w:pStyle w:val="BodyText"/>
        <w:spacing w:line="240" w:lineRule="auto" w:before="3"/>
        <w:ind w:left="501" w:right="0"/>
        <w:jc w:val="left"/>
      </w:pPr>
      <w:r>
        <w:rPr/>
        <w:t>公司将继续规范治理结构及治理规则，形成科学的决策机制、执行机制和监督机制，继续完善各环节的内部控制制度</w:t>
      </w:r>
    </w:p>
    <w:p>
      <w:pPr>
        <w:pStyle w:val="BodyText"/>
        <w:spacing w:line="321" w:lineRule="auto" w:before="80"/>
        <w:ind w:right="1209"/>
        <w:jc w:val="left"/>
      </w:pPr>
      <w:r>
        <w:rPr/>
        <w:t>，优化内部治理结构及内部组织机构。报告期内，公司成立了风险管理委员会，通过项目审核、日常检查，提升公司各项 业务抗风险能力，保障公司业务合法、合规运营。</w:t>
      </w:r>
    </w:p>
    <w:p>
      <w:pPr>
        <w:pStyle w:val="BodyText"/>
        <w:spacing w:line="336" w:lineRule="auto" w:before="3"/>
        <w:ind w:left="501" w:right="1209"/>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）声誉风险</w:t>
      </w:r>
      <w:r>
        <w:rPr>
          <w:rFonts w:ascii="宋体" w:hAnsi="宋体" w:cs="宋体" w:eastAsia="宋体" w:hint="default"/>
          <w:b/>
          <w:bCs/>
          <w:w w:val="99"/>
        </w:rPr>
        <w:t> </w:t>
      </w:r>
      <w:r>
        <w:rPr/>
        <w:t>声誉风险是指由于公司经营管理或外部事件等原因导致利益相关方对公司发表负面评价，造成公司品牌声誉及其他相</w:t>
      </w:r>
    </w:p>
    <w:p>
      <w:pPr>
        <w:pStyle w:val="BodyText"/>
        <w:spacing w:line="321" w:lineRule="auto" w:before="0"/>
        <w:ind w:left="501" w:right="1209" w:hanging="361"/>
        <w:jc w:val="left"/>
      </w:pPr>
      <w:r>
        <w:rPr/>
        <w:t>关损失的风险。 公司将不断加强舆情管理，完善声誉风险管理体系，做好舆情搜集、研判、处置工作，降低负面舆情对公司的影响。</w:t>
      </w:r>
    </w:p>
    <w:p>
      <w:pPr>
        <w:pStyle w:val="BodyText"/>
        <w:spacing w:line="336" w:lineRule="auto" w:before="3"/>
        <w:ind w:left="501" w:right="1194"/>
        <w:jc w:val="left"/>
        <w:rPr>
          <w:rFonts w:ascii="Times New Roman" w:hAnsi="Times New Roman" w:cs="Times New Roman" w:eastAsia="Times New Roman" w:hint="default"/>
        </w:rPr>
      </w:pPr>
      <w:r>
        <w:rPr>
          <w:rFonts w:ascii="宋体" w:hAnsi="宋体" w:cs="宋体" w:eastAsia="宋体" w:hint="default"/>
          <w:b/>
          <w:bCs/>
        </w:rPr>
        <w:t>（</w:t>
      </w:r>
      <w:r>
        <w:rPr>
          <w:rFonts w:ascii="宋体" w:hAnsi="宋体" w:cs="宋体" w:eastAsia="宋体" w:hint="default"/>
          <w:b/>
          <w:bCs/>
        </w:rPr>
        <w:t>7</w:t>
      </w:r>
      <w:r>
        <w:rPr>
          <w:rFonts w:ascii="宋体" w:hAnsi="宋体" w:cs="宋体" w:eastAsia="宋体" w:hint="default"/>
          <w:b/>
          <w:bCs/>
        </w:rPr>
        <w:t>）商誉减值风险</w:t>
      </w:r>
      <w:r>
        <w:rPr>
          <w:rFonts w:ascii="宋体" w:hAnsi="宋体" w:cs="宋体" w:eastAsia="宋体" w:hint="default"/>
          <w:b/>
          <w:bCs/>
          <w:w w:val="99"/>
        </w:rPr>
        <w:t> </w:t>
      </w:r>
      <w:r>
        <w:rPr/>
        <w:t>截至</w:t>
      </w:r>
      <w:r>
        <w:rPr>
          <w:rFonts w:ascii="Times New Roman" w:hAnsi="Times New Roman" w:cs="Times New Roman" w:eastAsia="Times New Roman" w:hint="default"/>
        </w:rPr>
        <w:t>2019</w:t>
      </w:r>
      <w:r>
        <w:rPr/>
        <w:t>年末，公司商誉账面价值为</w:t>
      </w:r>
      <w:r>
        <w:rPr>
          <w:rFonts w:ascii="Times New Roman" w:hAnsi="Times New Roman" w:cs="Times New Roman" w:eastAsia="Times New Roman" w:hint="default"/>
        </w:rPr>
        <w:t>2,408,185,626.08</w:t>
      </w:r>
      <w:r>
        <w:rPr/>
        <w:t>元，占公司本报告期末的总资产比例为</w:t>
      </w:r>
      <w:r>
        <w:rPr>
          <w:rFonts w:ascii="Times New Roman" w:hAnsi="Times New Roman" w:cs="Times New Roman" w:eastAsia="Times New Roman" w:hint="default"/>
        </w:rPr>
        <w:t>21.15%</w:t>
      </w:r>
      <w:r>
        <w:rPr/>
        <w:t>，主要系公司</w:t>
      </w:r>
      <w:r>
        <w:rPr>
          <w:rFonts w:ascii="Times New Roman" w:hAnsi="Times New Roman" w:cs="Times New Roman" w:eastAsia="Times New Roman" w:hint="default"/>
        </w:rPr>
        <w:t>2014</w:t>
      </w:r>
    </w:p>
    <w:p>
      <w:pPr>
        <w:pStyle w:val="BodyText"/>
        <w:spacing w:line="235" w:lineRule="exact" w:before="0"/>
        <w:ind w:right="0"/>
        <w:jc w:val="left"/>
      </w:pPr>
      <w:r>
        <w:rPr/>
        <w:t>年重大资产重组通过发行股份方式收购上海二三四五网络科技有限公司</w:t>
      </w:r>
      <w:r>
        <w:rPr>
          <w:rFonts w:ascii="Times New Roman" w:hAnsi="Times New Roman" w:cs="Times New Roman" w:eastAsia="Times New Roman" w:hint="default"/>
        </w:rPr>
        <w:t>100%</w:t>
      </w:r>
      <w:r>
        <w:rPr/>
        <w:t>股权带来的商誉。公司根据适用的会计准则于</w:t>
      </w:r>
    </w:p>
    <w:p>
      <w:pPr>
        <w:pStyle w:val="BodyText"/>
        <w:spacing w:line="321" w:lineRule="auto" w:before="51"/>
        <w:ind w:right="1209"/>
        <w:jc w:val="left"/>
      </w:pPr>
      <w:r>
        <w:rPr/>
        <w:t>每年度末对形成商誉的相关资产组或资产组组合进行减值测试。网络科技子公司财务状况与经营情况较好，根据立信会计 师事务所（特殊普通合伙）出具的截至</w:t>
      </w:r>
      <w:r>
        <w:rPr>
          <w:rFonts w:ascii="Times New Roman" w:hAnsi="Times New Roman" w:cs="Times New Roman" w:eastAsia="Times New Roman" w:hint="default"/>
        </w:rPr>
        <w:t>2019</w:t>
      </w:r>
      <w:r>
        <w:rPr/>
        <w:t>年末的审计报告及上海申威资产评估有限公司出具的截至</w:t>
      </w:r>
      <w:r>
        <w:rPr>
          <w:rFonts w:ascii="Times New Roman" w:hAnsi="Times New Roman" w:cs="Times New Roman" w:eastAsia="Times New Roman" w:hint="default"/>
        </w:rPr>
        <w:t>2019</w:t>
      </w:r>
      <w:r>
        <w:rPr/>
        <w:t>年末的评估报告</w:t>
      </w:r>
    </w:p>
    <w:p>
      <w:pPr>
        <w:pStyle w:val="BodyText"/>
        <w:spacing w:line="234" w:lineRule="exact" w:before="0"/>
        <w:ind w:right="0"/>
        <w:jc w:val="left"/>
      </w:pPr>
      <w:r>
        <w:rPr/>
        <w:t>，该商誉资产不存在减值迹象，因此公司未对该等商誉资产计提减值准备。未来若出现相关法律法规规定的资产减值迹象</w:t>
      </w:r>
    </w:p>
    <w:p>
      <w:pPr>
        <w:pStyle w:val="BodyText"/>
        <w:spacing w:line="321" w:lineRule="auto" w:before="79"/>
        <w:ind w:right="1209"/>
        <w:jc w:val="left"/>
      </w:pPr>
      <w:r>
        <w:rPr/>
        <w:t>，则可能造成公司的商誉资产发生减值风险，甚至形成减值损失，从而可能对公司的财务状况和经营业绩造成一定的不利</w:t>
      </w:r>
      <w:r>
        <w:rPr>
          <w:spacing w:val="-84"/>
        </w:rPr>
        <w:t> </w:t>
      </w:r>
      <w:r>
        <w:rPr>
          <w:spacing w:val="-84"/>
        </w:rPr>
      </w:r>
      <w:r>
        <w:rPr/>
        <w:t>影响。</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690" w:right="2673"/>
        <w:jc w:val="center"/>
        <w:rPr>
          <w:b w:val="0"/>
          <w:bCs w:val="0"/>
        </w:rPr>
      </w:pPr>
      <w:bookmarkStart w:name="第五节重要事项" w:id="62"/>
      <w:bookmarkEnd w:id="62"/>
      <w:r>
        <w:rPr>
          <w:b w:val="0"/>
          <w:bCs w:val="0"/>
        </w:rPr>
      </w:r>
      <w:bookmarkStart w:name="_bookmark4" w:id="63"/>
      <w:bookmarkEnd w:id="63"/>
      <w:r>
        <w:rPr>
          <w:b w:val="0"/>
          <w:bCs w:val="0"/>
        </w:rPr>
      </w:r>
      <w:r>
        <w:rPr>
          <w:spacing w:val="5"/>
        </w:rPr>
        <w:t>第五节重要事项</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both"/>
      </w:pPr>
      <w:r>
        <w:rPr/>
        <w:t>报告期内普通股利润分配政策，特别是现金分红政策的制定、执行或调整情况</w:t>
      </w:r>
    </w:p>
    <w:p>
      <w:pPr>
        <w:pStyle w:val="BodyText"/>
        <w:spacing w:line="333" w:lineRule="auto" w:before="125"/>
        <w:ind w:left="501" w:right="11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报告期内，为进一步健全和完善科学、持续、稳定的公司利润分配政策和监督机制，公司董事会根据中国证监会《关于</w:t>
      </w:r>
    </w:p>
    <w:p>
      <w:pPr>
        <w:pStyle w:val="BodyText"/>
        <w:spacing w:line="288" w:lineRule="auto" w:before="24"/>
        <w:ind w:right="1096"/>
        <w:jc w:val="both"/>
      </w:pPr>
      <w:r>
        <w:rPr/>
        <w:t>进一步落实上市公司现金分红有关事项的通知》（证监发【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t>号）、中国证监会《上市公司监管指引第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w:t>
      </w:r>
      <w:r>
        <w:rPr>
          <w:spacing w:val="-80"/>
        </w:rPr>
        <w:t> </w:t>
      </w:r>
      <w:r>
        <w:rPr>
          <w:spacing w:val="-1"/>
        </w:rPr>
        <w:t>司现金分红》（证监会公告【</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43</w:t>
      </w:r>
      <w:r>
        <w:rPr>
          <w:spacing w:val="-1"/>
        </w:rPr>
        <w:t>号）的精神以及《公司章程》、《未来三年（</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2020</w:t>
      </w:r>
      <w:r>
        <w:rPr>
          <w:spacing w:val="-1"/>
        </w:rPr>
        <w:t>年）股东回报规划》的相关</w:t>
      </w:r>
      <w:r>
        <w:rPr>
          <w:spacing w:val="-83"/>
        </w:rPr>
        <w:t> </w:t>
      </w:r>
      <w:r>
        <w:rPr>
          <w:spacing w:val="-83"/>
        </w:rPr>
      </w:r>
      <w:r>
        <w:rPr>
          <w:spacing w:val="-2"/>
        </w:rPr>
        <w:t>规定，结合企业自身实际，制定公司利润分配方案，以积极回报投资者，引导投资者树立长期投资和理性投资理念，切实保</w:t>
      </w:r>
    </w:p>
    <w:p>
      <w:pPr>
        <w:pStyle w:val="BodyText"/>
        <w:spacing w:line="240" w:lineRule="auto"/>
        <w:ind w:right="0"/>
        <w:jc w:val="both"/>
      </w:pPr>
      <w:r>
        <w:rPr/>
        <w:t>护中小投资者的合法权益。</w:t>
      </w:r>
    </w:p>
    <w:p>
      <w:pPr>
        <w:spacing w:line="240" w:lineRule="auto" w:before="1"/>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60"/>
        <w:ind w:right="1164"/>
        <w:jc w:val="left"/>
      </w:pPr>
      <w:r>
        <w:rPr/>
        <w:t>公司近</w:t>
      </w:r>
      <w:r>
        <w:rPr>
          <w:spacing w:val="-45"/>
        </w:rPr>
        <w:t> </w:t>
      </w:r>
      <w:r>
        <w:rPr>
          <w:rFonts w:ascii="Times New Roman" w:hAnsi="Times New Roman" w:cs="Times New Roman" w:eastAsia="Times New Roman" w:hint="default"/>
        </w:rPr>
        <w:t>3 </w:t>
      </w:r>
      <w:r>
        <w:rPr>
          <w:spacing w:val="-3"/>
        </w:rPr>
        <w:t>年（包括本报告期）的普通股股利分配方案（预案）、资本公积金转增股本方案（预案）情况</w:t>
      </w:r>
      <w:r>
        <w:rPr>
          <w:spacing w:val="-59"/>
        </w:rPr>
        <w:t> </w:t>
      </w:r>
      <w:r>
        <w:rPr>
          <w:spacing w:val="-59"/>
        </w:rPr>
      </w:r>
      <w:r>
        <w:rPr>
          <w:rFonts w:ascii="Times New Roman" w:hAnsi="Times New Roman" w:cs="Times New Roman" w:eastAsia="Times New Roman" w:hint="default"/>
        </w:rPr>
        <w:t>2017</w:t>
      </w:r>
      <w:r>
        <w:rPr/>
        <w:t>年度利润分配方案为：以公司</w:t>
      </w:r>
      <w:r>
        <w:rPr>
          <w:rFonts w:ascii="Times New Roman" w:hAnsi="Times New Roman" w:cs="Times New Roman" w:eastAsia="Times New Roman" w:hint="default"/>
        </w:rPr>
        <w:t>2017</w:t>
      </w:r>
      <w:r>
        <w:rPr/>
        <w:t>年度利润分配股权登记日的总股本为基数向全体股东每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0.3</w:t>
      </w:r>
      <w:r>
        <w:rPr/>
        <w:t>元（含税），</w:t>
      </w:r>
      <w:r>
        <w:rPr>
          <w:spacing w:val="-81"/>
        </w:rPr>
        <w:t> </w:t>
      </w:r>
      <w:r>
        <w:rPr/>
        <w:t>剩余未分配利润结转下一年度，同时以资本公积向全体股东每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p>
    <w:p>
      <w:pPr>
        <w:pStyle w:val="BodyText"/>
        <w:spacing w:line="295" w:lineRule="auto" w:before="0"/>
        <w:ind w:right="0"/>
        <w:jc w:val="left"/>
      </w:pPr>
      <w:r>
        <w:rPr>
          <w:rFonts w:ascii="Times New Roman" w:hAnsi="Times New Roman" w:cs="Times New Roman" w:eastAsia="Times New Roman" w:hint="default"/>
        </w:rPr>
        <w:t>2018</w:t>
      </w:r>
      <w:r>
        <w:rPr/>
        <w:t>年度利润分配方案为：以公司</w:t>
      </w:r>
      <w:r>
        <w:rPr>
          <w:rFonts w:ascii="Times New Roman" w:hAnsi="Times New Roman" w:cs="Times New Roman" w:eastAsia="Times New Roman" w:hint="default"/>
        </w:rPr>
        <w:t>2018</w:t>
      </w:r>
      <w:r>
        <w:rPr/>
        <w:t>年度利润分配股权登记日的总股本为基数向全体股东每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0.3</w:t>
      </w:r>
      <w:r>
        <w:rPr/>
        <w:t>元（含税），</w:t>
      </w:r>
      <w:r>
        <w:rPr>
          <w:spacing w:val="-81"/>
        </w:rPr>
        <w:t> </w:t>
      </w:r>
      <w:r>
        <w:rPr/>
        <w:t>剩余未分配利润结转下一年度，同时以资本公积向全体股东每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spacing w:val="-84"/>
        </w:rPr>
        <w:t> </w:t>
      </w:r>
      <w:r>
        <w:rPr>
          <w:rFonts w:ascii="Times New Roman" w:hAnsi="Times New Roman" w:cs="Times New Roman" w:eastAsia="Times New Roman" w:hint="default"/>
        </w:rPr>
        <w:t>2019</w:t>
      </w:r>
      <w:r>
        <w:rPr/>
        <w:t>年度利润分配预案为：以公司</w:t>
      </w:r>
      <w:r>
        <w:rPr>
          <w:rFonts w:ascii="Times New Roman" w:hAnsi="Times New Roman" w:cs="Times New Roman" w:eastAsia="Times New Roman" w:hint="default"/>
        </w:rPr>
        <w:t>2019</w:t>
      </w:r>
      <w:r>
        <w:rPr/>
        <w:t>年度利润分配股权登记日的总股本为基数向全体股东每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0.15</w:t>
      </w:r>
      <w:r>
        <w:rPr/>
        <w:t>元（含税），</w:t>
      </w:r>
      <w:r>
        <w:rPr>
          <w:spacing w:val="-40"/>
        </w:rPr>
        <w:t> </w:t>
      </w:r>
      <w:r>
        <w:rPr>
          <w:spacing w:val="-40"/>
        </w:rPr>
      </w:r>
      <w:r>
        <w:rPr/>
        <w:t>剩余未分配利润结转下一年度，不以公积金转增股本。</w:t>
      </w:r>
    </w:p>
    <w:p>
      <w:pPr>
        <w:pStyle w:val="BodyText"/>
        <w:spacing w:line="240" w:lineRule="auto" w:before="83"/>
        <w:ind w:right="0"/>
        <w:jc w:val="left"/>
      </w:pPr>
      <w:r>
        <w:rPr/>
        <w:t>公司近三年（包括本报告期）普通股现金分红情况表</w:t>
      </w:r>
    </w:p>
    <w:p>
      <w:pPr>
        <w:pStyle w:val="BodyText"/>
        <w:spacing w:line="240" w:lineRule="auto" w:before="109"/>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9"/>
        <w:gridCol w:w="1194"/>
        <w:gridCol w:w="1209"/>
        <w:gridCol w:w="1171"/>
        <w:gridCol w:w="1224"/>
        <w:gridCol w:w="1179"/>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209" w:type="dxa"/>
            <w:vMerge w:val="restart"/>
            <w:tcBorders>
              <w:top w:val="single" w:sz="6" w:space="0" w:color="000000"/>
              <w:left w:val="single" w:sz="6" w:space="0" w:color="000000"/>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9" w:type="dxa"/>
            <w:vMerge w:val="restart"/>
            <w:tcBorders>
              <w:top w:val="single" w:sz="6" w:space="0" w:color="000000"/>
              <w:left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24"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64"/>
              <w:ind w:left="45"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52"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9" w:type="dxa"/>
            <w:vMerge/>
            <w:tcBorders>
              <w:left w:val="single" w:sz="6" w:space="0" w:color="000000"/>
              <w:right w:val="single" w:sz="6" w:space="0" w:color="000000"/>
            </w:tcBorders>
            <w:shd w:val="clear" w:color="auto" w:fill="D2D2D2"/>
          </w:tcPr>
          <w:p>
            <w:pPr/>
          </w:p>
        </w:tc>
        <w:tc>
          <w:tcPr>
            <w:tcW w:w="1171"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37" w:right="36"/>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60"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4"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1171"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6"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4" w:lineRule="auto" w:before="79"/>
              <w:ind w:left="45" w:right="66"/>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1"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71"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65"/>
              <w:ind w:left="428"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705" w:hRule="exact"/>
        </w:trPr>
        <w:tc>
          <w:tcPr>
            <w:tcW w:w="1202" w:type="dxa"/>
            <w:vMerge/>
            <w:tcBorders>
              <w:left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9"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71"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71"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1171"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
        </w:tc>
        <w:tc>
          <w:tcPr>
            <w:tcW w:w="1171"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171" w:type="dxa"/>
            <w:vMerge/>
            <w:tcBorders>
              <w:left w:val="single" w:sz="6" w:space="0" w:color="000000"/>
              <w:bottom w:val="nil" w:sz="6" w:space="0" w:color="auto"/>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09" w:type="dxa"/>
            <w:vMerge/>
            <w:tcBorders>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9"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24"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85,872,714.95</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759,120,256.35</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11.31%</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6"/>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85,872,714.95</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11.31%</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133,163,717.16</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z w:val="18"/>
              </w:rPr>
              <w:t>1,367,355,675.</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9.74%</w:t>
            </w:r>
            <w:r>
              <w:rPr>
                <w:rFonts w:ascii="Times New Roman"/>
                <w:sz w:val="18"/>
              </w:rPr>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6"/>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133,163,717.16</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9.74%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36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26</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102,361,957.44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947,545,405.46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10.80%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91" w:right="0"/>
              <w:jc w:val="lef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102,361,957.44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10.80%</w:t>
            </w:r>
          </w:p>
        </w:tc>
      </w:tr>
    </w:tbl>
    <w:p>
      <w:pPr>
        <w:pStyle w:val="BodyText"/>
        <w:spacing w:line="240" w:lineRule="auto"/>
        <w:ind w:right="0"/>
        <w:jc w:val="left"/>
      </w:pPr>
      <w:r>
        <w:rPr/>
        <w:t>公司报告期内盈利且母公司可供普通股股东分配利润为正但未提出普通股现金红利分配预案</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792"/>
        <w:gridCol w:w="5790"/>
      </w:tblGrid>
      <w:tr>
        <w:trPr>
          <w:trHeight w:val="406"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0.15</w:t>
            </w:r>
          </w:p>
        </w:tc>
      </w:tr>
      <w:tr>
        <w:trPr>
          <w:trHeight w:val="405"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5,724,847,663</w:t>
            </w:r>
          </w:p>
        </w:tc>
      </w:tr>
      <w:tr>
        <w:trPr>
          <w:trHeight w:val="405"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85,872,714.95</w:t>
            </w:r>
          </w:p>
        </w:tc>
      </w:tr>
      <w:tr>
        <w:trPr>
          <w:trHeight w:val="406"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19"/>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85,872,714.95</w:t>
            </w:r>
          </w:p>
        </w:tc>
      </w:tr>
      <w:tr>
        <w:trPr>
          <w:trHeight w:val="390"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1,523,636,798.39</w:t>
            </w:r>
          </w:p>
        </w:tc>
      </w:tr>
      <w:tr>
        <w:trPr>
          <w:trHeight w:val="721" w:hRule="exact"/>
        </w:trPr>
        <w:tc>
          <w:tcPr>
            <w:tcW w:w="3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比例</w:t>
            </w:r>
          </w:p>
        </w:tc>
        <w:tc>
          <w:tcPr>
            <w:tcW w:w="57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4"/>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91"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8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43"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日，公司第七届董事会第七次及第七届监事会第六次会议审议通过了《公司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，并</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提交</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年度股东大会审议。</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年利润分配预案为：以公司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年度利润分配股权登记日的总股本为基数向全体股东</w:t>
            </w:r>
          </w:p>
          <w:p>
            <w:pPr>
              <w:pStyle w:val="TableParagraph"/>
              <w:spacing w:line="333" w:lineRule="auto" w:before="51"/>
              <w:ind w:left="15"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股派现金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0.15 </w:t>
            </w:r>
            <w:r>
              <w:rPr>
                <w:rFonts w:ascii="宋体" w:hAnsi="宋体" w:cs="宋体" w:eastAsia="宋体" w:hint="default"/>
                <w:spacing w:val="-3"/>
                <w:sz w:val="18"/>
                <w:szCs w:val="18"/>
              </w:rPr>
              <w:t>元（含税），剩余未分配利润结转下一年度，不进行送股或以资本公积转增股本。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因公司拟回购注销部分已不符合激励条件的原激励对象已获授但尚未解锁的限制性股票（含本次董事会审议回购限制性股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票数量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45,056,700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日召开七届董事会第三次会议已审议通过的回购限制性股票数量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269,880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23" w:lineRule="exact"/>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日第七届董事会第五次会议已审议通过的回购限制性股票数量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，公司总股本将由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5,770,427,743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减至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5,724,847,663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股。上表中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年现金分红金额（含税）是按照回购后公司总股本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5,724,847,663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股进行计算，实际分</w:t>
            </w:r>
          </w:p>
          <w:p>
            <w:pPr>
              <w:pStyle w:val="TableParagraph"/>
              <w:spacing w:line="290" w:lineRule="auto" w:before="66"/>
              <w:ind w:left="15" w:right="13"/>
              <w:jc w:val="left"/>
              <w:rPr>
                <w:rFonts w:ascii="宋体" w:hAnsi="宋体" w:cs="宋体" w:eastAsia="宋体" w:hint="default"/>
                <w:sz w:val="18"/>
                <w:szCs w:val="18"/>
              </w:rPr>
            </w:pPr>
            <w:r>
              <w:rPr>
                <w:rFonts w:ascii="宋体" w:hAnsi="宋体" w:cs="宋体" w:eastAsia="宋体" w:hint="default"/>
                <w:sz w:val="18"/>
                <w:szCs w:val="18"/>
              </w:rPr>
              <w:t>红金额以公司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年度利润分配方案实施所确定的股权登记日的公司总股本为基数，每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元（含</w:t>
            </w:r>
            <w:r>
              <w:rPr>
                <w:rFonts w:ascii="宋体" w:hAnsi="宋体" w:cs="宋体" w:eastAsia="宋体" w:hint="default"/>
                <w:sz w:val="18"/>
                <w:szCs w:val="18"/>
              </w:rPr>
              <w:t> 税）进行计算。</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47"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396"/>
        <w:gridCol w:w="1141"/>
        <w:gridCol w:w="1142"/>
        <w:gridCol w:w="2267"/>
        <w:gridCol w:w="992"/>
        <w:gridCol w:w="856"/>
        <w:gridCol w:w="781"/>
      </w:tblGrid>
      <w:tr>
        <w:trPr>
          <w:trHeight w:val="405" w:hRule="exact"/>
        </w:trPr>
        <w:tc>
          <w:tcPr>
            <w:tcW w:w="2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5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5" w:hRule="exact"/>
        </w:trPr>
        <w:tc>
          <w:tcPr>
            <w:tcW w:w="2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41" w:type="dxa"/>
            <w:tcBorders>
              <w:top w:val="single" w:sz="6" w:space="0" w:color="000000"/>
              <w:left w:val="single" w:sz="18" w:space="0" w:color="D2D2D2"/>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w:t>
            </w:r>
          </w:p>
        </w:tc>
        <w:tc>
          <w:tcPr>
            <w:tcW w:w="1141" w:type="dxa"/>
            <w:tcBorders>
              <w:top w:val="single" w:sz="6" w:space="0" w:color="000000"/>
              <w:left w:val="single" w:sz="18" w:space="0" w:color="D2D2D2"/>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404.75pt;margin-top:599.025024pt;width:48.85pt;height:162.9pt;mso-position-horizontal-relative:page;mso-position-vertical-relative:page;z-index:-1159624" coordorigin="8095,11981" coordsize="977,3258">
            <v:shape style="position:absolute;left:8095;top:11981;width:977;height:3258" coordorigin="8095,11981" coordsize="977,3258" path="m8095,15239l9072,15239,9072,11981,8095,11981,8095,15239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418"/>
        <w:gridCol w:w="1126"/>
        <w:gridCol w:w="1142"/>
        <w:gridCol w:w="2267"/>
        <w:gridCol w:w="992"/>
        <w:gridCol w:w="856"/>
        <w:gridCol w:w="781"/>
      </w:tblGrid>
      <w:tr>
        <w:trPr>
          <w:trHeight w:val="360"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中所作承诺</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528" w:hRule="exact"/>
        </w:trPr>
        <w:tc>
          <w:tcPr>
            <w:tcW w:w="241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5"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4"/>
              <w:jc w:val="left"/>
              <w:rPr>
                <w:rFonts w:ascii="宋体" w:hAnsi="宋体" w:cs="宋体" w:eastAsia="宋体" w:hint="default"/>
                <w:sz w:val="18"/>
                <w:szCs w:val="18"/>
              </w:rPr>
            </w:pPr>
            <w:r>
              <w:rPr>
                <w:rFonts w:ascii="宋体" w:hAnsi="宋体" w:cs="宋体" w:eastAsia="宋体" w:hint="default"/>
                <w:sz w:val="18"/>
                <w:szCs w:val="18"/>
              </w:rPr>
              <w:t>浙富控股集 团股份有限 公司、吉隆瑞 科投资有限 公司、上海瑞 度投资有限 公司及庞升 东、张淑霞、 秦海丽、孙毅</w:t>
            </w:r>
          </w:p>
          <w:p>
            <w:pPr>
              <w:pStyle w:val="TableParagraph"/>
              <w:spacing w:line="273" w:lineRule="auto" w:before="37"/>
              <w:ind w:left="15" w:right="105"/>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名自然 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75"/>
              <w:jc w:val="both"/>
              <w:rPr>
                <w:rFonts w:ascii="宋体" w:hAnsi="宋体" w:cs="宋体" w:eastAsia="宋体" w:hint="default"/>
                <w:sz w:val="18"/>
                <w:szCs w:val="18"/>
              </w:rPr>
            </w:pPr>
            <w:r>
              <w:rPr>
                <w:rFonts w:ascii="宋体" w:hAnsi="宋体" w:cs="宋体" w:eastAsia="宋体" w:hint="default"/>
                <w:sz w:val="18"/>
                <w:szCs w:val="18"/>
              </w:rPr>
              <w:t>保证其为上海海隆软件股份 有限公司发行股份购买资产 并募集配套资金暨关联交易 项目所提供信息的真实性、 准确性和完整性，保证不存 在虚假记载、误导性陈述或 者重大遗漏，并对所提供信 息的真实性、准确性和完整 性承担个别和连带的法律责 任。</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37" w:hRule="exact"/>
        </w:trPr>
        <w:tc>
          <w:tcPr>
            <w:tcW w:w="241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30" w:right="194"/>
              <w:jc w:val="both"/>
              <w:rPr>
                <w:rFonts w:ascii="宋体" w:hAnsi="宋体" w:cs="宋体" w:eastAsia="宋体" w:hint="default"/>
                <w:sz w:val="18"/>
                <w:szCs w:val="18"/>
              </w:rPr>
            </w:pPr>
            <w:r>
              <w:rPr>
                <w:rFonts w:ascii="宋体" w:hAnsi="宋体" w:cs="宋体" w:eastAsia="宋体" w:hint="default"/>
                <w:sz w:val="18"/>
                <w:szCs w:val="18"/>
              </w:rPr>
              <w:t>不谋求实际 控制人地位 承诺</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5"/>
              <w:jc w:val="both"/>
              <w:rPr>
                <w:rFonts w:ascii="宋体" w:hAnsi="宋体" w:cs="宋体" w:eastAsia="宋体" w:hint="default"/>
                <w:sz w:val="18"/>
                <w:szCs w:val="18"/>
              </w:rPr>
            </w:pPr>
            <w:r>
              <w:rPr>
                <w:rFonts w:ascii="宋体" w:hAnsi="宋体" w:cs="宋体" w:eastAsia="宋体" w:hint="default"/>
                <w:sz w:val="18"/>
                <w:szCs w:val="18"/>
              </w:rPr>
              <w:t>本次重组完成后，其不会通 过直接和间接持有的海隆软 件股份对应的股东权益谋求 海隆软件实际控制人地位。</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36" w:hRule="exact"/>
        </w:trPr>
        <w:tc>
          <w:tcPr>
            <w:tcW w:w="241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4"/>
              <w:jc w:val="both"/>
              <w:rPr>
                <w:rFonts w:ascii="宋体" w:hAnsi="宋体" w:cs="宋体" w:eastAsia="宋体" w:hint="default"/>
                <w:sz w:val="18"/>
                <w:szCs w:val="18"/>
              </w:rPr>
            </w:pPr>
            <w:r>
              <w:rPr>
                <w:rFonts w:ascii="宋体" w:hAnsi="宋体" w:cs="宋体" w:eastAsia="宋体" w:hint="default"/>
                <w:sz w:val="18"/>
                <w:szCs w:val="18"/>
              </w:rPr>
              <w:t>庞升东、张淑 霞、秦海丽、 孙毅</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30" w:right="194"/>
              <w:jc w:val="both"/>
              <w:rPr>
                <w:rFonts w:ascii="宋体" w:hAnsi="宋体" w:cs="宋体" w:eastAsia="宋体" w:hint="default"/>
                <w:sz w:val="18"/>
                <w:szCs w:val="18"/>
              </w:rPr>
            </w:pPr>
            <w:r>
              <w:rPr>
                <w:rFonts w:ascii="宋体" w:hAnsi="宋体" w:cs="宋体" w:eastAsia="宋体" w:hint="default"/>
                <w:sz w:val="18"/>
                <w:szCs w:val="18"/>
              </w:rPr>
              <w:t>不谋求一致 行动人关系 承诺</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5"/>
              <w:jc w:val="both"/>
              <w:rPr>
                <w:rFonts w:ascii="宋体" w:hAnsi="宋体" w:cs="宋体" w:eastAsia="宋体" w:hint="default"/>
                <w:sz w:val="18"/>
                <w:szCs w:val="18"/>
              </w:rPr>
            </w:pPr>
            <w:r>
              <w:rPr>
                <w:rFonts w:ascii="宋体" w:hAnsi="宋体" w:cs="宋体" w:eastAsia="宋体" w:hint="default"/>
                <w:sz w:val="18"/>
                <w:szCs w:val="18"/>
              </w:rPr>
              <w:t>将来不会基于其所持有的海 隆软件股份与除包叔平外的 其他股东谋求一致行动人关 系。</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237" w:hRule="exact"/>
        </w:trPr>
        <w:tc>
          <w:tcPr>
            <w:tcW w:w="2418"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15" w:right="14"/>
              <w:jc w:val="left"/>
              <w:rPr>
                <w:rFonts w:ascii="宋体" w:hAnsi="宋体" w:cs="宋体" w:eastAsia="宋体" w:hint="default"/>
                <w:sz w:val="18"/>
                <w:szCs w:val="18"/>
              </w:rPr>
            </w:pPr>
            <w:r>
              <w:rPr>
                <w:rFonts w:ascii="宋体" w:hAnsi="宋体" w:cs="宋体" w:eastAsia="宋体" w:hint="default"/>
                <w:sz w:val="18"/>
                <w:szCs w:val="18"/>
              </w:rPr>
              <w:t>包叔平、浙富 控股集团股 份有限公司、 曲水信佳科 技有限公司、 吉隆瑞科投 资有限公司、 庞升东、张淑 霞、秦海丽、 孙毅</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12" w:space="0" w:color="FFFFFF"/>
            </w:tcBorders>
          </w:tcPr>
          <w:p>
            <w:pPr>
              <w:pStyle w:val="TableParagraph"/>
              <w:spacing w:line="297" w:lineRule="auto" w:before="60"/>
              <w:ind w:left="15" w:right="22"/>
              <w:jc w:val="both"/>
              <w:rPr>
                <w:rFonts w:ascii="宋体" w:hAnsi="宋体" w:cs="宋体" w:eastAsia="宋体" w:hint="default"/>
                <w:sz w:val="18"/>
                <w:szCs w:val="18"/>
              </w:rPr>
            </w:pPr>
            <w:r>
              <w:rPr>
                <w:rFonts w:ascii="宋体" w:hAnsi="宋体" w:cs="宋体" w:eastAsia="宋体" w:hint="default"/>
                <w:sz w:val="18"/>
                <w:szCs w:val="18"/>
              </w:rPr>
              <w:t>（一）本公司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 软件的股东期间内，不会在 中国境内或者境外，以任何</w:t>
            </w:r>
          </w:p>
          <w:p>
            <w:pPr>
              <w:pStyle w:val="TableParagraph"/>
              <w:spacing w:line="316" w:lineRule="auto" w:before="36"/>
              <w:ind w:left="15" w:right="67"/>
              <w:jc w:val="both"/>
              <w:rPr>
                <w:rFonts w:ascii="宋体" w:hAnsi="宋体" w:cs="宋体" w:eastAsia="宋体" w:hint="default"/>
                <w:sz w:val="18"/>
                <w:szCs w:val="18"/>
              </w:rPr>
            </w:pPr>
            <w:r>
              <w:rPr>
                <w:rFonts w:ascii="宋体" w:hAnsi="宋体" w:cs="宋体" w:eastAsia="宋体" w:hint="default"/>
                <w:sz w:val="18"/>
                <w:szCs w:val="18"/>
              </w:rPr>
              <w:t>方式（包括但不限于其单独 经营、通过合资经营或拥有 另一公司或企业的股权及其 他权益）直接或间接参与任 何与海隆软件构成竞争的业</w:t>
            </w:r>
          </w:p>
          <w:p>
            <w:pPr>
              <w:pStyle w:val="TableParagraph"/>
              <w:spacing w:line="309" w:lineRule="auto" w:before="37"/>
              <w:ind w:left="15" w:right="67"/>
              <w:jc w:val="both"/>
              <w:rPr>
                <w:rFonts w:ascii="宋体" w:hAnsi="宋体" w:cs="宋体" w:eastAsia="宋体" w:hint="default"/>
                <w:sz w:val="18"/>
                <w:szCs w:val="18"/>
              </w:rPr>
            </w:pPr>
            <w:r>
              <w:rPr>
                <w:rFonts w:ascii="宋体" w:hAnsi="宋体" w:cs="宋体" w:eastAsia="宋体" w:hint="default"/>
                <w:sz w:val="18"/>
                <w:szCs w:val="18"/>
              </w:rPr>
              <w:t>务或活动； （二）本公司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本人作为海隆软件的股东期 间，不会利用在海隆软件主 要股东地位损害海隆软件及 </w:t>
            </w:r>
            <w:r>
              <w:rPr>
                <w:rFonts w:ascii="宋体" w:hAnsi="宋体" w:cs="宋体" w:eastAsia="宋体" w:hint="default"/>
                <w:spacing w:val="-4"/>
                <w:sz w:val="18"/>
                <w:szCs w:val="18"/>
              </w:rPr>
              <w:t>其他股东（特别是中小股东</w:t>
            </w:r>
          </w:p>
          <w:p>
            <w:pPr>
              <w:pStyle w:val="TableParagraph"/>
              <w:spacing w:line="300" w:lineRule="auto" w:before="42"/>
              <w:ind w:left="15" w:right="15"/>
              <w:jc w:val="left"/>
              <w:rPr>
                <w:rFonts w:ascii="宋体" w:hAnsi="宋体" w:cs="宋体" w:eastAsia="宋体" w:hint="default"/>
                <w:sz w:val="18"/>
                <w:szCs w:val="18"/>
              </w:rPr>
            </w:pPr>
            <w:r>
              <w:rPr>
                <w:rFonts w:ascii="宋体" w:hAnsi="宋体" w:cs="宋体" w:eastAsia="宋体" w:hint="default"/>
                <w:spacing w:val="-7"/>
                <w:sz w:val="18"/>
                <w:szCs w:val="18"/>
              </w:rPr>
              <w:t>的合法权益；（三）本公司</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本人保证上述承诺在本公司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本人作为海隆软件的股东期 间持续有效且不可撤销；</w:t>
            </w:r>
          </w:p>
          <w:p>
            <w:pPr>
              <w:pStyle w:val="TableParagraph"/>
              <w:spacing w:line="312" w:lineRule="auto" w:before="50"/>
              <w:ind w:left="15" w:right="21"/>
              <w:jc w:val="both"/>
              <w:rPr>
                <w:rFonts w:ascii="宋体" w:hAnsi="宋体" w:cs="宋体" w:eastAsia="宋体" w:hint="default"/>
                <w:sz w:val="18"/>
                <w:szCs w:val="18"/>
              </w:rPr>
            </w:pPr>
            <w:r>
              <w:rPr>
                <w:rFonts w:ascii="宋体" w:hAnsi="宋体" w:cs="宋体" w:eastAsia="宋体" w:hint="default"/>
                <w:sz w:val="18"/>
                <w:szCs w:val="18"/>
              </w:rPr>
              <w:t>（四）本公司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本人将忠实履 行上述承诺，并承担相应的 法律责任，本公司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w:t>
            </w:r>
          </w:p>
          <w:p>
            <w:pPr>
              <w:pStyle w:val="TableParagraph"/>
              <w:spacing w:line="314" w:lineRule="auto"/>
              <w:ind w:left="15" w:right="67"/>
              <w:jc w:val="both"/>
              <w:rPr>
                <w:rFonts w:ascii="宋体" w:hAnsi="宋体" w:cs="宋体" w:eastAsia="宋体" w:hint="default"/>
                <w:sz w:val="18"/>
                <w:szCs w:val="18"/>
              </w:rPr>
            </w:pPr>
            <w:r>
              <w:rPr>
                <w:rFonts w:ascii="宋体" w:hAnsi="宋体" w:cs="宋体" w:eastAsia="宋体" w:hint="default"/>
                <w:sz w:val="18"/>
                <w:szCs w:val="18"/>
              </w:rPr>
              <w:t>海隆软件股东期间，若违反 上述承诺的，将立即停止与 海隆软件构成竞争之业务，</w:t>
            </w:r>
          </w:p>
        </w:tc>
        <w:tc>
          <w:tcPr>
            <w:tcW w:w="992"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00" w:lineRule="exact" w:before="6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p>
            <w:pPr>
              <w:pStyle w:val="TableParagraph"/>
              <w:spacing w:line="186"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418"/>
        <w:gridCol w:w="1126"/>
        <w:gridCol w:w="1142"/>
        <w:gridCol w:w="2267"/>
        <w:gridCol w:w="992"/>
        <w:gridCol w:w="856"/>
        <w:gridCol w:w="781"/>
      </w:tblGrid>
      <w:tr>
        <w:trPr>
          <w:trHeight w:val="1921" w:hRule="exact"/>
        </w:trPr>
        <w:tc>
          <w:tcPr>
            <w:tcW w:w="2418" w:type="dxa"/>
            <w:vMerge w:val="restart"/>
            <w:tcBorders>
              <w:top w:val="single" w:sz="6" w:space="0" w:color="000000"/>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ind w:left="15" w:right="28"/>
              <w:jc w:val="both"/>
              <w:rPr>
                <w:rFonts w:ascii="宋体" w:hAnsi="宋体" w:cs="宋体" w:eastAsia="宋体" w:hint="default"/>
                <w:sz w:val="18"/>
                <w:szCs w:val="18"/>
              </w:rPr>
            </w:pPr>
            <w:r>
              <w:rPr>
                <w:rFonts w:ascii="宋体" w:hAnsi="宋体" w:cs="宋体" w:eastAsia="宋体" w:hint="default"/>
                <w:sz w:val="18"/>
                <w:szCs w:val="18"/>
              </w:rPr>
              <w:t>并采取必要措施予以纠正补 救，同时对因本公司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 履行本承诺函所作的承诺而 给海隆软件及其他股东（特 别是中小股东）造成的一切</w:t>
            </w:r>
          </w:p>
          <w:p>
            <w:pPr>
              <w:pStyle w:val="TableParagraph"/>
              <w:spacing w:line="240" w:lineRule="auto" w:before="26"/>
              <w:ind w:left="15" w:right="0"/>
              <w:jc w:val="both"/>
              <w:rPr>
                <w:rFonts w:ascii="宋体" w:hAnsi="宋体" w:cs="宋体" w:eastAsia="宋体" w:hint="default"/>
                <w:sz w:val="18"/>
                <w:szCs w:val="18"/>
              </w:rPr>
            </w:pPr>
            <w:r>
              <w:rPr>
                <w:rFonts w:ascii="宋体" w:hAnsi="宋体" w:cs="宋体" w:eastAsia="宋体" w:hint="default"/>
                <w:sz w:val="18"/>
                <w:szCs w:val="18"/>
              </w:rPr>
              <w:t>损失和后果承担赔偿责任。</w:t>
            </w:r>
          </w:p>
        </w:tc>
        <w:tc>
          <w:tcPr>
            <w:tcW w:w="99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6336" w:hRule="exact"/>
        </w:trPr>
        <w:tc>
          <w:tcPr>
            <w:tcW w:w="2418"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5" w:right="14"/>
              <w:jc w:val="left"/>
              <w:rPr>
                <w:rFonts w:ascii="宋体" w:hAnsi="宋体" w:cs="宋体" w:eastAsia="宋体" w:hint="default"/>
                <w:sz w:val="18"/>
                <w:szCs w:val="18"/>
              </w:rPr>
            </w:pPr>
            <w:r>
              <w:rPr>
                <w:rFonts w:ascii="宋体" w:hAnsi="宋体" w:cs="宋体" w:eastAsia="宋体" w:hint="default"/>
                <w:sz w:val="18"/>
                <w:szCs w:val="18"/>
              </w:rPr>
              <w:t>浙富控股集 团股份有限 公司、曲水信 佳科技有限 公司、吉隆瑞 科投资有限 公司、包叔 平、庞升东、 张淑霞、秦海 丽、孙毅</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29"/>
              <w:jc w:val="both"/>
              <w:rPr>
                <w:rFonts w:ascii="宋体" w:hAnsi="宋体" w:cs="宋体" w:eastAsia="宋体" w:hint="default"/>
                <w:sz w:val="18"/>
                <w:szCs w:val="18"/>
              </w:rPr>
            </w:pPr>
            <w:r>
              <w:rPr>
                <w:rFonts w:ascii="宋体" w:hAnsi="宋体" w:cs="宋体" w:eastAsia="宋体" w:hint="default"/>
                <w:sz w:val="18"/>
                <w:szCs w:val="18"/>
              </w:rPr>
              <w:t>（一）本公司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本人及控制的 其他企业与海隆软件将来无 法避免或有合理原因而发生</w:t>
            </w:r>
          </w:p>
          <w:p>
            <w:pPr>
              <w:pStyle w:val="TableParagraph"/>
              <w:spacing w:line="312" w:lineRule="auto" w:before="52"/>
              <w:ind w:left="15" w:right="29"/>
              <w:jc w:val="both"/>
              <w:rPr>
                <w:rFonts w:ascii="宋体" w:hAnsi="宋体" w:cs="宋体" w:eastAsia="宋体" w:hint="default"/>
                <w:sz w:val="18"/>
                <w:szCs w:val="18"/>
              </w:rPr>
            </w:pPr>
            <w:r>
              <w:rPr>
                <w:rFonts w:ascii="宋体" w:hAnsi="宋体" w:cs="宋体" w:eastAsia="宋体" w:hint="default"/>
                <w:sz w:val="18"/>
                <w:szCs w:val="18"/>
              </w:rPr>
              <w:t>的关联交易事项，本公司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人及控制的其他企业将遵循 市场交易的公开、公平、公 正的原则，按照公允、合理 的市场价格进行交易，并依 据有关法律、法规及规范性 文件的相关规定履行关联交 易决策程序，并依法进行信</w:t>
            </w:r>
          </w:p>
          <w:p>
            <w:pPr>
              <w:pStyle w:val="TableParagraph"/>
              <w:spacing w:line="309" w:lineRule="auto" w:before="40"/>
              <w:ind w:left="15" w:right="28"/>
              <w:jc w:val="both"/>
              <w:rPr>
                <w:rFonts w:ascii="宋体" w:hAnsi="宋体" w:cs="宋体" w:eastAsia="宋体" w:hint="default"/>
                <w:sz w:val="18"/>
                <w:szCs w:val="18"/>
              </w:rPr>
            </w:pPr>
            <w:r>
              <w:rPr>
                <w:rFonts w:ascii="宋体" w:hAnsi="宋体" w:cs="宋体" w:eastAsia="宋体" w:hint="default"/>
                <w:spacing w:val="-14"/>
                <w:sz w:val="18"/>
                <w:szCs w:val="18"/>
              </w:rPr>
              <w:t>息披露；（二）本公司</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本人及</w:t>
            </w:r>
            <w:r>
              <w:rPr>
                <w:rFonts w:ascii="宋体" w:hAnsi="宋体" w:cs="宋体" w:eastAsia="宋体" w:hint="default"/>
                <w:spacing w:val="-77"/>
                <w:sz w:val="18"/>
                <w:szCs w:val="18"/>
              </w:rPr>
              <w:t> </w:t>
            </w:r>
            <w:r>
              <w:rPr>
                <w:rFonts w:ascii="宋体" w:hAnsi="宋体" w:cs="宋体" w:eastAsia="宋体" w:hint="default"/>
                <w:sz w:val="18"/>
                <w:szCs w:val="18"/>
              </w:rPr>
              <w:t>控制的其他企业将不通过与 海隆软件的关联交易取得任 何不正当的利益或使海隆软 件承担任何不正当的义务；</w:t>
            </w:r>
          </w:p>
          <w:p>
            <w:pPr>
              <w:pStyle w:val="TableParagraph"/>
              <w:spacing w:line="321" w:lineRule="auto" w:before="27"/>
              <w:ind w:left="15" w:right="28"/>
              <w:jc w:val="both"/>
              <w:rPr>
                <w:rFonts w:ascii="宋体" w:hAnsi="宋体" w:cs="宋体" w:eastAsia="宋体" w:hint="default"/>
                <w:sz w:val="18"/>
                <w:szCs w:val="18"/>
              </w:rPr>
            </w:pPr>
            <w:r>
              <w:rPr>
                <w:rFonts w:ascii="宋体" w:hAnsi="宋体" w:cs="宋体" w:eastAsia="宋体" w:hint="default"/>
                <w:sz w:val="18"/>
                <w:szCs w:val="18"/>
              </w:rPr>
              <w:t>（三）如违反上述承诺与海 隆软件进行交易而给海隆软</w:t>
            </w:r>
          </w:p>
          <w:p>
            <w:pPr>
              <w:pStyle w:val="TableParagraph"/>
              <w:spacing w:line="290" w:lineRule="auto" w:before="33"/>
              <w:ind w:left="15" w:right="28"/>
              <w:jc w:val="both"/>
              <w:rPr>
                <w:rFonts w:ascii="宋体" w:hAnsi="宋体" w:cs="宋体" w:eastAsia="宋体" w:hint="default"/>
                <w:sz w:val="18"/>
                <w:szCs w:val="18"/>
              </w:rPr>
            </w:pPr>
            <w:r>
              <w:rPr>
                <w:rFonts w:ascii="宋体" w:hAnsi="宋体" w:cs="宋体" w:eastAsia="宋体" w:hint="default"/>
                <w:sz w:val="18"/>
                <w:szCs w:val="18"/>
              </w:rPr>
              <w:t>件造成损失，由本公司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承担赔偿责任。</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897"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15" w:right="46"/>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14"/>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 </w:t>
            </w:r>
            <w:r>
              <w:rPr>
                <w:rFonts w:ascii="宋体" w:hAnsi="宋体" w:cs="宋体" w:eastAsia="宋体" w:hint="default"/>
                <w:sz w:val="18"/>
                <w:szCs w:val="18"/>
              </w:rPr>
              <w:t>位自然人股 东、上海慧盛</w:t>
            </w:r>
          </w:p>
          <w:p>
            <w:pPr>
              <w:pStyle w:val="TableParagraph"/>
              <w:spacing w:line="319" w:lineRule="auto" w:before="36"/>
              <w:ind w:left="15" w:right="13"/>
              <w:jc w:val="left"/>
              <w:rPr>
                <w:rFonts w:ascii="宋体" w:hAnsi="宋体" w:cs="宋体" w:eastAsia="宋体" w:hint="default"/>
                <w:sz w:val="18"/>
                <w:szCs w:val="18"/>
              </w:rPr>
            </w:pPr>
            <w:r>
              <w:rPr>
                <w:rFonts w:ascii="宋体" w:hAnsi="宋体" w:cs="宋体" w:eastAsia="宋体" w:hint="default"/>
                <w:sz w:val="18"/>
                <w:szCs w:val="18"/>
              </w:rPr>
              <w:t>创业投资有 限公司、上海 古德投资咨 询有限公司、 欧姆龙（中 国）有限公司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2" w:lineRule="auto"/>
              <w:ind w:left="15" w:right="-14"/>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 </w:t>
            </w:r>
            <w:r>
              <w:rPr>
                <w:rFonts w:ascii="宋体" w:hAnsi="宋体" w:cs="宋体" w:eastAsia="宋体" w:hint="default"/>
                <w:sz w:val="18"/>
                <w:szCs w:val="18"/>
              </w:rPr>
              <w:t>位自然人股东、 上海古德投资咨询有限公司 关于不从事同业竞争生产经 营活动的承诺；上海慧盛创 </w:t>
            </w:r>
            <w:r>
              <w:rPr>
                <w:rFonts w:ascii="宋体" w:hAnsi="宋体" w:cs="宋体" w:eastAsia="宋体" w:hint="default"/>
                <w:spacing w:val="-10"/>
                <w:sz w:val="18"/>
                <w:szCs w:val="18"/>
              </w:rPr>
              <w:t>业投资有限公司、欧姆龙（中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国）有限公司关于不从事有</w:t>
            </w:r>
          </w:p>
          <w:p>
            <w:pPr>
              <w:pStyle w:val="TableParagraph"/>
              <w:spacing w:line="307" w:lineRule="auto" w:before="25"/>
              <w:ind w:left="15" w:right="75"/>
              <w:jc w:val="left"/>
              <w:rPr>
                <w:rFonts w:ascii="宋体" w:hAnsi="宋体" w:cs="宋体" w:eastAsia="宋体" w:hint="default"/>
                <w:sz w:val="18"/>
                <w:szCs w:val="18"/>
              </w:rPr>
            </w:pPr>
            <w:r>
              <w:rPr>
                <w:rFonts w:ascii="宋体" w:hAnsi="宋体" w:cs="宋体" w:eastAsia="宋体" w:hint="default"/>
                <w:sz w:val="18"/>
                <w:szCs w:val="18"/>
              </w:rPr>
              <w:t>损于海隆软件利益的生产经 营活动的承诺。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52"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97" w:lineRule="auto"/>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 性股票激励 计划（首期）</w:t>
            </w:r>
          </w:p>
          <w:p>
            <w:pPr>
              <w:pStyle w:val="TableParagraph"/>
              <w:spacing w:line="290" w:lineRule="auto" w:before="51"/>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56 </w:t>
            </w:r>
            <w:r>
              <w:rPr>
                <w:rFonts w:ascii="宋体" w:hAnsi="宋体" w:cs="宋体" w:eastAsia="宋体" w:hint="default"/>
                <w:sz w:val="18"/>
                <w:szCs w:val="18"/>
              </w:rPr>
              <w:t>名激励对 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因激励对象有关披露文件中 有虚假记载、误导性陈述或 者重大遗漏，导致不符合授 予权益或行使权益安排的， 激励对象应当自相关信息披 露文件被确认存在虚假记 载、误导性陈述或者重大遗 漏后，将由股权激励计划所</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418"/>
        <w:gridCol w:w="1126"/>
        <w:gridCol w:w="1142"/>
        <w:gridCol w:w="2267"/>
        <w:gridCol w:w="992"/>
        <w:gridCol w:w="856"/>
        <w:gridCol w:w="781"/>
      </w:tblGrid>
      <w:tr>
        <w:trPr>
          <w:trHeight w:val="360" w:hRule="exact"/>
        </w:trPr>
        <w:tc>
          <w:tcPr>
            <w:tcW w:w="2418" w:type="dxa"/>
            <w:vMerge w:val="restart"/>
            <w:tcBorders>
              <w:top w:val="single" w:sz="6" w:space="0" w:color="000000"/>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获得的全部利益返还公司。</w:t>
            </w:r>
          </w:p>
        </w:tc>
        <w:tc>
          <w:tcPr>
            <w:tcW w:w="99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213" w:hRule="exact"/>
        </w:trPr>
        <w:tc>
          <w:tcPr>
            <w:tcW w:w="241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97" w:lineRule="auto"/>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 性股票激励 计划（首期）</w:t>
            </w:r>
          </w:p>
          <w:p>
            <w:pPr>
              <w:pStyle w:val="TableParagraph"/>
              <w:spacing w:line="288" w:lineRule="auto" w:before="51"/>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56 </w:t>
            </w:r>
            <w:r>
              <w:rPr>
                <w:rFonts w:ascii="宋体" w:hAnsi="宋体" w:cs="宋体" w:eastAsia="宋体" w:hint="default"/>
                <w:sz w:val="18"/>
                <w:szCs w:val="18"/>
              </w:rPr>
              <w:t>名激励对 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6"/>
              <w:jc w:val="both"/>
              <w:rPr>
                <w:rFonts w:ascii="宋体" w:hAnsi="宋体" w:cs="宋体" w:eastAsia="宋体" w:hint="default"/>
                <w:sz w:val="18"/>
                <w:szCs w:val="18"/>
              </w:rPr>
            </w:pPr>
            <w:r>
              <w:rPr>
                <w:rFonts w:ascii="宋体" w:hAnsi="宋体" w:cs="宋体" w:eastAsia="宋体" w:hint="default"/>
                <w:sz w:val="18"/>
                <w:szCs w:val="18"/>
              </w:rPr>
              <w:t>若公司因股权激励计划相关 信息披露文件有虚假记载、 误导性陈述或者重大遗漏， 导致不符合限制性股票授予 条件或解除限售安排的，未 解除限售的限制性股票由公 司统一回购注销处理，激励 对象获授限制性股票已解除 限售的，应当返还已获授权 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898" w:hRule="exact"/>
        </w:trPr>
        <w:tc>
          <w:tcPr>
            <w:tcW w:w="241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4" w:lineRule="auto"/>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 性股票激励 计划（预留部 </w:t>
            </w:r>
            <w:r>
              <w:rPr>
                <w:rFonts w:ascii="宋体" w:hAnsi="宋体" w:cs="宋体" w:eastAsia="宋体" w:hint="default"/>
                <w:spacing w:val="-12"/>
                <w:sz w:val="18"/>
                <w:szCs w:val="18"/>
              </w:rPr>
              <w:t>分）</w:t>
            </w:r>
            <w:r>
              <w:rPr>
                <w:rFonts w:ascii="Times New Roman" w:hAnsi="Times New Roman" w:cs="Times New Roman" w:eastAsia="Times New Roman" w:hint="default"/>
                <w:spacing w:val="-12"/>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名激励 对象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因激励对象有关披露文件中 有虚假记载、误导性陈述或 者重大遗漏，导致不符合授 予权益或行使权益安排的， 激励对象应当自相关信息披 露文件被确认存在虚假记 载、误导性陈述或者重大遗 漏后，将由股权激励计划所 获得的全部利益返还公司。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13" w:hRule="exact"/>
        </w:trPr>
        <w:tc>
          <w:tcPr>
            <w:tcW w:w="241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97" w:lineRule="auto"/>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 性股票激励 计划（预留部</w:t>
            </w:r>
          </w:p>
          <w:p>
            <w:pPr>
              <w:pStyle w:val="TableParagraph"/>
              <w:spacing w:line="290" w:lineRule="auto" w:before="51"/>
              <w:ind w:left="15" w:right="15"/>
              <w:jc w:val="left"/>
              <w:rPr>
                <w:rFonts w:ascii="宋体" w:hAnsi="宋体" w:cs="宋体" w:eastAsia="宋体" w:hint="default"/>
                <w:sz w:val="18"/>
                <w:szCs w:val="18"/>
              </w:rPr>
            </w:pPr>
            <w:r>
              <w:rPr>
                <w:rFonts w:ascii="宋体" w:hAnsi="宋体" w:cs="宋体" w:eastAsia="宋体" w:hint="default"/>
                <w:spacing w:val="-12"/>
                <w:sz w:val="18"/>
                <w:szCs w:val="18"/>
              </w:rPr>
              <w:t>分）</w:t>
            </w:r>
            <w:r>
              <w:rPr>
                <w:rFonts w:ascii="Times New Roman" w:hAnsi="Times New Roman" w:cs="Times New Roman" w:eastAsia="Times New Roman" w:hint="default"/>
                <w:spacing w:val="-12"/>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名激励 对象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5"/>
              <w:jc w:val="both"/>
              <w:rPr>
                <w:rFonts w:ascii="宋体" w:hAnsi="宋体" w:cs="宋体" w:eastAsia="宋体" w:hint="default"/>
                <w:sz w:val="18"/>
                <w:szCs w:val="18"/>
              </w:rPr>
            </w:pPr>
            <w:r>
              <w:rPr>
                <w:rFonts w:ascii="宋体" w:hAnsi="宋体" w:cs="宋体" w:eastAsia="宋体" w:hint="default"/>
                <w:sz w:val="18"/>
                <w:szCs w:val="18"/>
              </w:rPr>
              <w:t>若公司因股权激励计划相关 信息披露文件有虚假记载、 误导性陈述或者重大遗漏， 导致不符合限制性股票授予 条件或解除限售安排的，未 解除限售的限制性股票由公 司统一回购注销处理，激励 对象获授限制性股票已解除 限售的，应当返还已获授权 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912" w:hRule="exact"/>
        </w:trPr>
        <w:tc>
          <w:tcPr>
            <w:tcW w:w="241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97" w:lineRule="auto"/>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 性股票激励 计划（首期）</w:t>
            </w:r>
          </w:p>
          <w:p>
            <w:pPr>
              <w:pStyle w:val="TableParagraph"/>
              <w:spacing w:line="273" w:lineRule="auto" w:before="52"/>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名激励对 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因激励对象有关披露文件中 有虚假记载、误导性陈述或 者重大遗漏，导致不符合授 予权益或行使权益安排的， 激励对象应当自相关信息披 露文件被确认存在虚假记 载、误导性陈述或者重大遗 漏后，将由股权激励计划所 获得的全部利益返还公司。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291" w:hRule="exact"/>
        </w:trPr>
        <w:tc>
          <w:tcPr>
            <w:tcW w:w="2418"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 性股票激励 计划（首期）</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名激励对</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75"/>
              <w:jc w:val="both"/>
              <w:rPr>
                <w:rFonts w:ascii="宋体" w:hAnsi="宋体" w:cs="宋体" w:eastAsia="宋体" w:hint="default"/>
                <w:sz w:val="18"/>
                <w:szCs w:val="18"/>
              </w:rPr>
            </w:pPr>
            <w:r>
              <w:rPr>
                <w:rFonts w:ascii="宋体" w:hAnsi="宋体" w:cs="宋体" w:eastAsia="宋体" w:hint="default"/>
                <w:sz w:val="18"/>
                <w:szCs w:val="18"/>
              </w:rPr>
              <w:t>若公司因股权激励计划相关 信息披露文件有虚假记载、 误导性陈述或者重大遗漏， 导致不符合限制性股票授予</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418"/>
        <w:gridCol w:w="1126"/>
        <w:gridCol w:w="1142"/>
        <w:gridCol w:w="2267"/>
        <w:gridCol w:w="992"/>
        <w:gridCol w:w="856"/>
        <w:gridCol w:w="781"/>
      </w:tblGrid>
      <w:tr>
        <w:trPr>
          <w:trHeight w:val="1921" w:hRule="exact"/>
        </w:trPr>
        <w:tc>
          <w:tcPr>
            <w:tcW w:w="2418" w:type="dxa"/>
            <w:vMerge w:val="restart"/>
            <w:tcBorders>
              <w:top w:val="single" w:sz="6" w:space="0" w:color="000000"/>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象</w:t>
            </w:r>
          </w:p>
        </w:tc>
        <w:tc>
          <w:tcPr>
            <w:tcW w:w="1142"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15" w:right="76"/>
              <w:jc w:val="both"/>
              <w:rPr>
                <w:rFonts w:ascii="宋体" w:hAnsi="宋体" w:cs="宋体" w:eastAsia="宋体" w:hint="default"/>
                <w:sz w:val="18"/>
                <w:szCs w:val="18"/>
              </w:rPr>
            </w:pPr>
            <w:r>
              <w:rPr>
                <w:rFonts w:ascii="宋体" w:hAnsi="宋体" w:cs="宋体" w:eastAsia="宋体" w:hint="default"/>
                <w:sz w:val="18"/>
                <w:szCs w:val="18"/>
              </w:rPr>
              <w:t>条件或解除限售安排的，未 解除限售的限制性股票由公 司统一回购注销处理，激励 对象获授限制性股票已解除 限售的，应当返还已获授权 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2898" w:hRule="exact"/>
        </w:trPr>
        <w:tc>
          <w:tcPr>
            <w:tcW w:w="241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4" w:lineRule="auto"/>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 性股票激励 计划（预留） </w:t>
            </w:r>
            <w:r>
              <w:rPr>
                <w:rFonts w:ascii="Times New Roman" w:hAnsi="Times New Roman" w:cs="Times New Roman" w:eastAsia="Times New Roman" w:hint="default"/>
                <w:sz w:val="18"/>
                <w:szCs w:val="18"/>
              </w:rPr>
              <w:t>46 </w:t>
            </w:r>
            <w:r>
              <w:rPr>
                <w:rFonts w:ascii="宋体" w:hAnsi="宋体" w:cs="宋体" w:eastAsia="宋体" w:hint="default"/>
                <w:sz w:val="18"/>
                <w:szCs w:val="18"/>
              </w:rPr>
              <w:t>名激励对 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因激励对象有关披露文件中 有虚假记载、误导性陈述或 者重大遗漏，导致不符合授 予权益或行使权益安排的， 激励对象应当自相关信息披 露文件被确认存在虚假记 载、误导性陈述或者重大遗 漏后，将由股权激励计划所 获得的全部利益返还公司。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13" w:hRule="exact"/>
        </w:trPr>
        <w:tc>
          <w:tcPr>
            <w:tcW w:w="2418"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97" w:lineRule="auto"/>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 性股票激励 计划（预留）</w:t>
            </w:r>
          </w:p>
          <w:p>
            <w:pPr>
              <w:pStyle w:val="TableParagraph"/>
              <w:spacing w:line="288" w:lineRule="auto" w:before="51"/>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46 </w:t>
            </w:r>
            <w:r>
              <w:rPr>
                <w:rFonts w:ascii="宋体" w:hAnsi="宋体" w:cs="宋体" w:eastAsia="宋体" w:hint="default"/>
                <w:sz w:val="18"/>
                <w:szCs w:val="18"/>
              </w:rPr>
              <w:t>名激励对 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5"/>
              <w:jc w:val="both"/>
              <w:rPr>
                <w:rFonts w:ascii="宋体" w:hAnsi="宋体" w:cs="宋体" w:eastAsia="宋体" w:hint="default"/>
                <w:sz w:val="18"/>
                <w:szCs w:val="18"/>
              </w:rPr>
            </w:pPr>
            <w:r>
              <w:rPr>
                <w:rFonts w:ascii="宋体" w:hAnsi="宋体" w:cs="宋体" w:eastAsia="宋体" w:hint="default"/>
                <w:sz w:val="18"/>
                <w:szCs w:val="18"/>
              </w:rPr>
              <w:t>若公司因股权激励计划相关 信息披露文件有虚假记载、 误导性陈述或者重大遗漏， 导致不符合限制性股票授予 条件或解除限售安排的，未 解除限售的限制性股票由公 司统一回购注销处理，激励 对象获授限制性股票已解除 限售的，应当返还已获授权 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97"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15" w:right="194"/>
              <w:jc w:val="both"/>
              <w:rPr>
                <w:rFonts w:ascii="宋体" w:hAnsi="宋体" w:cs="宋体" w:eastAsia="宋体" w:hint="default"/>
                <w:sz w:val="18"/>
                <w:szCs w:val="18"/>
              </w:rPr>
            </w:pPr>
            <w:r>
              <w:rPr>
                <w:rFonts w:ascii="宋体" w:hAnsi="宋体" w:cs="宋体" w:eastAsia="宋体" w:hint="default"/>
                <w:sz w:val="18"/>
                <w:szCs w:val="18"/>
              </w:rPr>
              <w:t>孙毅先生及 其一致行动 人浙富控股 集团股份有 限公司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孙毅先生计划在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312" w:lineRule="auto" w:before="51"/>
              <w:ind w:left="15" w:right="3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8"/>
                <w:sz w:val="18"/>
                <w:szCs w:val="18"/>
              </w:rPr>
              <w:t>个月内，减持</w:t>
            </w:r>
            <w:r>
              <w:rPr>
                <w:rFonts w:ascii="宋体" w:hAnsi="宋体" w:cs="宋体" w:eastAsia="宋体" w:hint="default"/>
                <w:sz w:val="18"/>
                <w:szCs w:val="18"/>
              </w:rPr>
              <w:t> 本公司股份不超过 </w:t>
            </w:r>
            <w:r>
              <w:rPr>
                <w:rFonts w:ascii="Times New Roman" w:hAnsi="Times New Roman" w:cs="Times New Roman" w:eastAsia="Times New Roman" w:hint="default"/>
                <w:sz w:val="18"/>
                <w:szCs w:val="18"/>
              </w:rPr>
              <w:t>13,832,636</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股，孙毅先生的一</w:t>
            </w:r>
          </w:p>
          <w:p>
            <w:pPr>
              <w:pStyle w:val="TableParagraph"/>
              <w:spacing w:line="227" w:lineRule="exact"/>
              <w:ind w:left="15" w:right="0"/>
              <w:jc w:val="left"/>
              <w:rPr>
                <w:rFonts w:ascii="宋体" w:hAnsi="宋体" w:cs="宋体" w:eastAsia="宋体" w:hint="default"/>
                <w:sz w:val="18"/>
                <w:szCs w:val="18"/>
              </w:rPr>
            </w:pPr>
            <w:r>
              <w:rPr>
                <w:rFonts w:ascii="宋体" w:hAnsi="宋体" w:cs="宋体" w:eastAsia="宋体" w:hint="default"/>
                <w:sz w:val="18"/>
                <w:szCs w:val="18"/>
              </w:rPr>
              <w:t>致行动人浙富控股承诺在</w:t>
            </w:r>
          </w:p>
          <w:p>
            <w:pPr>
              <w:pStyle w:val="TableParagraph"/>
              <w:spacing w:line="297" w:lineRule="auto" w:before="95"/>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月内不减持其所持有的公司 股份。</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5"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16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15" w:right="46"/>
              <w:jc w:val="both"/>
              <w:rPr>
                <w:rFonts w:ascii="宋体" w:hAnsi="宋体" w:cs="宋体" w:eastAsia="宋体" w:hint="default"/>
                <w:sz w:val="18"/>
                <w:szCs w:val="18"/>
              </w:rPr>
            </w:pPr>
            <w:r>
              <w:rPr>
                <w:rFonts w:ascii="宋体" w:hAnsi="宋体" w:cs="宋体" w:eastAsia="宋体" w:hint="default"/>
                <w:sz w:val="18"/>
                <w:szCs w:val="18"/>
              </w:rPr>
              <w:t>如承诺超期未履行完毕的，应 当详细说明未完成履行的具体 原因及下一步的工作计划</w:t>
            </w:r>
          </w:p>
        </w:tc>
        <w:tc>
          <w:tcPr>
            <w:tcW w:w="716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2"/>
          <w:szCs w:val="22"/>
        </w:rPr>
      </w:pPr>
    </w:p>
    <w:p>
      <w:pPr>
        <w:pStyle w:val="Heading3"/>
        <w:spacing w:line="286" w:lineRule="exact" w:before="51"/>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319" w:lineRule="auto" w:before="0"/>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Heading4"/>
        <w:spacing w:line="240" w:lineRule="auto" w:before="96"/>
        <w:ind w:left="141" w:right="0"/>
        <w:jc w:val="both"/>
        <w:rPr>
          <w:b w:val="0"/>
          <w:bCs w:val="0"/>
        </w:rPr>
      </w:pPr>
      <w:r>
        <w:rPr>
          <w:rFonts w:ascii="Times New Roman" w:hAnsi="Times New Roman" w:cs="Times New Roman" w:eastAsia="Times New Roman" w:hint="default"/>
        </w:rPr>
        <w:t>1</w:t>
      </w:r>
      <w:r>
        <w:rPr/>
        <w:t>、重要会计政策变更</w:t>
      </w:r>
      <w:r>
        <w:rPr>
          <w:b w:val="0"/>
          <w:bCs w:val="0"/>
        </w:rPr>
      </w:r>
    </w:p>
    <w:p>
      <w:pPr>
        <w:pStyle w:val="BodyText"/>
        <w:spacing w:line="321" w:lineRule="auto" w:before="51"/>
        <w:ind w:right="1119" w:firstLine="360"/>
        <w:jc w:val="left"/>
      </w:pPr>
      <w:r>
        <w:rPr/>
        <w:t>（</w:t>
      </w:r>
      <w:r>
        <w:rPr>
          <w:rFonts w:ascii="宋体" w:hAnsi="宋体" w:cs="宋体" w:eastAsia="宋体" w:hint="default"/>
        </w:rPr>
        <w:t>1</w:t>
      </w:r>
      <w:r>
        <w:rPr/>
        <w:t>）执行《财政部关于修订印发</w:t>
      </w:r>
      <w:r>
        <w:rPr>
          <w:rFonts w:ascii="宋体" w:hAnsi="宋体" w:cs="宋体" w:eastAsia="宋体" w:hint="default"/>
        </w:rPr>
        <w:t>2019</w:t>
      </w:r>
      <w:r>
        <w:rPr/>
        <w:t>年度一般企业财务报表格式的通知》和《关于修订印发合并财务报表格式（</w:t>
      </w:r>
      <w:r>
        <w:rPr>
          <w:rFonts w:ascii="宋体" w:hAnsi="宋体" w:cs="宋体" w:eastAsia="宋体" w:hint="default"/>
        </w:rPr>
        <w:t>2019 </w:t>
      </w:r>
      <w:r>
        <w:rPr/>
        <w:t>版）的通知》</w:t>
      </w:r>
    </w:p>
    <w:p>
      <w:pPr>
        <w:pStyle w:val="BodyText"/>
        <w:spacing w:line="240" w:lineRule="auto" w:before="18"/>
        <w:ind w:left="501" w:right="0"/>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2"/>
        </w:rPr>
        <w:t> </w:t>
      </w:r>
      <w:r>
        <w:rPr/>
        <w:t>发布了《关于修订印发</w:t>
      </w:r>
      <w:r>
        <w:rPr>
          <w:rFonts w:ascii="宋体" w:hAnsi="宋体" w:cs="宋体" w:eastAsia="宋体" w:hint="default"/>
        </w:rPr>
        <w:t>2019</w:t>
      </w:r>
      <w:r>
        <w:rPr/>
        <w:t>年度一般企业财务报表格式的通知》（财会</w:t>
      </w:r>
    </w:p>
    <w:p>
      <w:pPr>
        <w:pStyle w:val="BodyText"/>
        <w:spacing w:line="321" w:lineRule="auto" w:before="65"/>
        <w:ind w:right="1119"/>
        <w:jc w:val="left"/>
      </w:pPr>
      <w:r>
        <w:rPr/>
        <w:t>（</w:t>
      </w:r>
      <w:r>
        <w:rPr>
          <w:rFonts w:ascii="宋体" w:hAnsi="宋体" w:cs="宋体" w:eastAsia="宋体" w:hint="default"/>
        </w:rPr>
        <w:t>2019</w:t>
      </w:r>
      <w:r>
        <w:rPr/>
        <w:t>）</w:t>
      </w:r>
      <w:r>
        <w:rPr>
          <w:rFonts w:ascii="宋体" w:hAnsi="宋体" w:cs="宋体" w:eastAsia="宋体" w:hint="default"/>
        </w:rPr>
        <w:t>6</w:t>
      </w:r>
      <w:r>
        <w:rPr/>
        <w:t>号）和《关于修订印发合并财务报表格式（</w:t>
      </w:r>
      <w:r>
        <w:rPr>
          <w:rFonts w:ascii="宋体" w:hAnsi="宋体" w:cs="宋体" w:eastAsia="宋体" w:hint="default"/>
        </w:rPr>
        <w:t>2019</w:t>
      </w:r>
      <w:r>
        <w:rPr/>
        <w:t>版）的通知》（财会（</w:t>
      </w:r>
      <w:r>
        <w:rPr>
          <w:rFonts w:ascii="宋体" w:hAnsi="宋体" w:cs="宋体" w:eastAsia="宋体" w:hint="default"/>
        </w:rPr>
        <w:t>2019</w:t>
      </w:r>
      <w:r>
        <w:rPr/>
        <w:t>）</w:t>
      </w:r>
      <w:r>
        <w:rPr>
          <w:rFonts w:ascii="宋体" w:hAnsi="宋体" w:cs="宋体" w:eastAsia="宋体" w:hint="default"/>
        </w:rPr>
        <w:t>16</w:t>
      </w:r>
      <w:r>
        <w:rPr/>
        <w:t>号），对一般企业财务报表格式</w:t>
      </w:r>
      <w:r>
        <w:rPr>
          <w:spacing w:val="-85"/>
        </w:rPr>
        <w:t> </w:t>
      </w:r>
      <w:r>
        <w:rPr/>
        <w:t>进行了修订。</w:t>
      </w:r>
    </w:p>
    <w:p>
      <w:pPr>
        <w:pStyle w:val="BodyText"/>
        <w:spacing w:line="321" w:lineRule="auto" w:before="19"/>
        <w:ind w:right="1119" w:firstLine="360"/>
        <w:jc w:val="left"/>
      </w:pPr>
      <w:r>
        <w:rPr/>
        <w:t>（</w:t>
      </w:r>
      <w:r>
        <w:rPr>
          <w:rFonts w:ascii="宋体" w:hAnsi="宋体" w:cs="宋体" w:eastAsia="宋体" w:hint="default"/>
        </w:rPr>
        <w:t>2</w:t>
      </w:r>
      <w:r>
        <w:rPr/>
        <w:t>）执行《企业会计准则第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号——金融资产转移》、《企业会 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p>
    <w:p>
      <w:pPr>
        <w:pStyle w:val="BodyText"/>
        <w:spacing w:line="240" w:lineRule="auto" w:before="18"/>
        <w:ind w:left="501" w:right="0"/>
        <w:jc w:val="left"/>
      </w:pPr>
      <w:r>
        <w:rPr/>
        <w:t>财政部</w:t>
      </w:r>
      <w:r>
        <w:rPr>
          <w:spacing w:val="1"/>
        </w:rPr>
        <w:t>于</w:t>
      </w:r>
      <w:r>
        <w:rPr>
          <w:rFonts w:ascii="宋体" w:hAnsi="宋体" w:cs="宋体" w:eastAsia="宋体" w:hint="default"/>
        </w:rPr>
        <w:t>2017</w:t>
      </w:r>
      <w:r>
        <w:rPr/>
        <w:t>年度修订</w:t>
      </w:r>
      <w:r>
        <w:rPr>
          <w:spacing w:val="-90"/>
        </w:rPr>
        <w:t>了</w:t>
      </w:r>
      <w:r>
        <w:rPr/>
        <w:t>《企业会计准则</w:t>
      </w:r>
      <w:r>
        <w:rPr>
          <w:spacing w:val="3"/>
        </w:rPr>
        <w:t>第</w:t>
      </w:r>
      <w:r>
        <w:rPr>
          <w:rFonts w:ascii="宋体" w:hAnsi="宋体" w:cs="宋体" w:eastAsia="宋体" w:hint="default"/>
        </w:rPr>
        <w:t>22</w:t>
      </w:r>
      <w:r>
        <w:rPr/>
        <w:t>号——金融工具确认和计量</w:t>
      </w:r>
      <w:r>
        <w:rPr>
          <w:spacing w:val="-90"/>
        </w:rPr>
        <w:t>》</w:t>
      </w:r>
      <w:r>
        <w:rPr>
          <w:spacing w:val="-180"/>
        </w:rPr>
        <w:t>、</w:t>
      </w:r>
      <w:r>
        <w:rPr/>
        <w:t>《企业会计准则</w:t>
      </w:r>
      <w:r>
        <w:rPr>
          <w:spacing w:val="4"/>
        </w:rPr>
        <w:t>第</w:t>
      </w:r>
      <w:r>
        <w:rPr>
          <w:rFonts w:ascii="宋体" w:hAnsi="宋体" w:cs="宋体" w:eastAsia="宋体" w:hint="default"/>
        </w:rPr>
        <w:t>23</w:t>
      </w:r>
      <w:r>
        <w:rPr/>
        <w:t>号——金融资产转移</w:t>
      </w:r>
      <w:r>
        <w:rPr>
          <w:spacing w:val="-90"/>
        </w:rPr>
        <w:t>》</w:t>
      </w:r>
      <w:r>
        <w:rPr/>
        <w:t>、</w:t>
      </w:r>
    </w:p>
    <w:p>
      <w:pPr>
        <w:pStyle w:val="BodyText"/>
        <w:spacing w:line="321" w:lineRule="auto" w:before="64"/>
        <w:ind w:right="1113"/>
        <w:jc w:val="both"/>
      </w:pPr>
      <w:r>
        <w:rPr>
          <w:spacing w:val="-2"/>
        </w:rPr>
        <w:t>《企业会计准则第</w:t>
      </w:r>
      <w:r>
        <w:rPr>
          <w:rFonts w:ascii="宋体" w:hAnsi="宋体" w:cs="宋体" w:eastAsia="宋体" w:hint="default"/>
          <w:spacing w:val="-2"/>
        </w:rPr>
        <w:t>24</w:t>
      </w:r>
      <w:r>
        <w:rPr>
          <w:spacing w:val="-2"/>
        </w:rPr>
        <w:t>号——套期会计》和《企业会计准则第</w:t>
      </w:r>
      <w:r>
        <w:rPr>
          <w:rFonts w:ascii="宋体" w:hAnsi="宋体" w:cs="宋体" w:eastAsia="宋体" w:hint="default"/>
          <w:spacing w:val="-2"/>
        </w:rPr>
        <w:t>37</w:t>
      </w:r>
      <w:r>
        <w:rPr>
          <w:spacing w:val="-2"/>
        </w:rPr>
        <w:t>号——金融工具列报》。修订后的准则规定，对于首次执行日</w:t>
      </w:r>
      <w:r>
        <w:rPr>
          <w:spacing w:val="-49"/>
        </w:rPr>
        <w:t> </w:t>
      </w:r>
      <w:r>
        <w:rPr>
          <w:spacing w:val="-49"/>
        </w:rPr>
      </w:r>
      <w:r>
        <w:rPr>
          <w:spacing w:val="-2"/>
        </w:rPr>
        <w:t>尚未终止确认的金融工具，之前的确认和计量与修订后的准则要求不一致的，应当追溯调整。涉及前期比较财务报表数据与</w:t>
      </w:r>
      <w:r>
        <w:rPr>
          <w:spacing w:val="-75"/>
        </w:rPr>
        <w:t> </w:t>
      </w:r>
      <w:r>
        <w:rPr>
          <w:spacing w:val="-75"/>
        </w:rPr>
      </w:r>
      <w:r>
        <w:rPr/>
        <w:t>修订后的准则要求不一致的，无需调整。本公司将因追溯调整产生的累积影响数调整当年年初留存收益和其他综合收益。</w:t>
      </w:r>
    </w:p>
    <w:tbl>
      <w:tblPr>
        <w:tblW w:w="0" w:type="auto"/>
        <w:jc w:val="left"/>
        <w:tblInd w:w="126" w:type="dxa"/>
        <w:tblLayout w:type="fixed"/>
        <w:tblCellMar>
          <w:top w:w="0" w:type="dxa"/>
          <w:left w:w="0" w:type="dxa"/>
          <w:bottom w:w="0" w:type="dxa"/>
          <w:right w:w="0" w:type="dxa"/>
        </w:tblCellMar>
        <w:tblLook w:val="01E0"/>
      </w:tblPr>
      <w:tblGrid>
        <w:gridCol w:w="3695"/>
        <w:gridCol w:w="992"/>
        <w:gridCol w:w="4896"/>
      </w:tblGrid>
      <w:tr>
        <w:trPr>
          <w:trHeight w:val="421" w:hRule="exact"/>
        </w:trPr>
        <w:tc>
          <w:tcPr>
            <w:tcW w:w="3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8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42"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74"/>
              <w:ind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w:t>
            </w:r>
            <w:r>
              <w:rPr>
                <w:rFonts w:ascii="宋体" w:hAnsi="宋体" w:cs="宋体" w:eastAsia="宋体" w:hint="default"/>
                <w:spacing w:val="-87"/>
                <w:sz w:val="18"/>
                <w:szCs w:val="18"/>
              </w:rPr>
              <w:t> </w:t>
            </w:r>
            <w:r>
              <w:rPr>
                <w:rFonts w:ascii="宋体" w:hAnsi="宋体" w:cs="宋体" w:eastAsia="宋体" w:hint="default"/>
                <w:sz w:val="18"/>
                <w:szCs w:val="18"/>
              </w:rPr>
              <w:t>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w:t>
            </w:r>
            <w:r>
              <w:rPr>
                <w:rFonts w:ascii="宋体" w:hAnsi="宋体" w:cs="宋体" w:eastAsia="宋体" w:hint="default"/>
                <w:spacing w:val="-85"/>
                <w:sz w:val="18"/>
                <w:szCs w:val="18"/>
              </w:rPr>
              <w:t>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w:t>
            </w:r>
            <w:r>
              <w:rPr>
                <w:rFonts w:ascii="宋体" w:hAnsi="宋体" w:cs="宋体" w:eastAsia="宋体" w:hint="default"/>
                <w:spacing w:val="-84"/>
                <w:sz w:val="18"/>
                <w:szCs w:val="18"/>
              </w:rPr>
              <w:t> </w:t>
            </w:r>
            <w:r>
              <w:rPr>
                <w:rFonts w:ascii="宋体" w:hAnsi="宋体" w:cs="宋体" w:eastAsia="宋体" w:hint="default"/>
                <w:sz w:val="18"/>
                <w:szCs w:val="18"/>
              </w:rPr>
              <w:t>示；比较数据相应调整。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4"/>
              <w:ind w:right="-15"/>
              <w:jc w:val="left"/>
              <w:rPr>
                <w:rFonts w:ascii="宋体" w:hAnsi="宋体" w:cs="宋体" w:eastAsia="宋体" w:hint="default"/>
                <w:sz w:val="18"/>
                <w:szCs w:val="18"/>
              </w:rPr>
            </w:pPr>
            <w:r>
              <w:rPr>
                <w:rFonts w:ascii="宋体" w:hAnsi="宋体" w:cs="宋体" w:eastAsia="宋体" w:hint="default"/>
                <w:sz w:val="18"/>
                <w:szCs w:val="18"/>
              </w:rPr>
              <w:t>合并报表：</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 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 额</w:t>
            </w:r>
            <w:r>
              <w:rPr>
                <w:rFonts w:ascii="Times New Roman" w:hAnsi="Times New Roman" w:cs="Times New Roman" w:eastAsia="Times New Roman" w:hint="default"/>
                <w:sz w:val="18"/>
                <w:szCs w:val="18"/>
              </w:rPr>
              <w:t>620,552,755.95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317,862,623.47</w:t>
            </w:r>
            <w:r>
              <w:rPr>
                <w:rFonts w:ascii="宋体" w:hAnsi="宋体" w:cs="宋体" w:eastAsia="宋体" w:hint="default"/>
                <w:sz w:val="18"/>
                <w:szCs w:val="18"/>
              </w:rPr>
              <w:t>元。母公司报表：</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w:t>
            </w:r>
            <w:r>
              <w:rPr>
                <w:rFonts w:ascii="宋体" w:hAnsi="宋体" w:cs="宋体" w:eastAsia="宋体" w:hint="default"/>
                <w:spacing w:val="-77"/>
                <w:sz w:val="18"/>
                <w:szCs w:val="18"/>
              </w:rPr>
              <w:t> </w:t>
            </w:r>
            <w:r>
              <w:rPr>
                <w:rFonts w:ascii="宋体" w:hAnsi="宋体" w:cs="宋体" w:eastAsia="宋体" w:hint="default"/>
                <w:sz w:val="18"/>
                <w:szCs w:val="18"/>
              </w:rPr>
              <w:t>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 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4,960,018.01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r>
              <w:rPr>
                <w:rFonts w:ascii="宋体" w:hAnsi="宋体" w:cs="宋体" w:eastAsia="宋体" w:hint="default"/>
                <w:spacing w:val="-82"/>
                <w:sz w:val="18"/>
                <w:szCs w:val="18"/>
              </w:rPr>
              <w:t> </w:t>
            </w:r>
            <w:r>
              <w:rPr>
                <w:rFonts w:ascii="宋体" w:hAnsi="宋体" w:cs="宋体" w:eastAsia="宋体" w:hint="default"/>
                <w:sz w:val="18"/>
                <w:szCs w:val="18"/>
              </w:rPr>
              <w:t>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10,685,014.71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r>
      <w:tr>
        <w:trPr>
          <w:trHeight w:val="1051"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）在利润表中投资收益项下新增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其中：以</w:t>
            </w:r>
            <w:r>
              <w:rPr>
                <w:rFonts w:ascii="宋体" w:hAnsi="宋体" w:cs="宋体" w:eastAsia="宋体" w:hint="default"/>
                <w:spacing w:val="-87"/>
                <w:sz w:val="18"/>
                <w:szCs w:val="18"/>
              </w:rPr>
              <w:t> </w:t>
            </w:r>
            <w:r>
              <w:rPr>
                <w:rFonts w:ascii="宋体" w:hAnsi="宋体" w:cs="宋体" w:eastAsia="宋体" w:hint="default"/>
                <w:sz w:val="18"/>
                <w:szCs w:val="18"/>
              </w:rPr>
              <w:t>摊余成本计量的金融资产终止确认收益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宋体" w:hAnsi="宋体" w:cs="宋体" w:eastAsia="宋体" w:hint="default"/>
                <w:spacing w:val="-87"/>
                <w:sz w:val="18"/>
                <w:szCs w:val="18"/>
              </w:rPr>
              <w:t> </w:t>
            </w:r>
            <w:r>
              <w:rPr>
                <w:rFonts w:ascii="宋体" w:hAnsi="宋体" w:cs="宋体" w:eastAsia="宋体" w:hint="default"/>
                <w:sz w:val="18"/>
                <w:szCs w:val="18"/>
              </w:rPr>
              <w:t>比较数据不调整。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637"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）可供出售权益工具投资重分类为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w:t>
            </w:r>
            <w:r>
              <w:rPr>
                <w:rFonts w:ascii="宋体" w:hAnsi="宋体" w:cs="宋体" w:eastAsia="宋体" w:hint="default"/>
                <w:spacing w:val="-87"/>
                <w:sz w:val="18"/>
                <w:szCs w:val="18"/>
              </w:rPr>
              <w:t> </w:t>
            </w:r>
            <w:r>
              <w:rPr>
                <w:rFonts w:ascii="宋体" w:hAnsi="宋体" w:cs="宋体" w:eastAsia="宋体" w:hint="default"/>
                <w:sz w:val="18"/>
                <w:szCs w:val="18"/>
              </w:rPr>
              <w:t>价值计量且其变动计入当期损益的金融资产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5"/>
              <w:ind w:right="13"/>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合并报表：可供出售金融资产：减少</w:t>
            </w:r>
            <w:r>
              <w:rPr>
                <w:rFonts w:ascii="Times New Roman" w:hAnsi="Times New Roman" w:cs="Times New Roman" w:eastAsia="Times New Roman" w:hint="default"/>
                <w:spacing w:val="-2"/>
                <w:sz w:val="18"/>
                <w:szCs w:val="18"/>
              </w:rPr>
              <w:t>100,153,850.00</w:t>
            </w:r>
            <w:r>
              <w:rPr>
                <w:rFonts w:ascii="宋体" w:hAnsi="宋体" w:cs="宋体" w:eastAsia="宋体" w:hint="default"/>
                <w:spacing w:val="-2"/>
                <w:sz w:val="18"/>
                <w:szCs w:val="18"/>
              </w:rPr>
              <w:t>元；其他非</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流动金融资产：增加</w:t>
            </w:r>
            <w:r>
              <w:rPr>
                <w:rFonts w:ascii="Times New Roman" w:hAnsi="Times New Roman" w:cs="Times New Roman" w:eastAsia="Times New Roman" w:hint="default"/>
                <w:spacing w:val="-2"/>
                <w:sz w:val="18"/>
                <w:szCs w:val="18"/>
              </w:rPr>
              <w:t>109,041,334.15</w:t>
            </w:r>
            <w:r>
              <w:rPr>
                <w:rFonts w:ascii="宋体" w:hAnsi="宋体" w:cs="宋体" w:eastAsia="宋体" w:hint="default"/>
                <w:spacing w:val="-2"/>
                <w:sz w:val="18"/>
                <w:szCs w:val="18"/>
              </w:rPr>
              <w:t>元；递延所得税资产：减少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1,241,998.12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元；留存收益：增加</w:t>
            </w:r>
            <w:r>
              <w:rPr>
                <w:rFonts w:ascii="Times New Roman" w:hAnsi="Times New Roman" w:cs="Times New Roman" w:eastAsia="Times New Roman" w:hint="default"/>
                <w:sz w:val="18"/>
                <w:szCs w:val="18"/>
              </w:rPr>
              <w:t>7,645,486.03</w:t>
            </w:r>
            <w:r>
              <w:rPr>
                <w:rFonts w:ascii="宋体" w:hAnsi="宋体" w:cs="宋体" w:eastAsia="宋体" w:hint="default"/>
                <w:sz w:val="18"/>
                <w:szCs w:val="18"/>
              </w:rPr>
              <w:t>元。母公司报表 可供出售金融资产：减少</w:t>
            </w:r>
            <w:r>
              <w:rPr>
                <w:rFonts w:ascii="Times New Roman" w:hAnsi="Times New Roman" w:cs="Times New Roman" w:eastAsia="Times New Roman" w:hint="default"/>
                <w:sz w:val="18"/>
                <w:szCs w:val="18"/>
              </w:rPr>
              <w:t>87,500,000.00</w:t>
            </w:r>
            <w:r>
              <w:rPr>
                <w:rFonts w:ascii="宋体" w:hAnsi="宋体" w:cs="宋体" w:eastAsia="宋体" w:hint="default"/>
                <w:sz w:val="18"/>
                <w:szCs w:val="18"/>
              </w:rPr>
              <w:t>元；其他非流动金融资</w:t>
            </w:r>
            <w:r>
              <w:rPr>
                <w:rFonts w:ascii="宋体" w:hAnsi="宋体" w:cs="宋体" w:eastAsia="宋体" w:hint="default"/>
                <w:spacing w:val="-87"/>
                <w:sz w:val="18"/>
                <w:szCs w:val="18"/>
              </w:rPr>
              <w:t> </w:t>
            </w:r>
            <w:r>
              <w:rPr>
                <w:rFonts w:ascii="宋体" w:hAnsi="宋体" w:cs="宋体" w:eastAsia="宋体" w:hint="default"/>
                <w:sz w:val="18"/>
                <w:szCs w:val="18"/>
              </w:rPr>
              <w:t>产：增加</w:t>
            </w:r>
            <w:r>
              <w:rPr>
                <w:rFonts w:ascii="Times New Roman" w:hAnsi="Times New Roman" w:cs="Times New Roman" w:eastAsia="Times New Roman" w:hint="default"/>
                <w:sz w:val="18"/>
                <w:szCs w:val="18"/>
              </w:rPr>
              <w:t>92,467,992.47</w:t>
            </w:r>
            <w:r>
              <w:rPr>
                <w:rFonts w:ascii="宋体" w:hAnsi="宋体" w:cs="宋体" w:eastAsia="宋体" w:hint="default"/>
                <w:sz w:val="18"/>
                <w:szCs w:val="18"/>
              </w:rPr>
              <w:t>元；递延所得税资产：减少</w:t>
            </w:r>
            <w:r>
              <w:rPr>
                <w:rFonts w:ascii="Times New Roman" w:hAnsi="Times New Roman" w:cs="Times New Roman" w:eastAsia="Times New Roman" w:hint="default"/>
                <w:sz w:val="18"/>
                <w:szCs w:val="18"/>
              </w:rPr>
              <w:t>1,241,998.12</w:t>
            </w:r>
          </w:p>
        </w:tc>
      </w:tr>
    </w:tbl>
    <w:p>
      <w:pPr>
        <w:spacing w:after="0" w:line="300"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0" w:right="1127"/>
        <w:jc w:val="right"/>
      </w:pPr>
      <w:r>
        <w:rPr/>
        <w:pict>
          <v:shape style="position:absolute;margin-left:56.325001pt;margin-top:-136.658295pt;width:480.25pt;height:287.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992"/>
                    <w:gridCol w:w="4896"/>
                  </w:tblGrid>
                  <w:tr>
                    <w:trPr>
                      <w:trHeight w:val="390" w:hRule="exact"/>
                    </w:trPr>
                    <w:tc>
                      <w:tcPr>
                        <w:tcW w:w="369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元；留存收益：增加</w:t>
                        </w:r>
                        <w:r>
                          <w:rPr>
                            <w:rFonts w:ascii="Times New Roman" w:hAnsi="Times New Roman" w:cs="Times New Roman" w:eastAsia="Times New Roman" w:hint="default"/>
                            <w:sz w:val="18"/>
                            <w:szCs w:val="18"/>
                          </w:rPr>
                          <w:t>3,725,994.35</w:t>
                        </w:r>
                        <w:r>
                          <w:rPr>
                            <w:rFonts w:ascii="宋体" w:hAnsi="宋体" w:cs="宋体" w:eastAsia="宋体" w:hint="default"/>
                            <w:sz w:val="18"/>
                            <w:szCs w:val="18"/>
                          </w:rPr>
                          <w:t>元</w:t>
                        </w:r>
                      </w:p>
                    </w:tc>
                  </w:tr>
                  <w:tr>
                    <w:trPr>
                      <w:trHeight w:val="2297"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）短期投资从其他流动资产重分类为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w:t>
                        </w:r>
                        <w:r>
                          <w:rPr>
                            <w:rFonts w:ascii="宋体" w:hAnsi="宋体" w:cs="宋体" w:eastAsia="宋体" w:hint="default"/>
                            <w:spacing w:val="-87"/>
                            <w:sz w:val="18"/>
                            <w:szCs w:val="18"/>
                          </w:rPr>
                          <w:t> </w:t>
                        </w:r>
                        <w:r>
                          <w:rPr>
                            <w:rFonts w:ascii="宋体" w:hAnsi="宋体" w:cs="宋体" w:eastAsia="宋体" w:hint="default"/>
                            <w:sz w:val="18"/>
                            <w:szCs w:val="18"/>
                          </w:rPr>
                          <w:t>允价值计量且其变动计入当期损益的金融资产</w:t>
                        </w:r>
                      </w:p>
                      <w:p>
                        <w:pPr>
                          <w:pStyle w:val="TableParagraph"/>
                          <w:spacing w:line="240" w:lineRule="auto" w:before="101"/>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right="13"/>
                          <w:jc w:val="left"/>
                          <w:rPr>
                            <w:rFonts w:ascii="宋体" w:hAnsi="宋体" w:cs="宋体" w:eastAsia="宋体" w:hint="default"/>
                            <w:sz w:val="18"/>
                            <w:szCs w:val="18"/>
                          </w:rPr>
                        </w:pPr>
                        <w:r>
                          <w:rPr>
                            <w:rFonts w:ascii="宋体" w:hAnsi="宋体" w:cs="宋体" w:eastAsia="宋体" w:hint="default"/>
                            <w:sz w:val="18"/>
                            <w:szCs w:val="18"/>
                          </w:rPr>
                          <w:t>合并报表：交易性金融资产：增加</w:t>
                        </w:r>
                        <w:r>
                          <w:rPr>
                            <w:rFonts w:ascii="Times New Roman" w:hAnsi="Times New Roman" w:cs="Times New Roman" w:eastAsia="Times New Roman" w:hint="default"/>
                            <w:sz w:val="18"/>
                            <w:szCs w:val="18"/>
                          </w:rPr>
                          <w:t>1,566,036,218.89</w:t>
                        </w:r>
                        <w:r>
                          <w:rPr>
                            <w:rFonts w:ascii="宋体" w:hAnsi="宋体" w:cs="宋体" w:eastAsia="宋体" w:hint="default"/>
                            <w:sz w:val="18"/>
                            <w:szCs w:val="18"/>
                          </w:rPr>
                          <w:t>元；其他流</w:t>
                        </w:r>
                        <w:r>
                          <w:rPr>
                            <w:rFonts w:ascii="宋体" w:hAnsi="宋体" w:cs="宋体" w:eastAsia="宋体" w:hint="default"/>
                            <w:spacing w:val="-87"/>
                            <w:sz w:val="18"/>
                            <w:szCs w:val="18"/>
                          </w:rPr>
                          <w:t> </w:t>
                        </w:r>
                        <w:r>
                          <w:rPr>
                            <w:rFonts w:ascii="宋体" w:hAnsi="宋体" w:cs="宋体" w:eastAsia="宋体" w:hint="default"/>
                            <w:sz w:val="18"/>
                            <w:szCs w:val="18"/>
                          </w:rPr>
                          <w:t>动资产：减少</w:t>
                        </w:r>
                        <w:r>
                          <w:rPr>
                            <w:rFonts w:ascii="Times New Roman" w:hAnsi="Times New Roman" w:cs="Times New Roman" w:eastAsia="Times New Roman" w:hint="default"/>
                            <w:sz w:val="18"/>
                            <w:szCs w:val="18"/>
                          </w:rPr>
                          <w:t>1,553,267,194.44</w:t>
                        </w:r>
                        <w:r>
                          <w:rPr>
                            <w:rFonts w:ascii="宋体" w:hAnsi="宋体" w:cs="宋体" w:eastAsia="宋体" w:hint="default"/>
                            <w:sz w:val="18"/>
                            <w:szCs w:val="18"/>
                          </w:rPr>
                          <w:t>元；递延所得税资产：减少 </w:t>
                        </w:r>
                        <w:r>
                          <w:rPr>
                            <w:rFonts w:ascii="Times New Roman" w:hAnsi="Times New Roman" w:cs="Times New Roman" w:eastAsia="Times New Roman" w:hint="default"/>
                            <w:sz w:val="18"/>
                            <w:szCs w:val="18"/>
                          </w:rPr>
                          <w:t>1,720,448.18</w:t>
                        </w:r>
                        <w:r>
                          <w:rPr>
                            <w:rFonts w:ascii="宋体" w:hAnsi="宋体" w:cs="宋体" w:eastAsia="宋体" w:hint="default"/>
                            <w:sz w:val="18"/>
                            <w:szCs w:val="18"/>
                          </w:rPr>
                          <w:t>元；递延所得税负债：增加</w:t>
                        </w:r>
                        <w:r>
                          <w:rPr>
                            <w:rFonts w:ascii="Times New Roman" w:hAnsi="Times New Roman" w:cs="Times New Roman" w:eastAsia="Times New Roman" w:hint="default"/>
                            <w:sz w:val="18"/>
                            <w:szCs w:val="18"/>
                          </w:rPr>
                          <w:t>482,038.64</w:t>
                        </w:r>
                        <w:r>
                          <w:rPr>
                            <w:rFonts w:ascii="宋体" w:hAnsi="宋体" w:cs="宋体" w:eastAsia="宋体" w:hint="default"/>
                            <w:sz w:val="18"/>
                            <w:szCs w:val="18"/>
                          </w:rPr>
                          <w:t>元；留存收</w:t>
                        </w:r>
                        <w:r>
                          <w:rPr>
                            <w:rFonts w:ascii="宋体" w:hAnsi="宋体" w:cs="宋体" w:eastAsia="宋体" w:hint="default"/>
                            <w:spacing w:val="-87"/>
                            <w:sz w:val="18"/>
                            <w:szCs w:val="18"/>
                          </w:rPr>
                          <w:t> </w:t>
                        </w:r>
                        <w:r>
                          <w:rPr>
                            <w:rFonts w:ascii="宋体" w:hAnsi="宋体" w:cs="宋体" w:eastAsia="宋体" w:hint="default"/>
                            <w:sz w:val="18"/>
                            <w:szCs w:val="18"/>
                          </w:rPr>
                          <w:t>益：增加</w:t>
                        </w:r>
                        <w:r>
                          <w:rPr>
                            <w:rFonts w:ascii="Times New Roman" w:hAnsi="Times New Roman" w:cs="Times New Roman" w:eastAsia="Times New Roman" w:hint="default"/>
                            <w:sz w:val="18"/>
                            <w:szCs w:val="18"/>
                          </w:rPr>
                          <w:t>10,566,537.63</w:t>
                        </w:r>
                        <w:r>
                          <w:rPr>
                            <w:rFonts w:ascii="宋体" w:hAnsi="宋体" w:cs="宋体" w:eastAsia="宋体" w:hint="default"/>
                            <w:sz w:val="18"/>
                            <w:szCs w:val="18"/>
                          </w:rPr>
                          <w:t>元。母公司报表：交易性金融资产：增 </w:t>
                        </w:r>
                        <w:r>
                          <w:rPr>
                            <w:rFonts w:ascii="宋体" w:hAnsi="宋体" w:cs="宋体" w:eastAsia="宋体" w:hint="default"/>
                            <w:spacing w:val="-3"/>
                            <w:sz w:val="18"/>
                            <w:szCs w:val="18"/>
                          </w:rPr>
                          <w:t>加</w:t>
                        </w:r>
                        <w:r>
                          <w:rPr>
                            <w:rFonts w:ascii="Times New Roman" w:hAnsi="Times New Roman" w:cs="Times New Roman" w:eastAsia="Times New Roman" w:hint="default"/>
                            <w:spacing w:val="-3"/>
                            <w:sz w:val="18"/>
                            <w:szCs w:val="18"/>
                          </w:rPr>
                          <w:t>257,831,414.14</w:t>
                        </w:r>
                        <w:r>
                          <w:rPr>
                            <w:rFonts w:ascii="宋体" w:hAnsi="宋体" w:cs="宋体" w:eastAsia="宋体" w:hint="default"/>
                            <w:spacing w:val="-3"/>
                            <w:sz w:val="18"/>
                            <w:szCs w:val="18"/>
                          </w:rPr>
                          <w:t>元；其他流动资产：减少</w:t>
                        </w:r>
                        <w:r>
                          <w:rPr>
                            <w:rFonts w:ascii="Times New Roman" w:hAnsi="Times New Roman" w:cs="Times New Roman" w:eastAsia="Times New Roman" w:hint="default"/>
                            <w:spacing w:val="-3"/>
                            <w:sz w:val="18"/>
                            <w:szCs w:val="18"/>
                          </w:rPr>
                          <w:t>255,300,000.00</w:t>
                        </w:r>
                        <w:r>
                          <w:rPr>
                            <w:rFonts w:ascii="宋体" w:hAnsi="宋体" w:cs="宋体" w:eastAsia="宋体" w:hint="default"/>
                            <w:spacing w:val="-3"/>
                            <w:sz w:val="18"/>
                            <w:szCs w:val="18"/>
                          </w:rPr>
                          <w:t>元；递</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延所得税资产：减少</w:t>
                        </w:r>
                        <w:r>
                          <w:rPr>
                            <w:rFonts w:ascii="Times New Roman" w:hAnsi="Times New Roman" w:cs="Times New Roman" w:eastAsia="Times New Roman" w:hint="default"/>
                            <w:spacing w:val="-4"/>
                            <w:sz w:val="18"/>
                            <w:szCs w:val="18"/>
                          </w:rPr>
                          <w:t>632,853.53</w:t>
                        </w:r>
                        <w:r>
                          <w:rPr>
                            <w:rFonts w:ascii="宋体" w:hAnsi="宋体" w:cs="宋体" w:eastAsia="宋体" w:hint="default"/>
                            <w:spacing w:val="-4"/>
                            <w:sz w:val="18"/>
                            <w:szCs w:val="18"/>
                          </w:rPr>
                          <w:t>元；留存收益：增加</w:t>
                        </w:r>
                        <w:r>
                          <w:rPr>
                            <w:rFonts w:ascii="Times New Roman" w:hAnsi="Times New Roman" w:cs="Times New Roman" w:eastAsia="Times New Roman" w:hint="default"/>
                            <w:spacing w:val="-4"/>
                            <w:sz w:val="18"/>
                            <w:szCs w:val="18"/>
                          </w:rPr>
                          <w:t>1,898,560.61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w:t>
                        </w:r>
                      </w:p>
                    </w:tc>
                  </w:tr>
                  <w:tr>
                    <w:trPr>
                      <w:trHeight w:val="1051"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）其他非流动资产重分类为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w:t>
                        </w:r>
                        <w:r>
                          <w:rPr>
                            <w:rFonts w:ascii="宋体" w:hAnsi="宋体" w:cs="宋体" w:eastAsia="宋体" w:hint="default"/>
                            <w:spacing w:val="-88"/>
                            <w:sz w:val="18"/>
                            <w:szCs w:val="18"/>
                          </w:rPr>
                          <w:t> </w:t>
                        </w:r>
                        <w:r>
                          <w:rPr>
                            <w:rFonts w:ascii="宋体" w:hAnsi="宋体" w:cs="宋体" w:eastAsia="宋体" w:hint="default"/>
                            <w:sz w:val="18"/>
                            <w:szCs w:val="18"/>
                          </w:rPr>
                          <w:t>量的金融资产</w:t>
                        </w: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75"/>
                          <w:ind w:right="104"/>
                          <w:jc w:val="both"/>
                          <w:rPr>
                            <w:rFonts w:ascii="宋体" w:hAnsi="宋体" w:cs="宋体" w:eastAsia="宋体" w:hint="default"/>
                            <w:sz w:val="18"/>
                            <w:szCs w:val="18"/>
                          </w:rPr>
                        </w:pPr>
                        <w:r>
                          <w:rPr>
                            <w:rFonts w:ascii="宋体" w:hAnsi="宋体" w:cs="宋体" w:eastAsia="宋体" w:hint="default"/>
                            <w:spacing w:val="-4"/>
                            <w:sz w:val="18"/>
                            <w:szCs w:val="18"/>
                          </w:rPr>
                          <w:t>合并报表：其他非流动资产：减少</w:t>
                        </w:r>
                        <w:r>
                          <w:rPr>
                            <w:rFonts w:ascii="Times New Roman" w:hAnsi="Times New Roman" w:cs="Times New Roman" w:eastAsia="Times New Roman" w:hint="default"/>
                            <w:spacing w:val="-4"/>
                            <w:sz w:val="18"/>
                            <w:szCs w:val="18"/>
                          </w:rPr>
                          <w:t>100,000,000.00</w:t>
                        </w:r>
                        <w:r>
                          <w:rPr>
                            <w:rFonts w:ascii="宋体" w:hAnsi="宋体" w:cs="宋体" w:eastAsia="宋体" w:hint="default"/>
                            <w:spacing w:val="-4"/>
                            <w:sz w:val="18"/>
                            <w:szCs w:val="18"/>
                          </w:rPr>
                          <w:t>元；债权投资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增加</w:t>
                        </w:r>
                        <w:r>
                          <w:rPr>
                            <w:rFonts w:ascii="Times New Roman" w:hAnsi="Times New Roman" w:cs="Times New Roman" w:eastAsia="Times New Roman" w:hint="default"/>
                            <w:sz w:val="18"/>
                            <w:szCs w:val="18"/>
                          </w:rPr>
                          <w:t>100,000,000.00</w:t>
                        </w:r>
                        <w:r>
                          <w:rPr>
                            <w:rFonts w:ascii="宋体" w:hAnsi="宋体" w:cs="宋体" w:eastAsia="宋体" w:hint="default"/>
                            <w:sz w:val="18"/>
                            <w:szCs w:val="18"/>
                          </w:rPr>
                          <w:t>元。母公司报表：其他非流动资产：减少 </w:t>
                        </w:r>
                        <w:r>
                          <w:rPr>
                            <w:rFonts w:ascii="Times New Roman" w:hAnsi="Times New Roman" w:cs="Times New Roman" w:eastAsia="Times New Roman" w:hint="default"/>
                            <w:sz w:val="18"/>
                            <w:szCs w:val="18"/>
                          </w:rPr>
                          <w:t>100,000,000.00</w:t>
                        </w:r>
                        <w:r>
                          <w:rPr>
                            <w:rFonts w:ascii="宋体" w:hAnsi="宋体" w:cs="宋体" w:eastAsia="宋体" w:hint="default"/>
                            <w:sz w:val="18"/>
                            <w:szCs w:val="18"/>
                          </w:rPr>
                          <w:t>元；债权投资：增加</w:t>
                        </w:r>
                        <w:r>
                          <w:rPr>
                            <w:rFonts w:ascii="Times New Roman" w:hAnsi="Times New Roman" w:cs="Times New Roman" w:eastAsia="Times New Roman" w:hint="default"/>
                            <w:sz w:val="18"/>
                            <w:szCs w:val="18"/>
                          </w:rPr>
                          <w:t>100,000,000.00</w:t>
                        </w:r>
                        <w:r>
                          <w:rPr>
                            <w:rFonts w:ascii="宋体" w:hAnsi="宋体" w:cs="宋体" w:eastAsia="宋体" w:hint="default"/>
                            <w:sz w:val="18"/>
                            <w:szCs w:val="18"/>
                          </w:rPr>
                          <w:t>元</w:t>
                        </w:r>
                      </w:p>
                    </w:tc>
                  </w:tr>
                  <w:tr>
                    <w:trPr>
                      <w:trHeight w:val="1997"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75"/>
                          <w:ind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计提预期</w:t>
                        </w:r>
                        <w:r>
                          <w:rPr>
                            <w:rFonts w:ascii="宋体" w:hAnsi="宋体" w:cs="宋体" w:eastAsia="宋体" w:hint="default"/>
                            <w:spacing w:val="-86"/>
                            <w:sz w:val="18"/>
                            <w:szCs w:val="18"/>
                          </w:rPr>
                          <w:t> </w:t>
                        </w:r>
                        <w:r>
                          <w:rPr>
                            <w:rFonts w:ascii="宋体" w:hAnsi="宋体" w:cs="宋体" w:eastAsia="宋体" w:hint="default"/>
                            <w:sz w:val="18"/>
                            <w:szCs w:val="18"/>
                          </w:rPr>
                          <w:t>信用损失准备。</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75"/>
                          <w:ind w:right="-15"/>
                          <w:jc w:val="left"/>
                          <w:rPr>
                            <w:rFonts w:ascii="宋体" w:hAnsi="宋体" w:cs="宋体" w:eastAsia="宋体" w:hint="default"/>
                            <w:sz w:val="18"/>
                            <w:szCs w:val="18"/>
                          </w:rPr>
                        </w:pPr>
                        <w:r>
                          <w:rPr>
                            <w:rFonts w:ascii="宋体" w:hAnsi="宋体" w:cs="宋体" w:eastAsia="宋体" w:hint="default"/>
                            <w:spacing w:val="-2"/>
                            <w:sz w:val="18"/>
                            <w:szCs w:val="18"/>
                          </w:rPr>
                          <w:t>合并报表：应收账款：减少</w:t>
                        </w:r>
                        <w:r>
                          <w:rPr>
                            <w:rFonts w:ascii="Times New Roman" w:hAnsi="Times New Roman" w:cs="Times New Roman" w:eastAsia="Times New Roman" w:hint="default"/>
                            <w:spacing w:val="-2"/>
                            <w:sz w:val="18"/>
                            <w:szCs w:val="18"/>
                          </w:rPr>
                          <w:t>6,634,965.87</w:t>
                        </w:r>
                        <w:r>
                          <w:rPr>
                            <w:rFonts w:ascii="宋体" w:hAnsi="宋体" w:cs="宋体" w:eastAsia="宋体" w:hint="default"/>
                            <w:spacing w:val="-2"/>
                            <w:sz w:val="18"/>
                            <w:szCs w:val="18"/>
                          </w:rPr>
                          <w:t>元；其他应收款：减少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512,666.88</w:t>
                        </w:r>
                        <w:r>
                          <w:rPr>
                            <w:rFonts w:ascii="宋体" w:hAnsi="宋体" w:cs="宋体" w:eastAsia="宋体" w:hint="default"/>
                            <w:sz w:val="18"/>
                            <w:szCs w:val="18"/>
                          </w:rPr>
                          <w:t>元；一年内到期的非流动资产：减少</w:t>
                        </w:r>
                        <w:r>
                          <w:rPr>
                            <w:rFonts w:ascii="Times New Roman" w:hAnsi="Times New Roman" w:cs="Times New Roman" w:eastAsia="Times New Roman" w:hint="default"/>
                            <w:sz w:val="18"/>
                            <w:szCs w:val="18"/>
                          </w:rPr>
                          <w:t>1,037,244.13</w:t>
                        </w:r>
                        <w:r>
                          <w:rPr>
                            <w:rFonts w:ascii="宋体" w:hAnsi="宋体" w:cs="宋体" w:eastAsia="宋体" w:hint="default"/>
                            <w:sz w:val="18"/>
                            <w:szCs w:val="18"/>
                          </w:rPr>
                          <w:t>元 长期应收款：减少</w:t>
                        </w:r>
                        <w:r>
                          <w:rPr>
                            <w:rFonts w:ascii="Times New Roman" w:hAnsi="Times New Roman" w:cs="Times New Roman" w:eastAsia="Times New Roman" w:hint="default"/>
                            <w:sz w:val="18"/>
                            <w:szCs w:val="18"/>
                          </w:rPr>
                          <w:t>1,563,565.64</w:t>
                        </w:r>
                        <w:r>
                          <w:rPr>
                            <w:rFonts w:ascii="宋体" w:hAnsi="宋体" w:cs="宋体" w:eastAsia="宋体" w:hint="default"/>
                            <w:sz w:val="18"/>
                            <w:szCs w:val="18"/>
                          </w:rPr>
                          <w:t>元；发放贷款与垫款：减少 </w:t>
                        </w:r>
                        <w:r>
                          <w:rPr>
                            <w:rFonts w:ascii="Times New Roman" w:hAnsi="Times New Roman" w:cs="Times New Roman" w:eastAsia="Times New Roman" w:hint="default"/>
                            <w:sz w:val="18"/>
                            <w:szCs w:val="18"/>
                          </w:rPr>
                          <w:t>182,182.18</w:t>
                        </w:r>
                        <w:r>
                          <w:rPr>
                            <w:rFonts w:ascii="宋体" w:hAnsi="宋体" w:cs="宋体" w:eastAsia="宋体" w:hint="default"/>
                            <w:sz w:val="18"/>
                            <w:szCs w:val="18"/>
                          </w:rPr>
                          <w:t>元；递延所得税资产：增加</w:t>
                        </w:r>
                        <w:r>
                          <w:rPr>
                            <w:rFonts w:ascii="Times New Roman" w:hAnsi="Times New Roman" w:cs="Times New Roman" w:eastAsia="Times New Roman" w:hint="default"/>
                            <w:sz w:val="18"/>
                            <w:szCs w:val="18"/>
                          </w:rPr>
                          <w:t>1,411,001.76</w:t>
                        </w:r>
                        <w:r>
                          <w:rPr>
                            <w:rFonts w:ascii="宋体" w:hAnsi="宋体" w:cs="宋体" w:eastAsia="宋体" w:hint="default"/>
                            <w:sz w:val="18"/>
                            <w:szCs w:val="18"/>
                          </w:rPr>
                          <w:t>元；递延所</w:t>
                        </w:r>
                        <w:r>
                          <w:rPr>
                            <w:rFonts w:ascii="宋体" w:hAnsi="宋体" w:cs="宋体" w:eastAsia="宋体" w:hint="default"/>
                            <w:spacing w:val="-87"/>
                            <w:sz w:val="18"/>
                            <w:szCs w:val="18"/>
                          </w:rPr>
                          <w:t> </w:t>
                        </w:r>
                        <w:r>
                          <w:rPr>
                            <w:rFonts w:ascii="宋体" w:hAnsi="宋体" w:cs="宋体" w:eastAsia="宋体" w:hint="default"/>
                            <w:spacing w:val="-2"/>
                            <w:sz w:val="18"/>
                            <w:szCs w:val="18"/>
                          </w:rPr>
                          <w:t>得税负债：减少</w:t>
                        </w:r>
                        <w:r>
                          <w:rPr>
                            <w:rFonts w:ascii="Times New Roman" w:hAnsi="Times New Roman" w:cs="Times New Roman" w:eastAsia="Times New Roman" w:hint="default"/>
                            <w:spacing w:val="-2"/>
                            <w:sz w:val="18"/>
                            <w:szCs w:val="18"/>
                          </w:rPr>
                          <w:t>66.92</w:t>
                        </w:r>
                        <w:r>
                          <w:rPr>
                            <w:rFonts w:ascii="宋体" w:hAnsi="宋体" w:cs="宋体" w:eastAsia="宋体" w:hint="default"/>
                            <w:spacing w:val="-2"/>
                            <w:sz w:val="18"/>
                            <w:szCs w:val="18"/>
                          </w:rPr>
                          <w:t>元；留存收益：减少</w:t>
                        </w:r>
                        <w:r>
                          <w:rPr>
                            <w:rFonts w:ascii="Times New Roman" w:hAnsi="Times New Roman" w:cs="Times New Roman" w:eastAsia="Times New Roman" w:hint="default"/>
                            <w:spacing w:val="-2"/>
                            <w:sz w:val="18"/>
                            <w:szCs w:val="18"/>
                          </w:rPr>
                          <w:t>8,519,556.02</w:t>
                        </w:r>
                        <w:r>
                          <w:rPr>
                            <w:rFonts w:ascii="宋体" w:hAnsi="宋体" w:cs="宋体" w:eastAsia="宋体" w:hint="default"/>
                            <w:spacing w:val="-2"/>
                            <w:sz w:val="18"/>
                            <w:szCs w:val="18"/>
                          </w:rPr>
                          <w:t>元。母公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司报表：无影响</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ind w:left="0" w:right="111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307" w:lineRule="auto"/>
        <w:ind w:right="1119" w:firstLine="360"/>
        <w:jc w:val="left"/>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号的规定调整后的上年年末余额为基础，各项金融资产和金融负债按照修订 前后金融工具确认计量准则的规定进行分类和计量结果对比如下：</w:t>
      </w:r>
    </w:p>
    <w:p>
      <w:pPr>
        <w:pStyle w:val="BodyText"/>
        <w:spacing w:line="240" w:lineRule="auto" w:before="29"/>
        <w:ind w:left="501" w:right="0"/>
        <w:jc w:val="left"/>
      </w:pPr>
      <w:r>
        <w:rPr/>
        <w:t>合并财务报表：</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502"/>
        <w:gridCol w:w="1366"/>
        <w:gridCol w:w="1637"/>
        <w:gridCol w:w="1637"/>
        <w:gridCol w:w="1908"/>
        <w:gridCol w:w="1622"/>
      </w:tblGrid>
      <w:tr>
        <w:trPr>
          <w:trHeight w:val="345" w:hRule="exact"/>
        </w:trPr>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6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3,482,843,345.27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3,482,843,345.27</w:t>
            </w:r>
          </w:p>
        </w:tc>
      </w:tr>
      <w:tr>
        <w:trPr>
          <w:trHeight w:val="36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620,552,755.95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613,917,790.08</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sz w:val="18"/>
              </w:rPr>
              <w:t>91,333,486.67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90,820,819.79</w:t>
            </w:r>
          </w:p>
        </w:tc>
      </w:tr>
      <w:tr>
        <w:trPr>
          <w:trHeight w:val="67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15" w:right="30"/>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661,299,806.95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81"/>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660,262,562.82</w:t>
            </w:r>
          </w:p>
        </w:tc>
      </w:tr>
      <w:tr>
        <w:trPr>
          <w:trHeight w:val="660"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71"/>
              <w:ind w:left="345" w:right="0"/>
              <w:jc w:val="left"/>
              <w:rPr>
                <w:rFonts w:ascii="Times New Roman" w:hAnsi="Times New Roman" w:cs="Times New Roman" w:eastAsia="Times New Roman" w:hint="default"/>
                <w:sz w:val="18"/>
                <w:szCs w:val="18"/>
              </w:rPr>
            </w:pPr>
            <w:r>
              <w:rPr>
                <w:rFonts w:ascii="Times New Roman"/>
                <w:sz w:val="18"/>
              </w:rPr>
              <w:t>2,802,310,074.38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9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1,566,036,218.89</w:t>
            </w:r>
          </w:p>
        </w:tc>
      </w:tr>
      <w:tr>
        <w:trPr>
          <w:trHeight w:val="345" w:hRule="exact"/>
        </w:trPr>
        <w:tc>
          <w:tcPr>
            <w:tcW w:w="1502"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1,249,042,879.94</w:t>
            </w:r>
          </w:p>
        </w:tc>
      </w:tr>
      <w:tr>
        <w:trPr>
          <w:trHeight w:val="36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198,921,338.75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198,739,156.57</w:t>
            </w:r>
          </w:p>
        </w:tc>
      </w:tr>
      <w:tr>
        <w:trPr>
          <w:trHeight w:val="6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 工具</w:t>
            </w:r>
            <w:r>
              <w:rPr>
                <w:rFonts w:ascii="Times New Roman" w:hAnsi="Times New Roman" w:cs="Times New Roman" w:eastAsia="Times New Roman" w:hint="default"/>
                <w:sz w:val="18"/>
                <w:szCs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100,153,850.00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81"/>
              <w:jc w:val="left"/>
              <w:rPr>
                <w:rFonts w:ascii="宋体" w:hAnsi="宋体" w:cs="宋体" w:eastAsia="宋体" w:hint="default"/>
                <w:sz w:val="18"/>
                <w:szCs w:val="18"/>
              </w:rPr>
            </w:pPr>
            <w:r>
              <w:rPr>
                <w:rFonts w:ascii="宋体" w:hAnsi="宋体" w:cs="宋体" w:eastAsia="宋体" w:hint="default"/>
                <w:sz w:val="18"/>
                <w:szCs w:val="18"/>
              </w:rPr>
              <w:t>其他非流动金融资 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9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109,041,334.15</w:t>
            </w:r>
          </w:p>
        </w:tc>
      </w:tr>
      <w:tr>
        <w:trPr>
          <w:trHeight w:val="36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741,734,448.95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740,170,883.31</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100,000,000.00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100,000,000.00</w:t>
            </w:r>
          </w:p>
        </w:tc>
      </w:tr>
    </w:tbl>
    <w:p>
      <w:pPr>
        <w:spacing w:line="240" w:lineRule="auto" w:before="9"/>
        <w:rPr>
          <w:rFonts w:ascii="宋体" w:hAnsi="宋体" w:cs="宋体" w:eastAsia="宋体" w:hint="default"/>
          <w:sz w:val="20"/>
          <w:szCs w:val="20"/>
        </w:rPr>
      </w:pPr>
    </w:p>
    <w:p>
      <w:pPr>
        <w:pStyle w:val="BodyText"/>
        <w:spacing w:line="240" w:lineRule="auto"/>
        <w:ind w:left="501" w:right="0"/>
        <w:jc w:val="left"/>
      </w:pPr>
      <w:r>
        <w:rPr/>
        <w:t>母公司财务报表：</w:t>
      </w:r>
    </w:p>
    <w:p>
      <w:pPr>
        <w:spacing w:line="240" w:lineRule="auto" w:before="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502"/>
        <w:gridCol w:w="1366"/>
        <w:gridCol w:w="1637"/>
        <w:gridCol w:w="1637"/>
        <w:gridCol w:w="1908"/>
        <w:gridCol w:w="1622"/>
      </w:tblGrid>
      <w:tr>
        <w:trPr>
          <w:trHeight w:val="345" w:hRule="exact"/>
        </w:trPr>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8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364,293,103.00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364,293,103.00</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4,960,018.01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4,960,018.01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502"/>
        <w:gridCol w:w="1366"/>
        <w:gridCol w:w="1637"/>
        <w:gridCol w:w="1637"/>
        <w:gridCol w:w="1908"/>
        <w:gridCol w:w="1622"/>
      </w:tblGrid>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20,238,524.36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20,238,524.36</w:t>
            </w:r>
          </w:p>
        </w:tc>
      </w:tr>
      <w:tr>
        <w:trPr>
          <w:trHeight w:val="675"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72"/>
              <w:ind w:left="480" w:right="0"/>
              <w:jc w:val="left"/>
              <w:rPr>
                <w:rFonts w:ascii="Times New Roman" w:hAnsi="Times New Roman" w:cs="Times New Roman" w:eastAsia="Times New Roman" w:hint="default"/>
                <w:sz w:val="18"/>
                <w:szCs w:val="18"/>
              </w:rPr>
            </w:pPr>
            <w:r>
              <w:rPr>
                <w:rFonts w:ascii="Times New Roman"/>
                <w:sz w:val="18"/>
              </w:rPr>
              <w:t>357,834,745.10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9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257,831,414.14</w:t>
            </w:r>
          </w:p>
        </w:tc>
      </w:tr>
      <w:tr>
        <w:trPr>
          <w:trHeight w:val="345" w:hRule="exact"/>
        </w:trPr>
        <w:tc>
          <w:tcPr>
            <w:tcW w:w="1502"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102,534,745.10</w:t>
            </w:r>
          </w:p>
        </w:tc>
      </w:tr>
      <w:tr>
        <w:trPr>
          <w:trHeight w:val="66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w:t>
            </w:r>
            <w:r>
              <w:rPr>
                <w:rFonts w:ascii="宋体" w:hAnsi="宋体" w:cs="宋体" w:eastAsia="宋体" w:hint="default"/>
                <w:spacing w:val="-74"/>
                <w:sz w:val="18"/>
                <w:szCs w:val="18"/>
              </w:rPr>
              <w:t> </w:t>
            </w:r>
            <w:r>
              <w:rPr>
                <w:rFonts w:ascii="宋体" w:hAnsi="宋体" w:cs="宋体" w:eastAsia="宋体" w:hint="default"/>
                <w:sz w:val="18"/>
                <w:szCs w:val="18"/>
              </w:rPr>
              <w:t>工具</w:t>
            </w:r>
            <w:r>
              <w:rPr>
                <w:rFonts w:ascii="Times New Roman" w:hAnsi="Times New Roman" w:cs="Times New Roman" w:eastAsia="Times New Roman" w:hint="default"/>
                <w:sz w:val="18"/>
                <w:szCs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87,500,000.00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81"/>
              <w:jc w:val="left"/>
              <w:rPr>
                <w:rFonts w:ascii="宋体" w:hAnsi="宋体" w:cs="宋体" w:eastAsia="宋体" w:hint="default"/>
                <w:sz w:val="18"/>
                <w:szCs w:val="18"/>
              </w:rPr>
            </w:pPr>
            <w:r>
              <w:rPr>
                <w:rFonts w:ascii="宋体" w:hAnsi="宋体" w:cs="宋体" w:eastAsia="宋体" w:hint="default"/>
                <w:sz w:val="18"/>
                <w:szCs w:val="18"/>
              </w:rPr>
              <w:t>其他非流动金融资 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9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92,467,992.47</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100,000,000.00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321" w:lineRule="auto" w:before="0"/>
        <w:ind w:left="501" w:right="0"/>
        <w:jc w:val="left"/>
      </w:pPr>
      <w:r>
        <w:rPr/>
        <w:t>（</w:t>
      </w:r>
      <w:r>
        <w:rPr>
          <w:rFonts w:ascii="宋体" w:hAnsi="宋体" w:cs="宋体" w:eastAsia="宋体" w:hint="default"/>
        </w:rPr>
        <w:t>3</w:t>
      </w:r>
      <w:r>
        <w:rPr/>
        <w:t>）执行《企业会计准则第</w:t>
      </w:r>
      <w:r>
        <w:rPr>
          <w:rFonts w:ascii="宋体" w:hAnsi="宋体" w:cs="宋体" w:eastAsia="宋体" w:hint="default"/>
        </w:rPr>
        <w:t>7</w:t>
      </w:r>
      <w:r>
        <w:rPr/>
        <w:t>号——非货币性资产交换》（</w:t>
      </w:r>
      <w:r>
        <w:rPr>
          <w:rFonts w:ascii="宋体" w:hAnsi="宋体" w:cs="宋体" w:eastAsia="宋体" w:hint="default"/>
        </w:rPr>
        <w:t>2019</w:t>
      </w:r>
      <w:r>
        <w:rPr/>
        <w:t>修订）</w:t>
      </w:r>
      <w:r>
        <w:rPr>
          <w:spacing w:val="-86"/>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日发布了《企业会计准则第</w:t>
      </w:r>
      <w:r>
        <w:rPr>
          <w:rFonts w:ascii="宋体" w:hAnsi="宋体" w:cs="宋体" w:eastAsia="宋体" w:hint="default"/>
          <w:spacing w:val="-2"/>
        </w:rPr>
        <w:t>7</w:t>
      </w:r>
      <w:r>
        <w:rPr>
          <w:spacing w:val="-2"/>
        </w:rPr>
        <w:t>号——非货币性资产交换》（</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8</w:t>
      </w:r>
      <w:r>
        <w:rPr>
          <w:spacing w:val="-2"/>
        </w:rPr>
        <w:t>号），修订</w:t>
      </w:r>
    </w:p>
    <w:p>
      <w:pPr>
        <w:pStyle w:val="BodyText"/>
        <w:spacing w:line="314" w:lineRule="auto" w:before="18"/>
        <w:ind w:right="1133"/>
        <w:jc w:val="both"/>
      </w:pPr>
      <w:r>
        <w:rPr>
          <w:spacing w:val="-3"/>
        </w:rPr>
        <w:t>后的准则自</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10</w:t>
      </w:r>
      <w:r>
        <w:rPr>
          <w:spacing w:val="-3"/>
        </w:rPr>
        <w:t>日起施行，对</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日至本准则施行日之间发生的非货币性资产交换，应根据本准则进行调整。</w:t>
      </w:r>
      <w:r>
        <w:rPr>
          <w:spacing w:val="-86"/>
        </w:rPr>
        <w:t> </w:t>
      </w:r>
      <w:r>
        <w:rPr>
          <w:spacing w:val="-86"/>
        </w:rPr>
      </w:r>
      <w:r>
        <w:rPr>
          <w:spacing w:val="-2"/>
        </w:rPr>
        <w:t>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日之前发生的非货币性资产交换，不需要按照本准则的规定进行追溯调整。本公司执行上述准则在本报告期内</w:t>
      </w:r>
      <w:r>
        <w:rPr>
          <w:spacing w:val="-67"/>
        </w:rPr>
        <w:t> </w:t>
      </w:r>
      <w:r>
        <w:rPr>
          <w:spacing w:val="-67"/>
        </w:rPr>
      </w:r>
      <w:r>
        <w:rPr/>
        <w:t>无重大影响。</w:t>
      </w:r>
    </w:p>
    <w:p>
      <w:pPr>
        <w:spacing w:line="240" w:lineRule="auto" w:before="12"/>
        <w:rPr>
          <w:rFonts w:ascii="宋体" w:hAnsi="宋体" w:cs="宋体" w:eastAsia="宋体" w:hint="default"/>
          <w:sz w:val="25"/>
          <w:szCs w:val="25"/>
        </w:rPr>
      </w:pPr>
    </w:p>
    <w:p>
      <w:pPr>
        <w:pStyle w:val="BodyText"/>
        <w:spacing w:line="321" w:lineRule="auto" w:before="0"/>
        <w:ind w:left="501" w:right="0"/>
        <w:jc w:val="left"/>
      </w:pPr>
      <w:r>
        <w:rPr/>
        <w:t>（</w:t>
      </w:r>
      <w:r>
        <w:rPr>
          <w:rFonts w:ascii="宋体" w:hAnsi="宋体" w:cs="宋体" w:eastAsia="宋体" w:hint="default"/>
        </w:rPr>
        <w:t>4</w:t>
      </w:r>
      <w:r>
        <w:rPr/>
        <w:t>）执行《企业会计准则第</w:t>
      </w:r>
      <w:r>
        <w:rPr>
          <w:rFonts w:ascii="宋体" w:hAnsi="宋体" w:cs="宋体" w:eastAsia="宋体" w:hint="default"/>
        </w:rPr>
        <w:t>12</w:t>
      </w:r>
      <w:r>
        <w:rPr/>
        <w:t>号——债务重组》（</w:t>
      </w:r>
      <w:r>
        <w:rPr>
          <w:rFonts w:ascii="宋体" w:hAnsi="宋体" w:cs="宋体" w:eastAsia="宋体" w:hint="default"/>
        </w:rPr>
        <w:t>2019</w:t>
      </w:r>
      <w:r>
        <w:rPr/>
        <w:t>修订）</w:t>
      </w:r>
      <w:r>
        <w:rPr>
          <w:spacing w:val="-87"/>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日发布了《企业会计准则第</w:t>
      </w:r>
      <w:r>
        <w:rPr>
          <w:rFonts w:ascii="宋体" w:hAnsi="宋体" w:cs="宋体" w:eastAsia="宋体" w:hint="default"/>
          <w:spacing w:val="-2"/>
        </w:rPr>
        <w:t>12</w:t>
      </w:r>
      <w:r>
        <w:rPr>
          <w:spacing w:val="-2"/>
        </w:rPr>
        <w:t>号——债务重组》（</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9</w:t>
      </w:r>
      <w:r>
        <w:rPr>
          <w:spacing w:val="-2"/>
        </w:rPr>
        <w:t>号），修订后的准</w:t>
      </w:r>
    </w:p>
    <w:p>
      <w:pPr>
        <w:pStyle w:val="BodyText"/>
        <w:spacing w:line="304" w:lineRule="auto" w:before="18"/>
        <w:ind w:right="1119"/>
        <w:jc w:val="left"/>
      </w:pPr>
      <w:r>
        <w:rPr/>
        <w:t>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rFonts w:ascii="宋体" w:hAnsi="宋体" w:cs="宋体" w:eastAsia="宋体" w:hint="default"/>
          <w:spacing w:val="-83"/>
        </w:rPr>
        <w:t> </w:t>
      </w:r>
      <w:r>
        <w:rPr/>
        <w:t>日之前发生的债务重组，不需要按照本准则的规定进行追溯调整。本公司执行上述准则在本报告期内无重大影响。</w:t>
      </w:r>
    </w:p>
    <w:p>
      <w:pPr>
        <w:spacing w:line="240" w:lineRule="auto" w:before="3"/>
        <w:rPr>
          <w:rFonts w:ascii="宋体" w:hAnsi="宋体" w:cs="宋体" w:eastAsia="宋体" w:hint="default"/>
          <w:sz w:val="22"/>
          <w:szCs w:val="22"/>
        </w:rPr>
      </w:pPr>
    </w:p>
    <w:p>
      <w:pPr>
        <w:pStyle w:val="Heading2"/>
        <w:spacing w:line="240" w:lineRule="auto"/>
        <w:ind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33" w:lineRule="auto" w:before="0"/>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公司报告期无重大会计差错更正需追溯重述的情况。</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501" w:right="0"/>
        <w:jc w:val="left"/>
      </w:pPr>
      <w:r>
        <w:rPr/>
        <w:t>（</w:t>
      </w:r>
      <w:r>
        <w:rPr>
          <w:rFonts w:ascii="宋体" w:hAnsi="宋体" w:cs="宋体" w:eastAsia="宋体" w:hint="default"/>
        </w:rPr>
        <w:t>1</w:t>
      </w:r>
      <w:r>
        <w:rPr/>
        <w:t>）本期新设孙、子公司情况：</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493"/>
        <w:gridCol w:w="1381"/>
        <w:gridCol w:w="1292"/>
        <w:gridCol w:w="1922"/>
        <w:gridCol w:w="841"/>
        <w:gridCol w:w="1742"/>
      </w:tblGrid>
      <w:tr>
        <w:trPr>
          <w:trHeight w:val="661"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30"/>
              <w:jc w:val="right"/>
              <w:rPr>
                <w:rFonts w:ascii="宋体" w:hAnsi="宋体" w:cs="宋体" w:eastAsia="宋体" w:hint="default"/>
                <w:sz w:val="18"/>
                <w:szCs w:val="18"/>
              </w:rPr>
            </w:pPr>
            <w:r>
              <w:rPr>
                <w:rFonts w:ascii="宋体" w:hAnsi="宋体" w:cs="宋体" w:eastAsia="宋体" w:hint="default"/>
                <w:sz w:val="18"/>
                <w:szCs w:val="18"/>
              </w:rPr>
              <w:t>设立日期</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80"/>
              <w:ind w:right="1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29"/>
              <w:ind w:left="585" w:right="58" w:hanging="541"/>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出资额</w:t>
            </w:r>
          </w:p>
        </w:tc>
      </w:tr>
      <w:tr>
        <w:trPr>
          <w:trHeight w:val="34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5" w:right="0"/>
              <w:jc w:val="left"/>
              <w:rPr>
                <w:rFonts w:ascii="Times New Roman" w:hAnsi="Times New Roman" w:cs="Times New Roman" w:eastAsia="Times New Roman" w:hint="default"/>
                <w:sz w:val="18"/>
                <w:szCs w:val="18"/>
              </w:rPr>
            </w:pPr>
            <w:r>
              <w:rPr>
                <w:rFonts w:ascii="Times New Roman"/>
                <w:sz w:val="18"/>
              </w:rPr>
              <w:t>Ruifeng Technology </w:t>
            </w:r>
            <w:r>
              <w:rPr>
                <w:rFonts w:ascii="Times New Roman"/>
                <w:spacing w:val="-3"/>
                <w:sz w:val="18"/>
              </w:rPr>
              <w:t>USA</w:t>
            </w:r>
            <w:r>
              <w:rPr>
                <w:rFonts w:ascii="Times New Roman"/>
                <w:spacing w:val="5"/>
                <w:sz w:val="18"/>
              </w:rPr>
              <w:t> </w:t>
            </w:r>
            <w:r>
              <w:rPr>
                <w:rFonts w:ascii="Times New Roman"/>
                <w:sz w:val="18"/>
              </w:rPr>
              <w:t>INC</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68"/>
              <w:jc w:val="right"/>
              <w:rPr>
                <w:rFonts w:ascii="Times New Roman" w:hAnsi="Times New Roman" w:cs="Times New Roman" w:eastAsia="Times New Roman" w:hint="default"/>
                <w:sz w:val="18"/>
                <w:szCs w:val="18"/>
              </w:rPr>
            </w:pPr>
            <w:r>
              <w:rPr>
                <w:rFonts w:ascii="Times New Roman"/>
                <w:sz w:val="18"/>
              </w:rPr>
              <w:t>2019-08-28</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美国</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49" w:right="0"/>
              <w:jc w:val="left"/>
              <w:rPr>
                <w:rFonts w:ascii="Times New Roman" w:hAnsi="Times New Roman" w:cs="Times New Roman" w:eastAsia="Times New Roman" w:hint="default"/>
                <w:sz w:val="18"/>
                <w:szCs w:val="18"/>
              </w:rPr>
            </w:pPr>
            <w:r>
              <w:rPr>
                <w:rFonts w:ascii="Times New Roman"/>
                <w:sz w:val="18"/>
              </w:rPr>
              <w:t>100.00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r>
      <w:tr>
        <w:trPr>
          <w:trHeight w:val="36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江苏趣看网络科技有限公司</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68"/>
              <w:jc w:val="right"/>
              <w:rPr>
                <w:rFonts w:ascii="Times New Roman" w:hAnsi="Times New Roman" w:cs="Times New Roman" w:eastAsia="Times New Roman" w:hint="default"/>
                <w:sz w:val="18"/>
                <w:szCs w:val="18"/>
              </w:rPr>
            </w:pPr>
            <w:r>
              <w:rPr>
                <w:rFonts w:ascii="Times New Roman"/>
                <w:sz w:val="18"/>
              </w:rPr>
              <w:t>2019-12-27</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94" w:right="0"/>
              <w:jc w:val="left"/>
              <w:rPr>
                <w:rFonts w:ascii="Times New Roman" w:hAnsi="Times New Roman" w:cs="Times New Roman" w:eastAsia="Times New Roman" w:hint="default"/>
                <w:sz w:val="18"/>
                <w:szCs w:val="18"/>
              </w:rPr>
            </w:pPr>
            <w:r>
              <w:rPr>
                <w:rFonts w:ascii="Times New Roman"/>
                <w:sz w:val="18"/>
              </w:rPr>
              <w:t>95.00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2"/>
              <w:jc w:val="center"/>
              <w:rPr>
                <w:rFonts w:ascii="Times New Roman" w:hAnsi="Times New Roman" w:cs="Times New Roman" w:eastAsia="Times New Roman" w:hint="default"/>
                <w:sz w:val="18"/>
                <w:szCs w:val="18"/>
              </w:rPr>
            </w:pPr>
            <w:r>
              <w:rPr>
                <w:rFonts w:ascii="Times New Roman"/>
                <w:sz w:val="18"/>
              </w:rPr>
              <w:t>0</w:t>
            </w:r>
          </w:p>
        </w:tc>
      </w:tr>
      <w:tr>
        <w:trPr>
          <w:trHeight w:val="34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曲水惠车网络科技有限公司</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68"/>
              <w:jc w:val="right"/>
              <w:rPr>
                <w:rFonts w:ascii="Times New Roman" w:hAnsi="Times New Roman" w:cs="Times New Roman" w:eastAsia="Times New Roman" w:hint="default"/>
                <w:sz w:val="18"/>
                <w:szCs w:val="18"/>
              </w:rPr>
            </w:pPr>
            <w:r>
              <w:rPr>
                <w:rFonts w:ascii="Times New Roman"/>
                <w:sz w:val="18"/>
              </w:rPr>
              <w:t>2019-03-22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西藏拉萨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9" w:right="0"/>
              <w:jc w:val="left"/>
              <w:rPr>
                <w:rFonts w:ascii="Times New Roman" w:hAnsi="Times New Roman" w:cs="Times New Roman" w:eastAsia="Times New Roman" w:hint="default"/>
                <w:sz w:val="18"/>
                <w:szCs w:val="18"/>
              </w:rPr>
            </w:pPr>
            <w:r>
              <w:rPr>
                <w:rFonts w:ascii="Times New Roman"/>
                <w:sz w:val="18"/>
              </w:rPr>
              <w:t>100.00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60</w:t>
            </w:r>
            <w:r>
              <w:rPr>
                <w:rFonts w:ascii="宋体" w:hAnsi="宋体" w:cs="宋体" w:eastAsia="宋体" w:hint="default"/>
                <w:sz w:val="18"/>
                <w:szCs w:val="18"/>
              </w:rPr>
              <w:t>万元</w:t>
            </w:r>
          </w:p>
        </w:tc>
      </w:tr>
      <w:tr>
        <w:trPr>
          <w:trHeight w:val="36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芜湖畅想小额贷款有限公司</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68"/>
              <w:jc w:val="right"/>
              <w:rPr>
                <w:rFonts w:ascii="Times New Roman" w:hAnsi="Times New Roman" w:cs="Times New Roman" w:eastAsia="Times New Roman" w:hint="default"/>
                <w:sz w:val="18"/>
                <w:szCs w:val="18"/>
              </w:rPr>
            </w:pPr>
            <w:r>
              <w:rPr>
                <w:rFonts w:ascii="Times New Roman"/>
                <w:sz w:val="18"/>
              </w:rPr>
              <w:t>2019-02-22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安徽芜湖</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94" w:right="0"/>
              <w:jc w:val="left"/>
              <w:rPr>
                <w:rFonts w:ascii="Times New Roman" w:hAnsi="Times New Roman" w:cs="Times New Roman" w:eastAsia="Times New Roman" w:hint="default"/>
                <w:sz w:val="18"/>
                <w:szCs w:val="18"/>
              </w:rPr>
            </w:pPr>
            <w:r>
              <w:rPr>
                <w:rFonts w:ascii="Times New Roman"/>
                <w:sz w:val="18"/>
              </w:rPr>
              <w:t>90.00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9,000</w:t>
            </w:r>
            <w:r>
              <w:rPr>
                <w:rFonts w:ascii="宋体" w:hAnsi="宋体" w:cs="宋体" w:eastAsia="宋体" w:hint="default"/>
                <w:sz w:val="18"/>
                <w:szCs w:val="18"/>
              </w:rPr>
              <w:t>万元</w:t>
            </w:r>
          </w:p>
        </w:tc>
      </w:tr>
      <w:tr>
        <w:trPr>
          <w:trHeight w:val="34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曲水顺吉网络科技有限公司</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68"/>
              <w:jc w:val="right"/>
              <w:rPr>
                <w:rFonts w:ascii="Times New Roman" w:hAnsi="Times New Roman" w:cs="Times New Roman" w:eastAsia="Times New Roman" w:hint="default"/>
                <w:sz w:val="18"/>
                <w:szCs w:val="18"/>
              </w:rPr>
            </w:pPr>
            <w:r>
              <w:rPr>
                <w:rFonts w:ascii="Times New Roman"/>
                <w:sz w:val="18"/>
              </w:rPr>
              <w:t>2019-01-24</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西藏拉萨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9" w:right="0"/>
              <w:jc w:val="left"/>
              <w:rPr>
                <w:rFonts w:ascii="Times New Roman" w:hAnsi="Times New Roman" w:cs="Times New Roman" w:eastAsia="Times New Roman" w:hint="default"/>
                <w:sz w:val="18"/>
                <w:szCs w:val="18"/>
              </w:rPr>
            </w:pPr>
            <w:r>
              <w:rPr>
                <w:rFonts w:ascii="Times New Roman"/>
                <w:sz w:val="18"/>
              </w:rPr>
              <w:t>100.00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已注销</w:t>
            </w:r>
          </w:p>
        </w:tc>
      </w:tr>
      <w:tr>
        <w:trPr>
          <w:trHeight w:val="361"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贵州融海融资担保有限公司</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13"/>
              <w:jc w:val="right"/>
              <w:rPr>
                <w:rFonts w:ascii="Times New Roman" w:hAnsi="Times New Roman" w:cs="Times New Roman" w:eastAsia="Times New Roman" w:hint="default"/>
                <w:sz w:val="18"/>
                <w:szCs w:val="18"/>
              </w:rPr>
            </w:pPr>
            <w:r>
              <w:rPr>
                <w:rFonts w:ascii="Times New Roman"/>
                <w:sz w:val="18"/>
              </w:rPr>
              <w:t>2019-6-19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贵州遵义</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20,000</w:t>
            </w:r>
            <w:r>
              <w:rPr>
                <w:rFonts w:ascii="宋体" w:hAnsi="宋体" w:cs="宋体" w:eastAsia="宋体" w:hint="default"/>
                <w:sz w:val="18"/>
                <w:szCs w:val="18"/>
              </w:rPr>
              <w:t>万元</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9" w:right="0"/>
              <w:jc w:val="left"/>
              <w:rPr>
                <w:rFonts w:ascii="Times New Roman" w:hAnsi="Times New Roman" w:cs="Times New Roman" w:eastAsia="Times New Roman" w:hint="default"/>
                <w:sz w:val="18"/>
                <w:szCs w:val="18"/>
              </w:rPr>
            </w:pPr>
            <w:r>
              <w:rPr>
                <w:rFonts w:ascii="Times New Roman"/>
                <w:sz w:val="18"/>
              </w:rPr>
              <w:t>100.00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20,000</w:t>
            </w:r>
            <w:r>
              <w:rPr>
                <w:rFonts w:ascii="宋体" w:hAnsi="宋体" w:cs="宋体" w:eastAsia="宋体" w:hint="default"/>
                <w:sz w:val="18"/>
                <w:szCs w:val="18"/>
              </w:rPr>
              <w:t>万元</w:t>
            </w:r>
          </w:p>
        </w:tc>
      </w:tr>
    </w:tbl>
    <w:p>
      <w:pPr>
        <w:spacing w:line="240" w:lineRule="auto" w:before="9"/>
        <w:rPr>
          <w:rFonts w:ascii="宋体" w:hAnsi="宋体" w:cs="宋体" w:eastAsia="宋体" w:hint="default"/>
          <w:sz w:val="20"/>
          <w:szCs w:val="20"/>
        </w:rPr>
      </w:pPr>
    </w:p>
    <w:p>
      <w:pPr>
        <w:pStyle w:val="BodyText"/>
        <w:spacing w:line="240" w:lineRule="auto"/>
        <w:ind w:left="501" w:right="0"/>
        <w:jc w:val="left"/>
      </w:pPr>
      <w:r>
        <w:rPr/>
        <w:t>（</w:t>
      </w:r>
      <w:r>
        <w:rPr>
          <w:rFonts w:ascii="宋体" w:hAnsi="宋体" w:cs="宋体" w:eastAsia="宋体" w:hint="default"/>
        </w:rPr>
        <w:t>2</w:t>
      </w:r>
      <w:r>
        <w:rPr/>
        <w:t>）本年购买结构化主体情况：</w:t>
      </w:r>
    </w:p>
    <w:p>
      <w:pPr>
        <w:pStyle w:val="BodyText"/>
        <w:spacing w:line="316" w:lineRule="auto" w:before="79"/>
        <w:ind w:right="1126" w:firstLine="360"/>
        <w:jc w:val="left"/>
      </w:pPr>
      <w:r>
        <w:rPr/>
        <w:t>公司于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31</w:t>
      </w:r>
      <w:r>
        <w:rPr/>
        <w:t>日，向初始持有人购买了众邦银行</w:t>
      </w:r>
      <w:r>
        <w:rPr>
          <w:rFonts w:ascii="宋体" w:hAnsi="宋体" w:cs="宋体" w:eastAsia="宋体" w:hint="default"/>
        </w:rPr>
        <w:t>-</w:t>
      </w:r>
      <w:r>
        <w:rPr/>
        <w:t>天风</w:t>
      </w:r>
      <w:r>
        <w:rPr>
          <w:rFonts w:ascii="宋体" w:hAnsi="宋体" w:cs="宋体" w:eastAsia="宋体" w:hint="default"/>
        </w:rPr>
        <w:t>2019</w:t>
      </w:r>
      <w:r>
        <w:rPr/>
        <w:t>年第一期财产权信托优先</w:t>
      </w:r>
      <w:r>
        <w:rPr>
          <w:rFonts w:ascii="宋体" w:hAnsi="宋体" w:cs="宋体" w:eastAsia="宋体" w:hint="default"/>
        </w:rPr>
        <w:t>C</w:t>
      </w:r>
      <w:r>
        <w:rPr/>
        <w:t>、次级</w:t>
      </w:r>
      <w:r>
        <w:rPr>
          <w:rFonts w:ascii="宋体" w:hAnsi="宋体" w:cs="宋体" w:eastAsia="宋体" w:hint="default"/>
        </w:rPr>
        <w:t>A</w:t>
      </w:r>
      <w:r>
        <w:rPr/>
        <w:t>及次级</w:t>
      </w:r>
      <w:r>
        <w:rPr>
          <w:rFonts w:ascii="宋体" w:hAnsi="宋体" w:cs="宋体" w:eastAsia="宋体" w:hint="default"/>
        </w:rPr>
        <w:t>B</w:t>
      </w:r>
      <w:r>
        <w:rPr/>
        <w:t>，合计</w:t>
      </w:r>
      <w:r>
        <w:rPr>
          <w:rFonts w:ascii="宋体" w:hAnsi="宋体" w:cs="宋体" w:eastAsia="宋体" w:hint="default"/>
        </w:rPr>
        <w:t>1.1 </w:t>
      </w:r>
      <w:r>
        <w:rPr/>
        <w:t>亿元，占比</w:t>
      </w:r>
      <w:r>
        <w:rPr>
          <w:rFonts w:ascii="宋体" w:hAnsi="宋体" w:cs="宋体" w:eastAsia="宋体" w:hint="default"/>
        </w:rPr>
        <w:t>24.44%</w:t>
      </w:r>
      <w:r>
        <w:rPr/>
        <w:t>，于</w:t>
      </w:r>
      <w:r>
        <w:rPr>
          <w:rFonts w:ascii="宋体" w:hAnsi="宋体" w:cs="宋体" w:eastAsia="宋体" w:hint="default"/>
        </w:rPr>
        <w:t>2019</w:t>
      </w:r>
      <w:r>
        <w:rPr/>
        <w:t>年</w:t>
      </w:r>
      <w:r>
        <w:rPr>
          <w:rFonts w:ascii="宋体" w:hAnsi="宋体" w:cs="宋体" w:eastAsia="宋体" w:hint="default"/>
        </w:rPr>
        <w:t>11</w:t>
      </w:r>
      <w:r>
        <w:rPr/>
        <w:t>月购买剩余全部的信托资产即优先</w:t>
      </w:r>
      <w:r>
        <w:rPr>
          <w:rFonts w:ascii="宋体" w:hAnsi="宋体" w:cs="宋体" w:eastAsia="宋体" w:hint="default"/>
        </w:rPr>
        <w:t>A1</w:t>
      </w:r>
      <w:r>
        <w:rPr/>
        <w:t>、优先</w:t>
      </w:r>
      <w:r>
        <w:rPr>
          <w:rFonts w:ascii="宋体" w:hAnsi="宋体" w:cs="宋体" w:eastAsia="宋体" w:hint="default"/>
        </w:rPr>
        <w:t>A2</w:t>
      </w:r>
      <w:r>
        <w:rPr/>
        <w:t>及优先</w:t>
      </w:r>
      <w:r>
        <w:rPr>
          <w:rFonts w:ascii="宋体" w:hAnsi="宋体" w:cs="宋体" w:eastAsia="宋体" w:hint="default"/>
        </w:rPr>
        <w:t>B</w:t>
      </w:r>
      <w:r>
        <w:rPr/>
        <w:t>，合计</w:t>
      </w:r>
      <w:r>
        <w:rPr>
          <w:rFonts w:ascii="宋体" w:hAnsi="宋体" w:cs="宋体" w:eastAsia="宋体" w:hint="default"/>
        </w:rPr>
        <w:t>2.69</w:t>
      </w:r>
      <w:r>
        <w:rPr/>
        <w:t>亿元，占比</w:t>
      </w:r>
      <w:r>
        <w:rPr>
          <w:rFonts w:ascii="宋体" w:hAnsi="宋体" w:cs="宋体" w:eastAsia="宋体" w:hint="default"/>
        </w:rPr>
        <w:t>75.56%</w:t>
      </w:r>
      <w:r>
        <w:rPr/>
        <w:t>。由于</w:t>
      </w:r>
      <w:r>
        <w:rPr>
          <w:spacing w:val="-84"/>
        </w:rPr>
        <w:t> </w:t>
      </w:r>
      <w:r>
        <w:rPr>
          <w:spacing w:val="-2"/>
        </w:rPr>
        <w:t>公司对该信托计划底层资产向众邦银行提供回购保证，并负责贷后管理，自</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月起，将众邦银行</w:t>
      </w:r>
      <w:r>
        <w:rPr>
          <w:rFonts w:ascii="宋体" w:hAnsi="宋体" w:cs="宋体" w:eastAsia="宋体" w:hint="default"/>
          <w:spacing w:val="-2"/>
        </w:rPr>
        <w:t>-</w:t>
      </w:r>
      <w:r>
        <w:rPr>
          <w:spacing w:val="-2"/>
        </w:rPr>
        <w:t>天风</w:t>
      </w:r>
      <w:r>
        <w:rPr>
          <w:rFonts w:ascii="宋体" w:hAnsi="宋体" w:cs="宋体" w:eastAsia="宋体" w:hint="default"/>
          <w:spacing w:val="-2"/>
        </w:rPr>
        <w:t>2019</w:t>
      </w:r>
      <w:r>
        <w:rPr>
          <w:spacing w:val="-2"/>
        </w:rPr>
        <w:t>年第一期财</w:t>
      </w:r>
      <w:r>
        <w:rPr>
          <w:spacing w:val="-56"/>
        </w:rPr>
        <w:t> </w:t>
      </w:r>
      <w:r>
        <w:rPr/>
        <w:t>产权信托纳入合并范围。</w:t>
      </w:r>
    </w:p>
    <w:p>
      <w:pPr>
        <w:spacing w:line="240" w:lineRule="auto" w:before="10"/>
        <w:rPr>
          <w:rFonts w:ascii="宋体" w:hAnsi="宋体" w:cs="宋体" w:eastAsia="宋体" w:hint="default"/>
          <w:sz w:val="25"/>
          <w:szCs w:val="25"/>
        </w:rPr>
      </w:pPr>
    </w:p>
    <w:p>
      <w:pPr>
        <w:pStyle w:val="BodyText"/>
        <w:spacing w:line="240" w:lineRule="auto" w:before="0"/>
        <w:ind w:left="501" w:right="0"/>
        <w:jc w:val="left"/>
      </w:pPr>
      <w:r>
        <w:rPr/>
        <w:t>（</w:t>
      </w:r>
      <w:r>
        <w:rPr>
          <w:rFonts w:ascii="宋体" w:hAnsi="宋体" w:cs="宋体" w:eastAsia="宋体" w:hint="default"/>
        </w:rPr>
        <w:t>3</w:t>
      </w:r>
      <w:r>
        <w:rPr/>
        <w:t>）本年清算子公司情况：</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21" w:firstLine="360"/>
        <w:jc w:val="both"/>
      </w:pPr>
      <w:r>
        <w:rPr>
          <w:spacing w:val="-2"/>
        </w:rPr>
        <w:t>本年度，公司对拉萨经济技术开发区联创信息咨询有限公司和拉萨经济技术开发区恒信创业投资管理有限公司进行了吸</w:t>
      </w:r>
      <w:r>
        <w:rPr/>
        <w:t> </w:t>
      </w:r>
      <w:r>
        <w:rPr>
          <w:spacing w:val="-2"/>
        </w:rPr>
        <w:t>收合并，拉萨经济技术开发区联创信息咨询有限公司和拉萨经济技术开发区恒信创业投资管理有限公司已注销；公司对二三</w:t>
      </w:r>
      <w:r>
        <w:rPr>
          <w:spacing w:val="-72"/>
        </w:rPr>
        <w:t> </w:t>
      </w:r>
      <w:r>
        <w:rPr>
          <w:spacing w:val="-72"/>
        </w:rPr>
      </w:r>
      <w:r>
        <w:rPr>
          <w:spacing w:val="-2"/>
        </w:rPr>
        <w:t>四五（深圳）区块链技术有限公司、曲水顺吉网络科技有限公司、宁波鑫惠互联网信息服务有限公司进行了清算，不再纳入</w:t>
      </w:r>
      <w:r>
        <w:rPr>
          <w:spacing w:val="-57"/>
        </w:rPr>
        <w:t> </w:t>
      </w:r>
      <w:r>
        <w:rPr>
          <w:spacing w:val="-57"/>
        </w:rPr>
      </w:r>
      <w:r>
        <w:rPr/>
        <w:t>合并范围。</w:t>
      </w:r>
    </w:p>
    <w:p>
      <w:pPr>
        <w:spacing w:line="240" w:lineRule="auto" w:before="10"/>
        <w:rPr>
          <w:rFonts w:ascii="宋体" w:hAnsi="宋体" w:cs="宋体" w:eastAsia="宋体" w:hint="default"/>
          <w:sz w:val="25"/>
          <w:szCs w:val="25"/>
        </w:rPr>
      </w:pPr>
    </w:p>
    <w:p>
      <w:pPr>
        <w:pStyle w:val="BodyText"/>
        <w:spacing w:line="321" w:lineRule="auto" w:before="0"/>
        <w:ind w:left="501" w:right="1126"/>
        <w:jc w:val="left"/>
      </w:pPr>
      <w:r>
        <w:rPr/>
        <w:t>（</w:t>
      </w:r>
      <w:r>
        <w:rPr>
          <w:rFonts w:ascii="宋体" w:hAnsi="宋体" w:cs="宋体" w:eastAsia="宋体" w:hint="default"/>
        </w:rPr>
        <w:t>4</w:t>
      </w:r>
      <w:r>
        <w:rPr/>
        <w:t>）本年度结构化主体减少情况： </w:t>
      </w:r>
      <w:r>
        <w:rPr>
          <w:spacing w:val="-2"/>
        </w:rPr>
        <w:t>本年度，富诚海富通君诚一号专项资产管理计划、渤海信托</w:t>
      </w:r>
      <w:r>
        <w:rPr>
          <w:rFonts w:ascii="宋体" w:hAnsi="宋体" w:cs="宋体" w:eastAsia="宋体" w:hint="default"/>
          <w:spacing w:val="-2"/>
        </w:rPr>
        <w:t>*</w:t>
      </w:r>
      <w:r>
        <w:rPr>
          <w:spacing w:val="-2"/>
        </w:rPr>
        <w:t>开心米奇单一资金信托资产计划、天风</w:t>
      </w:r>
      <w:r>
        <w:rPr>
          <w:rFonts w:ascii="宋体" w:hAnsi="宋体" w:cs="宋体" w:eastAsia="宋体" w:hint="default"/>
          <w:spacing w:val="-2"/>
        </w:rPr>
        <w:t>-</w:t>
      </w:r>
      <w:r>
        <w:rPr>
          <w:spacing w:val="-2"/>
        </w:rPr>
        <w:t>二三四五租赁一期</w:t>
      </w:r>
    </w:p>
    <w:p>
      <w:pPr>
        <w:pStyle w:val="BodyText"/>
        <w:spacing w:line="240" w:lineRule="auto" w:before="18"/>
        <w:ind w:right="0"/>
        <w:jc w:val="left"/>
      </w:pPr>
      <w:r>
        <w:rPr/>
        <w:t>资产支持专项计划因注销清算，不再纳入合并范围。</w:t>
      </w:r>
    </w:p>
    <w:p>
      <w:pPr>
        <w:spacing w:line="240" w:lineRule="auto" w:before="11"/>
        <w:rPr>
          <w:rFonts w:ascii="宋体" w:hAnsi="宋体" w:cs="宋体" w:eastAsia="宋体" w:hint="default"/>
          <w:sz w:val="24"/>
          <w:szCs w:val="24"/>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125</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郑斌、范翃</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ind w:right="0"/>
        <w:jc w:val="left"/>
      </w:pPr>
      <w:r>
        <w:rPr/>
        <w:t>当期是否改聘会计师事务所</w:t>
      </w:r>
    </w:p>
    <w:p>
      <w:pPr>
        <w:pStyle w:val="BodyText"/>
        <w:spacing w:line="316" w:lineRule="auto" w:before="140"/>
        <w:ind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348" w:lineRule="auto" w:before="67"/>
        <w:ind w:right="1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6"/>
        </w:rPr>
        <w:t>报告期内公司聘请立信会计师事务所（特殊普通合伙）作为财务报告及内部控制审计会计师事务所，合计支付报酬</w:t>
      </w:r>
      <w:r>
        <w:rPr/>
        <w:t> </w:t>
      </w:r>
      <w:r>
        <w:rPr>
          <w:rFonts w:ascii="Times New Roman" w:hAnsi="Times New Roman" w:cs="Times New Roman" w:eastAsia="Times New Roman" w:hint="default"/>
        </w:rPr>
        <w:t>125</w:t>
      </w:r>
      <w:r>
        <w:rPr>
          <w:rFonts w:ascii="Times New Roman" w:hAnsi="Times New Roman" w:cs="Times New Roman" w:eastAsia="Times New Roman" w:hint="default"/>
          <w:spacing w:val="-4"/>
        </w:rPr>
        <w:t> </w:t>
      </w:r>
      <w:r>
        <w:rPr/>
        <w:t>万元。</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33"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720"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676" w:right="8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45" w:right="13" w:hanging="331"/>
              <w:jc w:val="left"/>
              <w:rPr>
                <w:rFonts w:ascii="宋体" w:hAnsi="宋体" w:cs="宋体" w:eastAsia="宋体" w:hint="default"/>
                <w:sz w:val="18"/>
                <w:szCs w:val="18"/>
              </w:rPr>
            </w:pPr>
            <w:r>
              <w:rPr>
                <w:rFonts w:ascii="宋体" w:hAnsi="宋体" w:cs="宋体" w:eastAsia="宋体" w:hint="default"/>
                <w:spacing w:val="-10"/>
                <w:sz w:val="18"/>
                <w:szCs w:val="18"/>
              </w:rPr>
              <w:t>涉案金额（万</w:t>
            </w:r>
            <w:r>
              <w:rPr>
                <w:rFonts w:ascii="宋体" w:hAnsi="宋体" w:cs="宋体" w:eastAsia="宋体" w:hint="default"/>
                <w:sz w:val="18"/>
                <w:szCs w:val="18"/>
              </w:rPr>
              <w:t> 元）</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89"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69"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40" w:right="73"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0" w:right="119"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0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14" w:lineRule="auto"/>
              <w:ind w:left="15" w:right="90"/>
              <w:jc w:val="both"/>
              <w:rPr>
                <w:rFonts w:ascii="宋体" w:hAnsi="宋体" w:cs="宋体" w:eastAsia="宋体" w:hint="default"/>
                <w:sz w:val="18"/>
                <w:szCs w:val="18"/>
              </w:rPr>
            </w:pPr>
            <w:r>
              <w:rPr>
                <w:rFonts w:ascii="宋体" w:hAnsi="宋体" w:cs="宋体" w:eastAsia="宋体" w:hint="default"/>
                <w:sz w:val="18"/>
                <w:szCs w:val="18"/>
              </w:rPr>
              <w:t>未达到重大披露标 准的其他诉讼情况 汇总</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21,231.24</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21" w:lineRule="auto"/>
              <w:ind w:left="15" w:right="180"/>
              <w:jc w:val="left"/>
              <w:rPr>
                <w:rFonts w:ascii="宋体" w:hAnsi="宋体" w:cs="宋体" w:eastAsia="宋体" w:hint="default"/>
                <w:sz w:val="18"/>
                <w:szCs w:val="18"/>
              </w:rPr>
            </w:pPr>
            <w:r>
              <w:rPr>
                <w:rFonts w:ascii="宋体" w:hAnsi="宋体" w:cs="宋体" w:eastAsia="宋体" w:hint="default"/>
                <w:sz w:val="18"/>
                <w:szCs w:val="18"/>
              </w:rPr>
              <w:t>一审审理 中</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30"/>
              <w:ind w:left="30" w:right="74"/>
              <w:jc w:val="left"/>
              <w:rPr>
                <w:rFonts w:ascii="宋体" w:hAnsi="宋体" w:cs="宋体" w:eastAsia="宋体" w:hint="default"/>
                <w:sz w:val="18"/>
                <w:szCs w:val="18"/>
              </w:rPr>
            </w:pPr>
            <w:r>
              <w:rPr>
                <w:rFonts w:ascii="宋体" w:hAnsi="宋体" w:cs="宋体" w:eastAsia="宋体" w:hint="default"/>
                <w:sz w:val="18"/>
                <w:szCs w:val="18"/>
              </w:rPr>
              <w:t>截至报告期末， 公司尚未结案的 诉讼事项共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件，公司已计提</w:t>
            </w:r>
          </w:p>
          <w:p>
            <w:pPr>
              <w:pStyle w:val="TableParagraph"/>
              <w:spacing w:line="240" w:lineRule="auto" w:before="27"/>
              <w:ind w:left="30" w:right="0"/>
              <w:jc w:val="left"/>
              <w:rPr>
                <w:rFonts w:ascii="宋体" w:hAnsi="宋体" w:cs="宋体" w:eastAsia="宋体" w:hint="default"/>
                <w:sz w:val="18"/>
                <w:szCs w:val="18"/>
              </w:rPr>
            </w:pPr>
            <w:r>
              <w:rPr>
                <w:rFonts w:ascii="宋体" w:hAnsi="宋体" w:cs="宋体" w:eastAsia="宋体" w:hint="default"/>
                <w:sz w:val="18"/>
                <w:szCs w:val="18"/>
              </w:rPr>
              <w:t>相应的预计负债</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5" w:right="0"/>
              <w:jc w:val="left"/>
              <w:rPr>
                <w:rFonts w:ascii="宋体" w:hAnsi="宋体" w:cs="宋体" w:eastAsia="宋体" w:hint="default"/>
                <w:sz w:val="18"/>
                <w:szCs w:val="18"/>
              </w:rPr>
            </w:pPr>
            <w:r>
              <w:rPr>
                <w:rFonts w:ascii="宋体" w:hAnsi="宋体" w:cs="宋体" w:eastAsia="宋体" w:hint="default"/>
                <w:sz w:val="18"/>
                <w:szCs w:val="18"/>
              </w:rPr>
              <w:t>目前尚未结案</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360" w:hRule="exact"/>
        </w:trPr>
        <w:tc>
          <w:tcPr>
            <w:tcW w:w="156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613.5 </w:t>
            </w:r>
            <w:r>
              <w:rPr>
                <w:rFonts w:ascii="宋体" w:hAnsi="宋体" w:cs="宋体" w:eastAsia="宋体" w:hint="default"/>
                <w:sz w:val="18"/>
                <w:szCs w:val="18"/>
              </w:rPr>
              <w:t>万元</w:t>
            </w:r>
          </w:p>
        </w:tc>
        <w:tc>
          <w:tcPr>
            <w:tcW w:w="124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spacing w:line="319" w:lineRule="auto" w:before="0"/>
        <w:ind w:left="501" w:right="7419"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一、</w:t>
      </w:r>
      <w:r>
        <w:rPr>
          <w:rFonts w:ascii="宋体" w:hAnsi="宋体" w:cs="宋体" w:eastAsia="宋体" w:hint="default"/>
          <w:b/>
          <w:bCs/>
          <w:sz w:val="18"/>
          <w:szCs w:val="18"/>
        </w:rPr>
        <w:t>2016</w:t>
      </w:r>
      <w:r>
        <w:rPr>
          <w:rFonts w:ascii="宋体" w:hAnsi="宋体" w:cs="宋体" w:eastAsia="宋体" w:hint="default"/>
          <w:b/>
          <w:bCs/>
          <w:sz w:val="18"/>
          <w:szCs w:val="18"/>
        </w:rPr>
        <w:t>年限制性股票激励计划</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、报告期内回购注销部分限制性股票</w:t>
      </w:r>
    </w:p>
    <w:p>
      <w:pPr>
        <w:pStyle w:val="BodyText"/>
        <w:spacing w:line="316" w:lineRule="auto" w:before="20"/>
        <w:ind w:right="1121" w:firstLine="360"/>
        <w:jc w:val="both"/>
      </w:pPr>
      <w:r>
        <w:rPr/>
        <w:t>（</w:t>
      </w: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日，公司第六届董事会第三十次会议、公司第六届监事会第十九次会议分别审议通过了《关于回购 </w:t>
      </w:r>
      <w:r>
        <w:rPr>
          <w:spacing w:val="-2"/>
        </w:rPr>
        <w:t>注销部分已不符合激励条件的原激励对象已获授但尚未解锁的限制性股票的议案》，同意对已离职激励对象熊政兴的已获授</w:t>
      </w:r>
      <w:r>
        <w:rPr>
          <w:spacing w:val="-72"/>
        </w:rPr>
        <w:t> </w:t>
      </w:r>
      <w:r>
        <w:rPr>
          <w:spacing w:val="-72"/>
        </w:rPr>
      </w:r>
      <w:r>
        <w:rPr/>
        <w:t>但尚未解锁的全部限制性股票</w:t>
      </w:r>
      <w:r>
        <w:rPr>
          <w:rFonts w:ascii="宋体" w:hAnsi="宋体" w:cs="宋体" w:eastAsia="宋体" w:hint="default"/>
        </w:rPr>
        <w:t>169,000</w:t>
      </w:r>
      <w:r>
        <w:rPr/>
        <w:t>股进行回购注销，详见公司于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17</w:t>
      </w:r>
      <w:r>
        <w:rPr/>
        <w:t>日发布在巨潮资讯网的《第六届董事会第</w:t>
      </w:r>
      <w:r>
        <w:rPr>
          <w:spacing w:val="-85"/>
        </w:rPr>
        <w:t> </w:t>
      </w:r>
      <w:r>
        <w:rPr>
          <w:spacing w:val="-2"/>
        </w:rPr>
        <w:t>三十次会议决议公告》、《第六届监事会第十九次会议决议公告》及《关于回购注销部分已不符合激励条件的原激励对象已</w:t>
      </w:r>
      <w:r>
        <w:rPr>
          <w:spacing w:val="-58"/>
        </w:rPr>
        <w:t> </w:t>
      </w:r>
      <w:r>
        <w:rPr>
          <w:spacing w:val="-58"/>
        </w:rPr>
      </w:r>
      <w:r>
        <w:rPr/>
        <w:t>获授但尚未解锁的限制性股票的公告》（公告编号：</w:t>
      </w:r>
      <w:r>
        <w:rPr>
          <w:rFonts w:ascii="宋体" w:hAnsi="宋体" w:cs="宋体" w:eastAsia="宋体" w:hint="default"/>
        </w:rPr>
        <w:t>2018-091</w:t>
      </w:r>
      <w:r>
        <w:rPr/>
        <w:t>、</w:t>
      </w:r>
      <w:r>
        <w:rPr>
          <w:rFonts w:ascii="宋体" w:hAnsi="宋体" w:cs="宋体" w:eastAsia="宋体" w:hint="default"/>
        </w:rPr>
        <w:t>2018-092</w:t>
      </w:r>
      <w:r>
        <w:rPr/>
        <w:t>、</w:t>
      </w:r>
      <w:r>
        <w:rPr>
          <w:rFonts w:ascii="宋体" w:hAnsi="宋体" w:cs="宋体" w:eastAsia="宋体" w:hint="default"/>
        </w:rPr>
        <w:t>2018-093</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t>日，公司召开第六届</w:t>
      </w:r>
      <w:r>
        <w:rPr>
          <w:spacing w:val="-85"/>
        </w:rPr>
        <w:t> </w:t>
      </w:r>
      <w:r>
        <w:rPr>
          <w:spacing w:val="-2"/>
        </w:rPr>
        <w:t>董事会第三十四次会议、公司第六届监事会第二十二次会议分别审议通过了《关于回购注销</w:t>
      </w:r>
      <w:r>
        <w:rPr>
          <w:rFonts w:ascii="宋体" w:hAnsi="宋体" w:cs="宋体" w:eastAsia="宋体" w:hint="default"/>
          <w:spacing w:val="-2"/>
        </w:rPr>
        <w:t>2016</w:t>
      </w:r>
      <w:r>
        <w:rPr>
          <w:spacing w:val="-2"/>
        </w:rPr>
        <w:t>年、</w:t>
      </w:r>
      <w:r>
        <w:rPr>
          <w:rFonts w:ascii="宋体" w:hAnsi="宋体" w:cs="宋体" w:eastAsia="宋体" w:hint="default"/>
          <w:spacing w:val="-2"/>
        </w:rPr>
        <w:t>2017</w:t>
      </w:r>
      <w:r>
        <w:rPr>
          <w:spacing w:val="-2"/>
        </w:rPr>
        <w:t>年限制性股票激励</w:t>
      </w:r>
      <w:r>
        <w:rPr>
          <w:spacing w:val="-57"/>
        </w:rPr>
        <w:t> </w:t>
      </w:r>
      <w:r>
        <w:rPr/>
        <w:t>计划部分限制性股票的议案》，同意对代小虎等已离职激励对象已获授但尚未解锁的全部限制性股票</w:t>
      </w:r>
      <w:r>
        <w:rPr>
          <w:rFonts w:ascii="宋体" w:hAnsi="宋体" w:cs="宋体" w:eastAsia="宋体" w:hint="default"/>
        </w:rPr>
        <w:t>4,005,250</w:t>
      </w:r>
      <w:r>
        <w:rPr/>
        <w:t>股进行回购</w:t>
      </w:r>
      <w:r>
        <w:rPr>
          <w:spacing w:val="-79"/>
        </w:rPr>
        <w:t> </w:t>
      </w:r>
      <w:r>
        <w:rPr/>
        <w:t>注销。详见公司于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15</w:t>
      </w:r>
      <w:r>
        <w:rPr/>
        <w:t>日发布在巨潮资讯网的《第六届董事会第三十四次会议决议公告》、《第六届监事会第二十 </w:t>
      </w:r>
      <w:r>
        <w:rPr>
          <w:spacing w:val="-5"/>
        </w:rPr>
        <w:t>二次会议决议公告》及《关于回购注销</w:t>
      </w:r>
      <w:r>
        <w:rPr>
          <w:rFonts w:ascii="宋体" w:hAnsi="宋体" w:cs="宋体" w:eastAsia="宋体" w:hint="default"/>
          <w:spacing w:val="-5"/>
        </w:rPr>
        <w:t>2016</w:t>
      </w:r>
      <w:r>
        <w:rPr>
          <w:spacing w:val="-5"/>
        </w:rPr>
        <w:t>年、</w:t>
      </w:r>
      <w:r>
        <w:rPr>
          <w:rFonts w:ascii="宋体" w:hAnsi="宋体" w:cs="宋体" w:eastAsia="宋体" w:hint="default"/>
          <w:spacing w:val="-5"/>
        </w:rPr>
        <w:t>2017</w:t>
      </w:r>
      <w:r>
        <w:rPr>
          <w:spacing w:val="-5"/>
        </w:rPr>
        <w:t>年限制性股票激励计划部分限制性股票的公告》（公告编号：</w:t>
      </w:r>
      <w:r>
        <w:rPr>
          <w:rFonts w:ascii="宋体" w:hAnsi="宋体" w:cs="宋体" w:eastAsia="宋体" w:hint="default"/>
          <w:spacing w:val="-5"/>
        </w:rPr>
        <w:t>2019-013</w:t>
      </w:r>
      <w:r>
        <w:rPr>
          <w:spacing w:val="-5"/>
        </w:rPr>
        <w:t>、</w:t>
      </w:r>
      <w:r>
        <w:rPr>
          <w:spacing w:val="-36"/>
        </w:rPr>
        <w:t> </w:t>
      </w:r>
      <w:r>
        <w:rPr>
          <w:rFonts w:ascii="宋体" w:hAnsi="宋体" w:cs="宋体" w:eastAsia="宋体" w:hint="default"/>
        </w:rPr>
        <w:t>2019-014</w:t>
      </w:r>
      <w:r>
        <w:rPr/>
        <w:t>、</w:t>
      </w:r>
      <w:r>
        <w:rPr>
          <w:rFonts w:ascii="宋体" w:hAnsi="宋体" w:cs="宋体" w:eastAsia="宋体" w:hint="default"/>
        </w:rPr>
        <w:t>2019-020</w:t>
      </w:r>
      <w:r>
        <w:rPr/>
        <w:t>）。</w:t>
      </w:r>
    </w:p>
    <w:p>
      <w:pPr>
        <w:pStyle w:val="BodyText"/>
        <w:spacing w:line="240" w:lineRule="auto" w:before="22"/>
        <w:ind w:left="501" w:right="0"/>
        <w:jc w:val="left"/>
      </w:pPr>
      <w:r>
        <w:rPr/>
        <w:t>上述议案已经公司</w:t>
      </w:r>
      <w:r>
        <w:rPr>
          <w:spacing w:val="2"/>
        </w:rPr>
        <w:t>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日召开</w:t>
      </w:r>
      <w:r>
        <w:rPr>
          <w:spacing w:val="1"/>
        </w:rPr>
        <w:t>的</w:t>
      </w:r>
      <w:r>
        <w:rPr>
          <w:rFonts w:ascii="宋体" w:hAnsi="宋体" w:cs="宋体" w:eastAsia="宋体" w:hint="default"/>
        </w:rPr>
        <w:t>2018</w:t>
      </w:r>
      <w:r>
        <w:rPr/>
        <w:t>年度股东大会审议通过</w:t>
      </w:r>
      <w:r>
        <w:rPr>
          <w:spacing w:val="-76"/>
        </w:rPr>
        <w:t>，</w:t>
      </w:r>
      <w:r>
        <w:rPr/>
        <w:t>详见公司</w:t>
      </w:r>
      <w:r>
        <w:rPr>
          <w:spacing w:val="3"/>
        </w:rPr>
        <w:t>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11</w:t>
      </w:r>
      <w:r>
        <w:rPr/>
        <w:t>日发布在巨潮资讯网的</w:t>
      </w:r>
    </w:p>
    <w:p>
      <w:pPr>
        <w:pStyle w:val="BodyText"/>
        <w:spacing w:line="321" w:lineRule="auto" w:before="65"/>
        <w:ind w:right="1126"/>
        <w:jc w:val="left"/>
      </w:pPr>
      <w:r>
        <w:rPr>
          <w:spacing w:val="-2"/>
        </w:rPr>
        <w:t>《</w:t>
      </w:r>
      <w:r>
        <w:rPr>
          <w:rFonts w:ascii="宋体" w:hAnsi="宋体" w:cs="宋体" w:eastAsia="宋体" w:hint="default"/>
          <w:spacing w:val="-2"/>
        </w:rPr>
        <w:t>2018</w:t>
      </w:r>
      <w:r>
        <w:rPr>
          <w:spacing w:val="-2"/>
        </w:rPr>
        <w:t>年度股东大会决议公告》（公告编号：</w:t>
      </w:r>
      <w:r>
        <w:rPr>
          <w:rFonts w:ascii="宋体" w:hAnsi="宋体" w:cs="宋体" w:eastAsia="宋体" w:hint="default"/>
          <w:spacing w:val="-2"/>
        </w:rPr>
        <w:t>2019-034</w:t>
      </w:r>
      <w:r>
        <w:rPr>
          <w:spacing w:val="-2"/>
        </w:rPr>
        <w:t>）。前述回购注销事宜已于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月完成，详见公司于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rFonts w:ascii="宋体" w:hAnsi="宋体" w:cs="宋体" w:eastAsia="宋体" w:hint="default"/>
          <w:spacing w:val="-42"/>
        </w:rPr>
        <w:t> </w:t>
      </w:r>
      <w:r>
        <w:rPr/>
        <w:t>日发布在巨潮资讯网的《关于部分限制性股票回购注销完成的公告》（公告编号：</w:t>
      </w:r>
      <w:r>
        <w:rPr>
          <w:rFonts w:ascii="宋体" w:hAnsi="宋体" w:cs="宋体" w:eastAsia="宋体" w:hint="default"/>
        </w:rPr>
        <w:t>2019-041</w:t>
      </w:r>
      <w:r>
        <w:rPr/>
        <w:t>）。</w:t>
      </w:r>
    </w:p>
    <w:p>
      <w:pPr>
        <w:pStyle w:val="BodyText"/>
        <w:spacing w:line="316" w:lineRule="auto" w:before="18"/>
        <w:ind w:right="1100" w:firstLine="360"/>
        <w:jc w:val="both"/>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w:t>
      </w:r>
      <w:r>
        <w:rPr/>
        <w:t>日，公司召开第七届董事会第三次会议、第七届监事会第三次会议分别审议通过了《关于回购注销部 </w:t>
      </w:r>
      <w:r>
        <w:rPr>
          <w:spacing w:val="-1"/>
        </w:rPr>
        <w:t>分已获授但尚未解锁的限制性股票的议案》，同意将</w:t>
      </w:r>
      <w:r>
        <w:rPr>
          <w:rFonts w:ascii="宋体" w:hAnsi="宋体" w:cs="宋体" w:eastAsia="宋体" w:hint="default"/>
          <w:spacing w:val="-1"/>
        </w:rPr>
        <w:t>2016</w:t>
      </w:r>
      <w:r>
        <w:rPr>
          <w:spacing w:val="-1"/>
        </w:rPr>
        <w:t>年限制性股票激励计划（首期）的原激励对象陆卫忠先生已获授但</w:t>
      </w:r>
      <w:r>
        <w:rPr/>
        <w:t> 尚未解锁的限制性股票</w:t>
      </w:r>
      <w:r>
        <w:rPr>
          <w:rFonts w:ascii="宋体" w:hAnsi="宋体" w:cs="宋体" w:eastAsia="宋体" w:hint="default"/>
        </w:rPr>
        <w:t>172,380</w:t>
      </w:r>
      <w:r>
        <w:rPr/>
        <w:t>股进行回购注销。本次限制性股票回购注销事项尚需提交公司股东大会审议通过。详见公司</w:t>
      </w:r>
      <w:r>
        <w:rPr>
          <w:spacing w:val="-87"/>
        </w:rPr>
        <w:t> </w:t>
      </w: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w:t>
      </w:r>
      <w:r>
        <w:rPr>
          <w:spacing w:val="-2"/>
        </w:rPr>
        <w:t>日发布在巨潮资讯网的《第七届董事会第三次会议决议公告》、《第七届监事会第三次会议决议公告》、《关</w:t>
      </w:r>
      <w:r>
        <w:rPr>
          <w:spacing w:val="-69"/>
        </w:rPr>
        <w:t> </w:t>
      </w:r>
      <w:r>
        <w:rPr>
          <w:spacing w:val="-69"/>
        </w:rPr>
      </w:r>
      <w:r>
        <w:rPr/>
        <w:t>于回购注销部分已获授但尚未解锁的限制性股票的公告》（公告编号：</w:t>
      </w:r>
      <w:r>
        <w:rPr>
          <w:rFonts w:ascii="宋体" w:hAnsi="宋体" w:cs="宋体" w:eastAsia="宋体" w:hint="default"/>
        </w:rPr>
        <w:t>2019-057</w:t>
      </w:r>
      <w:r>
        <w:rPr/>
        <w:t>、</w:t>
      </w:r>
      <w:r>
        <w:rPr>
          <w:rFonts w:ascii="宋体" w:hAnsi="宋体" w:cs="宋体" w:eastAsia="宋体" w:hint="default"/>
        </w:rPr>
        <w:t>2019-058</w:t>
      </w:r>
      <w:r>
        <w:rPr/>
        <w:t>、</w:t>
      </w:r>
      <w:r>
        <w:rPr>
          <w:rFonts w:ascii="宋体" w:hAnsi="宋体" w:cs="宋体" w:eastAsia="宋体" w:hint="default"/>
        </w:rPr>
        <w:t>2019-059</w:t>
      </w:r>
      <w:r>
        <w:rPr/>
        <w:t>）。</w:t>
      </w:r>
    </w:p>
    <w:p>
      <w:pPr>
        <w:pStyle w:val="BodyText"/>
        <w:spacing w:line="316" w:lineRule="auto" w:before="22"/>
        <w:ind w:right="1099" w:firstLine="360"/>
        <w:jc w:val="both"/>
      </w:pPr>
      <w:r>
        <w:rPr/>
        <w:t>（</w:t>
      </w: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18</w:t>
      </w:r>
      <w:r>
        <w:rPr/>
        <w:t>日，公司召开第七届董事会第五次会议、第七届监事会第五次会议分别审议通过了《关于回购注销 </w:t>
      </w:r>
      <w:r>
        <w:rPr>
          <w:rFonts w:ascii="宋体" w:hAnsi="宋体" w:cs="宋体" w:eastAsia="宋体" w:hint="default"/>
          <w:spacing w:val="-1"/>
        </w:rPr>
        <w:t>2016</w:t>
      </w:r>
      <w:r>
        <w:rPr>
          <w:spacing w:val="-1"/>
        </w:rPr>
        <w:t>年限制性股票激励计划部分限制性股票的议案》，同意将</w:t>
      </w:r>
      <w:r>
        <w:rPr>
          <w:rFonts w:ascii="宋体" w:hAnsi="宋体" w:cs="宋体" w:eastAsia="宋体" w:hint="default"/>
          <w:spacing w:val="-1"/>
        </w:rPr>
        <w:t>2016</w:t>
      </w:r>
      <w:r>
        <w:rPr>
          <w:spacing w:val="-1"/>
        </w:rPr>
        <w:t>年限制性股票激励计划（预留部分）的原激励对象李卫国</w:t>
      </w:r>
      <w:r>
        <w:rPr>
          <w:spacing w:val="-87"/>
        </w:rPr>
        <w:t> </w:t>
      </w:r>
      <w:r>
        <w:rPr>
          <w:spacing w:val="-87"/>
        </w:rPr>
      </w:r>
      <w:r>
        <w:rPr/>
        <w:t>先生已获授但尚未解锁的</w:t>
      </w:r>
      <w:r>
        <w:rPr>
          <w:rFonts w:ascii="宋体" w:hAnsi="宋体" w:cs="宋体" w:eastAsia="宋体" w:hint="default"/>
        </w:rPr>
        <w:t>253,500</w:t>
      </w:r>
      <w:r>
        <w:rPr/>
        <w:t>股限制性股票进行回购注销。本次限制性股票回购注销事项尚需提交公司股东大会审议通 </w:t>
      </w:r>
      <w:r>
        <w:rPr>
          <w:spacing w:val="-2"/>
        </w:rPr>
        <w:t>过。详见公司于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日发布在巨潮资讯网的《第七届董事会第五次会议决议公告》、《第七届监事会第五次会议决</w:t>
      </w:r>
      <w:r>
        <w:rPr>
          <w:spacing w:val="-49"/>
        </w:rPr>
        <w:t> </w:t>
      </w:r>
      <w:r>
        <w:rPr>
          <w:spacing w:val="-49"/>
        </w:rPr>
      </w:r>
      <w:r>
        <w:rPr>
          <w:spacing w:val="-10"/>
        </w:rPr>
        <w:t>议公告》、《关于回购注销</w:t>
      </w:r>
      <w:r>
        <w:rPr>
          <w:rFonts w:ascii="宋体" w:hAnsi="宋体" w:cs="宋体" w:eastAsia="宋体" w:hint="default"/>
          <w:spacing w:val="-10"/>
        </w:rPr>
        <w:t>2016</w:t>
      </w:r>
      <w:r>
        <w:rPr>
          <w:spacing w:val="-10"/>
        </w:rPr>
        <w:t>年限制性股票激励计划部分限制性股票的公告》（公告编号：</w:t>
      </w:r>
      <w:r>
        <w:rPr>
          <w:rFonts w:ascii="宋体" w:hAnsi="宋体" w:cs="宋体" w:eastAsia="宋体" w:hint="default"/>
          <w:spacing w:val="-10"/>
        </w:rPr>
        <w:t>2019-074</w:t>
      </w:r>
      <w:r>
        <w:rPr>
          <w:spacing w:val="-10"/>
        </w:rPr>
        <w:t>、</w:t>
      </w:r>
      <w:r>
        <w:rPr>
          <w:rFonts w:ascii="宋体" w:hAnsi="宋体" w:cs="宋体" w:eastAsia="宋体" w:hint="default"/>
          <w:spacing w:val="-10"/>
        </w:rPr>
        <w:t>2019-075</w:t>
      </w:r>
      <w:r>
        <w:rPr>
          <w:spacing w:val="-10"/>
        </w:rPr>
        <w:t>、</w:t>
      </w:r>
      <w:r>
        <w:rPr>
          <w:rFonts w:ascii="宋体" w:hAnsi="宋体" w:cs="宋体" w:eastAsia="宋体" w:hint="default"/>
          <w:spacing w:val="-10"/>
        </w:rPr>
        <w:t>2019-076</w:t>
      </w:r>
      <w:r>
        <w:rPr>
          <w:spacing w:val="-10"/>
        </w:rPr>
        <w:t>）。</w:t>
      </w:r>
      <w:r>
        <w:rPr/>
      </w:r>
    </w:p>
    <w:p>
      <w:pPr>
        <w:pStyle w:val="BodyText"/>
        <w:spacing w:line="240" w:lineRule="auto" w:before="22"/>
        <w:ind w:left="501" w:right="0"/>
        <w:jc w:val="left"/>
      </w:pPr>
      <w:r>
        <w:rPr>
          <w:rFonts w:ascii="宋体" w:hAnsi="宋体" w:cs="宋体" w:eastAsia="宋体" w:hint="default"/>
        </w:rPr>
        <w:t>2</w:t>
      </w:r>
      <w:r>
        <w:rPr/>
        <w:t>、</w:t>
      </w:r>
      <w:r>
        <w:rPr>
          <w:rFonts w:ascii="宋体" w:hAnsi="宋体" w:cs="宋体" w:eastAsia="宋体" w:hint="default"/>
        </w:rPr>
        <w:t>2016</w:t>
      </w:r>
      <w:r>
        <w:rPr/>
        <w:t>年限制性股票首期第三个解除限售期解除限售、预留部分第二个解除限售期解除限售</w:t>
      </w:r>
    </w:p>
    <w:p>
      <w:pPr>
        <w:pStyle w:val="BodyText"/>
        <w:spacing w:line="316" w:lineRule="auto" w:before="80"/>
        <w:ind w:right="1125" w:firstLine="360"/>
        <w:jc w:val="both"/>
      </w:pPr>
      <w:r>
        <w:rPr>
          <w:rFonts w:ascii="宋体" w:hAnsi="宋体" w:cs="宋体" w:eastAsia="宋体" w:hint="default"/>
        </w:rPr>
        <w:t>2019</w:t>
      </w:r>
      <w:r>
        <w:rPr>
          <w:rFonts w:ascii="宋体" w:hAnsi="宋体" w:cs="宋体" w:eastAsia="宋体" w:hint="default"/>
          <w:spacing w:val="6"/>
        </w:rPr>
        <w:t> </w:t>
      </w:r>
      <w:r>
        <w:rPr/>
        <w:t>年</w:t>
      </w:r>
      <w:r>
        <w:rPr>
          <w:rFonts w:ascii="宋体" w:hAnsi="宋体" w:cs="宋体" w:eastAsia="宋体" w:hint="default"/>
        </w:rPr>
        <w:t>11</w:t>
      </w:r>
      <w:r>
        <w:rPr/>
        <w:t>月</w:t>
      </w:r>
      <w:r>
        <w:rPr>
          <w:rFonts w:ascii="宋体" w:hAnsi="宋体" w:cs="宋体" w:eastAsia="宋体" w:hint="default"/>
        </w:rPr>
        <w:t>18</w:t>
      </w:r>
      <w:r>
        <w:rPr/>
        <w:t>日，公司召开第七届董事会第五次会议、第七届监事会第五次会议分别审议通过了《关于</w:t>
      </w:r>
      <w:r>
        <w:rPr>
          <w:rFonts w:ascii="宋体" w:hAnsi="宋体" w:cs="宋体" w:eastAsia="宋体" w:hint="default"/>
        </w:rPr>
        <w:t>2016</w:t>
      </w:r>
      <w:r>
        <w:rPr/>
        <w:t>年限制性 </w:t>
      </w:r>
      <w:r>
        <w:rPr>
          <w:spacing w:val="-2"/>
        </w:rPr>
        <w:t>股票激励计划（首期）第三个解除限售期解除限售相关事宜的议案》、《关于</w:t>
      </w:r>
      <w:r>
        <w:rPr>
          <w:rFonts w:ascii="宋体" w:hAnsi="宋体" w:cs="宋体" w:eastAsia="宋体" w:hint="default"/>
          <w:spacing w:val="-2"/>
        </w:rPr>
        <w:t>2016</w:t>
      </w:r>
      <w:r>
        <w:rPr>
          <w:spacing w:val="-2"/>
        </w:rPr>
        <w:t>年限制性股票激励计划（预留部分）第二</w:t>
      </w:r>
      <w:r>
        <w:rPr>
          <w:spacing w:val="-62"/>
        </w:rPr>
        <w:t> </w:t>
      </w:r>
      <w:r>
        <w:rPr>
          <w:spacing w:val="-62"/>
        </w:rPr>
      </w:r>
      <w:r>
        <w:rPr>
          <w:spacing w:val="-2"/>
        </w:rPr>
        <w:t>个解除限售期解除限售相关事宜的议案》，同意董事会按照股权激励计划的相关规定办理限制性股票首期授予的第三个及预</w:t>
      </w:r>
      <w:r>
        <w:rPr>
          <w:spacing w:val="-72"/>
        </w:rPr>
        <w:t> </w:t>
      </w:r>
      <w:r>
        <w:rPr>
          <w:spacing w:val="-72"/>
        </w:rPr>
      </w:r>
      <w:r>
        <w:rPr/>
        <w:t>留部分授予的第二个解除限售期解除限售的相关事宜，两次解除限售的限制性股票的上市流通日均为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w:t>
      </w:r>
      <w:r>
        <w:rPr/>
        <w:t>日。详见</w:t>
      </w:r>
    </w:p>
    <w:p>
      <w:pPr>
        <w:spacing w:after="0" w:line="316"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11"/>
        <w:jc w:val="left"/>
      </w:pP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日发布在巨潮资讯网的《第七届董事会第五次会议决议公告》、《第七届监事会第五</w:t>
      </w:r>
      <w:r>
        <w:rPr>
          <w:spacing w:val="-42"/>
        </w:rPr>
        <w:t> </w:t>
      </w:r>
      <w:r>
        <w:rPr>
          <w:spacing w:val="-42"/>
        </w:rPr>
      </w:r>
      <w:r>
        <w:rPr/>
        <w:t>次会议决议公告》、《关于</w:t>
      </w:r>
      <w:r>
        <w:rPr>
          <w:rFonts w:ascii="宋体" w:hAnsi="宋体" w:cs="宋体" w:eastAsia="宋体" w:hint="default"/>
        </w:rPr>
        <w:t>2016</w:t>
      </w:r>
      <w:r>
        <w:rPr/>
        <w:t>年限制性股票激励计划（首期）第三个解除限售期解除限售相关事宜的公告》《关于</w:t>
      </w:r>
      <w:r>
        <w:rPr>
          <w:rFonts w:ascii="宋体" w:hAnsi="宋体" w:cs="宋体" w:eastAsia="宋体" w:hint="default"/>
        </w:rPr>
        <w:t>2016</w:t>
      </w:r>
      <w:r>
        <w:rPr>
          <w:rFonts w:ascii="宋体" w:hAnsi="宋体" w:cs="宋体" w:eastAsia="宋体" w:hint="default"/>
          <w:spacing w:val="-80"/>
        </w:rPr>
        <w:t> </w:t>
      </w:r>
      <w:r>
        <w:rPr>
          <w:spacing w:val="-2"/>
        </w:rPr>
        <w:t>年限制性股票激励计划（预留部分）第二个解除限售期解除限售相关事宜的公告》及《关于</w:t>
      </w:r>
      <w:r>
        <w:rPr>
          <w:rFonts w:ascii="宋体" w:hAnsi="宋体" w:cs="宋体" w:eastAsia="宋体" w:hint="default"/>
          <w:spacing w:val="-2"/>
        </w:rPr>
        <w:t>2016</w:t>
      </w:r>
      <w:r>
        <w:rPr>
          <w:spacing w:val="-2"/>
        </w:rPr>
        <w:t>年限制性股票激励计划（首</w:t>
      </w:r>
      <w:r>
        <w:rPr>
          <w:spacing w:val="-45"/>
        </w:rPr>
        <w:t> </w:t>
      </w:r>
      <w:r>
        <w:rPr>
          <w:spacing w:val="-45"/>
        </w:rPr>
      </w:r>
      <w:r>
        <w:rPr>
          <w:spacing w:val="-2"/>
        </w:rPr>
        <w:t>期）第三个解除限售期解除限售股份上市流通的提示性公告》、《关于</w:t>
      </w:r>
      <w:r>
        <w:rPr>
          <w:rFonts w:ascii="宋体" w:hAnsi="宋体" w:cs="宋体" w:eastAsia="宋体" w:hint="default"/>
          <w:spacing w:val="-2"/>
        </w:rPr>
        <w:t>2016</w:t>
      </w:r>
      <w:r>
        <w:rPr>
          <w:spacing w:val="-2"/>
        </w:rPr>
        <w:t>年限制性股票激励计划（预留部分）第二个解除</w:t>
      </w:r>
      <w:r>
        <w:rPr>
          <w:spacing w:val="-63"/>
        </w:rPr>
        <w:t> </w:t>
      </w:r>
      <w:r>
        <w:rPr>
          <w:spacing w:val="-63"/>
        </w:rPr>
      </w:r>
      <w:r>
        <w:rPr>
          <w:spacing w:val="-9"/>
        </w:rPr>
        <w:t>限售期解除限售股份上市流通的提示性公告》（公告编号：</w:t>
      </w:r>
      <w:r>
        <w:rPr>
          <w:rFonts w:ascii="宋体" w:hAnsi="宋体" w:cs="宋体" w:eastAsia="宋体" w:hint="default"/>
          <w:spacing w:val="-9"/>
        </w:rPr>
        <w:t>2019-074</w:t>
      </w:r>
      <w:r>
        <w:rPr>
          <w:spacing w:val="-9"/>
        </w:rPr>
        <w:t>、</w:t>
      </w:r>
      <w:r>
        <w:rPr>
          <w:rFonts w:ascii="宋体" w:hAnsi="宋体" w:cs="宋体" w:eastAsia="宋体" w:hint="default"/>
          <w:spacing w:val="-9"/>
        </w:rPr>
        <w:t>2019-075</w:t>
      </w:r>
      <w:r>
        <w:rPr>
          <w:spacing w:val="-9"/>
        </w:rPr>
        <w:t>、</w:t>
      </w:r>
      <w:r>
        <w:rPr>
          <w:rFonts w:ascii="宋体" w:hAnsi="宋体" w:cs="宋体" w:eastAsia="宋体" w:hint="default"/>
          <w:spacing w:val="-9"/>
        </w:rPr>
        <w:t>2019-078</w:t>
      </w:r>
      <w:r>
        <w:rPr>
          <w:spacing w:val="-9"/>
        </w:rPr>
        <w:t>、</w:t>
      </w:r>
      <w:r>
        <w:rPr>
          <w:rFonts w:ascii="宋体" w:hAnsi="宋体" w:cs="宋体" w:eastAsia="宋体" w:hint="default"/>
          <w:spacing w:val="-9"/>
        </w:rPr>
        <w:t>2019-079</w:t>
      </w:r>
      <w:r>
        <w:rPr>
          <w:spacing w:val="-9"/>
        </w:rPr>
        <w:t>、</w:t>
      </w:r>
      <w:r>
        <w:rPr>
          <w:rFonts w:ascii="宋体" w:hAnsi="宋体" w:cs="宋体" w:eastAsia="宋体" w:hint="default"/>
          <w:spacing w:val="-9"/>
        </w:rPr>
        <w:t>2019-083</w:t>
      </w:r>
      <w:r>
        <w:rPr>
          <w:spacing w:val="-9"/>
        </w:rPr>
        <w:t>、</w:t>
      </w:r>
      <w:r>
        <w:rPr>
          <w:rFonts w:ascii="宋体" w:hAnsi="宋体" w:cs="宋体" w:eastAsia="宋体" w:hint="default"/>
          <w:spacing w:val="-9"/>
        </w:rPr>
        <w:t>2019-084</w:t>
      </w:r>
      <w:r>
        <w:rPr>
          <w:spacing w:val="-9"/>
        </w:rPr>
        <w:t>）。</w:t>
      </w:r>
      <w:r>
        <w:rPr/>
      </w:r>
    </w:p>
    <w:p>
      <w:pPr>
        <w:spacing w:line="240" w:lineRule="auto" w:before="10"/>
        <w:rPr>
          <w:rFonts w:ascii="宋体" w:hAnsi="宋体" w:cs="宋体" w:eastAsia="宋体" w:hint="default"/>
          <w:sz w:val="25"/>
          <w:szCs w:val="25"/>
        </w:rPr>
      </w:pPr>
    </w:p>
    <w:p>
      <w:pPr>
        <w:spacing w:line="321" w:lineRule="auto" w:before="0"/>
        <w:ind w:left="501" w:right="7419"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z w:val="18"/>
          <w:szCs w:val="18"/>
        </w:rPr>
        <w:t>2017</w:t>
      </w:r>
      <w:r>
        <w:rPr>
          <w:rFonts w:ascii="宋体" w:hAnsi="宋体" w:cs="宋体" w:eastAsia="宋体" w:hint="default"/>
          <w:b/>
          <w:bCs/>
          <w:sz w:val="18"/>
          <w:szCs w:val="18"/>
        </w:rPr>
        <w:t>年限制性股票激励计划</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z w:val="18"/>
          <w:szCs w:val="18"/>
        </w:rPr>
        <w:t>1</w:t>
      </w:r>
      <w:r>
        <w:rPr>
          <w:rFonts w:ascii="宋体" w:hAnsi="宋体" w:cs="宋体" w:eastAsia="宋体" w:hint="default"/>
          <w:sz w:val="18"/>
          <w:szCs w:val="18"/>
        </w:rPr>
        <w:t>、报告期内回购注销部分限制性股票</w:t>
      </w:r>
    </w:p>
    <w:p>
      <w:pPr>
        <w:pStyle w:val="BodyText"/>
        <w:spacing w:line="319" w:lineRule="auto" w:before="3"/>
        <w:ind w:right="1119" w:firstLine="360"/>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日，公司召开第六届董事会第三十四次会议、公司第六届监事会第二十二次会议，审议通过了《关于</w:t>
      </w:r>
      <w:r>
        <w:rPr/>
        <w:t> </w:t>
      </w:r>
      <w:r>
        <w:rPr>
          <w:spacing w:val="-2"/>
        </w:rPr>
        <w:t>回购注销</w:t>
      </w:r>
      <w:r>
        <w:rPr>
          <w:rFonts w:ascii="宋体" w:hAnsi="宋体" w:cs="宋体" w:eastAsia="宋体" w:hint="default"/>
          <w:spacing w:val="-2"/>
        </w:rPr>
        <w:t>2016</w:t>
      </w:r>
      <w:r>
        <w:rPr>
          <w:spacing w:val="-2"/>
        </w:rPr>
        <w:t>年、</w:t>
      </w:r>
      <w:r>
        <w:rPr>
          <w:rFonts w:ascii="宋体" w:hAnsi="宋体" w:cs="宋体" w:eastAsia="宋体" w:hint="default"/>
          <w:spacing w:val="-2"/>
        </w:rPr>
        <w:t>2017</w:t>
      </w:r>
      <w:r>
        <w:rPr>
          <w:spacing w:val="-2"/>
        </w:rPr>
        <w:t>年限制性股票激励计划部分限制性股票的议案》，同意对代小虎等已离职激励对象已获授但尚未解锁</w:t>
      </w:r>
      <w:r>
        <w:rPr>
          <w:spacing w:val="-56"/>
        </w:rPr>
        <w:t> </w:t>
      </w:r>
      <w:r>
        <w:rPr>
          <w:spacing w:val="-56"/>
        </w:rPr>
      </w:r>
      <w:r>
        <w:rPr>
          <w:spacing w:val="-2"/>
        </w:rPr>
        <w:t>的全部限制性股票</w:t>
      </w:r>
      <w:r>
        <w:rPr>
          <w:rFonts w:ascii="宋体" w:hAnsi="宋体" w:cs="宋体" w:eastAsia="宋体" w:hint="default"/>
          <w:spacing w:val="-2"/>
        </w:rPr>
        <w:t>4,005,250</w:t>
      </w:r>
      <w:r>
        <w:rPr>
          <w:spacing w:val="-2"/>
        </w:rPr>
        <w:t>股进行回购注销。详见公司于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日发布在巨潮资讯网的《第六届董事会第三十四次会</w:t>
      </w:r>
      <w:r>
        <w:rPr>
          <w:spacing w:val="-51"/>
        </w:rPr>
        <w:t> </w:t>
      </w:r>
      <w:r>
        <w:rPr>
          <w:spacing w:val="-51"/>
        </w:rPr>
      </w:r>
      <w:r>
        <w:rPr>
          <w:spacing w:val="-2"/>
        </w:rPr>
        <w:t>议决议公告》、《第六届监事会第二十二次会议决议公告》及《关于回购注销</w:t>
      </w:r>
      <w:r>
        <w:rPr>
          <w:rFonts w:ascii="宋体" w:hAnsi="宋体" w:cs="宋体" w:eastAsia="宋体" w:hint="default"/>
          <w:spacing w:val="-2"/>
        </w:rPr>
        <w:t>2016</w:t>
      </w:r>
      <w:r>
        <w:rPr>
          <w:spacing w:val="-2"/>
        </w:rPr>
        <w:t>年、</w:t>
      </w:r>
      <w:r>
        <w:rPr>
          <w:rFonts w:ascii="宋体" w:hAnsi="宋体" w:cs="宋体" w:eastAsia="宋体" w:hint="default"/>
          <w:spacing w:val="-2"/>
        </w:rPr>
        <w:t>2017</w:t>
      </w:r>
      <w:r>
        <w:rPr>
          <w:spacing w:val="-2"/>
        </w:rPr>
        <w:t>年限制性股票激励计划部分限制</w:t>
      </w:r>
      <w:r>
        <w:rPr>
          <w:spacing w:val="-58"/>
        </w:rPr>
        <w:t> </w:t>
      </w:r>
      <w:r>
        <w:rPr/>
        <w:t>性股票的公告》（公告编号：</w:t>
      </w:r>
      <w:r>
        <w:rPr>
          <w:rFonts w:ascii="宋体" w:hAnsi="宋体" w:cs="宋体" w:eastAsia="宋体" w:hint="default"/>
        </w:rPr>
        <w:t>2019-013</w:t>
      </w:r>
      <w:r>
        <w:rPr/>
        <w:t>、</w:t>
      </w:r>
      <w:r>
        <w:rPr>
          <w:rFonts w:ascii="宋体" w:hAnsi="宋体" w:cs="宋体" w:eastAsia="宋体" w:hint="default"/>
        </w:rPr>
        <w:t>2019-014</w:t>
      </w:r>
      <w:r>
        <w:rPr/>
        <w:t>、</w:t>
      </w:r>
      <w:r>
        <w:rPr>
          <w:rFonts w:ascii="宋体" w:hAnsi="宋体" w:cs="宋体" w:eastAsia="宋体" w:hint="default"/>
        </w:rPr>
        <w:t>2019-020</w:t>
      </w:r>
      <w:r>
        <w:rPr/>
        <w:t>）。上述议案已经公司于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日召开的</w:t>
      </w:r>
      <w:r>
        <w:rPr>
          <w:rFonts w:ascii="宋体" w:hAnsi="宋体" w:cs="宋体" w:eastAsia="宋体" w:hint="default"/>
        </w:rPr>
        <w:t>2018</w:t>
      </w:r>
      <w:r>
        <w:rPr/>
        <w:t>年度股东</w:t>
      </w:r>
      <w:r>
        <w:rPr>
          <w:spacing w:val="-85"/>
        </w:rPr>
        <w:t> </w:t>
      </w:r>
      <w:r>
        <w:rPr/>
        <w:t>大会审议通过，详见公司于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11</w:t>
      </w:r>
      <w:r>
        <w:rPr/>
        <w:t>日发布在巨潮资讯网的《</w:t>
      </w:r>
      <w:r>
        <w:rPr>
          <w:rFonts w:ascii="宋体" w:hAnsi="宋体" w:cs="宋体" w:eastAsia="宋体" w:hint="default"/>
        </w:rPr>
        <w:t>2018</w:t>
      </w:r>
      <w:r>
        <w:rPr/>
        <w:t>年度股东大会决议公告》（公告编号：</w:t>
      </w:r>
      <w:r>
        <w:rPr>
          <w:rFonts w:ascii="宋体" w:hAnsi="宋体" w:cs="宋体" w:eastAsia="宋体" w:hint="default"/>
        </w:rPr>
        <w:t>2019-034</w:t>
      </w:r>
      <w:r>
        <w:rPr/>
        <w:t>）。</w:t>
      </w:r>
      <w:r>
        <w:rPr>
          <w:spacing w:val="-84"/>
        </w:rPr>
        <w:t> </w:t>
      </w:r>
      <w:r>
        <w:rPr>
          <w:spacing w:val="-2"/>
        </w:rPr>
        <w:t>前述回购注销事宜已于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月完成，详见公司于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日发布在巨潮资讯网的《关于部分限制性股票回购注销完成</w:t>
      </w:r>
      <w:r>
        <w:rPr>
          <w:spacing w:val="-56"/>
        </w:rPr>
        <w:t> </w:t>
      </w:r>
      <w:r>
        <w:rPr>
          <w:spacing w:val="-56"/>
        </w:rPr>
      </w:r>
      <w:r>
        <w:rPr/>
        <w:t>的公告》（公告编号：</w:t>
      </w:r>
      <w:r>
        <w:rPr>
          <w:rFonts w:ascii="宋体" w:hAnsi="宋体" w:cs="宋体" w:eastAsia="宋体" w:hint="default"/>
        </w:rPr>
        <w:t>2019-041</w:t>
      </w:r>
      <w:r>
        <w:rPr/>
        <w:t>）。</w:t>
      </w:r>
    </w:p>
    <w:p>
      <w:pPr>
        <w:pStyle w:val="BodyText"/>
        <w:spacing w:line="316" w:lineRule="auto" w:before="20"/>
        <w:ind w:right="1100" w:firstLine="360"/>
        <w:jc w:val="left"/>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w:t>
      </w:r>
      <w:r>
        <w:rPr/>
        <w:t>日，公司召开第七届董事会第三次会议、第七届监事会第三次会议分别审议通过了《关于回购注销部 </w:t>
      </w:r>
      <w:r>
        <w:rPr>
          <w:spacing w:val="-1"/>
        </w:rPr>
        <w:t>分已获授但尚未解锁的限制性股票的议案》，同意将</w:t>
      </w:r>
      <w:r>
        <w:rPr>
          <w:rFonts w:ascii="宋体" w:hAnsi="宋体" w:cs="宋体" w:eastAsia="宋体" w:hint="default"/>
          <w:spacing w:val="-1"/>
        </w:rPr>
        <w:t>2017</w:t>
      </w:r>
      <w:r>
        <w:rPr>
          <w:spacing w:val="-1"/>
        </w:rPr>
        <w:t>年限制性股票激励计划（预留部分）激励对象吉可先生已获授但尚</w:t>
      </w:r>
      <w:r>
        <w:rPr/>
        <w:t> 未解锁的限制性股票</w:t>
      </w:r>
      <w:r>
        <w:rPr>
          <w:rFonts w:ascii="宋体" w:hAnsi="宋体" w:cs="宋体" w:eastAsia="宋体" w:hint="default"/>
        </w:rPr>
        <w:t>97,500</w:t>
      </w:r>
      <w:r>
        <w:rPr/>
        <w:t>股进行回购注销。本次限制性股票回购注销事项尚需提交公司股东大会审议通过。详见公司于 </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w:t>
      </w:r>
      <w:r>
        <w:rPr>
          <w:spacing w:val="-2"/>
        </w:rPr>
        <w:t>日发布在巨潮资讯网的《第七届董事会第三次会议决议公告》、《第七届监事会第三次会议决议公告》、《关于</w:t>
      </w:r>
      <w:r>
        <w:rPr>
          <w:spacing w:val="-69"/>
        </w:rPr>
        <w:t> </w:t>
      </w:r>
      <w:r>
        <w:rPr>
          <w:spacing w:val="-69"/>
        </w:rPr>
      </w:r>
      <w:r>
        <w:rPr/>
        <w:t>回购注销部分已获授但尚未解锁的限制性股票的公告》（公告编号：</w:t>
      </w:r>
      <w:r>
        <w:rPr>
          <w:rFonts w:ascii="宋体" w:hAnsi="宋体" w:cs="宋体" w:eastAsia="宋体" w:hint="default"/>
        </w:rPr>
        <w:t>2019-057</w:t>
      </w:r>
      <w:r>
        <w:rPr/>
        <w:t>、</w:t>
      </w:r>
      <w:r>
        <w:rPr>
          <w:rFonts w:ascii="宋体" w:hAnsi="宋体" w:cs="宋体" w:eastAsia="宋体" w:hint="default"/>
        </w:rPr>
        <w:t>2019-058</w:t>
      </w:r>
      <w:r>
        <w:rPr/>
        <w:t>、</w:t>
      </w:r>
      <w:r>
        <w:rPr>
          <w:rFonts w:ascii="宋体" w:hAnsi="宋体" w:cs="宋体" w:eastAsia="宋体" w:hint="default"/>
        </w:rPr>
        <w:t>2019-059</w:t>
      </w:r>
      <w:r>
        <w:rPr/>
        <w:t>）。</w:t>
      </w:r>
    </w:p>
    <w:p>
      <w:pPr>
        <w:pStyle w:val="BodyText"/>
        <w:spacing w:line="240" w:lineRule="auto" w:before="22"/>
        <w:ind w:left="501" w:right="0"/>
        <w:jc w:val="left"/>
      </w:pPr>
      <w:r>
        <w:rPr>
          <w:rFonts w:ascii="宋体" w:hAnsi="宋体" w:cs="宋体" w:eastAsia="宋体" w:hint="default"/>
        </w:rPr>
        <w:t>2</w:t>
      </w:r>
      <w:r>
        <w:rPr/>
        <w:t>、</w:t>
      </w:r>
      <w:r>
        <w:rPr>
          <w:rFonts w:ascii="宋体" w:hAnsi="宋体" w:cs="宋体" w:eastAsia="宋体" w:hint="default"/>
        </w:rPr>
        <w:t>2017</w:t>
      </w:r>
      <w:r>
        <w:rPr/>
        <w:t>年限制性股票首期第二个解除限售期解除限售、预留部分第一个解除限售期解除限售</w:t>
      </w:r>
    </w:p>
    <w:p>
      <w:pPr>
        <w:pStyle w:val="BodyText"/>
        <w:spacing w:line="319" w:lineRule="auto" w:before="80"/>
        <w:ind w:right="1021" w:firstLine="360"/>
        <w:jc w:val="left"/>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2019</w:t>
      </w:r>
      <w:r>
        <w:rPr>
          <w:rFonts w:ascii="宋体" w:hAnsi="宋体" w:cs="宋体" w:eastAsia="宋体" w:hint="default"/>
          <w:spacing w:val="-17"/>
        </w:rPr>
        <w:t> </w:t>
      </w:r>
      <w:r>
        <w:rPr/>
        <w:t>年</w:t>
      </w:r>
      <w:r>
        <w:rPr>
          <w:rFonts w:ascii="宋体" w:hAnsi="宋体" w:cs="宋体" w:eastAsia="宋体" w:hint="default"/>
        </w:rPr>
        <w:t>9</w:t>
      </w:r>
      <w:r>
        <w:rPr/>
        <w:t>月</w:t>
      </w:r>
      <w:r>
        <w:rPr>
          <w:rFonts w:ascii="宋体" w:hAnsi="宋体" w:cs="宋体" w:eastAsia="宋体" w:hint="default"/>
        </w:rPr>
        <w:t>2</w:t>
      </w:r>
      <w:r>
        <w:rPr/>
        <w:t>日，公司召开第七届董事会第三次会议、第七届监事会第三次会议审议通过了《关于</w:t>
      </w:r>
      <w:r>
        <w:rPr>
          <w:rFonts w:ascii="宋体" w:hAnsi="宋体" w:cs="宋体" w:eastAsia="宋体" w:hint="default"/>
        </w:rPr>
        <w:t>2017</w:t>
      </w:r>
      <w:r>
        <w:rPr/>
        <w:t>年限制性股 票激励计划（预留部分）第一个解除限售期解除限售相关事宜的议案》，同意董事会按照股权激励计划的相关规定办理限制 </w:t>
      </w:r>
      <w:r>
        <w:rPr>
          <w:spacing w:val="-2"/>
        </w:rPr>
        <w:t>性股票预留部分授予的第一个解除限售期解除限售的相关事宜，本次解除限售的限制性股票的上市流通日为</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w:t>
      </w:r>
      <w:r>
        <w:rPr>
          <w:spacing w:val="-40"/>
        </w:rPr>
        <w:t> </w:t>
      </w:r>
      <w:r>
        <w:rPr>
          <w:spacing w:val="-2"/>
        </w:rPr>
        <w:t>详见公司于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9</w:t>
      </w:r>
      <w:r>
        <w:rPr>
          <w:spacing w:val="-2"/>
        </w:rPr>
        <w:t>日发布在巨潮资讯网的《第七届董事会第三次会议决议公告》、《第七届监事会第三</w:t>
      </w:r>
      <w:r>
        <w:rPr>
          <w:spacing w:val="-46"/>
        </w:rPr>
        <w:t> </w:t>
      </w:r>
      <w:r>
        <w:rPr>
          <w:spacing w:val="-46"/>
        </w:rPr>
      </w:r>
      <w:r>
        <w:rPr>
          <w:spacing w:val="-2"/>
        </w:rPr>
        <w:t>次会议决议公告》、《关于</w:t>
      </w:r>
      <w:r>
        <w:rPr>
          <w:rFonts w:ascii="宋体" w:hAnsi="宋体" w:cs="宋体" w:eastAsia="宋体" w:hint="default"/>
          <w:spacing w:val="-2"/>
        </w:rPr>
        <w:t>2017</w:t>
      </w:r>
      <w:r>
        <w:rPr>
          <w:spacing w:val="-2"/>
        </w:rPr>
        <w:t>年限制性股票激励计划（预留部分）第一个解除限售期解除限售相关事宜的公告》及《关于</w:t>
      </w:r>
      <w:r>
        <w:rPr>
          <w:spacing w:val="-68"/>
        </w:rPr>
        <w:t> </w:t>
      </w:r>
      <w:r>
        <w:rPr>
          <w:spacing w:val="-68"/>
        </w:rPr>
      </w:r>
      <w:r>
        <w:rPr>
          <w:rFonts w:ascii="宋体" w:hAnsi="宋体" w:cs="宋体" w:eastAsia="宋体" w:hint="default"/>
        </w:rPr>
        <w:t>2017</w:t>
      </w:r>
      <w:r>
        <w:rPr/>
        <w:t>年限制性股票激励计划（预留部分）第一个解除限售期解除限售股份上市流通的提示性公告》（公告编号：</w:t>
      </w:r>
      <w:r>
        <w:rPr>
          <w:rFonts w:ascii="宋体" w:hAnsi="宋体" w:cs="宋体" w:eastAsia="宋体" w:hint="default"/>
        </w:rPr>
        <w:t>2019-057</w:t>
      </w:r>
      <w:r>
        <w:rPr/>
        <w:t>、</w:t>
      </w:r>
    </w:p>
    <w:p>
      <w:pPr>
        <w:pStyle w:val="BodyText"/>
        <w:spacing w:line="240" w:lineRule="auto" w:before="5"/>
        <w:ind w:right="0"/>
        <w:jc w:val="left"/>
      </w:pPr>
      <w:r>
        <w:rPr>
          <w:rFonts w:ascii="宋体" w:hAnsi="宋体" w:cs="宋体" w:eastAsia="宋体" w:hint="default"/>
        </w:rPr>
        <w:t>2019-058</w:t>
      </w:r>
      <w:r>
        <w:rPr/>
        <w:t>、</w:t>
      </w:r>
      <w:r>
        <w:rPr>
          <w:rFonts w:ascii="宋体" w:hAnsi="宋体" w:cs="宋体" w:eastAsia="宋体" w:hint="default"/>
        </w:rPr>
        <w:t>2019-061</w:t>
      </w:r>
      <w:r>
        <w:rPr/>
        <w:t>、</w:t>
      </w:r>
      <w:r>
        <w:rPr>
          <w:rFonts w:ascii="宋体" w:hAnsi="宋体" w:cs="宋体" w:eastAsia="宋体" w:hint="default"/>
        </w:rPr>
        <w:t>2019-062</w:t>
      </w:r>
      <w:r>
        <w:rPr/>
        <w:t>）。</w:t>
      </w:r>
    </w:p>
    <w:p>
      <w:pPr>
        <w:pStyle w:val="BodyText"/>
        <w:spacing w:line="319" w:lineRule="auto" w:before="80"/>
        <w:ind w:right="1095" w:firstLine="36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2019</w:t>
      </w:r>
      <w:r>
        <w:rPr>
          <w:rFonts w:ascii="宋体" w:hAnsi="宋体" w:cs="宋体" w:eastAsia="宋体" w:hint="default"/>
          <w:spacing w:val="-30"/>
        </w:rPr>
        <w:t> </w:t>
      </w:r>
      <w:r>
        <w:rPr/>
        <w:t>年</w:t>
      </w:r>
      <w:r>
        <w:rPr>
          <w:rFonts w:ascii="宋体" w:hAnsi="宋体" w:cs="宋体" w:eastAsia="宋体" w:hint="default"/>
        </w:rPr>
        <w:t>11</w:t>
      </w:r>
      <w:r>
        <w:rPr/>
        <w:t>月</w:t>
      </w:r>
      <w:r>
        <w:rPr>
          <w:rFonts w:ascii="宋体" w:hAnsi="宋体" w:cs="宋体" w:eastAsia="宋体" w:hint="default"/>
        </w:rPr>
        <w:t>18</w:t>
      </w:r>
      <w:r>
        <w:rPr/>
        <w:t>日，公司召开第七届董事会第五次会议、第七届监事会第五次会议审议通过了《关于</w:t>
      </w:r>
      <w:r>
        <w:rPr>
          <w:rFonts w:ascii="宋体" w:hAnsi="宋体" w:cs="宋体" w:eastAsia="宋体" w:hint="default"/>
        </w:rPr>
        <w:t>2017</w:t>
      </w:r>
      <w:r>
        <w:rPr/>
        <w:t>年限制性 </w:t>
      </w:r>
      <w:r>
        <w:rPr>
          <w:spacing w:val="-2"/>
        </w:rPr>
        <w:t>股票激励计划（首期）第二个解除限售期解除限售相关事宜的议案》，同意董事会按照股权激励计划的相关规定办理限制性</w:t>
      </w:r>
      <w:r>
        <w:rPr>
          <w:spacing w:val="-42"/>
        </w:rPr>
        <w:t> </w:t>
      </w:r>
      <w:r>
        <w:rPr>
          <w:spacing w:val="-42"/>
        </w:rPr>
      </w:r>
      <w:r>
        <w:rPr>
          <w:spacing w:val="-2"/>
        </w:rPr>
        <w:t>股票首期授予的第二个解除限售期解除限售的相关事宜，本次解除限售的限制性股票的上市流通日为</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日。详见</w:t>
      </w:r>
      <w:r>
        <w:rPr>
          <w:spacing w:val="-54"/>
        </w:rPr>
        <w:t> </w:t>
      </w:r>
      <w:r>
        <w:rPr>
          <w:spacing w:val="-54"/>
        </w:rPr>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日发布在巨潮资讯网的《第七届董事会第五次会议决议公告》、《第七届监事会第五</w:t>
      </w:r>
      <w:r>
        <w:rPr>
          <w:spacing w:val="-42"/>
        </w:rPr>
        <w:t> </w:t>
      </w:r>
      <w:r>
        <w:rPr>
          <w:spacing w:val="-42"/>
        </w:rPr>
      </w:r>
      <w:r>
        <w:rPr>
          <w:spacing w:val="-2"/>
        </w:rPr>
        <w:t>次会议决议公告》、《关于</w:t>
      </w:r>
      <w:r>
        <w:rPr>
          <w:rFonts w:ascii="宋体" w:hAnsi="宋体" w:cs="宋体" w:eastAsia="宋体" w:hint="default"/>
          <w:spacing w:val="-2"/>
        </w:rPr>
        <w:t>2017</w:t>
      </w:r>
      <w:r>
        <w:rPr>
          <w:spacing w:val="-2"/>
        </w:rPr>
        <w:t>年限制性股票激励计划（首期）第二个解除限售期解除限售相关事宜的公告》及《关于</w:t>
      </w:r>
      <w:r>
        <w:rPr>
          <w:rFonts w:ascii="宋体" w:hAnsi="宋体" w:cs="宋体" w:eastAsia="宋体" w:hint="default"/>
          <w:spacing w:val="-2"/>
        </w:rPr>
        <w:t>2017</w:t>
      </w:r>
      <w:r>
        <w:rPr>
          <w:rFonts w:ascii="宋体" w:hAnsi="宋体" w:cs="宋体" w:eastAsia="宋体" w:hint="default"/>
          <w:spacing w:val="-57"/>
        </w:rPr>
        <w:t> </w:t>
      </w:r>
      <w:r>
        <w:rPr>
          <w:spacing w:val="-5"/>
        </w:rPr>
        <w:t>年限制性股票激励计划（首期）第二个解除限售期解除限售股份上市流通的提示性公告》（公告编号：</w:t>
      </w:r>
      <w:r>
        <w:rPr>
          <w:rFonts w:ascii="宋体" w:hAnsi="宋体" w:cs="宋体" w:eastAsia="宋体" w:hint="default"/>
          <w:spacing w:val="-5"/>
        </w:rPr>
        <w:t>2019-074</w:t>
      </w:r>
      <w:r>
        <w:rPr>
          <w:spacing w:val="-5"/>
        </w:rPr>
        <w:t>、</w:t>
      </w:r>
      <w:r>
        <w:rPr>
          <w:rFonts w:ascii="宋体" w:hAnsi="宋体" w:cs="宋体" w:eastAsia="宋体" w:hint="default"/>
          <w:spacing w:val="-5"/>
        </w:rPr>
        <w:t>2019-075</w:t>
      </w:r>
      <w:r>
        <w:rPr>
          <w:spacing w:val="-5"/>
        </w:rPr>
        <w:t>、</w:t>
      </w:r>
      <w:r>
        <w:rPr>
          <w:spacing w:val="-35"/>
        </w:rPr>
        <w:t> </w:t>
      </w:r>
      <w:r>
        <w:rPr>
          <w:rFonts w:ascii="宋体" w:hAnsi="宋体" w:cs="宋体" w:eastAsia="宋体" w:hint="default"/>
        </w:rPr>
        <w:t>2019-080</w:t>
      </w:r>
      <w:r>
        <w:rPr/>
        <w:t>、</w:t>
      </w:r>
      <w:r>
        <w:rPr>
          <w:rFonts w:ascii="宋体" w:hAnsi="宋体" w:cs="宋体" w:eastAsia="宋体" w:hint="default"/>
        </w:rPr>
        <w:t>2019-087</w:t>
      </w:r>
      <w:r>
        <w:rPr/>
        <w:t>）。</w:t>
      </w:r>
    </w:p>
    <w:p>
      <w:pPr>
        <w:spacing w:line="240" w:lineRule="auto" w:before="9"/>
        <w:rPr>
          <w:rFonts w:ascii="宋体" w:hAnsi="宋体" w:cs="宋体" w:eastAsia="宋体" w:hint="default"/>
          <w:sz w:val="25"/>
          <w:szCs w:val="25"/>
        </w:rPr>
      </w:pPr>
    </w:p>
    <w:p>
      <w:pPr>
        <w:pStyle w:val="BodyText"/>
        <w:spacing w:line="307" w:lineRule="auto" w:before="0"/>
        <w:ind w:left="501" w:right="1569" w:hanging="361"/>
        <w:jc w:val="left"/>
      </w:pPr>
      <w:r>
        <w:rPr/>
        <w:t>公司需遵守《深圳证券交易所行业信息披露指引第</w:t>
      </w:r>
      <w:r>
        <w:rPr>
          <w:rFonts w:ascii="宋体" w:hAnsi="宋体" w:cs="宋体" w:eastAsia="宋体" w:hint="default"/>
        </w:rPr>
        <w:t>12</w:t>
      </w:r>
      <w:r>
        <w:rPr/>
        <w:t>号——上市公司从事软件与信息技术服务业务》的披露要求</w:t>
      </w:r>
      <w:r>
        <w:rPr>
          <w:spacing w:val="-85"/>
        </w:rPr>
        <w:t> </w:t>
      </w:r>
      <w:r>
        <w:rPr/>
        <w:t>报告期内，公司股权激励计划产生的费用合计</w:t>
      </w:r>
      <w:r>
        <w:rPr>
          <w:rFonts w:ascii="宋体" w:hAnsi="宋体" w:cs="宋体" w:eastAsia="宋体" w:hint="default"/>
        </w:rPr>
        <w:t>1,465.57</w:t>
      </w:r>
      <w:r>
        <w:rPr/>
        <w:t>万元，剔除股权激励费用后归属于上市公司股东的净利润</w:t>
      </w:r>
    </w:p>
    <w:p>
      <w:pPr>
        <w:pStyle w:val="BodyText"/>
        <w:spacing w:line="321" w:lineRule="auto" w:before="29"/>
        <w:ind w:right="0"/>
        <w:jc w:val="left"/>
      </w:pPr>
      <w:r>
        <w:rPr>
          <w:rFonts w:ascii="宋体" w:hAnsi="宋体" w:cs="宋体" w:eastAsia="宋体" w:hint="default"/>
          <w:spacing w:val="-2"/>
        </w:rPr>
        <w:t>77,377.59</w:t>
      </w:r>
      <w:r>
        <w:rPr>
          <w:spacing w:val="-2"/>
        </w:rPr>
        <w:t>万元，股权激励费用占剔除股权激励费用后归属于上市公司股东的净利润的</w:t>
      </w:r>
      <w:r>
        <w:rPr>
          <w:rFonts w:ascii="宋体" w:hAnsi="宋体" w:cs="宋体" w:eastAsia="宋体" w:hint="default"/>
          <w:spacing w:val="-2"/>
        </w:rPr>
        <w:t>1.89%</w:t>
      </w:r>
      <w:r>
        <w:rPr>
          <w:spacing w:val="-2"/>
        </w:rPr>
        <w:t>。其中，核心技术人员股权激励</w:t>
      </w:r>
      <w:r>
        <w:rPr>
          <w:spacing w:val="-53"/>
        </w:rPr>
        <w:t> </w:t>
      </w:r>
      <w:r>
        <w:rPr>
          <w:spacing w:val="-53"/>
        </w:rPr>
      </w:r>
      <w:r>
        <w:rPr/>
        <w:t>费用为</w:t>
      </w:r>
      <w:r>
        <w:rPr>
          <w:rFonts w:ascii="宋体" w:hAnsi="宋体" w:cs="宋体" w:eastAsia="宋体" w:hint="default"/>
        </w:rPr>
        <w:t>1,081.77</w:t>
      </w:r>
      <w:r>
        <w:rPr/>
        <w:t>万元，占比</w:t>
      </w:r>
      <w:r>
        <w:rPr>
          <w:rFonts w:ascii="宋体" w:hAnsi="宋体" w:cs="宋体" w:eastAsia="宋体" w:hint="default"/>
        </w:rPr>
        <w:t>73.81%</w:t>
      </w:r>
      <w:r>
        <w:rPr/>
        <w:t>。</w:t>
      </w:r>
    </w:p>
    <w:p>
      <w:pPr>
        <w:spacing w:after="0" w:line="321"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公司报告期未发生与日常经营相关的关联交易。</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21" w:lineRule="auto" w:before="96"/>
        <w:ind w:right="1119" w:firstLine="360"/>
        <w:jc w:val="left"/>
      </w:pPr>
      <w:r>
        <w:rPr/>
        <w:t>（</w:t>
      </w:r>
      <w:r>
        <w:rPr>
          <w:rFonts w:ascii="宋体" w:hAnsi="宋体" w:cs="宋体" w:eastAsia="宋体" w:hint="default"/>
        </w:rPr>
        <w:t>1</w:t>
      </w:r>
      <w:r>
        <w:rPr/>
        <w:t>）报告期内，公司因清算股权投资基金昆山汇岭互联网投资企业（有限合伙）而与关联方浙富控股集团股份有限公 司（以下简称“浙富控股”）及其一致行动人发生总金额为人民币 </w:t>
      </w:r>
      <w:r>
        <w:rPr>
          <w:rFonts w:ascii="宋体" w:hAnsi="宋体" w:cs="宋体" w:eastAsia="宋体" w:hint="default"/>
        </w:rPr>
        <w:t>19,920</w:t>
      </w:r>
      <w:r>
        <w:rPr>
          <w:rFonts w:ascii="宋体" w:hAnsi="宋体" w:cs="宋体" w:eastAsia="宋体" w:hint="default"/>
          <w:spacing w:val="6"/>
        </w:rPr>
        <w:t> </w:t>
      </w:r>
      <w:r>
        <w:rPr/>
        <w:t>万元的被动关联交易；</w:t>
      </w:r>
    </w:p>
    <w:p>
      <w:pPr>
        <w:pStyle w:val="BodyText"/>
        <w:spacing w:line="321" w:lineRule="auto" w:before="4"/>
        <w:ind w:right="1119" w:firstLine="360"/>
        <w:jc w:val="left"/>
      </w:pPr>
      <w:r>
        <w:rPr/>
        <w:t>（</w:t>
      </w:r>
      <w:r>
        <w:rPr>
          <w:rFonts w:ascii="宋体" w:hAnsi="宋体" w:cs="宋体" w:eastAsia="宋体" w:hint="default"/>
        </w:rPr>
        <w:t>2</w:t>
      </w:r>
      <w:r>
        <w:rPr/>
        <w:t>）报告期内，公司的全资子公司上海二三四五融资租赁有限公司与浙富控股开展融资金额为</w:t>
      </w:r>
      <w:r>
        <w:rPr>
          <w:rFonts w:ascii="宋体" w:hAnsi="宋体" w:cs="宋体" w:eastAsia="宋体" w:hint="default"/>
        </w:rPr>
        <w:t>1.55</w:t>
      </w:r>
      <w:r>
        <w:rPr/>
        <w:t>亿人民币的保理业 务合作，本次合作构成关联交易。</w:t>
      </w:r>
    </w:p>
    <w:p>
      <w:pPr>
        <w:pStyle w:val="BodyText"/>
        <w:spacing w:line="240" w:lineRule="auto" w:before="63"/>
        <w:ind w:right="0"/>
        <w:jc w:val="left"/>
      </w:pPr>
      <w:r>
        <w:rPr/>
        <w:t>重大关联交易临时报告披露网站相关查询</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69"/>
        <w:gridCol w:w="2643"/>
        <w:gridCol w:w="3469"/>
      </w:tblGrid>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2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7"/>
              <w:jc w:val="left"/>
              <w:rPr>
                <w:rFonts w:ascii="宋体" w:hAnsi="宋体" w:cs="宋体" w:eastAsia="宋体" w:hint="default"/>
                <w:sz w:val="18"/>
                <w:szCs w:val="18"/>
              </w:rPr>
            </w:pPr>
            <w:r>
              <w:rPr>
                <w:rFonts w:ascii="宋体" w:hAnsi="宋体" w:cs="宋体" w:eastAsia="宋体" w:hint="default"/>
                <w:sz w:val="18"/>
                <w:szCs w:val="18"/>
              </w:rPr>
              <w:t>关于拟清算股权投资基金暨关联交易的公 告</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7"/>
              <w:jc w:val="left"/>
              <w:rPr>
                <w:rFonts w:ascii="宋体" w:hAnsi="宋体" w:cs="宋体" w:eastAsia="宋体" w:hint="default"/>
                <w:sz w:val="18"/>
                <w:szCs w:val="18"/>
              </w:rPr>
            </w:pPr>
            <w:r>
              <w:rPr>
                <w:rFonts w:ascii="宋体" w:hAnsi="宋体" w:cs="宋体" w:eastAsia="宋体" w:hint="default"/>
                <w:sz w:val="18"/>
                <w:szCs w:val="18"/>
              </w:rPr>
              <w:t>关于全资子公司开展保理业务暨关联交易 的公告</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公司报告期不存在托管情况。</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租赁情况说明</w:t>
      </w:r>
    </w:p>
    <w:p>
      <w:pPr>
        <w:pStyle w:val="BodyText"/>
        <w:spacing w:line="321" w:lineRule="auto" w:before="67"/>
        <w:ind w:right="0" w:firstLine="360"/>
        <w:jc w:val="left"/>
      </w:pPr>
      <w:r>
        <w:rPr>
          <w:spacing w:val="-2"/>
        </w:rPr>
        <w:t>报告期内，上海二三四五融资租赁有限公司融资租赁业务合同总金额为</w:t>
      </w:r>
      <w:r>
        <w:rPr>
          <w:rFonts w:ascii="宋体" w:hAnsi="宋体" w:cs="宋体" w:eastAsia="宋体" w:hint="default"/>
          <w:spacing w:val="-2"/>
        </w:rPr>
        <w:t>129,704.08</w:t>
      </w:r>
      <w:r>
        <w:rPr>
          <w:spacing w:val="-2"/>
        </w:rPr>
        <w:t>万元。截至本报告期末，尚未到期的</w:t>
      </w:r>
      <w:r>
        <w:rPr/>
        <w:t> 融资租赁业务合同总金额为</w:t>
      </w:r>
      <w:r>
        <w:rPr>
          <w:rFonts w:ascii="宋体" w:hAnsi="宋体" w:cs="宋体" w:eastAsia="宋体" w:hint="default"/>
        </w:rPr>
        <w:t>203,321.44</w:t>
      </w:r>
      <w:r>
        <w:rPr/>
        <w:t>万元。</w:t>
      </w:r>
    </w:p>
    <w:p>
      <w:pPr>
        <w:pStyle w:val="BodyText"/>
        <w:spacing w:line="240" w:lineRule="auto" w:before="63"/>
        <w:ind w:right="0"/>
        <w:jc w:val="left"/>
      </w:pPr>
      <w:r>
        <w:rPr/>
        <w:t>为公司带来的损益达到公司报告期利润总额</w:t>
      </w:r>
      <w:r>
        <w:rPr>
          <w:spacing w:val="-41"/>
        </w:rPr>
        <w:t> </w:t>
      </w:r>
      <w:r>
        <w:rPr>
          <w:rFonts w:ascii="Times New Roman" w:hAnsi="Times New Roman" w:cs="Times New Roman" w:eastAsia="Times New Roman" w:hint="default"/>
        </w:rPr>
        <w:t>10%</w:t>
      </w:r>
      <w:r>
        <w:rPr/>
        <w:t>以上的项目</w:t>
      </w:r>
    </w:p>
    <w:p>
      <w:pPr>
        <w:pStyle w:val="BodyText"/>
        <w:spacing w:line="240" w:lineRule="auto" w:before="11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96"/>
        <w:ind w:right="0"/>
        <w:jc w:val="left"/>
      </w:pPr>
      <w:r>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716"/>
        <w:gridCol w:w="912"/>
        <w:gridCol w:w="931"/>
        <w:gridCol w:w="1307"/>
        <w:gridCol w:w="1066"/>
        <w:gridCol w:w="1036"/>
        <w:gridCol w:w="1044"/>
        <w:gridCol w:w="789"/>
        <w:gridCol w:w="781"/>
      </w:tblGrid>
      <w:tr>
        <w:trPr>
          <w:trHeight w:val="40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52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1" w:hRule="exact"/>
        </w:trPr>
        <w:tc>
          <w:tcPr>
            <w:tcW w:w="17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6"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63"/>
              <w:jc w:val="both"/>
              <w:rPr>
                <w:rFonts w:ascii="宋体" w:hAnsi="宋体" w:cs="宋体" w:eastAsia="宋体" w:hint="default"/>
                <w:sz w:val="18"/>
                <w:szCs w:val="18"/>
              </w:rPr>
            </w:pPr>
            <w:r>
              <w:rPr>
                <w:rFonts w:ascii="宋体" w:hAnsi="宋体" w:cs="宋体" w:eastAsia="宋体" w:hint="default"/>
                <w:sz w:val="18"/>
                <w:szCs w:val="18"/>
              </w:rPr>
              <w:t>通过公司及金融机构 资质审核、有购车需 求的自然人或中小微 企业</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12"/>
              <w:jc w:val="both"/>
              <w:rPr>
                <w:rFonts w:ascii="宋体" w:hAnsi="宋体" w:cs="宋体" w:eastAsia="宋体" w:hint="default"/>
                <w:sz w:val="18"/>
                <w:szCs w:val="18"/>
              </w:rPr>
            </w:pPr>
            <w:r>
              <w:rPr>
                <w:rFonts w:ascii="宋体" w:hAnsi="宋体" w:cs="宋体" w:eastAsia="宋体" w:hint="default"/>
                <w:sz w:val="18"/>
                <w:szCs w:val="18"/>
              </w:rPr>
              <w:t>主合同债务 人履行债务 期限届满之 日起两年</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6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8"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10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6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8"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210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w:t>
            </w: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15"/>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57" w:hRule="exact"/>
        </w:trPr>
        <w:tc>
          <w:tcPr>
            <w:tcW w:w="17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6" w:space="0" w:color="000000"/>
              <w:left w:val="single" w:sz="6" w:space="0" w:color="000000"/>
              <w:right w:val="single" w:sz="6" w:space="0" w:color="000000"/>
            </w:tcBorders>
            <w:shd w:val="clear" w:color="auto" w:fill="D2D2D2"/>
          </w:tcPr>
          <w:p>
            <w:pPr/>
          </w:p>
        </w:tc>
        <w:tc>
          <w:tcPr>
            <w:tcW w:w="1307" w:type="dxa"/>
            <w:vMerge w:val="restart"/>
            <w:tcBorders>
              <w:top w:val="single" w:sz="6" w:space="0" w:color="000000"/>
              <w:left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36" w:type="dxa"/>
            <w:vMerge w:val="restart"/>
            <w:tcBorders>
              <w:top w:val="single" w:sz="6" w:space="0" w:color="000000"/>
              <w:left w:val="single" w:sz="6" w:space="0" w:color="000000"/>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789"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65" w:hRule="exact"/>
        </w:trPr>
        <w:tc>
          <w:tcPr>
            <w:tcW w:w="1716"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31" w:type="dxa"/>
            <w:vMerge/>
            <w:tcBorders>
              <w:left w:val="single" w:sz="6" w:space="0" w:color="000000"/>
              <w:bottom w:val="nil" w:sz="6" w:space="0" w:color="auto"/>
              <w:right w:val="single" w:sz="6" w:space="0" w:color="000000"/>
            </w:tcBorders>
            <w:shd w:val="clear" w:color="auto" w:fill="D2D2D2"/>
          </w:tcPr>
          <w:p>
            <w:pPr/>
          </w:p>
        </w:tc>
        <w:tc>
          <w:tcPr>
            <w:tcW w:w="1307" w:type="dxa"/>
            <w:vMerge/>
            <w:tcBorders>
              <w:left w:val="single" w:sz="6" w:space="0" w:color="000000"/>
              <w:bottom w:val="nil" w:sz="6" w:space="0" w:color="auto"/>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20"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789"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1716"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3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vMerge/>
            <w:tcBorders>
              <w:left w:val="single" w:sz="6" w:space="0" w:color="000000"/>
              <w:right w:val="single" w:sz="6" w:space="0" w:color="000000"/>
            </w:tcBorders>
            <w:shd w:val="clear" w:color="auto" w:fill="D2D2D2"/>
          </w:tcPr>
          <w:p>
            <w:pPr/>
          </w:p>
        </w:tc>
        <w:tc>
          <w:tcPr>
            <w:tcW w:w="10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6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9"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51" w:hRule="exact"/>
        </w:trPr>
        <w:tc>
          <w:tcPr>
            <w:tcW w:w="1716"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
        </w:tc>
        <w:tc>
          <w:tcPr>
            <w:tcW w:w="130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36" w:type="dxa"/>
            <w:vMerge w:val="restart"/>
            <w:tcBorders>
              <w:top w:val="nil" w:sz="6" w:space="0" w:color="auto"/>
              <w:left w:val="single" w:sz="6" w:space="0" w:color="000000"/>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789" w:type="dxa"/>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r>
      <w:tr>
        <w:trPr>
          <w:trHeight w:val="173" w:hRule="exact"/>
        </w:trPr>
        <w:tc>
          <w:tcPr>
            <w:tcW w:w="1716" w:type="dxa"/>
            <w:vMerge/>
            <w:tcBorders>
              <w:left w:val="single" w:sz="6" w:space="0" w:color="000000"/>
              <w:bottom w:val="single" w:sz="6" w:space="0" w:color="000000"/>
              <w:right w:val="single" w:sz="6" w:space="0" w:color="000000"/>
            </w:tcBorders>
            <w:shd w:val="clear" w:color="auto" w:fill="D2D2D2"/>
          </w:tcPr>
          <w:p>
            <w:pPr/>
          </w:p>
        </w:tc>
        <w:tc>
          <w:tcPr>
            <w:tcW w:w="912"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c>
          <w:tcPr>
            <w:tcW w:w="1307"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36" w:type="dxa"/>
            <w:vMerge/>
            <w:tcBorders>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789"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8"/>
              <w:jc w:val="center"/>
              <w:rPr>
                <w:rFonts w:ascii="宋体" w:hAnsi="宋体" w:cs="宋体" w:eastAsia="宋体" w:hint="default"/>
                <w:sz w:val="18"/>
                <w:szCs w:val="18"/>
              </w:rPr>
            </w:pPr>
            <w:r>
              <w:rPr>
                <w:rFonts w:ascii="宋体" w:hAnsi="宋体" w:cs="宋体" w:eastAsia="宋体" w:hint="default"/>
                <w:sz w:val="18"/>
                <w:szCs w:val="18"/>
              </w:rPr>
              <w:t>上海二三四五融资租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0"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5"/>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7"/>
              <w:jc w:val="center"/>
              <w:rPr>
                <w:rFonts w:ascii="宋体" w:hAnsi="宋体" w:cs="宋体" w:eastAsia="宋体" w:hint="default"/>
                <w:sz w:val="18"/>
                <w:szCs w:val="18"/>
              </w:rPr>
            </w:pPr>
            <w:r>
              <w:rPr>
                <w:rFonts w:ascii="宋体" w:hAnsi="宋体" w:cs="宋体" w:eastAsia="宋体" w:hint="default"/>
                <w:sz w:val="18"/>
                <w:szCs w:val="18"/>
              </w:rPr>
              <w:t>主合同约定</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6"/>
        <w:gridCol w:w="907"/>
        <w:gridCol w:w="929"/>
        <w:gridCol w:w="1314"/>
        <w:gridCol w:w="1048"/>
        <w:gridCol w:w="1050"/>
        <w:gridCol w:w="1049"/>
        <w:gridCol w:w="785"/>
        <w:gridCol w:w="785"/>
      </w:tblGrid>
      <w:tr>
        <w:trPr>
          <w:trHeight w:val="1306"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赁有限公司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0" w:right="112"/>
              <w:jc w:val="both"/>
              <w:rPr>
                <w:rFonts w:ascii="宋体" w:hAnsi="宋体" w:cs="宋体" w:eastAsia="宋体" w:hint="default"/>
                <w:sz w:val="18"/>
                <w:szCs w:val="18"/>
              </w:rPr>
            </w:pPr>
            <w:r>
              <w:rPr>
                <w:rFonts w:ascii="宋体" w:hAnsi="宋体" w:cs="宋体" w:eastAsia="宋体" w:hint="default"/>
                <w:sz w:val="18"/>
                <w:szCs w:val="18"/>
              </w:rPr>
              <w:t>的债务人履 行债务期限 届满之日起 二年</w:t>
            </w:r>
          </w:p>
        </w:tc>
        <w:tc>
          <w:tcPr>
            <w:tcW w:w="785"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r>
      <w:tr>
        <w:trPr>
          <w:trHeight w:val="4774"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21" w:lineRule="auto"/>
              <w:ind w:left="15" w:right="63"/>
              <w:jc w:val="left"/>
              <w:rPr>
                <w:rFonts w:ascii="宋体" w:hAnsi="宋体" w:cs="宋体" w:eastAsia="宋体" w:hint="default"/>
                <w:sz w:val="18"/>
                <w:szCs w:val="18"/>
              </w:rPr>
            </w:pPr>
            <w:r>
              <w:rPr>
                <w:rFonts w:ascii="宋体" w:hAnsi="宋体" w:cs="宋体" w:eastAsia="宋体" w:hint="default"/>
                <w:sz w:val="18"/>
                <w:szCs w:val="18"/>
              </w:rPr>
              <w:t>上海二三四五融资租 赁有限公司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46,000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21"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20"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主合同约定 的债务人履 行债务期限 届满之日起 二年（注： 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16,000</w:t>
            </w:r>
          </w:p>
          <w:p>
            <w:pPr>
              <w:pStyle w:val="TableParagraph"/>
              <w:spacing w:line="219" w:lineRule="exact"/>
              <w:ind w:left="20" w:right="0"/>
              <w:jc w:val="both"/>
              <w:rPr>
                <w:rFonts w:ascii="宋体" w:hAnsi="宋体" w:cs="宋体" w:eastAsia="宋体" w:hint="default"/>
                <w:sz w:val="18"/>
                <w:szCs w:val="18"/>
              </w:rPr>
            </w:pPr>
            <w:r>
              <w:rPr>
                <w:rFonts w:ascii="宋体" w:hAnsi="宋体" w:cs="宋体" w:eastAsia="宋体" w:hint="default"/>
                <w:sz w:val="18"/>
                <w:szCs w:val="18"/>
              </w:rPr>
              <w:t>万元担保协</w:t>
            </w:r>
          </w:p>
          <w:p>
            <w:pPr>
              <w:pStyle w:val="TableParagraph"/>
              <w:spacing w:line="336" w:lineRule="auto" w:before="64"/>
              <w:ind w:left="20" w:right="66"/>
              <w:jc w:val="both"/>
              <w:rPr>
                <w:rFonts w:ascii="Times New Roman" w:hAnsi="Times New Roman" w:cs="Times New Roman" w:eastAsia="Times New Roman" w:hint="default"/>
                <w:sz w:val="18"/>
                <w:szCs w:val="18"/>
              </w:rPr>
            </w:pPr>
            <w:r>
              <w:rPr>
                <w:rFonts w:ascii="宋体" w:hAnsi="宋体" w:cs="宋体" w:eastAsia="宋体" w:hint="default"/>
                <w:sz w:val="18"/>
                <w:szCs w:val="18"/>
              </w:rPr>
              <w:t>议签署日期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35" w:lineRule="exact"/>
              <w:ind w:left="20"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p>
            <w:pPr>
              <w:pStyle w:val="TableParagraph"/>
              <w:spacing w:line="240" w:lineRule="auto" w:before="66"/>
              <w:ind w:left="2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21" w:lineRule="auto" w:before="51"/>
              <w:ind w:left="20" w:right="66"/>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担保合同署 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7" w:lineRule="exact"/>
              <w:ind w:left="2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20" w:right="0"/>
              <w:jc w:val="both"/>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15" w:right="63"/>
              <w:jc w:val="left"/>
              <w:rPr>
                <w:rFonts w:ascii="宋体" w:hAnsi="宋体" w:cs="宋体" w:eastAsia="宋体" w:hint="default"/>
                <w:sz w:val="18"/>
                <w:szCs w:val="18"/>
              </w:rPr>
            </w:pPr>
            <w:r>
              <w:rPr>
                <w:rFonts w:ascii="宋体" w:hAnsi="宋体" w:cs="宋体" w:eastAsia="宋体" w:hint="default"/>
                <w:sz w:val="18"/>
                <w:szCs w:val="18"/>
              </w:rPr>
              <w:t>上海二三四五融资租 赁有限公司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26,700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20" w:right="112"/>
              <w:jc w:val="both"/>
              <w:rPr>
                <w:rFonts w:ascii="宋体" w:hAnsi="宋体" w:cs="宋体" w:eastAsia="宋体" w:hint="default"/>
                <w:sz w:val="18"/>
                <w:szCs w:val="18"/>
              </w:rPr>
            </w:pPr>
            <w:r>
              <w:rPr>
                <w:rFonts w:ascii="宋体" w:hAnsi="宋体" w:cs="宋体" w:eastAsia="宋体" w:hint="default"/>
                <w:sz w:val="18"/>
                <w:szCs w:val="18"/>
              </w:rPr>
              <w:t>自专项计划 成立日起至 专项计划终 止日后满三 年之日止</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26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8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21" w:hRule="exact"/>
        </w:trPr>
        <w:tc>
          <w:tcPr>
            <w:tcW w:w="26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110,000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5"/>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58" w:hRule="exact"/>
        </w:trPr>
        <w:tc>
          <w:tcPr>
            <w:tcW w:w="17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30"/>
              <w:ind w:left="71"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6" w:space="0" w:color="000000"/>
              <w:left w:val="single" w:sz="6" w:space="0" w:color="000000"/>
              <w:right w:val="single" w:sz="6" w:space="0" w:color="000000"/>
            </w:tcBorders>
            <w:shd w:val="clear" w:color="auto" w:fill="D2D2D2"/>
          </w:tcPr>
          <w:p>
            <w:pPr/>
          </w:p>
        </w:tc>
        <w:tc>
          <w:tcPr>
            <w:tcW w:w="1314" w:type="dxa"/>
            <w:vMerge w:val="restart"/>
            <w:tcBorders>
              <w:top w:val="single" w:sz="6" w:space="0" w:color="000000"/>
              <w:left w:val="single" w:sz="6" w:space="0" w:color="000000"/>
              <w:right w:val="single" w:sz="6" w:space="0" w:color="000000"/>
            </w:tcBorders>
            <w:shd w:val="clear" w:color="auto" w:fill="D2D2D2"/>
          </w:tcPr>
          <w:p>
            <w:pPr/>
          </w:p>
        </w:tc>
        <w:tc>
          <w:tcPr>
            <w:tcW w:w="1048"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0" w:type="dxa"/>
            <w:vMerge w:val="restart"/>
            <w:tcBorders>
              <w:top w:val="single" w:sz="6" w:space="0" w:color="000000"/>
              <w:left w:val="single" w:sz="6" w:space="0" w:color="000000"/>
              <w:right w:val="single" w:sz="6" w:space="0" w:color="000000"/>
            </w:tcBorders>
            <w:shd w:val="clear" w:color="auto" w:fill="D2D2D2"/>
          </w:tcPr>
          <w:p>
            <w:pPr/>
          </w:p>
        </w:tc>
        <w:tc>
          <w:tcPr>
            <w:tcW w:w="1049" w:type="dxa"/>
            <w:vMerge w:val="restart"/>
            <w:tcBorders>
              <w:top w:val="single" w:sz="6" w:space="0" w:color="000000"/>
              <w:left w:val="single" w:sz="6" w:space="0" w:color="000000"/>
              <w:right w:val="single" w:sz="6" w:space="0" w:color="000000"/>
            </w:tcBorders>
            <w:shd w:val="clear" w:color="auto" w:fill="D2D2D2"/>
          </w:tcPr>
          <w:p>
            <w:pPr/>
          </w:p>
        </w:tc>
        <w:tc>
          <w:tcPr>
            <w:tcW w:w="785" w:type="dxa"/>
            <w:tcBorders>
              <w:top w:val="single" w:sz="6" w:space="0" w:color="000000"/>
              <w:left w:val="single" w:sz="6" w:space="0" w:color="000000"/>
              <w:bottom w:val="nil" w:sz="6" w:space="0" w:color="auto"/>
              <w:right w:val="single" w:sz="6" w:space="0" w:color="000000"/>
            </w:tcBorders>
            <w:shd w:val="clear" w:color="auto" w:fill="D2D2D2"/>
          </w:tcPr>
          <w:p>
            <w:pPr/>
          </w:p>
        </w:tc>
        <w:tc>
          <w:tcPr>
            <w:tcW w:w="78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6" w:type="dxa"/>
            <w:vMerge/>
            <w:tcBorders>
              <w:left w:val="single" w:sz="6" w:space="0" w:color="000000"/>
              <w:right w:val="single" w:sz="6" w:space="0" w:color="000000"/>
            </w:tcBorders>
            <w:shd w:val="clear" w:color="auto" w:fill="D2D2D2"/>
          </w:tcPr>
          <w:p>
            <w:pPr/>
          </w:p>
        </w:tc>
        <w:tc>
          <w:tcPr>
            <w:tcW w:w="907" w:type="dxa"/>
            <w:vMerge/>
            <w:tcBorders>
              <w:left w:val="single" w:sz="6" w:space="0" w:color="000000"/>
              <w:right w:val="single" w:sz="6" w:space="0" w:color="000000"/>
            </w:tcBorders>
            <w:shd w:val="clear" w:color="auto" w:fill="D2D2D2"/>
          </w:tcPr>
          <w:p>
            <w:pPr/>
          </w:p>
        </w:tc>
        <w:tc>
          <w:tcPr>
            <w:tcW w:w="929" w:type="dxa"/>
            <w:vMerge/>
            <w:tcBorders>
              <w:left w:val="single" w:sz="6" w:space="0" w:color="000000"/>
              <w:bottom w:val="nil" w:sz="6" w:space="0" w:color="auto"/>
              <w:right w:val="single" w:sz="6" w:space="0" w:color="000000"/>
            </w:tcBorders>
            <w:shd w:val="clear" w:color="auto" w:fill="D2D2D2"/>
          </w:tcPr>
          <w:p>
            <w:pPr/>
          </w:p>
        </w:tc>
        <w:tc>
          <w:tcPr>
            <w:tcW w:w="1314" w:type="dxa"/>
            <w:vMerge/>
            <w:tcBorders>
              <w:left w:val="single" w:sz="6" w:space="0" w:color="000000"/>
              <w:bottom w:val="nil" w:sz="6" w:space="0" w:color="auto"/>
              <w:right w:val="single" w:sz="6" w:space="0" w:color="000000"/>
            </w:tcBorders>
            <w:shd w:val="clear" w:color="auto" w:fill="D2D2D2"/>
          </w:tcPr>
          <w:p>
            <w:pPr/>
          </w:p>
        </w:tc>
        <w:tc>
          <w:tcPr>
            <w:tcW w:w="1048"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420" w:right="70"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0" w:type="dxa"/>
            <w:vMerge/>
            <w:tcBorders>
              <w:left w:val="single" w:sz="6" w:space="0" w:color="000000"/>
              <w:bottom w:val="nil" w:sz="6" w:space="0" w:color="auto"/>
              <w:right w:val="single" w:sz="6" w:space="0" w:color="000000"/>
            </w:tcBorders>
            <w:shd w:val="clear" w:color="auto" w:fill="D2D2D2"/>
          </w:tcPr>
          <w:p>
            <w:pPr/>
          </w:p>
        </w:tc>
        <w:tc>
          <w:tcPr>
            <w:tcW w:w="1049" w:type="dxa"/>
            <w:vMerge/>
            <w:tcBorders>
              <w:left w:val="single" w:sz="6" w:space="0" w:color="000000"/>
              <w:bottom w:val="nil" w:sz="6" w:space="0" w:color="auto"/>
              <w:right w:val="single" w:sz="6" w:space="0" w:color="000000"/>
            </w:tcBorders>
            <w:shd w:val="clear" w:color="auto" w:fill="D2D2D2"/>
          </w:tcPr>
          <w:p>
            <w:pPr/>
          </w:p>
        </w:tc>
        <w:tc>
          <w:tcPr>
            <w:tcW w:w="7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02"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8"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6" w:type="dxa"/>
            <w:vMerge/>
            <w:tcBorders>
              <w:left w:val="single" w:sz="6" w:space="0" w:color="000000"/>
              <w:right w:val="single" w:sz="6" w:space="0" w:color="000000"/>
            </w:tcBorders>
            <w:shd w:val="clear" w:color="auto" w:fill="D2D2D2"/>
          </w:tcPr>
          <w:p>
            <w:pPr/>
          </w:p>
        </w:tc>
        <w:tc>
          <w:tcPr>
            <w:tcW w:w="907" w:type="dxa"/>
            <w:vMerge/>
            <w:tcBorders>
              <w:left w:val="single" w:sz="6" w:space="0" w:color="000000"/>
              <w:right w:val="single" w:sz="6" w:space="0" w:color="000000"/>
            </w:tcBorders>
            <w:shd w:val="clear" w:color="auto" w:fill="D2D2D2"/>
          </w:tcPr>
          <w:p>
            <w:pPr/>
          </w:p>
        </w:tc>
        <w:tc>
          <w:tcPr>
            <w:tcW w:w="92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6" w:space="0" w:color="000000"/>
              <w:right w:val="single" w:sz="6" w:space="0" w:color="000000"/>
            </w:tcBorders>
            <w:shd w:val="clear" w:color="auto" w:fill="D2D2D2"/>
          </w:tcPr>
          <w:p>
            <w:pPr/>
          </w:p>
        </w:tc>
        <w:tc>
          <w:tcPr>
            <w:tcW w:w="105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6" w:space="0" w:color="000000"/>
              <w:right w:val="single" w:sz="6" w:space="0" w:color="000000"/>
            </w:tcBorders>
            <w:shd w:val="clear" w:color="auto" w:fill="D2D2D2"/>
          </w:tcPr>
          <w:p>
            <w:pPr/>
          </w:p>
        </w:tc>
        <w:tc>
          <w:tcPr>
            <w:tcW w:w="785" w:type="dxa"/>
            <w:vMerge/>
            <w:tcBorders>
              <w:left w:val="single" w:sz="6" w:space="0" w:color="000000"/>
              <w:right w:val="single" w:sz="6" w:space="0" w:color="000000"/>
            </w:tcBorders>
            <w:shd w:val="clear" w:color="auto" w:fill="D2D2D2"/>
          </w:tcPr>
          <w:p>
            <w:pPr/>
          </w:p>
        </w:tc>
      </w:tr>
      <w:tr>
        <w:trPr>
          <w:trHeight w:val="165" w:hRule="exact"/>
        </w:trPr>
        <w:tc>
          <w:tcPr>
            <w:tcW w:w="1716" w:type="dxa"/>
            <w:vMerge/>
            <w:tcBorders>
              <w:left w:val="single" w:sz="6" w:space="0" w:color="000000"/>
              <w:right w:val="single" w:sz="6" w:space="0" w:color="000000"/>
            </w:tcBorders>
            <w:shd w:val="clear" w:color="auto" w:fill="D2D2D2"/>
          </w:tcPr>
          <w:p>
            <w:pPr/>
          </w:p>
        </w:tc>
        <w:tc>
          <w:tcPr>
            <w:tcW w:w="907" w:type="dxa"/>
            <w:vMerge/>
            <w:tcBorders>
              <w:left w:val="single" w:sz="6" w:space="0" w:color="000000"/>
              <w:right w:val="single" w:sz="6" w:space="0" w:color="000000"/>
            </w:tcBorders>
            <w:shd w:val="clear" w:color="auto" w:fill="D2D2D2"/>
          </w:tcPr>
          <w:p>
            <w:pPr/>
          </w:p>
        </w:tc>
        <w:tc>
          <w:tcPr>
            <w:tcW w:w="929" w:type="dxa"/>
            <w:vMerge/>
            <w:tcBorders>
              <w:left w:val="single" w:sz="6" w:space="0" w:color="000000"/>
              <w:right w:val="single" w:sz="6" w:space="0" w:color="000000"/>
            </w:tcBorders>
            <w:shd w:val="clear" w:color="auto" w:fill="D2D2D2"/>
          </w:tcPr>
          <w:p>
            <w:pPr/>
          </w:p>
        </w:tc>
        <w:tc>
          <w:tcPr>
            <w:tcW w:w="1314" w:type="dxa"/>
            <w:vMerge w:val="restart"/>
            <w:tcBorders>
              <w:top w:val="nil" w:sz="6" w:space="0" w:color="auto"/>
              <w:left w:val="single" w:sz="6" w:space="0" w:color="000000"/>
              <w:right w:val="single" w:sz="6" w:space="0" w:color="000000"/>
            </w:tcBorders>
            <w:shd w:val="clear" w:color="auto" w:fill="D2D2D2"/>
          </w:tcPr>
          <w:p>
            <w:pPr/>
          </w:p>
        </w:tc>
        <w:tc>
          <w:tcPr>
            <w:tcW w:w="1048" w:type="dxa"/>
            <w:vMerge/>
            <w:tcBorders>
              <w:left w:val="single" w:sz="6" w:space="0" w:color="000000"/>
              <w:bottom w:val="nil" w:sz="6" w:space="0" w:color="auto"/>
              <w:right w:val="single" w:sz="6" w:space="0" w:color="000000"/>
            </w:tcBorders>
            <w:shd w:val="clear" w:color="auto" w:fill="D2D2D2"/>
          </w:tcPr>
          <w:p>
            <w:pPr/>
          </w:p>
        </w:tc>
        <w:tc>
          <w:tcPr>
            <w:tcW w:w="1050" w:type="dxa"/>
            <w:vMerge w:val="restart"/>
            <w:tcBorders>
              <w:top w:val="nil" w:sz="6" w:space="0" w:color="auto"/>
              <w:left w:val="single" w:sz="6" w:space="0" w:color="000000"/>
              <w:right w:val="single" w:sz="6" w:space="0" w:color="000000"/>
            </w:tcBorders>
            <w:shd w:val="clear" w:color="auto" w:fill="D2D2D2"/>
          </w:tcPr>
          <w:p>
            <w:pPr/>
          </w:p>
        </w:tc>
        <w:tc>
          <w:tcPr>
            <w:tcW w:w="1049" w:type="dxa"/>
            <w:vMerge w:val="restart"/>
            <w:tcBorders>
              <w:top w:val="nil" w:sz="6" w:space="0" w:color="auto"/>
              <w:left w:val="single" w:sz="6" w:space="0" w:color="000000"/>
              <w:right w:val="single" w:sz="6" w:space="0" w:color="000000"/>
            </w:tcBorders>
            <w:shd w:val="clear" w:color="auto" w:fill="D2D2D2"/>
          </w:tcPr>
          <w:p>
            <w:pPr/>
          </w:p>
        </w:tc>
        <w:tc>
          <w:tcPr>
            <w:tcW w:w="785" w:type="dxa"/>
            <w:vMerge/>
            <w:tcBorders>
              <w:left w:val="single" w:sz="6" w:space="0" w:color="000000"/>
              <w:bottom w:val="nil" w:sz="6" w:space="0" w:color="auto"/>
              <w:right w:val="single" w:sz="6" w:space="0" w:color="000000"/>
            </w:tcBorders>
            <w:shd w:val="clear" w:color="auto" w:fill="D2D2D2"/>
          </w:tcPr>
          <w:p>
            <w:pPr/>
          </w:p>
        </w:tc>
        <w:tc>
          <w:tcPr>
            <w:tcW w:w="785" w:type="dxa"/>
            <w:vMerge/>
            <w:tcBorders>
              <w:left w:val="single" w:sz="6" w:space="0" w:color="000000"/>
              <w:right w:val="single" w:sz="6" w:space="0" w:color="000000"/>
            </w:tcBorders>
            <w:shd w:val="clear" w:color="auto" w:fill="D2D2D2"/>
          </w:tcPr>
          <w:p>
            <w:pPr/>
          </w:p>
        </w:tc>
      </w:tr>
      <w:tr>
        <w:trPr>
          <w:trHeight w:val="158" w:hRule="exact"/>
        </w:trPr>
        <w:tc>
          <w:tcPr>
            <w:tcW w:w="1716" w:type="dxa"/>
            <w:vMerge/>
            <w:tcBorders>
              <w:left w:val="single" w:sz="6" w:space="0" w:color="000000"/>
              <w:bottom w:val="single" w:sz="6" w:space="0" w:color="000000"/>
              <w:right w:val="single" w:sz="6" w:space="0" w:color="000000"/>
            </w:tcBorders>
            <w:shd w:val="clear" w:color="auto" w:fill="D2D2D2"/>
          </w:tcPr>
          <w:p>
            <w:pPr/>
          </w:p>
        </w:tc>
        <w:tc>
          <w:tcPr>
            <w:tcW w:w="907" w:type="dxa"/>
            <w:vMerge/>
            <w:tcBorders>
              <w:left w:val="single" w:sz="6" w:space="0" w:color="000000"/>
              <w:bottom w:val="single" w:sz="6" w:space="0" w:color="000000"/>
              <w:right w:val="single" w:sz="6" w:space="0" w:color="000000"/>
            </w:tcBorders>
            <w:shd w:val="clear" w:color="auto" w:fill="D2D2D2"/>
          </w:tcPr>
          <w:p>
            <w:pPr/>
          </w:p>
        </w:tc>
        <w:tc>
          <w:tcPr>
            <w:tcW w:w="929" w:type="dxa"/>
            <w:vMerge/>
            <w:tcBorders>
              <w:left w:val="single" w:sz="6" w:space="0" w:color="000000"/>
              <w:bottom w:val="single" w:sz="6" w:space="0" w:color="000000"/>
              <w:right w:val="single" w:sz="6" w:space="0" w:color="000000"/>
            </w:tcBorders>
            <w:shd w:val="clear" w:color="auto" w:fill="D2D2D2"/>
          </w:tcPr>
          <w:p>
            <w:pPr/>
          </w:p>
        </w:tc>
        <w:tc>
          <w:tcPr>
            <w:tcW w:w="1314" w:type="dxa"/>
            <w:vMerge/>
            <w:tcBorders>
              <w:left w:val="single" w:sz="6" w:space="0" w:color="000000"/>
              <w:bottom w:val="single" w:sz="6" w:space="0" w:color="000000"/>
              <w:right w:val="single" w:sz="6" w:space="0" w:color="000000"/>
            </w:tcBorders>
            <w:shd w:val="clear" w:color="auto" w:fill="D2D2D2"/>
          </w:tcPr>
          <w:p>
            <w:pPr/>
          </w:p>
        </w:tc>
        <w:tc>
          <w:tcPr>
            <w:tcW w:w="1048"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0" w:type="dxa"/>
            <w:vMerge/>
            <w:tcBorders>
              <w:left w:val="single" w:sz="6" w:space="0" w:color="000000"/>
              <w:bottom w:val="single" w:sz="6" w:space="0" w:color="000000"/>
              <w:right w:val="single" w:sz="6" w:space="0" w:color="000000"/>
            </w:tcBorders>
            <w:shd w:val="clear" w:color="auto" w:fill="D2D2D2"/>
          </w:tcPr>
          <w:p>
            <w:pPr/>
          </w:p>
        </w:tc>
        <w:tc>
          <w:tcPr>
            <w:tcW w:w="1049" w:type="dxa"/>
            <w:vMerge/>
            <w:tcBorders>
              <w:left w:val="single" w:sz="6" w:space="0" w:color="000000"/>
              <w:bottom w:val="single" w:sz="6" w:space="0" w:color="000000"/>
              <w:right w:val="single" w:sz="6" w:space="0" w:color="000000"/>
            </w:tcBorders>
            <w:shd w:val="clear" w:color="auto" w:fill="D2D2D2"/>
          </w:tcPr>
          <w:p>
            <w:pPr/>
          </w:p>
        </w:tc>
        <w:tc>
          <w:tcPr>
            <w:tcW w:w="785" w:type="dxa"/>
            <w:tcBorders>
              <w:top w:val="nil" w:sz="6" w:space="0" w:color="auto"/>
              <w:left w:val="single" w:sz="6" w:space="0" w:color="000000"/>
              <w:bottom w:val="single" w:sz="6" w:space="0" w:color="000000"/>
              <w:right w:val="single" w:sz="6" w:space="0" w:color="000000"/>
            </w:tcBorders>
            <w:shd w:val="clear" w:color="auto" w:fill="D2D2D2"/>
          </w:tcPr>
          <w:p>
            <w:pPr/>
          </w:p>
        </w:tc>
        <w:tc>
          <w:tcPr>
            <w:tcW w:w="785"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06" w:hRule="exact"/>
        </w:trPr>
        <w:tc>
          <w:tcPr>
            <w:tcW w:w="26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95"/>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8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w:t>
            </w:r>
          </w:p>
        </w:tc>
      </w:tr>
      <w:tr>
        <w:trPr>
          <w:trHeight w:val="405"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4.92%</w:t>
            </w:r>
          </w:p>
        </w:tc>
      </w:tr>
      <w:tr>
        <w:trPr>
          <w:trHeight w:val="40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90"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851"/>
        <w:gridCol w:w="4731"/>
      </w:tblGrid>
      <w:tr>
        <w:trPr>
          <w:trHeight w:val="720"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721"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0" w:lineRule="auto" w:before="45"/>
        <w:ind w:right="8049"/>
        <w:jc w:val="left"/>
      </w:pPr>
      <w:r>
        <w:rPr/>
        <w:t>采用复合方式担保的具体情况说明 无</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公司报告期无违规对外担保情况。</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333"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单位：万元</w:t>
      </w:r>
    </w:p>
    <w:p>
      <w:pPr>
        <w:spacing w:after="0" w:line="240" w:lineRule="auto"/>
        <w:jc w:val="left"/>
        <w:sectPr>
          <w:type w:val="continuous"/>
          <w:pgSz w:w="11910" w:h="16850"/>
          <w:pgMar w:top="1040" w:bottom="1180" w:left="1000" w:right="0"/>
          <w:cols w:num="2" w:equalWidth="0">
            <w:col w:w="1942" w:space="6814"/>
            <w:col w:w="215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77"/>
        <w:gridCol w:w="1952"/>
        <w:gridCol w:w="1983"/>
        <w:gridCol w:w="1922"/>
        <w:gridCol w:w="1847"/>
      </w:tblGrid>
      <w:tr>
        <w:trPr>
          <w:trHeight w:val="390" w:hRule="exact"/>
        </w:trPr>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721"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
              <w:jc w:val="left"/>
              <w:rPr>
                <w:rFonts w:ascii="宋体" w:hAnsi="宋体" w:cs="宋体" w:eastAsia="宋体" w:hint="default"/>
                <w:sz w:val="18"/>
                <w:szCs w:val="18"/>
              </w:rPr>
            </w:pPr>
            <w:r>
              <w:rPr>
                <w:rFonts w:ascii="宋体" w:hAnsi="宋体" w:cs="宋体" w:eastAsia="宋体" w:hint="default"/>
                <w:spacing w:val="-7"/>
                <w:sz w:val="18"/>
                <w:szCs w:val="18"/>
              </w:rPr>
              <w:t>闲置自有资金、闲置募集</w:t>
            </w:r>
            <w:r>
              <w:rPr>
                <w:rFonts w:ascii="宋体" w:hAnsi="宋体" w:cs="宋体" w:eastAsia="宋体" w:hint="default"/>
                <w:sz w:val="18"/>
                <w:szCs w:val="18"/>
              </w:rPr>
              <w:t> 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168,300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98,300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37,009.10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36,721.15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43"/>
              <w:jc w:val="left"/>
              <w:rPr>
                <w:rFonts w:ascii="宋体" w:hAnsi="宋体" w:cs="宋体" w:eastAsia="宋体" w:hint="default"/>
                <w:sz w:val="18"/>
                <w:szCs w:val="18"/>
              </w:rPr>
            </w:pPr>
            <w:r>
              <w:rPr>
                <w:rFonts w:ascii="宋体" w:hAnsi="宋体" w:cs="宋体" w:eastAsia="宋体" w:hint="default"/>
                <w:spacing w:val="-3"/>
                <w:sz w:val="18"/>
                <w:szCs w:val="18"/>
              </w:rPr>
              <w:t>其他类（含</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ABS</w:t>
            </w:r>
            <w:r>
              <w:rPr>
                <w:rFonts w:ascii="宋体" w:hAnsi="宋体" w:cs="宋体" w:eastAsia="宋体" w:hint="default"/>
                <w:spacing w:val="-4"/>
                <w:sz w:val="18"/>
                <w:szCs w:val="18"/>
              </w:rPr>
              <w:t>、境外</w:t>
            </w:r>
            <w:r>
              <w:rPr>
                <w:rFonts w:ascii="宋体" w:hAnsi="宋体" w:cs="宋体" w:eastAsia="宋体" w:hint="default"/>
                <w:sz w:val="18"/>
                <w:szCs w:val="18"/>
              </w:rPr>
              <w:t> 理财等）</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90,013.81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97,079.51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335,322.91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262,100.66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5"/>
        <w:ind w:right="0"/>
        <w:jc w:val="left"/>
      </w:pPr>
      <w:r>
        <w:rPr/>
        <w:t>单项金额重大或安全性较低、流动性较差、不保本的高风险委托理财具体情况</w:t>
      </w:r>
    </w:p>
    <w:p>
      <w:pPr>
        <w:pStyle w:val="BodyText"/>
        <w:spacing w:line="319" w:lineRule="auto" w:before="124"/>
        <w:ind w:right="57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委托理财出现预期无法收回本金或存在其他可能导致减值的情形</w:t>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after="0" w:line="331" w:lineRule="auto"/>
        <w:jc w:val="left"/>
        <w:sectPr>
          <w:type w:val="continuous"/>
          <w:pgSz w:w="11910" w:h="16850"/>
          <w:pgMar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04" w:firstLine="360"/>
        <w:jc w:val="both"/>
      </w:pPr>
      <w:r>
        <w:rPr>
          <w:spacing w:val="-2"/>
        </w:rPr>
        <w:t>公司积极践行作为上市公司的社会责任，保障股东特别是中小股东的利益，是公司最基本的社会责任。同时，公司充分</w:t>
      </w:r>
      <w:r>
        <w:rPr/>
        <w:t> 尊重和维护上市公司各相关方的合法权益，实现股东、员工、社会等各方利益的协调平衡，推动公司持续健康发展。</w:t>
      </w:r>
    </w:p>
    <w:p>
      <w:pPr>
        <w:pStyle w:val="BodyText"/>
        <w:spacing w:line="319" w:lineRule="auto" w:before="18"/>
        <w:ind w:right="1100" w:firstLine="360"/>
        <w:jc w:val="right"/>
      </w:pPr>
      <w:r>
        <w:rPr>
          <w:spacing w:val="-2"/>
        </w:rPr>
        <w:t>公司根据《公司法》、《证券法》、《上市公司治理准则》等法律法规，不断完善公司治理，建立了以《公司章程》为</w:t>
      </w:r>
      <w:r>
        <w:rPr/>
        <w:t> </w:t>
      </w:r>
      <w:r>
        <w:rPr>
          <w:spacing w:val="-5"/>
        </w:rPr>
        <w:t>基础的内控体系，形成了以股东大会、董事会、监事会及管理层为主体结构的决策与经营体系，切实保障全体股东及的权益。</w:t>
      </w:r>
      <w:r>
        <w:rPr>
          <w:spacing w:val="-64"/>
        </w:rPr>
        <w:t> </w:t>
      </w:r>
      <w:r>
        <w:rPr>
          <w:spacing w:val="-64"/>
        </w:rPr>
      </w:r>
      <w:r>
        <w:rPr>
          <w:spacing w:val="-2"/>
        </w:rPr>
        <w:t>在信息披露及投资者交流方面，公司根据监管部门的规范进行投资者来访咨询的接待工作，指定《中国证券报》、《上</w:t>
      </w:r>
      <w:r>
        <w:rPr/>
        <w:t> 海证券报》、《证券时报》、《证券日报》和巨潮资讯网（</w:t>
      </w:r>
      <w:hyperlink r:id="rId9">
        <w:r>
          <w:rPr>
            <w:rFonts w:ascii="宋体" w:hAnsi="宋体" w:cs="宋体" w:eastAsia="宋体" w:hint="default"/>
          </w:rPr>
          <w:t>www.cninfo.com.cn</w:t>
        </w:r>
      </w:hyperlink>
      <w:r>
        <w:rPr/>
        <w:t>）作为公司指定信息披露媒体。公司严格按 </w:t>
      </w:r>
      <w:r>
        <w:rPr>
          <w:spacing w:val="-2"/>
        </w:rPr>
        <w:t>照有关法律法规的要求，真实、准确、完整、及时地披露有关信息。公司注重与投资者沟通交流，制定了《投资者关系管理</w:t>
      </w:r>
      <w:r>
        <w:rPr/>
        <w:t> </w:t>
      </w:r>
      <w:r>
        <w:rPr>
          <w:spacing w:val="-2"/>
        </w:rPr>
        <w:t>制度》，高效利用“投资者关系互动平台”、“互动易”等工具与投资者特别是中小投资者及时沟通，有效地做好投资者关</w:t>
      </w:r>
    </w:p>
    <w:p>
      <w:pPr>
        <w:pStyle w:val="BodyText"/>
        <w:spacing w:line="240" w:lineRule="auto" w:before="5"/>
        <w:ind w:right="0"/>
        <w:jc w:val="left"/>
      </w:pPr>
      <w:r>
        <w:rPr/>
        <w:t>系管理工作。</w:t>
      </w:r>
    </w:p>
    <w:p>
      <w:pPr>
        <w:pStyle w:val="BodyText"/>
        <w:spacing w:line="321" w:lineRule="auto" w:before="80"/>
        <w:ind w:right="1121" w:firstLine="360"/>
        <w:jc w:val="both"/>
      </w:pPr>
      <w:r>
        <w:rPr>
          <w:spacing w:val="-2"/>
        </w:rPr>
        <w:t>在劳资关系与员工发展方面，公司坚持以人为本，把人才战略作为企业发展的重点，公司严格遵守《劳动法》、《劳动</w:t>
      </w:r>
      <w:r>
        <w:rPr/>
        <w:t> </w:t>
      </w:r>
      <w:r>
        <w:rPr>
          <w:spacing w:val="-2"/>
        </w:rPr>
        <w:t>合同法》等相关法律法规，尊重和维护员工的个人权益，切实关注员工健康、安全和满意度。同时，公司积极构建和谐的劳</w:t>
      </w:r>
      <w:r>
        <w:rPr>
          <w:spacing w:val="-67"/>
        </w:rPr>
        <w:t> </w:t>
      </w:r>
      <w:r>
        <w:rPr>
          <w:spacing w:val="-67"/>
        </w:rPr>
      </w:r>
      <w:r>
        <w:rPr>
          <w:spacing w:val="-2"/>
        </w:rPr>
        <w:t>资关系，为员工提供良好的工作、生活环境和各种内部、外部培训机会；公司注重对员工职业发展进行规划，提升员工的主</w:t>
      </w:r>
      <w:r>
        <w:rPr>
          <w:spacing w:val="-57"/>
        </w:rPr>
        <w:t> </w:t>
      </w:r>
      <w:r>
        <w:rPr>
          <w:spacing w:val="-57"/>
        </w:rPr>
      </w:r>
      <w:r>
        <w:rPr/>
        <w:t>人翁意识，为员工提供平等的发展机会和晋升渠道，尊重和维护员工的个人利益，推动员工的快速成长。</w:t>
      </w:r>
    </w:p>
    <w:p>
      <w:pPr>
        <w:pStyle w:val="BodyText"/>
        <w:spacing w:line="321" w:lineRule="auto" w:before="3"/>
        <w:ind w:right="1105" w:firstLine="360"/>
        <w:jc w:val="both"/>
      </w:pPr>
      <w:r>
        <w:rPr>
          <w:spacing w:val="-2"/>
        </w:rPr>
        <w:t>在行业协会与社会活动方面，公司始终积极支持相关行业协会的工作，献言献策；积极参加社区活动，实现企业与社会</w:t>
      </w:r>
      <w:r>
        <w:rPr/>
        <w:t> 和谐发展。</w:t>
      </w:r>
    </w:p>
    <w:p>
      <w:pPr>
        <w:pStyle w:val="BodyText"/>
        <w:spacing w:line="321" w:lineRule="auto" w:before="18"/>
        <w:ind w:right="1105" w:firstLine="360"/>
        <w:jc w:val="both"/>
      </w:pPr>
      <w:r>
        <w:rPr>
          <w:spacing w:val="-2"/>
        </w:rPr>
        <w:t>在客户服务方面，公司始终坚持客户至上的原则，为客户提供优质的服务，充分保障客户利益。公司注重加强与客户的</w:t>
      </w:r>
      <w:r>
        <w:rPr/>
        <w:t> </w:t>
      </w:r>
      <w:r>
        <w:rPr>
          <w:spacing w:val="-2"/>
        </w:rPr>
        <w:t>沟通和交流，以合作为纽带，以诚信为基础，形成了长期友好合作的战略伙伴关系，达到供需双方的互惠共赢，共同为社会</w:t>
      </w:r>
      <w:r>
        <w:rPr>
          <w:spacing w:val="-54"/>
        </w:rPr>
        <w:t> </w:t>
      </w:r>
      <w:r>
        <w:rPr>
          <w:spacing w:val="-54"/>
        </w:rPr>
      </w:r>
      <w:r>
        <w:rPr/>
        <w:t>创造财富。</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60" w:lineRule="auto" w:before="0"/>
        <w:ind w:right="5349"/>
        <w:jc w:val="left"/>
      </w:pPr>
      <w:r>
        <w:rPr/>
        <w:t>上市公司及其子公司是否属于环境保护部门公布的重点排污单位 不适用 公司的主营业务为互联网信息服务业务，不涉及环境污染相关情况。</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501" w:right="0"/>
        <w:jc w:val="left"/>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6</w:t>
      </w:r>
      <w:r>
        <w:rPr/>
        <w:t>月，实施</w:t>
      </w:r>
      <w:r>
        <w:rPr>
          <w:rFonts w:ascii="宋体" w:hAnsi="宋体" w:cs="宋体" w:eastAsia="宋体" w:hint="default"/>
        </w:rPr>
        <w:t>2018</w:t>
      </w:r>
      <w:r>
        <w:rPr/>
        <w:t>年度权益分派</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09" w:firstLine="360"/>
        <w:jc w:val="both"/>
      </w:pP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日召开第六届董事会第三十四次会议及第六届监事会第二十二次会议，</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日召开</w:t>
      </w:r>
      <w:r>
        <w:rPr>
          <w:rFonts w:ascii="宋体" w:hAnsi="宋体" w:cs="宋体" w:eastAsia="宋体" w:hint="default"/>
          <w:spacing w:val="-2"/>
        </w:rPr>
        <w:t>2018</w:t>
      </w:r>
      <w:r>
        <w:rPr>
          <w:spacing w:val="-2"/>
        </w:rPr>
        <w:t>年度</w:t>
      </w:r>
      <w:r>
        <w:rPr/>
        <w:t> 股东大会，审议通过了《公司</w:t>
      </w:r>
      <w:r>
        <w:rPr>
          <w:rFonts w:ascii="宋体" w:hAnsi="宋体" w:cs="宋体" w:eastAsia="宋体" w:hint="default"/>
        </w:rPr>
        <w:t>2018</w:t>
      </w:r>
      <w:r>
        <w:rPr/>
        <w:t>年度利润分配预案》，即以公司当时总股本</w:t>
      </w:r>
      <w:r>
        <w:rPr>
          <w:rFonts w:ascii="宋体" w:hAnsi="宋体" w:cs="宋体" w:eastAsia="宋体" w:hint="default"/>
        </w:rPr>
        <w:t>4,438,790,572</w:t>
      </w:r>
      <w:r>
        <w:rPr/>
        <w:t>股为基数，向全体股东每</w:t>
      </w:r>
      <w:r>
        <w:rPr>
          <w:rFonts w:ascii="宋体" w:hAnsi="宋体" w:cs="宋体" w:eastAsia="宋体" w:hint="default"/>
        </w:rPr>
        <w:t>10</w:t>
      </w:r>
      <w:r>
        <w:rPr/>
        <w:t>股</w:t>
      </w:r>
      <w:r>
        <w:rPr>
          <w:spacing w:val="-81"/>
        </w:rPr>
        <w:t> </w:t>
      </w:r>
      <w:r>
        <w:rPr>
          <w:spacing w:val="-2"/>
        </w:rPr>
        <w:t>派发现金红利</w:t>
      </w:r>
      <w:r>
        <w:rPr>
          <w:rFonts w:ascii="宋体" w:hAnsi="宋体" w:cs="宋体" w:eastAsia="宋体" w:hint="default"/>
          <w:spacing w:val="-2"/>
        </w:rPr>
        <w:t>0.30</w:t>
      </w:r>
      <w:r>
        <w:rPr>
          <w:spacing w:val="-2"/>
        </w:rPr>
        <w:t>元（含税），同时以资本公积向全体股东每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3</w:t>
      </w:r>
      <w:r>
        <w:rPr>
          <w:spacing w:val="-2"/>
        </w:rPr>
        <w:t>股。本次权益分派股权登记日为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日，除</w:t>
      </w:r>
      <w:r>
        <w:rPr>
          <w:spacing w:val="-36"/>
        </w:rPr>
        <w:t> </w:t>
      </w:r>
      <w:r>
        <w:rPr>
          <w:spacing w:val="-36"/>
        </w:rPr>
      </w:r>
      <w:r>
        <w:rPr>
          <w:spacing w:val="-2"/>
        </w:rPr>
        <w:t>权除息日为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日，权益分派实施完成后公司总股本增至</w:t>
      </w:r>
      <w:r>
        <w:rPr>
          <w:rFonts w:ascii="宋体" w:hAnsi="宋体" w:cs="宋体" w:eastAsia="宋体" w:hint="default"/>
          <w:spacing w:val="-2"/>
        </w:rPr>
        <w:t>5,770,427,743</w:t>
      </w:r>
      <w:r>
        <w:rPr>
          <w:spacing w:val="-2"/>
        </w:rPr>
        <w:t>股。详见公司于</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w:t>
      </w:r>
      <w:r>
        <w:rPr>
          <w:spacing w:val="-2"/>
        </w:rPr>
        <w:t>日在巨潮资讯网</w:t>
      </w:r>
      <w:r>
        <w:rPr>
          <w:spacing w:val="-41"/>
        </w:rPr>
        <w:t> </w:t>
      </w:r>
      <w:r>
        <w:rPr/>
        <w:t>披露的《</w:t>
      </w:r>
      <w:r>
        <w:rPr>
          <w:rFonts w:ascii="宋体" w:hAnsi="宋体" w:cs="宋体" w:eastAsia="宋体" w:hint="default"/>
        </w:rPr>
        <w:t>2018</w:t>
      </w:r>
      <w:r>
        <w:rPr/>
        <w:t>年度权益分派实施公告》（公告编号：</w:t>
      </w:r>
      <w:r>
        <w:rPr>
          <w:rFonts w:ascii="宋体" w:hAnsi="宋体" w:cs="宋体" w:eastAsia="宋体" w:hint="default"/>
        </w:rPr>
        <w:t>2019-042</w:t>
      </w:r>
      <w:r>
        <w:rPr/>
        <w:t>）。</w:t>
      </w:r>
    </w:p>
    <w:p>
      <w:pPr>
        <w:pStyle w:val="BodyText"/>
        <w:spacing w:line="240" w:lineRule="auto" w:before="22"/>
        <w:ind w:left="501" w:right="0"/>
        <w:jc w:val="left"/>
      </w:pPr>
      <w:r>
        <w:rPr/>
        <w:t>（</w:t>
      </w:r>
      <w:r>
        <w:rPr>
          <w:rFonts w:ascii="宋体" w:hAnsi="宋体" w:cs="宋体" w:eastAsia="宋体" w:hint="default"/>
        </w:rPr>
        <w:t>2</w:t>
      </w:r>
      <w:r>
        <w:rPr/>
        <w:t>）股权激励事项</w:t>
      </w:r>
    </w:p>
    <w:p>
      <w:pPr>
        <w:pStyle w:val="BodyText"/>
        <w:spacing w:line="321" w:lineRule="auto" w:before="79"/>
        <w:ind w:right="1128" w:firstLine="360"/>
        <w:jc w:val="both"/>
      </w:pPr>
      <w:r>
        <w:rPr>
          <w:spacing w:val="-3"/>
        </w:rPr>
        <w:t>公司</w:t>
      </w:r>
      <w:r>
        <w:rPr>
          <w:rFonts w:ascii="宋体" w:hAnsi="宋体" w:cs="宋体" w:eastAsia="宋体" w:hint="default"/>
          <w:spacing w:val="-3"/>
        </w:rPr>
        <w:t>2016</w:t>
      </w:r>
      <w:r>
        <w:rPr>
          <w:spacing w:val="-3"/>
        </w:rPr>
        <w:t>年、</w:t>
      </w:r>
      <w:r>
        <w:rPr>
          <w:rFonts w:ascii="宋体" w:hAnsi="宋体" w:cs="宋体" w:eastAsia="宋体" w:hint="default"/>
          <w:spacing w:val="-3"/>
        </w:rPr>
        <w:t>2017</w:t>
      </w:r>
      <w:r>
        <w:rPr>
          <w:spacing w:val="-3"/>
        </w:rPr>
        <w:t>年限制性股票激励计划的相关事项详见本报告书“第五节</w:t>
      </w:r>
      <w:r>
        <w:rPr>
          <w:spacing w:val="29"/>
        </w:rPr>
        <w:t> </w:t>
      </w:r>
      <w:r>
        <w:rPr>
          <w:spacing w:val="-5"/>
        </w:rPr>
        <w:t>重要事项”之“十五、公司股权激励计划、</w:t>
      </w:r>
      <w:r>
        <w:rPr/>
        <w:t> 员工持股计划及其他员工激励措施的实施情况”。</w:t>
      </w:r>
    </w:p>
    <w:p>
      <w:pPr>
        <w:pStyle w:val="BodyText"/>
        <w:spacing w:line="321" w:lineRule="auto" w:before="3"/>
        <w:ind w:left="501" w:right="1133"/>
        <w:jc w:val="left"/>
      </w:pPr>
      <w:r>
        <w:rPr/>
        <w:t>（</w:t>
      </w: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8</w:t>
      </w:r>
      <w:r>
        <w:rPr/>
        <w:t>月，公司参与投资昆山汇岭互联网投资企业（有限合伙）进展情况 </w:t>
      </w:r>
      <w:r>
        <w:rPr>
          <w:spacing w:val="-2"/>
        </w:rPr>
        <w:t>因昆山汇岭后续暂无需要投资的标的，为降低管理成本，提高公司整体经营效益，公司与普通合伙人西藏九岭创业投资</w:t>
      </w:r>
    </w:p>
    <w:p>
      <w:pPr>
        <w:pStyle w:val="BodyText"/>
        <w:spacing w:line="321" w:lineRule="auto" w:before="18"/>
        <w:ind w:right="1129"/>
        <w:jc w:val="both"/>
      </w:pPr>
      <w:r>
        <w:rPr>
          <w:spacing w:val="-2"/>
        </w:rPr>
        <w:t>管理有限公司协商后对昆山汇岭股权投资基金进行清算。基金财产清算后的全部剩余资产扣除基金财产清算费用、交纳所欠</w:t>
      </w:r>
      <w:r>
        <w:rPr>
          <w:spacing w:val="-69"/>
        </w:rPr>
        <w:t> </w:t>
      </w:r>
      <w:r>
        <w:rPr>
          <w:spacing w:val="-69"/>
        </w:rPr>
      </w:r>
      <w:r>
        <w:rPr/>
        <w:t>税款并清偿基金债务后按照各合伙人实缴出资比例进行分配。详见公司于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15</w:t>
      </w:r>
      <w:r>
        <w:rPr/>
        <w:t>日在巨潮资讯网披露的《关于拟清算</w:t>
      </w:r>
      <w:r>
        <w:rPr>
          <w:spacing w:val="-84"/>
        </w:rPr>
        <w:t> </w:t>
      </w:r>
      <w:r>
        <w:rPr/>
        <w:t>股权投资基金暨关联交易的公告》（公告编号：</w:t>
      </w:r>
      <w:r>
        <w:rPr>
          <w:rFonts w:ascii="宋体" w:hAnsi="宋体" w:cs="宋体" w:eastAsia="宋体" w:hint="default"/>
        </w:rPr>
        <w:t>2019-056</w:t>
      </w:r>
      <w:r>
        <w:rPr/>
        <w:t>）。</w:t>
      </w:r>
    </w:p>
    <w:p>
      <w:pPr>
        <w:pStyle w:val="BodyText"/>
        <w:spacing w:line="321" w:lineRule="auto" w:before="3"/>
        <w:ind w:left="501" w:right="1119"/>
        <w:jc w:val="left"/>
      </w:pPr>
      <w:r>
        <w:rPr/>
        <w:t>（</w:t>
      </w:r>
      <w:r>
        <w:rPr>
          <w:rFonts w:ascii="宋体" w:hAnsi="宋体" w:cs="宋体" w:eastAsia="宋体" w:hint="default"/>
        </w:rPr>
        <w:t>4</w:t>
      </w:r>
      <w:r>
        <w:rPr/>
        <w:t>）投资事项 </w:t>
      </w:r>
      <w:r>
        <w:rPr>
          <w:rFonts w:ascii="宋体" w:hAnsi="宋体" w:cs="宋体" w:eastAsia="宋体" w:hint="default"/>
        </w:rPr>
        <w:t>1</w:t>
      </w:r>
      <w:r>
        <w:rPr/>
        <w:t>）公司以自有资金出资人民币</w:t>
      </w:r>
      <w:r>
        <w:rPr>
          <w:rFonts w:ascii="宋体" w:hAnsi="宋体" w:cs="宋体" w:eastAsia="宋体" w:hint="default"/>
        </w:rPr>
        <w:t>1,500</w:t>
      </w:r>
      <w:r>
        <w:rPr/>
        <w:t>万参与投资了谦翌德闰股权投资基金（上海）有限公司，持股比例为</w:t>
      </w:r>
      <w:r>
        <w:rPr>
          <w:rFonts w:ascii="宋体" w:hAnsi="宋体" w:cs="宋体" w:eastAsia="宋体" w:hint="default"/>
        </w:rPr>
        <w:t>15%</w:t>
      </w:r>
      <w:r>
        <w:rPr/>
        <w:t>；出资人</w:t>
      </w:r>
    </w:p>
    <w:p>
      <w:pPr>
        <w:pStyle w:val="BodyText"/>
        <w:spacing w:line="321" w:lineRule="auto" w:before="18"/>
        <w:ind w:left="501" w:right="0" w:hanging="361"/>
        <w:jc w:val="left"/>
      </w:pPr>
      <w:r>
        <w:rPr/>
        <w:t>民币</w:t>
      </w:r>
      <w:r>
        <w:rPr>
          <w:rFonts w:ascii="宋体" w:hAnsi="宋体" w:cs="宋体" w:eastAsia="宋体" w:hint="default"/>
        </w:rPr>
        <w:t>5,000</w:t>
      </w:r>
      <w:r>
        <w:rPr/>
        <w:t>万元投资了上海芯翌智能科技有限公司，持股比例为</w:t>
      </w:r>
      <w:r>
        <w:rPr>
          <w:rFonts w:ascii="宋体" w:hAnsi="宋体" w:cs="宋体" w:eastAsia="宋体" w:hint="default"/>
        </w:rPr>
        <w:t>5%</w:t>
      </w:r>
      <w:r>
        <w:rPr/>
        <w:t>。</w:t>
      </w:r>
      <w:r>
        <w:rPr>
          <w:spacing w:val="-85"/>
        </w:rPr>
        <w:t> </w:t>
      </w:r>
      <w:r>
        <w:rPr>
          <w:rFonts w:ascii="宋体" w:hAnsi="宋体" w:cs="宋体" w:eastAsia="宋体" w:hint="default"/>
          <w:spacing w:val="-2"/>
        </w:rPr>
        <w:t>2</w:t>
      </w:r>
      <w:r>
        <w:rPr>
          <w:spacing w:val="-2"/>
        </w:rPr>
        <w:t>）公司作为有限合伙人以自有资金认缴出资额人民币</w:t>
      </w:r>
      <w:r>
        <w:rPr>
          <w:rFonts w:ascii="宋体" w:hAnsi="宋体" w:cs="宋体" w:eastAsia="宋体" w:hint="default"/>
          <w:spacing w:val="-2"/>
        </w:rPr>
        <w:t>3,000</w:t>
      </w:r>
      <w:r>
        <w:rPr>
          <w:spacing w:val="-2"/>
        </w:rPr>
        <w:t>万元参与投资成都天府蓝三众宇投资管理合伙企业（有限合</w:t>
      </w:r>
    </w:p>
    <w:p>
      <w:pPr>
        <w:pStyle w:val="BodyText"/>
        <w:spacing w:line="314" w:lineRule="auto" w:before="18"/>
        <w:ind w:right="1111"/>
        <w:jc w:val="both"/>
      </w:pPr>
      <w:r>
        <w:rPr>
          <w:spacing w:val="-2"/>
        </w:rPr>
        <w:t>伙），占最终认缴总额的</w:t>
      </w:r>
      <w:r>
        <w:rPr>
          <w:rFonts w:ascii="宋体" w:hAnsi="宋体" w:cs="宋体" w:eastAsia="宋体" w:hint="default"/>
          <w:spacing w:val="-2"/>
        </w:rPr>
        <w:t>32.57%</w:t>
      </w:r>
      <w:r>
        <w:rPr>
          <w:spacing w:val="-2"/>
        </w:rPr>
        <w:t>。截至本报告披露日，该基金已在中国证券投资基金业协会完成备案登记。详见公司于</w:t>
      </w:r>
      <w:r>
        <w:rPr>
          <w:rFonts w:ascii="宋体" w:hAnsi="宋体" w:cs="宋体" w:eastAsia="宋体" w:hint="default"/>
          <w:spacing w:val="-2"/>
        </w:rPr>
        <w:t>2019</w:t>
      </w:r>
      <w:r>
        <w:rPr>
          <w:rFonts w:ascii="宋体" w:hAnsi="宋体" w:cs="宋体" w:eastAsia="宋体" w:hint="default"/>
          <w:spacing w:val="-37"/>
        </w:rPr>
        <w:t> </w:t>
      </w:r>
      <w:r>
        <w:rPr/>
        <w:t>年</w:t>
      </w:r>
      <w:r>
        <w:rPr>
          <w:rFonts w:ascii="宋体" w:hAnsi="宋体" w:cs="宋体" w:eastAsia="宋体" w:hint="default"/>
        </w:rPr>
        <w:t>11</w:t>
      </w:r>
      <w:r>
        <w:rPr/>
        <w:t>月</w:t>
      </w:r>
      <w:r>
        <w:rPr>
          <w:rFonts w:ascii="宋体" w:hAnsi="宋体" w:cs="宋体" w:eastAsia="宋体" w:hint="default"/>
        </w:rPr>
        <w:t>28</w:t>
      </w:r>
      <w:r>
        <w:rPr/>
        <w:t>日、</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日在巨潮资讯网披露的《关于参与投资股权投资基金的公告》、《关于参与投资股权投资基金的 进展公告》（公告编号</w:t>
      </w:r>
      <w:r>
        <w:rPr>
          <w:rFonts w:ascii="宋体" w:hAnsi="宋体" w:cs="宋体" w:eastAsia="宋体" w:hint="default"/>
        </w:rPr>
        <w:t>2019-086</w:t>
      </w:r>
      <w:r>
        <w:rPr/>
        <w:t>、</w:t>
      </w:r>
      <w:r>
        <w:rPr>
          <w:rFonts w:ascii="宋体" w:hAnsi="宋体" w:cs="宋体" w:eastAsia="宋体" w:hint="default"/>
        </w:rPr>
        <w:t>2020-016</w:t>
      </w:r>
      <w:r>
        <w:rPr/>
        <w:t>）。</w:t>
      </w:r>
    </w:p>
    <w:p>
      <w:pPr>
        <w:pStyle w:val="BodyText"/>
        <w:spacing w:line="321" w:lineRule="auto" w:before="24"/>
        <w:ind w:left="501" w:right="5079"/>
        <w:jc w:val="left"/>
      </w:pPr>
      <w:r>
        <w:rPr/>
        <w:t>（</w:t>
      </w:r>
      <w:r>
        <w:rPr>
          <w:rFonts w:ascii="宋体" w:hAnsi="宋体" w:cs="宋体" w:eastAsia="宋体" w:hint="default"/>
        </w:rPr>
        <w:t>5</w:t>
      </w:r>
      <w:r>
        <w:rPr/>
        <w:t>）期后投资事项 </w:t>
      </w:r>
      <w:r>
        <w:rPr>
          <w:rFonts w:ascii="宋体" w:hAnsi="宋体" w:cs="宋体" w:eastAsia="宋体" w:hint="default"/>
        </w:rPr>
        <w:t>1</w:t>
      </w:r>
      <w:r>
        <w:rPr/>
        <w:t>）参与投资上海国和人工智能股权投资基金合伙企业（有限合伙）</w:t>
      </w:r>
    </w:p>
    <w:p>
      <w:pPr>
        <w:pStyle w:val="BodyText"/>
        <w:spacing w:line="316" w:lineRule="auto" w:before="18"/>
        <w:ind w:right="1130" w:firstLine="360"/>
        <w:jc w:val="both"/>
      </w:pPr>
      <w:r>
        <w:rPr/>
        <w:t>公司作为有限合伙人以自有资金认缴出资额人民币</w:t>
      </w:r>
      <w:r>
        <w:rPr>
          <w:rFonts w:ascii="宋体" w:hAnsi="宋体" w:cs="宋体" w:eastAsia="宋体" w:hint="default"/>
        </w:rPr>
        <w:t>2,000</w:t>
      </w:r>
      <w:r>
        <w:rPr/>
        <w:t>万元参与投资上海国和人工智能股权投资基金合伙企业（有限 合伙），占其目标募集金额的</w:t>
      </w:r>
      <w:r>
        <w:rPr>
          <w:rFonts w:ascii="宋体" w:hAnsi="宋体" w:cs="宋体" w:eastAsia="宋体" w:hint="default"/>
        </w:rPr>
        <w:t>3.96%</w:t>
      </w:r>
      <w:r>
        <w:rPr/>
        <w:t>。截至本报告披露日，该基金已在中国证券投资基金业协会完成备案登记。详见公司于</w:t>
      </w:r>
      <w:r>
        <w:rPr>
          <w:spacing w:val="-87"/>
        </w:rPr>
        <w:t> </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10</w:t>
      </w:r>
      <w:r>
        <w:rPr/>
        <w:t>日在巨潮资讯网披露的《关于参与投资上海国和人工智能股权投资基金合伙企业（有限合伙）的公告》、《关 于参与投资股权投资基金的进展公告》（公告编号</w:t>
      </w:r>
      <w:r>
        <w:rPr>
          <w:rFonts w:ascii="宋体" w:hAnsi="宋体" w:cs="宋体" w:eastAsia="宋体" w:hint="default"/>
        </w:rPr>
        <w:t>2020-007</w:t>
      </w:r>
      <w:r>
        <w:rPr/>
        <w:t>、</w:t>
      </w:r>
      <w:r>
        <w:rPr>
          <w:rFonts w:ascii="宋体" w:hAnsi="宋体" w:cs="宋体" w:eastAsia="宋体" w:hint="default"/>
        </w:rPr>
        <w:t>2020-016</w:t>
      </w:r>
      <w:r>
        <w:rPr/>
        <w:t>）。</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21" w:lineRule="auto" w:before="81"/>
        <w:ind w:left="501" w:right="1119"/>
        <w:jc w:val="left"/>
      </w:pPr>
      <w:r>
        <w:rPr/>
        <w:t>（</w:t>
      </w:r>
      <w:r>
        <w:rPr>
          <w:rFonts w:ascii="宋体" w:hAnsi="宋体" w:cs="宋体" w:eastAsia="宋体" w:hint="default"/>
        </w:rPr>
        <w:t>1</w:t>
      </w:r>
      <w:r>
        <w:rPr/>
        <w:t>）关于公司完成吸收合并全资子公司的事项 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15</w:t>
      </w:r>
      <w:r>
        <w:rPr/>
        <w:t>日召开公司第六届董事会第二十七次会议，审议通过了《关于吸收合并全资子公司的议案》，同意</w:t>
      </w:r>
    </w:p>
    <w:p>
      <w:pPr>
        <w:pStyle w:val="BodyText"/>
        <w:spacing w:line="319" w:lineRule="auto" w:before="19"/>
        <w:ind w:right="1127"/>
        <w:jc w:val="both"/>
      </w:pPr>
      <w:r>
        <w:rPr>
          <w:spacing w:val="-2"/>
        </w:rPr>
        <w:t>公司吸收合并全资子公司拉萨经济技术开发区联创信息咨询有限公司（以下简称“联创子公司”）及拉萨经济技术开发区恒</w:t>
      </w:r>
      <w:r>
        <w:rPr>
          <w:spacing w:val="-64"/>
        </w:rPr>
        <w:t> </w:t>
      </w:r>
      <w:r>
        <w:rPr>
          <w:spacing w:val="-64"/>
        </w:rPr>
      </w:r>
      <w:r>
        <w:rPr/>
        <w:t>信创业投资管理有限公司（以下简称“恒信子公司”）。详见公司于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17</w:t>
      </w:r>
      <w:r>
        <w:rPr/>
        <w:t>日刊登在巨潮资讯网的《关于吸收合并全</w:t>
      </w:r>
      <w:r>
        <w:rPr>
          <w:spacing w:val="-85"/>
        </w:rPr>
        <w:t> </w:t>
      </w:r>
      <w:r>
        <w:rPr/>
        <w:t>资子公司暨通知债权人的公告》（公告编号：</w:t>
      </w:r>
      <w:r>
        <w:rPr>
          <w:rFonts w:ascii="宋体" w:hAnsi="宋体" w:cs="宋体" w:eastAsia="宋体" w:hint="default"/>
        </w:rPr>
        <w:t>2018-075</w:t>
      </w:r>
      <w:r>
        <w:rPr/>
        <w:t>）。</w:t>
      </w:r>
      <w:r>
        <w:rPr>
          <w:rFonts w:ascii="宋体" w:hAnsi="宋体" w:cs="宋体" w:eastAsia="宋体" w:hint="default"/>
        </w:rPr>
        <w:t>2019</w:t>
      </w:r>
      <w:r>
        <w:rPr/>
        <w:t>年</w:t>
      </w:r>
      <w:r>
        <w:rPr>
          <w:rFonts w:ascii="宋体" w:hAnsi="宋体" w:cs="宋体" w:eastAsia="宋体" w:hint="default"/>
        </w:rPr>
        <w:t>5</w:t>
      </w:r>
      <w:r>
        <w:rPr/>
        <w:t>月，公司吸收合并全资子公司的相关手续已经全部办理</w:t>
      </w:r>
      <w:r>
        <w:rPr>
          <w:spacing w:val="-86"/>
        </w:rPr>
        <w:t> </w:t>
      </w:r>
      <w:r>
        <w:rPr/>
        <w:t>完毕，网络科技子公司也完成了工商变更登记手续，联创子公司及恒信子公司不再持有网络科技子公司</w:t>
      </w:r>
      <w:r>
        <w:rPr>
          <w:rFonts w:ascii="宋体" w:hAnsi="宋体" w:cs="宋体" w:eastAsia="宋体" w:hint="default"/>
        </w:rPr>
        <w:t>1.64%</w:t>
      </w:r>
      <w:r>
        <w:rPr/>
        <w:t>的股权，公司</w:t>
      </w:r>
      <w:r>
        <w:rPr>
          <w:spacing w:val="-80"/>
        </w:rPr>
        <w:t> </w:t>
      </w:r>
      <w:r>
        <w:rPr/>
        <w:t>直接持有网络科技子公司</w:t>
      </w:r>
      <w:r>
        <w:rPr>
          <w:rFonts w:ascii="宋体" w:hAnsi="宋体" w:cs="宋体" w:eastAsia="宋体" w:hint="default"/>
        </w:rPr>
        <w:t>100%</w:t>
      </w:r>
      <w:r>
        <w:rPr/>
        <w:t>的股权。详见公司于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日刊登在巨潮资讯网的《关于完成吸收合并全资子公司的公</w:t>
      </w:r>
      <w:r>
        <w:rPr>
          <w:spacing w:val="-86"/>
        </w:rPr>
        <w:t> </w:t>
      </w:r>
      <w:r>
        <w:rPr/>
        <w:t>告》（公告编号：</w:t>
      </w:r>
      <w:r>
        <w:rPr>
          <w:rFonts w:ascii="宋体" w:hAnsi="宋体" w:cs="宋体" w:eastAsia="宋体" w:hint="default"/>
        </w:rPr>
        <w:t>2019-040</w:t>
      </w:r>
      <w:r>
        <w:rPr/>
        <w:t>）。</w:t>
      </w:r>
    </w:p>
    <w:p>
      <w:pPr>
        <w:pStyle w:val="BodyText"/>
        <w:spacing w:line="304" w:lineRule="auto" w:before="20"/>
        <w:ind w:left="501" w:right="0"/>
        <w:jc w:val="left"/>
      </w:pPr>
      <w:r>
        <w:rPr/>
        <w:t>（</w:t>
      </w:r>
      <w:r>
        <w:rPr>
          <w:rFonts w:ascii="宋体" w:hAnsi="宋体" w:cs="宋体" w:eastAsia="宋体" w:hint="default"/>
        </w:rPr>
        <w:t>2</w:t>
      </w:r>
      <w:r>
        <w:rPr/>
        <w:t>）关于网络科技子公司退出发起设立保险公司的事项 </w:t>
      </w: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日及</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14</w:t>
      </w:r>
      <w:r>
        <w:rPr>
          <w:spacing w:val="-2"/>
        </w:rPr>
        <w:t>日分别披露了《关于全资子公司参与发起设立保险公司处于筹划阶段的提示性公告》</w:t>
      </w:r>
    </w:p>
    <w:p>
      <w:pPr>
        <w:pStyle w:val="BodyText"/>
        <w:spacing w:line="321" w:lineRule="auto" w:before="31"/>
        <w:ind w:right="0"/>
        <w:jc w:val="left"/>
      </w:pPr>
      <w:r>
        <w:rPr>
          <w:spacing w:val="-11"/>
        </w:rPr>
        <w:t>（公告编号：</w:t>
      </w:r>
      <w:r>
        <w:rPr>
          <w:rFonts w:ascii="宋体" w:hAnsi="宋体" w:cs="宋体" w:eastAsia="宋体" w:hint="default"/>
          <w:spacing w:val="-11"/>
        </w:rPr>
        <w:t>2016-032</w:t>
      </w:r>
      <w:r>
        <w:rPr>
          <w:spacing w:val="-11"/>
        </w:rPr>
        <w:t>）及《关于全资子公司参与发起设立华商云信用保险股份有限公司的进展公告》（公告编号：</w:t>
      </w:r>
      <w:r>
        <w:rPr>
          <w:rFonts w:ascii="宋体" w:hAnsi="宋体" w:cs="宋体" w:eastAsia="宋体" w:hint="default"/>
          <w:spacing w:val="-11"/>
        </w:rPr>
        <w:t>2016-057</w:t>
      </w:r>
      <w:r>
        <w:rPr>
          <w:spacing w:val="-11"/>
        </w:rPr>
        <w:t>）。</w:t>
      </w:r>
      <w:r>
        <w:rPr>
          <w:spacing w:val="-87"/>
        </w:rPr>
        <w:t> </w:t>
      </w:r>
      <w:r>
        <w:rPr/>
        <w:t>网络科技子公司拟以自有资金出资</w:t>
      </w:r>
      <w:r>
        <w:rPr>
          <w:rFonts w:ascii="宋体" w:hAnsi="宋体" w:cs="宋体" w:eastAsia="宋体" w:hint="default"/>
        </w:rPr>
        <w:t>40,000</w:t>
      </w:r>
      <w:r>
        <w:rPr/>
        <w:t>万元人民币参与发起设立华商云信用保险股份有限公司（以下简称“华商云信</w:t>
      </w:r>
      <w:r>
        <w:rPr>
          <w:spacing w:val="-81"/>
        </w:rPr>
        <w:t> </w:t>
      </w:r>
      <w:r>
        <w:rPr>
          <w:spacing w:val="-81"/>
        </w:rPr>
      </w:r>
      <w:r>
        <w:rPr>
          <w:spacing w:val="-2"/>
        </w:rPr>
        <w:t>保”），鉴于华商云信保筹建进度慢于预期，目前尚未取得中国银行保险监督管理委员会的设立批准，经与协议各方友好协</w:t>
      </w:r>
      <w:r>
        <w:rPr>
          <w:spacing w:val="-42"/>
        </w:rPr>
        <w:t> </w:t>
      </w:r>
      <w:r>
        <w:rPr>
          <w:spacing w:val="-42"/>
        </w:rPr>
      </w:r>
      <w:r>
        <w:rPr>
          <w:spacing w:val="-2"/>
        </w:rPr>
        <w:t>商，网络科技子公司与协议各方签署了《协议书》，退出发起设立华商云信保并已收回节余的筹建费，不再作为华商云信保</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403"/>
        <w:jc w:val="left"/>
      </w:pPr>
      <w:r>
        <w:rPr/>
        <w:t>发起人。详见公司于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6</w:t>
      </w:r>
      <w:r>
        <w:rPr/>
        <w:t>日刊登在巨潮资讯网的《关于全资子公司退出发起设立保险公司的公告》（公告编号： </w:t>
      </w:r>
      <w:r>
        <w:rPr>
          <w:rFonts w:ascii="宋体" w:hAnsi="宋体" w:cs="宋体" w:eastAsia="宋体" w:hint="default"/>
        </w:rPr>
        <w:t>2019-045</w:t>
      </w:r>
      <w:r>
        <w:rPr/>
        <w:t>）。</w:t>
      </w:r>
    </w:p>
    <w:p>
      <w:pPr>
        <w:spacing w:after="0" w:line="32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六节股份变动及股东情况" w:id="106"/>
      <w:bookmarkEnd w:id="106"/>
      <w:r>
        <w:rPr>
          <w:b w:val="0"/>
          <w:bCs w:val="0"/>
        </w:rPr>
      </w:r>
      <w:bookmarkStart w:name="_bookmark5" w:id="107"/>
      <w:bookmarkEnd w:id="107"/>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405"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150,775,4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27</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3.39%</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43,545,62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-28,824,1</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14,721,49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165,496,9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2.87%</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150,775,4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27</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3.39%</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43,545,62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-28,824,1</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14,721,49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165,496,9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2.87%</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2"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150,775,4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27</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3.39%</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43,545,62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-28,824,1</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14,721,49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165,496,9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2.87%</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4,292,189,</w:t>
            </w:r>
          </w:p>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395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96.61%</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1,288,091,</w:t>
            </w:r>
          </w:p>
          <w:p>
            <w:pPr>
              <w:pStyle w:val="TableParagraph"/>
              <w:spacing w:line="240" w:lineRule="auto" w:before="93"/>
              <w:ind w:left="510" w:right="0"/>
              <w:jc w:val="left"/>
              <w:rPr>
                <w:rFonts w:ascii="Times New Roman" w:hAnsi="Times New Roman" w:cs="Times New Roman" w:eastAsia="Times New Roman" w:hint="default"/>
                <w:sz w:val="18"/>
                <w:szCs w:val="18"/>
              </w:rPr>
            </w:pPr>
            <w:r>
              <w:rPr>
                <w:rFonts w:ascii="Times New Roman"/>
                <w:sz w:val="18"/>
              </w:rPr>
              <w:t>545</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24,649,87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1,312,741,</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424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5,604,930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,819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97.13%</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4,292,189,</w:t>
            </w:r>
          </w:p>
          <w:p>
            <w:pPr>
              <w:pStyle w:val="TableParagraph"/>
              <w:spacing w:line="240" w:lineRule="auto" w:before="108"/>
              <w:ind w:left="511" w:right="0"/>
              <w:jc w:val="left"/>
              <w:rPr>
                <w:rFonts w:ascii="Times New Roman" w:hAnsi="Times New Roman" w:cs="Times New Roman" w:eastAsia="Times New Roman" w:hint="default"/>
                <w:sz w:val="18"/>
                <w:szCs w:val="18"/>
              </w:rPr>
            </w:pPr>
            <w:r>
              <w:rPr>
                <w:rFonts w:ascii="Times New Roman"/>
                <w:sz w:val="18"/>
              </w:rPr>
              <w:t>395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96.61%</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1,288,091,</w:t>
            </w:r>
          </w:p>
          <w:p>
            <w:pPr>
              <w:pStyle w:val="TableParagraph"/>
              <w:spacing w:line="240" w:lineRule="auto" w:before="108"/>
              <w:ind w:left="510" w:right="0"/>
              <w:jc w:val="left"/>
              <w:rPr>
                <w:rFonts w:ascii="Times New Roman" w:hAnsi="Times New Roman" w:cs="Times New Roman" w:eastAsia="Times New Roman" w:hint="default"/>
                <w:sz w:val="18"/>
                <w:szCs w:val="18"/>
              </w:rPr>
            </w:pPr>
            <w:r>
              <w:rPr>
                <w:rFonts w:ascii="Times New Roman"/>
                <w:sz w:val="18"/>
              </w:rPr>
              <w:t>545</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24,649,87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1,312,741,</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424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5,604,930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,819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97.13%</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4,442,964,</w:t>
            </w:r>
          </w:p>
          <w:p>
            <w:pPr>
              <w:pStyle w:val="TableParagraph"/>
              <w:spacing w:line="240" w:lineRule="auto" w:before="108"/>
              <w:ind w:left="511" w:right="0"/>
              <w:jc w:val="left"/>
              <w:rPr>
                <w:rFonts w:ascii="Times New Roman" w:hAnsi="Times New Roman" w:cs="Times New Roman" w:eastAsia="Times New Roman" w:hint="default"/>
                <w:sz w:val="18"/>
                <w:szCs w:val="18"/>
              </w:rPr>
            </w:pPr>
            <w:r>
              <w:rPr>
                <w:rFonts w:ascii="Times New Roman"/>
                <w:sz w:val="18"/>
              </w:rPr>
              <w:t>822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1,331,637,</w:t>
            </w:r>
          </w:p>
          <w:p>
            <w:pPr>
              <w:pStyle w:val="TableParagraph"/>
              <w:spacing w:line="240" w:lineRule="auto" w:before="108"/>
              <w:ind w:left="510" w:right="0"/>
              <w:jc w:val="left"/>
              <w:rPr>
                <w:rFonts w:ascii="Times New Roman" w:hAnsi="Times New Roman" w:cs="Times New Roman" w:eastAsia="Times New Roman" w:hint="default"/>
                <w:sz w:val="18"/>
                <w:szCs w:val="18"/>
              </w:rPr>
            </w:pPr>
            <w:r>
              <w:rPr>
                <w:rFonts w:ascii="Times New Roman"/>
                <w:sz w:val="18"/>
              </w:rPr>
              <w:t>171</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-4,174,25</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1,327,462,</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921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5,770,427</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,743</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股份变动的原因</w:t>
      </w:r>
    </w:p>
    <w:p>
      <w:pPr>
        <w:pStyle w:val="BodyText"/>
        <w:spacing w:line="319" w:lineRule="auto" w:before="124"/>
        <w:ind w:left="501" w:right="534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1</w:t>
      </w:r>
      <w:r>
        <w:rPr/>
        <w:t>、报告期内，公司回购注销部分限制性股票合计</w:t>
      </w:r>
      <w:r>
        <w:rPr>
          <w:rFonts w:ascii="宋体" w:hAnsi="宋体" w:cs="宋体" w:eastAsia="宋体" w:hint="default"/>
        </w:rPr>
        <w:t>4,174,250</w:t>
      </w:r>
      <w:r>
        <w:rPr/>
        <w:t>股；</w:t>
      </w:r>
    </w:p>
    <w:p>
      <w:pPr>
        <w:pStyle w:val="BodyText"/>
        <w:spacing w:line="240" w:lineRule="auto" w:before="20"/>
        <w:ind w:left="501" w:right="0"/>
        <w:jc w:val="left"/>
      </w:pPr>
      <w:r>
        <w:rPr>
          <w:rFonts w:ascii="宋体" w:hAnsi="宋体" w:cs="宋体" w:eastAsia="宋体" w:hint="default"/>
        </w:rPr>
        <w:t>2</w:t>
      </w:r>
      <w:r>
        <w:rPr/>
        <w:t>、公司实施</w:t>
      </w:r>
      <w:r>
        <w:rPr>
          <w:rFonts w:ascii="宋体" w:hAnsi="宋体" w:cs="宋体" w:eastAsia="宋体" w:hint="default"/>
        </w:rPr>
        <w:t>2018</w:t>
      </w:r>
      <w:r>
        <w:rPr/>
        <w:t>年权益分派方案，以资本公积金向全体股东每</w:t>
      </w:r>
      <w:r>
        <w:rPr>
          <w:rFonts w:ascii="宋体" w:hAnsi="宋体" w:cs="宋体" w:eastAsia="宋体" w:hint="default"/>
        </w:rPr>
        <w:t>10</w:t>
      </w:r>
      <w:r>
        <w:rPr/>
        <w:t>股转增</w:t>
      </w:r>
      <w:r>
        <w:rPr>
          <w:rFonts w:ascii="宋体" w:hAnsi="宋体" w:cs="宋体" w:eastAsia="宋体" w:hint="default"/>
        </w:rPr>
        <w:t>3</w:t>
      </w:r>
      <w:r>
        <w:rPr/>
        <w:t>股，合计转增</w:t>
      </w:r>
      <w:r>
        <w:rPr>
          <w:rFonts w:ascii="宋体" w:hAnsi="宋体" w:cs="宋体" w:eastAsia="宋体" w:hint="default"/>
        </w:rPr>
        <w:t>1,331,637,171</w:t>
      </w:r>
      <w:r>
        <w:rPr/>
        <w:t>股；</w:t>
      </w:r>
    </w:p>
    <w:p>
      <w:pPr>
        <w:pStyle w:val="BodyText"/>
        <w:spacing w:line="367" w:lineRule="auto" w:before="79"/>
        <w:ind w:right="4539" w:firstLine="360"/>
        <w:jc w:val="left"/>
      </w:pPr>
      <w:r>
        <w:rPr>
          <w:rFonts w:ascii="宋体" w:hAnsi="宋体" w:cs="宋体" w:eastAsia="宋体" w:hint="default"/>
        </w:rPr>
        <w:t>3</w:t>
      </w:r>
      <w:r>
        <w:rPr/>
        <w:t>、报告期内，公司股权激励计划限制性股票解除限售合计</w:t>
      </w:r>
      <w:r>
        <w:rPr>
          <w:rFonts w:ascii="宋体" w:hAnsi="宋体" w:cs="宋体" w:eastAsia="宋体" w:hint="default"/>
        </w:rPr>
        <w:t>84,795,035</w:t>
      </w:r>
      <w:r>
        <w:rPr/>
        <w:t>股。 股份变动的批准情况</w:t>
      </w:r>
    </w:p>
    <w:p>
      <w:pPr>
        <w:pStyle w:val="BodyText"/>
        <w:spacing w:line="319" w:lineRule="auto" w:before="29"/>
        <w:ind w:left="501"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日召开了第六届董事会第三十次会议审议通过了《关于回购注销部分已不符合激励条件的原激</w:t>
      </w:r>
    </w:p>
    <w:p>
      <w:pPr>
        <w:pStyle w:val="BodyText"/>
        <w:spacing w:line="316" w:lineRule="auto" w:before="20"/>
        <w:ind w:right="1127"/>
        <w:jc w:val="both"/>
      </w:pPr>
      <w:r>
        <w:rPr/>
        <w:t>励对象已获授但尚未解锁的限制性股票的议案》、于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t>日召开第六届董事会第三十四次会议决议审议通过了《关</w:t>
      </w:r>
      <w:r>
        <w:rPr>
          <w:spacing w:val="-85"/>
        </w:rPr>
        <w:t> </w:t>
      </w:r>
      <w:r>
        <w:rPr/>
        <w:t>于回购注销</w:t>
      </w:r>
      <w:r>
        <w:rPr>
          <w:rFonts w:ascii="宋体" w:hAnsi="宋体" w:cs="宋体" w:eastAsia="宋体" w:hint="default"/>
        </w:rPr>
        <w:t>2016</w:t>
      </w:r>
      <w:r>
        <w:rPr/>
        <w:t>年、</w:t>
      </w:r>
      <w:r>
        <w:rPr>
          <w:rFonts w:ascii="宋体" w:hAnsi="宋体" w:cs="宋体" w:eastAsia="宋体" w:hint="default"/>
        </w:rPr>
        <w:t>2017</w:t>
      </w:r>
      <w:r>
        <w:rPr/>
        <w:t>年限制性股票激励计划部分限制性股票的议案》，并于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日召开</w:t>
      </w:r>
      <w:r>
        <w:rPr>
          <w:rFonts w:ascii="宋体" w:hAnsi="宋体" w:cs="宋体" w:eastAsia="宋体" w:hint="default"/>
        </w:rPr>
        <w:t>2018</w:t>
      </w:r>
      <w:r>
        <w:rPr/>
        <w:t>年度股东大会审议</w:t>
      </w:r>
      <w:r>
        <w:rPr>
          <w:spacing w:val="-85"/>
        </w:rPr>
        <w:t> </w:t>
      </w:r>
      <w:r>
        <w:rPr/>
        <w:t>通过了上述议案，回购注销部分已不符合激励条件的原激励对象已获授但尚未解锁的限制性股票4 4 25</w:t>
      </w:r>
      <w:r>
        <w:rPr>
          <w:spacing w:val="9"/>
        </w:rPr>
        <w:t> </w:t>
      </w:r>
      <w:r>
        <w:rPr/>
        <w:t>股，回购注销事</w:t>
      </w:r>
      <w:r>
        <w:rPr/>
        <w:t> 宜已于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28</w:t>
      </w:r>
      <w:r>
        <w:rPr/>
        <w:t>日完成。本次回购注销完成后，公司总股本从</w:t>
      </w:r>
      <w:r>
        <w:rPr>
          <w:rFonts w:ascii="宋体" w:hAnsi="宋体" w:cs="宋体" w:eastAsia="宋体" w:hint="default"/>
        </w:rPr>
        <w:t>4,442,964,822</w:t>
      </w:r>
      <w:r>
        <w:rPr/>
        <w:t>股减至</w:t>
      </w:r>
      <w:r>
        <w:rPr>
          <w:rFonts w:ascii="宋体" w:hAnsi="宋体" w:cs="宋体" w:eastAsia="宋体" w:hint="default"/>
        </w:rPr>
        <w:t>4,438,790,572</w:t>
      </w:r>
      <w:r>
        <w:rPr/>
        <w:t>股。</w:t>
      </w:r>
    </w:p>
    <w:p>
      <w:pPr>
        <w:pStyle w:val="BodyText"/>
        <w:spacing w:line="321" w:lineRule="auto" w:before="22"/>
        <w:ind w:right="1095" w:firstLine="360"/>
        <w:jc w:val="both"/>
      </w:pPr>
      <w:r>
        <w:rPr>
          <w:rFonts w:ascii="宋体" w:hAnsi="宋体" w:cs="宋体" w:eastAsia="宋体" w:hint="default"/>
          <w:spacing w:val="-3"/>
        </w:rPr>
        <w:t>2</w:t>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11</w:t>
      </w:r>
      <w:r>
        <w:rPr>
          <w:spacing w:val="-3"/>
        </w:rPr>
        <w:t>日召开第六届董事会第三十四次会议、</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10</w:t>
      </w:r>
      <w:r>
        <w:rPr>
          <w:spacing w:val="-3"/>
        </w:rPr>
        <w:t>日召开</w:t>
      </w:r>
      <w:r>
        <w:rPr>
          <w:rFonts w:ascii="宋体" w:hAnsi="宋体" w:cs="宋体" w:eastAsia="宋体" w:hint="default"/>
          <w:spacing w:val="-3"/>
        </w:rPr>
        <w:t>2018</w:t>
      </w:r>
      <w:r>
        <w:rPr>
          <w:spacing w:val="-3"/>
        </w:rPr>
        <w:t>年度股东大会分别审议通过了《公</w:t>
      </w:r>
      <w:r>
        <w:rPr/>
        <w:t> </w:t>
      </w:r>
      <w:r>
        <w:rPr>
          <w:spacing w:val="-1"/>
        </w:rPr>
        <w:t>司</w:t>
      </w:r>
      <w:r>
        <w:rPr>
          <w:rFonts w:ascii="宋体" w:hAnsi="宋体" w:cs="宋体" w:eastAsia="宋体" w:hint="default"/>
          <w:spacing w:val="-1"/>
        </w:rPr>
        <w:t>2018</w:t>
      </w:r>
      <w:r>
        <w:rPr>
          <w:spacing w:val="-1"/>
        </w:rPr>
        <w:t>年度利润分配预案》，以公司总股本</w:t>
      </w:r>
      <w:r>
        <w:rPr>
          <w:rFonts w:ascii="宋体" w:hAnsi="宋体" w:cs="宋体" w:eastAsia="宋体" w:hint="default"/>
          <w:spacing w:val="-1"/>
        </w:rPr>
        <w:t>4,438,790,572</w:t>
      </w:r>
      <w:r>
        <w:rPr>
          <w:spacing w:val="-1"/>
        </w:rPr>
        <w:t>股为基数，以资本公积金向全体股东每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3</w:t>
      </w:r>
      <w:r>
        <w:rPr>
          <w:spacing w:val="-1"/>
        </w:rPr>
        <w:t>股，转增后公司</w:t>
      </w:r>
      <w:r>
        <w:rPr>
          <w:spacing w:val="-79"/>
        </w:rPr>
        <w:t> </w:t>
      </w:r>
      <w:r>
        <w:rPr>
          <w:spacing w:val="-79"/>
        </w:rPr>
      </w:r>
      <w:r>
        <w:rPr/>
        <w:t>总股本变为</w:t>
      </w:r>
      <w:r>
        <w:rPr>
          <w:rFonts w:ascii="宋体" w:hAnsi="宋体" w:cs="宋体" w:eastAsia="宋体" w:hint="default"/>
        </w:rPr>
        <w:t>5,770,427,743</w:t>
      </w:r>
      <w:r>
        <w:rPr/>
        <w:t>股。</w:t>
      </w:r>
    </w:p>
    <w:p>
      <w:pPr>
        <w:pStyle w:val="BodyText"/>
        <w:spacing w:line="307" w:lineRule="auto" w:before="18"/>
        <w:ind w:right="1097" w:firstLine="360"/>
        <w:jc w:val="both"/>
      </w:pPr>
      <w:r>
        <w:rPr>
          <w:rFonts w:ascii="宋体" w:hAnsi="宋体" w:cs="宋体" w:eastAsia="宋体" w:hint="default"/>
          <w:spacing w:val="-3"/>
        </w:rPr>
        <w:t>3</w:t>
      </w:r>
      <w:r>
        <w:rPr>
          <w:spacing w:val="-3"/>
        </w:rPr>
        <w:t>、</w:t>
      </w:r>
      <w:r>
        <w:rPr>
          <w:rFonts w:ascii="宋体" w:hAnsi="宋体" w:cs="宋体" w:eastAsia="宋体" w:hint="default"/>
          <w:spacing w:val="-3"/>
        </w:rPr>
        <w:t>2019</w:t>
      </w:r>
      <w:r>
        <w:rPr>
          <w:rFonts w:ascii="宋体" w:hAnsi="宋体" w:cs="宋体" w:eastAsia="宋体" w:hint="default"/>
          <w:spacing w:val="-33"/>
        </w:rPr>
        <w:t> </w:t>
      </w:r>
      <w:r>
        <w:rPr/>
        <w:t>年</w:t>
      </w:r>
      <w:r>
        <w:rPr>
          <w:rFonts w:ascii="宋体" w:hAnsi="宋体" w:cs="宋体" w:eastAsia="宋体" w:hint="default"/>
        </w:rPr>
        <w:t>9</w:t>
      </w:r>
      <w:r>
        <w:rPr/>
        <w:t>月</w:t>
      </w:r>
      <w:r>
        <w:rPr>
          <w:rFonts w:ascii="宋体" w:hAnsi="宋体" w:cs="宋体" w:eastAsia="宋体" w:hint="default"/>
        </w:rPr>
        <w:t>2</w:t>
      </w:r>
      <w:r>
        <w:rPr/>
        <w:t>日，公司召开第七届董事会第三次会议、第七届监事会第三次会议审议通过了《关于</w:t>
      </w:r>
      <w:r>
        <w:rPr>
          <w:rFonts w:ascii="宋体" w:hAnsi="宋体" w:cs="宋体" w:eastAsia="宋体" w:hint="default"/>
        </w:rPr>
        <w:t>2017</w:t>
      </w:r>
      <w:r>
        <w:rPr/>
        <w:t>年限制性股票 </w:t>
      </w:r>
      <w:r>
        <w:rPr>
          <w:spacing w:val="-2"/>
        </w:rPr>
        <w:t>激励计划（预留部分）第一个解除限售期解除限售相关事宜的议案》，同意董事会按照股权激励计划的相关规定办理限制性</w:t>
      </w:r>
    </w:p>
    <w:p>
      <w:pPr>
        <w:spacing w:after="0" w:line="30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19"/>
        <w:jc w:val="left"/>
      </w:pPr>
      <w:r>
        <w:rPr/>
        <w:t>股票预留部分授予的第一个解除限售期解除限售的相关事宜。本次解除限售的股票数量为</w:t>
      </w:r>
      <w:r>
        <w:rPr>
          <w:rFonts w:ascii="宋体" w:hAnsi="宋体" w:cs="宋体" w:eastAsia="宋体" w:hint="default"/>
        </w:rPr>
        <w:t>3,926,000</w:t>
      </w:r>
      <w:r>
        <w:rPr/>
        <w:t>股，上市流通日为</w:t>
      </w:r>
      <w:r>
        <w:rPr>
          <w:rFonts w:ascii="宋体" w:hAnsi="宋体" w:cs="宋体" w:eastAsia="宋体" w:hint="default"/>
        </w:rPr>
        <w:t>2019</w:t>
      </w:r>
      <w:r>
        <w:rPr>
          <w:rFonts w:ascii="宋体" w:hAnsi="宋体" w:cs="宋体" w:eastAsia="宋体" w:hint="default"/>
          <w:spacing w:val="-80"/>
        </w:rPr>
        <w:t> </w:t>
      </w:r>
      <w:r>
        <w:rPr/>
        <w:t>年</w:t>
      </w:r>
      <w:r>
        <w:rPr>
          <w:rFonts w:ascii="宋体" w:hAnsi="宋体" w:cs="宋体" w:eastAsia="宋体" w:hint="default"/>
        </w:rPr>
        <w:t>9</w:t>
      </w:r>
      <w:r>
        <w:rPr/>
        <w:t>月</w:t>
      </w:r>
      <w:r>
        <w:rPr>
          <w:rFonts w:ascii="宋体" w:hAnsi="宋体" w:cs="宋体" w:eastAsia="宋体" w:hint="default"/>
        </w:rPr>
        <w:t>12</w:t>
      </w:r>
      <w:r>
        <w:rPr/>
        <w:t>日。</w:t>
      </w:r>
    </w:p>
    <w:p>
      <w:pPr>
        <w:pStyle w:val="BodyText"/>
        <w:spacing w:line="316" w:lineRule="auto" w:before="18"/>
        <w:ind w:right="1096" w:firstLine="360"/>
        <w:jc w:val="both"/>
      </w:pPr>
      <w:r>
        <w:rPr>
          <w:rFonts w:ascii="宋体" w:hAnsi="宋体" w:cs="宋体" w:eastAsia="宋体" w:hint="default"/>
          <w:spacing w:val="-3"/>
        </w:rPr>
        <w:t>4</w:t>
      </w:r>
      <w:r>
        <w:rPr>
          <w:spacing w:val="-3"/>
        </w:rPr>
        <w:t>、</w:t>
      </w:r>
      <w:r>
        <w:rPr>
          <w:rFonts w:ascii="宋体" w:hAnsi="宋体" w:cs="宋体" w:eastAsia="宋体" w:hint="default"/>
          <w:spacing w:val="-3"/>
        </w:rPr>
        <w:t>2019</w:t>
      </w:r>
      <w:r>
        <w:rPr>
          <w:rFonts w:ascii="宋体" w:hAnsi="宋体" w:cs="宋体" w:eastAsia="宋体" w:hint="default"/>
          <w:spacing w:val="-32"/>
        </w:rPr>
        <w:t> </w:t>
      </w:r>
      <w:r>
        <w:rPr/>
        <w:t>年</w:t>
      </w:r>
      <w:r>
        <w:rPr>
          <w:rFonts w:ascii="宋体" w:hAnsi="宋体" w:cs="宋体" w:eastAsia="宋体" w:hint="default"/>
        </w:rPr>
        <w:t>11</w:t>
      </w:r>
      <w:r>
        <w:rPr/>
        <w:t>月</w:t>
      </w:r>
      <w:r>
        <w:rPr>
          <w:rFonts w:ascii="宋体" w:hAnsi="宋体" w:cs="宋体" w:eastAsia="宋体" w:hint="default"/>
        </w:rPr>
        <w:t>18</w:t>
      </w:r>
      <w:r>
        <w:rPr/>
        <w:t>日，公司召开第七届董事会第五次会议、第七届监事会第五次会议分别审议通过了《关于</w:t>
      </w:r>
      <w:r>
        <w:rPr>
          <w:rFonts w:ascii="宋体" w:hAnsi="宋体" w:cs="宋体" w:eastAsia="宋体" w:hint="default"/>
        </w:rPr>
        <w:t>2016</w:t>
      </w:r>
      <w:r>
        <w:rPr/>
        <w:t>年限制 </w:t>
      </w:r>
      <w:r>
        <w:rPr>
          <w:spacing w:val="-2"/>
        </w:rPr>
        <w:t>性股票激励计划（首期）第三个解除限售期解除限售相关事宜的议案》、《关于</w:t>
      </w:r>
      <w:r>
        <w:rPr>
          <w:rFonts w:ascii="宋体" w:hAnsi="宋体" w:cs="宋体" w:eastAsia="宋体" w:hint="default"/>
          <w:spacing w:val="-2"/>
        </w:rPr>
        <w:t>2016</w:t>
      </w:r>
      <w:r>
        <w:rPr>
          <w:spacing w:val="-2"/>
        </w:rPr>
        <w:t>年限制性股票激励计划（预留部分）第</w:t>
      </w:r>
      <w:r>
        <w:rPr>
          <w:spacing w:val="-62"/>
        </w:rPr>
        <w:t> </w:t>
      </w:r>
      <w:r>
        <w:rPr>
          <w:spacing w:val="-62"/>
        </w:rPr>
      </w:r>
      <w:r>
        <w:rPr>
          <w:spacing w:val="-2"/>
        </w:rPr>
        <w:t>二个解除限售期解除限售相关事宜的议案》，同意董事会按照股权激励计划的相关规定办理限制性股票首期授予的第三个及</w:t>
      </w:r>
      <w:r>
        <w:rPr>
          <w:spacing w:val="-72"/>
        </w:rPr>
        <w:t> </w:t>
      </w:r>
      <w:r>
        <w:rPr>
          <w:spacing w:val="-72"/>
        </w:rPr>
      </w:r>
      <w:r>
        <w:rPr/>
        <w:t>预留部分授予的第二个解除限售期解除限售的相关事宜，本次解除限售的股票数量分别为</w:t>
      </w:r>
      <w:r>
        <w:rPr>
          <w:rFonts w:ascii="宋体" w:hAnsi="宋体" w:cs="宋体" w:eastAsia="宋体" w:hint="default"/>
        </w:rPr>
        <w:t>16,289,910</w:t>
      </w:r>
      <w:r>
        <w:rPr/>
        <w:t>股、</w:t>
      </w:r>
      <w:r>
        <w:rPr>
          <w:rFonts w:ascii="宋体" w:hAnsi="宋体" w:cs="宋体" w:eastAsia="宋体" w:hint="default"/>
        </w:rPr>
        <w:t>3,029,325</w:t>
      </w:r>
      <w:r>
        <w:rPr/>
        <w:t>股，上</w:t>
      </w:r>
      <w:r>
        <w:rPr>
          <w:spacing w:val="-80"/>
        </w:rPr>
        <w:t> </w:t>
      </w:r>
      <w:r>
        <w:rPr/>
        <w:t>市流通日均为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w:t>
      </w:r>
      <w:r>
        <w:rPr/>
        <w:t>日。</w:t>
      </w:r>
    </w:p>
    <w:p>
      <w:pPr>
        <w:pStyle w:val="BodyText"/>
        <w:spacing w:line="316" w:lineRule="auto" w:before="22"/>
        <w:ind w:right="1079" w:firstLine="360"/>
        <w:jc w:val="left"/>
      </w:pPr>
      <w:r>
        <w:rPr>
          <w:rFonts w:ascii="宋体" w:hAnsi="宋体" w:cs="宋体" w:eastAsia="宋体" w:hint="default"/>
          <w:spacing w:val="-3"/>
        </w:rPr>
        <w:t>5</w:t>
      </w:r>
      <w:r>
        <w:rPr>
          <w:spacing w:val="-3"/>
        </w:rPr>
        <w:t>、</w:t>
      </w:r>
      <w:r>
        <w:rPr>
          <w:rFonts w:ascii="宋体" w:hAnsi="宋体" w:cs="宋体" w:eastAsia="宋体" w:hint="default"/>
          <w:spacing w:val="-3"/>
        </w:rPr>
        <w:t>2019</w:t>
      </w:r>
      <w:r>
        <w:rPr>
          <w:rFonts w:ascii="宋体" w:hAnsi="宋体" w:cs="宋体" w:eastAsia="宋体" w:hint="default"/>
          <w:spacing w:val="-32"/>
        </w:rPr>
        <w:t> </w:t>
      </w:r>
      <w:r>
        <w:rPr/>
        <w:t>年</w:t>
      </w:r>
      <w:r>
        <w:rPr>
          <w:rFonts w:ascii="宋体" w:hAnsi="宋体" w:cs="宋体" w:eastAsia="宋体" w:hint="default"/>
        </w:rPr>
        <w:t>11</w:t>
      </w:r>
      <w:r>
        <w:rPr/>
        <w:t>月</w:t>
      </w:r>
      <w:r>
        <w:rPr>
          <w:rFonts w:ascii="宋体" w:hAnsi="宋体" w:cs="宋体" w:eastAsia="宋体" w:hint="default"/>
        </w:rPr>
        <w:t>18</w:t>
      </w:r>
      <w:r>
        <w:rPr/>
        <w:t>日，公司召开第七届董事会第五次会议、第七届监事会第五次会议审议通过了《关于</w:t>
      </w:r>
      <w:r>
        <w:rPr>
          <w:rFonts w:ascii="宋体" w:hAnsi="宋体" w:cs="宋体" w:eastAsia="宋体" w:hint="default"/>
        </w:rPr>
        <w:t>2017</w:t>
      </w:r>
      <w:r>
        <w:rPr/>
        <w:t>年限制性股 </w:t>
      </w:r>
      <w:r>
        <w:rPr>
          <w:spacing w:val="-1"/>
        </w:rPr>
        <w:t>票激励计划（首期）第二个解除限售期解除限售相关事宜的议案》，同意董事会按照股权激励计划的相关规定办理限制性股</w:t>
      </w:r>
      <w:r>
        <w:rPr/>
        <w:t> 票首期授予的第二个解除限售期解除限售的相关事宜，本次解除限售的股票数量为</w:t>
      </w:r>
      <w:r>
        <w:rPr>
          <w:rFonts w:ascii="宋体" w:hAnsi="宋体" w:cs="宋体" w:eastAsia="宋体" w:hint="default"/>
        </w:rPr>
        <w:t>61,549,800</w:t>
      </w:r>
      <w:r>
        <w:rPr/>
        <w:t>股，上市流通日为</w:t>
      </w:r>
      <w:r>
        <w:rPr>
          <w:rFonts w:ascii="宋体" w:hAnsi="宋体" w:cs="宋体" w:eastAsia="宋体" w:hint="default"/>
        </w:rPr>
        <w:t>2019</w:t>
      </w:r>
      <w:r>
        <w:rPr/>
        <w:t>年</w:t>
      </w:r>
      <w:r>
        <w:rPr>
          <w:rFonts w:ascii="宋体" w:hAnsi="宋体" w:cs="宋体" w:eastAsia="宋体" w:hint="default"/>
        </w:rPr>
        <w:t>12</w:t>
      </w:r>
      <w:r>
        <w:rPr>
          <w:rFonts w:ascii="宋体" w:hAnsi="宋体" w:cs="宋体" w:eastAsia="宋体" w:hint="default"/>
          <w:spacing w:val="-80"/>
        </w:rPr>
        <w:t> </w:t>
      </w:r>
      <w:r>
        <w:rPr/>
        <w:t>月</w:t>
      </w:r>
      <w:r>
        <w:rPr>
          <w:rFonts w:ascii="宋体" w:hAnsi="宋体" w:cs="宋体" w:eastAsia="宋体" w:hint="default"/>
        </w:rPr>
        <w:t>12</w:t>
      </w:r>
      <w:r>
        <w:rPr/>
        <w:t>日。</w:t>
      </w:r>
    </w:p>
    <w:p>
      <w:pPr>
        <w:pStyle w:val="BodyText"/>
        <w:spacing w:line="240" w:lineRule="auto" w:before="67"/>
        <w:ind w:right="0"/>
        <w:jc w:val="left"/>
      </w:pPr>
      <w:r>
        <w:rPr/>
        <w:t>股份变动的过户情况</w:t>
      </w:r>
    </w:p>
    <w:p>
      <w:pPr>
        <w:pStyle w:val="BodyText"/>
        <w:spacing w:line="316" w:lineRule="auto" w:before="125"/>
        <w:ind w:left="501" w:right="10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spacing w:val="-1"/>
        </w:rPr>
        <w:t>1</w:t>
      </w:r>
      <w:r>
        <w:rPr>
          <w:spacing w:val="-1"/>
        </w:rPr>
        <w:t>、截至</w:t>
      </w:r>
      <w:r>
        <w:rPr>
          <w:rFonts w:ascii="宋体" w:hAnsi="宋体" w:cs="宋体" w:eastAsia="宋体" w:hint="default"/>
          <w:spacing w:val="-1"/>
        </w:rPr>
        <w:t>2019</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15</w:t>
      </w:r>
      <w:r>
        <w:rPr>
          <w:spacing w:val="-1"/>
        </w:rPr>
        <w:t>日，公司因回购注销限制性股票已减少股本</w:t>
      </w:r>
      <w:r>
        <w:rPr>
          <w:rFonts w:ascii="宋体" w:hAnsi="宋体" w:cs="宋体" w:eastAsia="宋体" w:hint="default"/>
          <w:spacing w:val="-1"/>
        </w:rPr>
        <w:t>4,174,250</w:t>
      </w:r>
      <w:r>
        <w:rPr>
          <w:spacing w:val="-1"/>
        </w:rPr>
        <w:t>股，股本总额变更为</w:t>
      </w:r>
      <w:r>
        <w:rPr>
          <w:rFonts w:ascii="宋体" w:hAnsi="宋体" w:cs="宋体" w:eastAsia="宋体" w:hint="default"/>
          <w:spacing w:val="-1"/>
        </w:rPr>
        <w:t>4,438,790,572</w:t>
      </w:r>
      <w:r>
        <w:rPr>
          <w:spacing w:val="-1"/>
        </w:rPr>
        <w:t>股。上述</w:t>
      </w:r>
    </w:p>
    <w:p>
      <w:pPr>
        <w:pStyle w:val="BodyText"/>
        <w:spacing w:line="321" w:lineRule="auto" w:before="22"/>
        <w:ind w:left="501" w:right="1119" w:hanging="361"/>
        <w:jc w:val="left"/>
      </w:pPr>
      <w:r>
        <w:rPr/>
        <w:t>股本减少已经立信会计师事务所（特殊普通合伙）出具信会师报字</w:t>
      </w:r>
      <w:r>
        <w:rPr>
          <w:rFonts w:ascii="宋体" w:hAnsi="宋体" w:cs="宋体" w:eastAsia="宋体" w:hint="default"/>
        </w:rPr>
        <w:t>[2019]</w:t>
      </w:r>
      <w:r>
        <w:rPr/>
        <w:t>第</w:t>
      </w:r>
      <w:r>
        <w:rPr>
          <w:rFonts w:ascii="宋体" w:hAnsi="宋体" w:cs="宋体" w:eastAsia="宋体" w:hint="default"/>
        </w:rPr>
        <w:t>ZA14703</w:t>
      </w:r>
      <w:r>
        <w:rPr/>
        <w:t>号验资报告验证。</w:t>
      </w:r>
      <w:r>
        <w:rPr>
          <w:spacing w:val="-84"/>
        </w:rPr>
        <w:t> </w:t>
      </w:r>
      <w:r>
        <w:rPr>
          <w:rFonts w:ascii="宋体" w:hAnsi="宋体" w:cs="宋体" w:eastAsia="宋体" w:hint="default"/>
        </w:rPr>
        <w:t>2</w:t>
      </w:r>
      <w:r>
        <w:rPr/>
        <w:t>、截至</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11</w:t>
      </w:r>
      <w:r>
        <w:rPr/>
        <w:t>日，公司完成资本公积转增股本相关手续，股本总额变更为</w:t>
      </w:r>
      <w:r>
        <w:rPr>
          <w:rFonts w:ascii="宋体" w:hAnsi="宋体" w:cs="宋体" w:eastAsia="宋体" w:hint="default"/>
        </w:rPr>
        <w:t>5,770,427,743</w:t>
      </w:r>
      <w:r>
        <w:rPr/>
        <w:t>股。上述股本增加已经</w:t>
      </w:r>
    </w:p>
    <w:p>
      <w:pPr>
        <w:pStyle w:val="BodyText"/>
        <w:spacing w:line="367" w:lineRule="auto" w:before="18"/>
        <w:ind w:right="3819"/>
        <w:jc w:val="left"/>
      </w:pPr>
      <w:r>
        <w:rPr/>
        <w:t>立信会计师事务所（特殊普通合伙）出具信会师报字</w:t>
      </w:r>
      <w:r>
        <w:rPr>
          <w:rFonts w:ascii="宋体" w:hAnsi="宋体" w:cs="宋体" w:eastAsia="宋体" w:hint="default"/>
        </w:rPr>
        <w:t>[2019]</w:t>
      </w:r>
      <w:r>
        <w:rPr/>
        <w:t>第</w:t>
      </w:r>
      <w:r>
        <w:rPr>
          <w:rFonts w:ascii="宋体" w:hAnsi="宋体" w:cs="宋体" w:eastAsia="宋体" w:hint="default"/>
        </w:rPr>
        <w:t>ZA15017</w:t>
      </w:r>
      <w:r>
        <w:rPr/>
        <w:t>号验资报告验证。</w:t>
      </w:r>
      <w:r>
        <w:rPr>
          <w:spacing w:val="-84"/>
        </w:rPr>
        <w:t> </w:t>
      </w:r>
      <w:r>
        <w:rPr/>
        <w:t>股份回购的实施进展情况</w:t>
      </w:r>
    </w:p>
    <w:p>
      <w:pPr>
        <w:pStyle w:val="BodyText"/>
        <w:spacing w:line="319" w:lineRule="auto" w:before="29"/>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采用集中竞价方式减持回购股份的实施进展情况</w:t>
      </w:r>
    </w:p>
    <w:p>
      <w:pPr>
        <w:pStyle w:val="BodyText"/>
        <w:spacing w:line="319" w:lineRule="auto" w:before="80"/>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331" w:lineRule="auto" w:before="80"/>
        <w:ind w:right="55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因上述股本变动，对公司</w:t>
      </w:r>
      <w:r>
        <w:rPr>
          <w:rFonts w:ascii="Times New Roman" w:hAnsi="Times New Roman" w:cs="Times New Roman" w:eastAsia="Times New Roman" w:hint="default"/>
        </w:rPr>
        <w:t>2018</w:t>
      </w:r>
      <w:r>
        <w:rPr/>
        <w:t>年度相关财务指标的具体影响如下：</w:t>
      </w:r>
    </w:p>
    <w:tbl>
      <w:tblPr>
        <w:tblW w:w="0" w:type="auto"/>
        <w:jc w:val="left"/>
        <w:tblInd w:w="126" w:type="dxa"/>
        <w:tblLayout w:type="fixed"/>
        <w:tblCellMar>
          <w:top w:w="0" w:type="dxa"/>
          <w:left w:w="0" w:type="dxa"/>
          <w:bottom w:w="0" w:type="dxa"/>
          <w:right w:w="0" w:type="dxa"/>
        </w:tblCellMar>
        <w:tblLook w:val="01E0"/>
      </w:tblPr>
      <w:tblGrid>
        <w:gridCol w:w="4010"/>
        <w:gridCol w:w="2733"/>
        <w:gridCol w:w="2928"/>
      </w:tblGrid>
      <w:tr>
        <w:trPr>
          <w:trHeight w:val="338" w:hRule="exact"/>
        </w:trPr>
        <w:tc>
          <w:tcPr>
            <w:tcW w:w="40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3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3"/>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5" w:hRule="exact"/>
        </w:trPr>
        <w:tc>
          <w:tcPr>
            <w:tcW w:w="40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3" w:lineRule="exact"/>
              <w:ind w:right="0"/>
              <w:jc w:val="left"/>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宋体" w:hAnsi="宋体" w:cs="宋体" w:eastAsia="宋体" w:hint="default"/>
                <w:sz w:val="18"/>
                <w:szCs w:val="18"/>
              </w:rPr>
            </w:r>
          </w:p>
        </w:tc>
        <w:tc>
          <w:tcPr>
            <w:tcW w:w="2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0.32</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z w:val="18"/>
              </w:rPr>
              <w:t>0.25</w:t>
            </w:r>
          </w:p>
        </w:tc>
      </w:tr>
      <w:tr>
        <w:trPr>
          <w:trHeight w:val="345" w:hRule="exact"/>
        </w:trPr>
        <w:tc>
          <w:tcPr>
            <w:tcW w:w="40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3" w:lineRule="exact"/>
              <w:ind w:right="0"/>
              <w:jc w:val="left"/>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宋体" w:hAnsi="宋体" w:cs="宋体" w:eastAsia="宋体" w:hint="default"/>
                <w:sz w:val="18"/>
                <w:szCs w:val="18"/>
              </w:rPr>
            </w:r>
          </w:p>
        </w:tc>
        <w:tc>
          <w:tcPr>
            <w:tcW w:w="2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3"/>
              <w:jc w:val="right"/>
              <w:rPr>
                <w:rFonts w:ascii="Times New Roman" w:hAnsi="Times New Roman" w:cs="Times New Roman" w:eastAsia="Times New Roman" w:hint="default"/>
                <w:sz w:val="18"/>
                <w:szCs w:val="18"/>
              </w:rPr>
            </w:pPr>
            <w:r>
              <w:rPr>
                <w:rFonts w:ascii="Times New Roman"/>
                <w:sz w:val="18"/>
              </w:rPr>
              <w:t>0.32</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0.25</w:t>
            </w:r>
          </w:p>
        </w:tc>
      </w:tr>
      <w:tr>
        <w:trPr>
          <w:trHeight w:val="346" w:hRule="exact"/>
        </w:trPr>
        <w:tc>
          <w:tcPr>
            <w:tcW w:w="40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2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4"/>
              <w:jc w:val="right"/>
              <w:rPr>
                <w:rFonts w:ascii="Times New Roman" w:hAnsi="Times New Roman" w:cs="Times New Roman" w:eastAsia="Times New Roman" w:hint="default"/>
                <w:sz w:val="18"/>
                <w:szCs w:val="18"/>
              </w:rPr>
            </w:pPr>
            <w:r>
              <w:rPr>
                <w:rFonts w:ascii="Times New Roman"/>
                <w:w w:val="95"/>
                <w:sz w:val="18"/>
              </w:rPr>
              <w:t>16.55%</w:t>
            </w:r>
            <w:r>
              <w:rPr>
                <w:rFonts w:ascii="Times New Roman"/>
                <w:sz w:val="18"/>
              </w:rPr>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w w:val="95"/>
                <w:sz w:val="18"/>
              </w:rPr>
              <w:t>16.55%</w:t>
            </w:r>
            <w:r>
              <w:rPr>
                <w:rFonts w:ascii="Times New Roman"/>
                <w:sz w:val="18"/>
              </w:rPr>
            </w:r>
          </w:p>
        </w:tc>
      </w:tr>
      <w:tr>
        <w:trPr>
          <w:trHeight w:val="360" w:hRule="exact"/>
        </w:trPr>
        <w:tc>
          <w:tcPr>
            <w:tcW w:w="40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3" w:lineRule="exact"/>
              <w:ind w:right="0"/>
              <w:jc w:val="left"/>
              <w:rPr>
                <w:rFonts w:ascii="宋体" w:hAnsi="宋体" w:cs="宋体" w:eastAsia="宋体" w:hint="default"/>
                <w:sz w:val="18"/>
                <w:szCs w:val="18"/>
              </w:rPr>
            </w:pPr>
            <w:r>
              <w:rPr>
                <w:rFonts w:ascii="宋体" w:hAnsi="宋体" w:cs="宋体" w:eastAsia="宋体" w:hint="default"/>
                <w:b/>
                <w:bCs/>
                <w:sz w:val="18"/>
                <w:szCs w:val="18"/>
              </w:rPr>
              <w:t>归属于上市公司股东的每股净资产</w:t>
            </w:r>
            <w:r>
              <w:rPr>
                <w:rFonts w:ascii="宋体" w:hAnsi="宋体" w:cs="宋体" w:eastAsia="宋体" w:hint="default"/>
                <w:sz w:val="18"/>
                <w:szCs w:val="18"/>
              </w:rPr>
            </w:r>
          </w:p>
        </w:tc>
        <w:tc>
          <w:tcPr>
            <w:tcW w:w="2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2.10</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z w:val="18"/>
              </w:rPr>
              <w:t>1.62</w:t>
            </w:r>
          </w:p>
        </w:tc>
      </w:tr>
    </w:tbl>
    <w:p>
      <w:pPr>
        <w:spacing w:line="240" w:lineRule="auto" w:before="9"/>
        <w:rPr>
          <w:rFonts w:ascii="宋体" w:hAnsi="宋体" w:cs="宋体" w:eastAsia="宋体" w:hint="default"/>
          <w:sz w:val="21"/>
          <w:szCs w:val="21"/>
        </w:rPr>
      </w:pPr>
    </w:p>
    <w:p>
      <w:pPr>
        <w:pStyle w:val="BodyText"/>
        <w:spacing w:line="240" w:lineRule="auto"/>
        <w:ind w:right="0"/>
        <w:jc w:val="left"/>
      </w:pPr>
      <w:r>
        <w:rPr/>
        <w:t>公司认为必要或证券监管机构要求披露的其他内容</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856"/>
        <w:gridCol w:w="991"/>
        <w:gridCol w:w="991"/>
        <w:gridCol w:w="991"/>
        <w:gridCol w:w="992"/>
        <w:gridCol w:w="991"/>
        <w:gridCol w:w="3770"/>
      </w:tblGrid>
      <w:tr>
        <w:trPr>
          <w:trHeight w:val="721"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90" w:right="44" w:hanging="361"/>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45"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45"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05" w:right="3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7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6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118,452,715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35,535,815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153,988,530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45"/>
              <w:jc w:val="left"/>
              <w:rPr>
                <w:rFonts w:ascii="宋体" w:hAnsi="宋体" w:cs="宋体" w:eastAsia="宋体" w:hint="default"/>
                <w:sz w:val="18"/>
                <w:szCs w:val="18"/>
              </w:rPr>
            </w:pPr>
            <w:r>
              <w:rPr>
                <w:rFonts w:ascii="宋体" w:hAnsi="宋体" w:cs="宋体" w:eastAsia="宋体" w:hint="default"/>
                <w:sz w:val="18"/>
                <w:szCs w:val="18"/>
              </w:rPr>
              <w:t>股权激励限 售股、高管</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5"/>
              <w:ind w:left="29"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年股权激励限售股：（</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）首期授予：自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首次授予完成日（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r>
    </w:tbl>
    <w:p>
      <w:pPr>
        <w:spacing w:after="0" w:line="302"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81.6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991"/>
                    <w:gridCol w:w="991"/>
                    <w:gridCol w:w="991"/>
                    <w:gridCol w:w="992"/>
                    <w:gridCol w:w="991"/>
                    <w:gridCol w:w="3770"/>
                  </w:tblGrid>
                  <w:tr>
                    <w:trPr>
                      <w:trHeight w:val="10043" w:hRule="exact"/>
                    </w:trPr>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45"/>
                          <w:jc w:val="both"/>
                          <w:rPr>
                            <w:rFonts w:ascii="宋体" w:hAnsi="宋体" w:cs="宋体" w:eastAsia="宋体" w:hint="default"/>
                            <w:sz w:val="18"/>
                            <w:szCs w:val="18"/>
                          </w:rPr>
                        </w:pPr>
                        <w:r>
                          <w:rPr>
                            <w:rFonts w:ascii="宋体" w:hAnsi="宋体" w:cs="宋体" w:eastAsia="宋体" w:hint="default"/>
                            <w:sz w:val="18"/>
                            <w:szCs w:val="18"/>
                          </w:rPr>
                          <w:t>锁定股及资 本公积转增 股本相应增 加的股份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left"/>
                          <w:rPr>
                            <w:rFonts w:ascii="宋体" w:hAnsi="宋体" w:cs="宋体" w:eastAsia="宋体" w:hint="default"/>
                            <w:sz w:val="18"/>
                            <w:szCs w:val="18"/>
                          </w:rPr>
                        </w:pPr>
                        <w:r>
                          <w:rPr>
                            <w:rFonts w:ascii="宋体" w:hAnsi="宋体" w:cs="宋体" w:eastAsia="宋体" w:hint="default"/>
                            <w:sz w:val="18"/>
                            <w:szCs w:val="18"/>
                          </w:rPr>
                          <w:t>月后的首个交易日起至首次授予完成日起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w:t>
                        </w:r>
                      </w:p>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月内的最后一个交易日当日止，解除限售</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个月后的首个交易日起</w:t>
                        </w:r>
                      </w:p>
                      <w:p>
                        <w:pPr>
                          <w:pStyle w:val="TableParagraph"/>
                          <w:spacing w:line="304" w:lineRule="auto" w:before="66"/>
                          <w:ind w:left="29" w:right="30"/>
                          <w:jc w:val="left"/>
                          <w:rPr>
                            <w:rFonts w:ascii="宋体" w:hAnsi="宋体" w:cs="宋体" w:eastAsia="宋体" w:hint="default"/>
                            <w:sz w:val="18"/>
                            <w:szCs w:val="18"/>
                          </w:rPr>
                        </w:pPr>
                        <w:r>
                          <w:rPr>
                            <w:rFonts w:ascii="宋体" w:hAnsi="宋体" w:cs="宋体" w:eastAsia="宋体" w:hint="default"/>
                            <w:sz w:val="18"/>
                            <w:szCs w:val="18"/>
                          </w:rPr>
                          <w:t>至首次授予完成日起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个月内的最后一个交易 日当日止，解除限售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；自首次授予完成日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个月后的首个交易日起至首次授予完成日</w:t>
                        </w:r>
                      </w:p>
                      <w:p>
                        <w:pPr>
                          <w:pStyle w:val="TableParagraph"/>
                          <w:spacing w:line="302" w:lineRule="auto"/>
                          <w:ind w:left="29" w:right="14"/>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个月内的最后一个交易日当日止，解除限 售</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）预留部分授予：自首次授予完成</w:t>
                        </w:r>
                        <w:r>
                          <w:rPr>
                            <w:rFonts w:ascii="宋体" w:hAnsi="宋体" w:cs="宋体" w:eastAsia="宋体" w:hint="default"/>
                            <w:spacing w:val="-80"/>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5"/>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个月后的首个交</w:t>
                        </w:r>
                      </w:p>
                      <w:p>
                        <w:pPr>
                          <w:pStyle w:val="TableParagraph"/>
                          <w:spacing w:line="295" w:lineRule="auto" w:before="14"/>
                          <w:ind w:left="29" w:right="29"/>
                          <w:jc w:val="left"/>
                          <w:rPr>
                            <w:rFonts w:ascii="宋体" w:hAnsi="宋体" w:cs="宋体" w:eastAsia="宋体" w:hint="default"/>
                            <w:sz w:val="18"/>
                            <w:szCs w:val="18"/>
                          </w:rPr>
                        </w:pPr>
                        <w:r>
                          <w:rPr>
                            <w:rFonts w:ascii="宋体" w:hAnsi="宋体" w:cs="宋体" w:eastAsia="宋体" w:hint="default"/>
                            <w:sz w:val="18"/>
                            <w:szCs w:val="18"/>
                          </w:rPr>
                          <w:t>易日起至首次授予完成日起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个月内的最后一 个交易日当日止，解除限售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；自首次授予 完成日起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个月后的首个交易日起至首次授予</w:t>
                        </w:r>
                      </w:p>
                      <w:p>
                        <w:pPr>
                          <w:pStyle w:val="TableParagraph"/>
                          <w:spacing w:line="304" w:lineRule="auto" w:before="20"/>
                          <w:ind w:left="2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完成日起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个月内的最后一个交易日当日止， 解除限售</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年股权激励计划</w:t>
                        </w:r>
                        <w:r>
                          <w:rPr>
                            <w:rFonts w:ascii="宋体" w:hAnsi="宋体" w:cs="宋体" w:eastAsia="宋体" w:hint="default"/>
                            <w:spacing w:val="-88"/>
                            <w:sz w:val="18"/>
                            <w:szCs w:val="18"/>
                          </w:rPr>
                          <w:t> </w:t>
                        </w:r>
                        <w:r>
                          <w:rPr>
                            <w:rFonts w:ascii="宋体" w:hAnsi="宋体" w:cs="宋体" w:eastAsia="宋体" w:hint="default"/>
                            <w:spacing w:val="-7"/>
                            <w:w w:val="99"/>
                            <w:sz w:val="18"/>
                            <w:szCs w:val="18"/>
                          </w:rPr>
                          <w:t>解锁安排</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2</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2017</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8"/>
                            <w:sz w:val="18"/>
                            <w:szCs w:val="18"/>
                          </w:rPr>
                          <w:t>年股权激励限售股：（</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87"/>
                            <w:sz w:val="18"/>
                            <w:szCs w:val="18"/>
                          </w:rPr>
                          <w:t> </w:t>
                        </w:r>
                        <w:r>
                          <w:rPr>
                            <w:rFonts w:ascii="宋体" w:hAnsi="宋体" w:cs="宋体" w:eastAsia="宋体" w:hint="default"/>
                            <w:spacing w:val="-5"/>
                            <w:sz w:val="18"/>
                            <w:szCs w:val="18"/>
                          </w:rPr>
                          <w:t>首期授予：自首次授予完成日（</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7" w:lineRule="exact"/>
                          <w:ind w:left="29"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个月后的首个交易日起至首次授予完</w:t>
                        </w:r>
                      </w:p>
                      <w:p>
                        <w:pPr>
                          <w:pStyle w:val="TableParagraph"/>
                          <w:spacing w:line="300" w:lineRule="auto" w:before="66"/>
                          <w:ind w:left="29" w:right="13"/>
                          <w:jc w:val="left"/>
                          <w:rPr>
                            <w:rFonts w:ascii="宋体" w:hAnsi="宋体" w:cs="宋体" w:eastAsia="宋体" w:hint="default"/>
                            <w:sz w:val="18"/>
                            <w:szCs w:val="18"/>
                          </w:rPr>
                        </w:pPr>
                        <w:r>
                          <w:rPr>
                            <w:rFonts w:ascii="宋体" w:hAnsi="宋体" w:cs="宋体" w:eastAsia="宋体" w:hint="default"/>
                            <w:sz w:val="18"/>
                            <w:szCs w:val="18"/>
                          </w:rPr>
                          <w:t>成日起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个月内的最后一个交易日当日止，解 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；自首次授予完成日起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 首个交易日起至首次授予完成日起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个月内的 最后一个交易日当日止，解除限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；自首次 授予完成日起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个月后的首个交易日起至首次</w:t>
                        </w:r>
                      </w:p>
                      <w:p>
                        <w:pPr>
                          <w:pStyle w:val="TableParagraph"/>
                          <w:spacing w:line="304" w:lineRule="auto" w:before="16"/>
                          <w:ind w:left="29" w:right="32"/>
                          <w:jc w:val="left"/>
                          <w:rPr>
                            <w:rFonts w:ascii="宋体" w:hAnsi="宋体" w:cs="宋体" w:eastAsia="宋体" w:hint="default"/>
                            <w:sz w:val="18"/>
                            <w:szCs w:val="18"/>
                          </w:rPr>
                        </w:pPr>
                        <w:r>
                          <w:rPr>
                            <w:rFonts w:ascii="宋体" w:hAnsi="宋体" w:cs="宋体" w:eastAsia="宋体" w:hint="default"/>
                            <w:sz w:val="18"/>
                            <w:szCs w:val="18"/>
                          </w:rPr>
                          <w:t>授予完成日起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个月内的最后一个交易日当日 止，解除限售</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）预留部分授予：自首</w:t>
                        </w:r>
                        <w:r>
                          <w:rPr>
                            <w:rFonts w:ascii="宋体" w:hAnsi="宋体" w:cs="宋体" w:eastAsia="宋体" w:hint="default"/>
                            <w:spacing w:val="-86"/>
                            <w:sz w:val="18"/>
                            <w:szCs w:val="18"/>
                          </w:rPr>
                          <w:t> </w:t>
                        </w:r>
                        <w:r>
                          <w:rPr>
                            <w:rFonts w:ascii="宋体" w:hAnsi="宋体" w:cs="宋体" w:eastAsia="宋体" w:hint="default"/>
                            <w:sz w:val="18"/>
                            <w:szCs w:val="18"/>
                          </w:rPr>
                          <w:t>次授予完成日（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pStyle w:val="TableParagraph"/>
                          <w:spacing w:line="297" w:lineRule="auto" w:before="12"/>
                          <w:ind w:left="29" w:right="28"/>
                          <w:jc w:val="left"/>
                          <w:rPr>
                            <w:rFonts w:ascii="宋体" w:hAnsi="宋体" w:cs="宋体" w:eastAsia="宋体" w:hint="default"/>
                            <w:sz w:val="18"/>
                            <w:szCs w:val="18"/>
                          </w:rPr>
                        </w:pPr>
                        <w:r>
                          <w:rPr>
                            <w:rFonts w:ascii="宋体" w:hAnsi="宋体" w:cs="宋体" w:eastAsia="宋体" w:hint="default"/>
                            <w:sz w:val="18"/>
                            <w:szCs w:val="18"/>
                          </w:rPr>
                          <w:t>后的首个交易日起至首次授予完成日起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 内的最后一个交易日当日止，解除限售</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自首次授予完成日起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个月后的首个交易日起</w:t>
                        </w:r>
                      </w:p>
                      <w:p>
                        <w:pPr>
                          <w:pStyle w:val="TableParagraph"/>
                          <w:spacing w:line="300" w:lineRule="auto" w:before="18"/>
                          <w:ind w:left="29" w:right="13"/>
                          <w:jc w:val="both"/>
                          <w:rPr>
                            <w:rFonts w:ascii="宋体" w:hAnsi="宋体" w:cs="宋体" w:eastAsia="宋体" w:hint="default"/>
                            <w:sz w:val="18"/>
                            <w:szCs w:val="18"/>
                          </w:rPr>
                        </w:pPr>
                        <w:r>
                          <w:rPr>
                            <w:rFonts w:ascii="宋体" w:hAnsi="宋体" w:cs="宋体" w:eastAsia="宋体" w:hint="default"/>
                            <w:sz w:val="18"/>
                            <w:szCs w:val="18"/>
                          </w:rPr>
                          <w:t>至首次授予完成日起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个月内的最后一个交易 日当日止，解除限</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年股权 </w:t>
                        </w:r>
                        <w:r>
                          <w:rPr>
                            <w:rFonts w:ascii="宋体" w:hAnsi="宋体" w:cs="宋体" w:eastAsia="宋体" w:hint="default"/>
                            <w:spacing w:val="-4"/>
                            <w:w w:val="99"/>
                            <w:sz w:val="18"/>
                            <w:szCs w:val="18"/>
                          </w:rPr>
                          <w:t>激励计划解锁安排</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3</w:t>
                        </w:r>
                        <w:r>
                          <w:rPr>
                            <w:rFonts w:ascii="宋体" w:hAnsi="宋体" w:cs="宋体" w:eastAsia="宋体" w:hint="default"/>
                            <w:spacing w:val="-4"/>
                            <w:w w:val="99"/>
                            <w:sz w:val="18"/>
                            <w:szCs w:val="18"/>
                          </w:rPr>
                          <w:t>、高管锁定股：每年按</w:t>
                        </w:r>
                        <w:r>
                          <w:rPr>
                            <w:rFonts w:ascii="宋体" w:hAnsi="宋体" w:cs="宋体" w:eastAsia="宋体" w:hint="default"/>
                            <w:sz w:val="18"/>
                            <w:szCs w:val="18"/>
                          </w:rPr>
                          <w:t> 照其持有股份总数的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967"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1,425,975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427,792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1,853,767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售股、高管 锁定股及资 本公积转增 股本相应增 加的股份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95" w:lineRule="auto"/>
                          <w:ind w:left="29" w:right="1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年股权激励计划解锁安排执行；</w:t>
                        </w:r>
                        <w:r>
                          <w:rPr>
                            <w:rFonts w:ascii="Times New Roman" w:hAnsi="Times New Roman" w:cs="Times New Roman" w:eastAsia="Times New Roman" w:hint="default"/>
                            <w:sz w:val="18"/>
                            <w:szCs w:val="18"/>
                          </w:rPr>
                          <w:t>3</w:t>
                        </w:r>
                      </w:p>
                      <w:p>
                        <w:pPr>
                          <w:pStyle w:val="TableParagraph"/>
                          <w:spacing w:line="240" w:lineRule="auto" w:before="20"/>
                          <w:ind w:left="2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高管锁定股：每年按照其持有股份总数的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51"/>
                          <w:ind w:left="29" w:right="0"/>
                          <w:jc w:val="both"/>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0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958,912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287,673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1,246,585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售股、高管 锁定股及资 本公积转增 股本相应增</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97" w:lineRule="auto"/>
                          <w:ind w:left="29" w:right="3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、高管锁定股：每年按 照其持有股份总数的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0" w:right="11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0" w:right="1141"/>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92.8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991"/>
                    <w:gridCol w:w="991"/>
                    <w:gridCol w:w="991"/>
                    <w:gridCol w:w="992"/>
                    <w:gridCol w:w="991"/>
                    <w:gridCol w:w="3770"/>
                  </w:tblGrid>
                  <w:tr>
                    <w:trPr>
                      <w:trHeight w:val="360" w:hRule="exact"/>
                    </w:trPr>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加的股份</w:t>
                        </w:r>
                      </w:p>
                    </w:tc>
                    <w:tc>
                      <w:tcPr>
                        <w:tcW w:w="3770"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黄国敏</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614,100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184,230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798,330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售股、高管 锁定股及资 本公积转增 股本相应增 加的股份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95" w:lineRule="auto"/>
                          <w:ind w:left="29" w:right="1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年股权激励计划解锁安排执行；</w:t>
                        </w:r>
                        <w:r>
                          <w:rPr>
                            <w:rFonts w:ascii="Times New Roman" w:hAnsi="Times New Roman" w:cs="Times New Roman" w:eastAsia="Times New Roman" w:hint="default"/>
                            <w:sz w:val="18"/>
                            <w:szCs w:val="18"/>
                          </w:rPr>
                          <w:t>3</w:t>
                        </w:r>
                      </w:p>
                      <w:p>
                        <w:pPr>
                          <w:pStyle w:val="TableParagraph"/>
                          <w:spacing w:line="240" w:lineRule="auto" w:before="20"/>
                          <w:ind w:left="2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高管锁定股：每年按照其持有股份总数的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51"/>
                          <w:ind w:left="29" w:right="0"/>
                          <w:jc w:val="both"/>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寇杰毅</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1,176,500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352,950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1,090,050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439,400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5"/>
                          <w:ind w:left="29"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年股权激励计划解锁安排执行</w:t>
                        </w:r>
                      </w:p>
                    </w:tc>
                  </w:tr>
                  <w:tr>
                    <w:trPr>
                      <w:trHeight w:val="165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木茂婷</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1,176,500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352,950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1,090,050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439,400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5"/>
                          <w:ind w:left="29"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年股权激励计划解锁安排执行</w:t>
                        </w:r>
                      </w:p>
                    </w:tc>
                  </w:tr>
                  <w:tr>
                    <w:trPr>
                      <w:trHeight w:val="165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王素军</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1,176,500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352,950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1,090,050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439,400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9"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年股权激励计划解锁安排执行</w:t>
                        </w:r>
                      </w:p>
                    </w:tc>
                  </w:tr>
                  <w:tr>
                    <w:trPr>
                      <w:trHeight w:val="165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钱武星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1,112,800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333,840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1,074,840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371,800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9"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年股权激励计划解锁安排执行</w:t>
                        </w:r>
                      </w:p>
                    </w:tc>
                  </w:tr>
                  <w:tr>
                    <w:trPr>
                      <w:trHeight w:val="165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曹岱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1,046,500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313,950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988,650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371,800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9"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年股权激励计划解锁安排执行</w:t>
                        </w:r>
                      </w:p>
                    </w:tc>
                  </w:tr>
                  <w:tr>
                    <w:trPr>
                      <w:trHeight w:val="165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980,200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294,060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902,460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371,800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售股及资本 公积转增股 本相应增加 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9"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年股权激励计划解锁安排执行</w:t>
                        </w:r>
                      </w:p>
                    </w:tc>
                  </w:tr>
                  <w:tr>
                    <w:trPr>
                      <w:trHeight w:val="1607"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21,205,637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5,109,416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21,138,941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5,176,112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股权激励限 售股、高管 锁定股及资 本公积转增 股本相应增</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年股权激励限售股：按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 励计划解锁安排执行；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年股权激励限售 股：按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年股权激励计划解锁安排执行；</w:t>
                        </w:r>
                        <w:r>
                          <w:rPr>
                            <w:rFonts w:ascii="Times New Roman" w:hAnsi="Times New Roman" w:cs="Times New Roman" w:eastAsia="Times New Roman" w:hint="default"/>
                            <w:sz w:val="18"/>
                            <w:szCs w:val="18"/>
                          </w:rPr>
                          <w:t>3 </w:t>
                        </w:r>
                        <w:r>
                          <w:rPr>
                            <w:rFonts w:ascii="宋体" w:hAnsi="宋体" w:cs="宋体" w:eastAsia="宋体" w:hint="default"/>
                            <w:spacing w:val="-4"/>
                            <w:sz w:val="18"/>
                            <w:szCs w:val="18"/>
                          </w:rPr>
                          <w:t>高管锁定股：公司部分离任高级管理人员离任后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其股份解除限售按照中国证监会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0"/>
        <w:ind w:left="0" w:right="1141"/>
        <w:jc w:val="right"/>
      </w:pP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856"/>
        <w:gridCol w:w="991"/>
        <w:gridCol w:w="991"/>
        <w:gridCol w:w="991"/>
        <w:gridCol w:w="992"/>
        <w:gridCol w:w="991"/>
        <w:gridCol w:w="3770"/>
      </w:tblGrid>
      <w:tr>
        <w:trPr>
          <w:trHeight w:val="1921" w:hRule="exact"/>
        </w:trPr>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加的股份</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29" w:right="31"/>
              <w:jc w:val="left"/>
              <w:rPr>
                <w:rFonts w:ascii="宋体" w:hAnsi="宋体" w:cs="宋体" w:eastAsia="宋体" w:hint="default"/>
                <w:sz w:val="18"/>
                <w:szCs w:val="18"/>
              </w:rPr>
            </w:pPr>
            <w:r>
              <w:rPr>
                <w:rFonts w:ascii="宋体" w:hAnsi="宋体" w:cs="宋体" w:eastAsia="宋体" w:hint="default"/>
                <w:spacing w:val="-5"/>
                <w:sz w:val="18"/>
                <w:szCs w:val="18"/>
              </w:rPr>
              <w:t>日公布的《上市公司股东、董监高减持股份的若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干规定》执行；董事、监事及高级管理人员所持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高管锁定股每年按照其持有股份总数的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r>
              <w:rPr>
                <w:rFonts w:ascii="Times New Roman" w:hAnsi="Times New Roman" w:cs="Times New Roman" w:eastAsia="Times New Roman" w:hint="default"/>
                <w:sz w:val="18"/>
                <w:szCs w:val="18"/>
              </w:rPr>
              <w:t>4</w:t>
            </w:r>
            <w:r>
              <w:rPr>
                <w:rFonts w:ascii="宋体" w:hAnsi="宋体" w:cs="宋体" w:eastAsia="宋体" w:hint="default"/>
                <w:sz w:val="18"/>
                <w:szCs w:val="18"/>
              </w:rPr>
              <w:t>、报告期内，公司对已离职激励对象</w:t>
            </w:r>
          </w:p>
          <w:p>
            <w:pPr>
              <w:pStyle w:val="TableParagraph"/>
              <w:spacing w:line="225" w:lineRule="exact"/>
              <w:ind w:left="29" w:right="0"/>
              <w:jc w:val="left"/>
              <w:rPr>
                <w:rFonts w:ascii="宋体" w:hAnsi="宋体" w:cs="宋体" w:eastAsia="宋体" w:hint="default"/>
                <w:sz w:val="18"/>
                <w:szCs w:val="18"/>
              </w:rPr>
            </w:pPr>
            <w:r>
              <w:rPr>
                <w:rFonts w:ascii="宋体" w:hAnsi="宋体" w:cs="宋体" w:eastAsia="宋体" w:hint="default"/>
                <w:sz w:val="18"/>
                <w:szCs w:val="18"/>
              </w:rPr>
              <w:t>已获授予但尚未解锁的限制性股票合计</w:t>
            </w:r>
          </w:p>
          <w:p>
            <w:pPr>
              <w:pStyle w:val="TableParagraph"/>
              <w:spacing w:line="240" w:lineRule="auto" w:before="9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4,174,250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股进行回购注销处理。</w:t>
            </w:r>
          </w:p>
        </w:tc>
      </w:tr>
      <w:tr>
        <w:trPr>
          <w:trHeight w:val="405"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149,326,339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left"/>
              <w:rPr>
                <w:rFonts w:ascii="Times New Roman" w:hAnsi="Times New Roman" w:cs="Times New Roman" w:eastAsia="Times New Roman" w:hint="default"/>
                <w:sz w:val="18"/>
                <w:szCs w:val="18"/>
              </w:rPr>
            </w:pPr>
            <w:r>
              <w:rPr>
                <w:rFonts w:ascii="Times New Roman"/>
                <w:sz w:val="18"/>
              </w:rPr>
              <w:t>43,545,626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left"/>
              <w:rPr>
                <w:rFonts w:ascii="Times New Roman" w:hAnsi="Times New Roman" w:cs="Times New Roman" w:eastAsia="Times New Roman" w:hint="default"/>
                <w:sz w:val="18"/>
                <w:szCs w:val="18"/>
              </w:rPr>
            </w:pPr>
            <w:r>
              <w:rPr>
                <w:rFonts w:ascii="Times New Roman"/>
                <w:sz w:val="18"/>
              </w:rPr>
              <w:t>27,375,041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165,496,924</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37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0"/>
        <w:jc w:val="both"/>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both"/>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left="501"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日召开了第六届董事会第三十次会议审议通过了《关于回购注销部分已不符合激励条件的原激</w:t>
      </w:r>
    </w:p>
    <w:p>
      <w:pPr>
        <w:pStyle w:val="BodyText"/>
        <w:spacing w:line="321" w:lineRule="auto" w:before="0"/>
        <w:ind w:right="1127"/>
        <w:jc w:val="both"/>
      </w:pPr>
      <w:r>
        <w:rPr/>
        <w:t>励对象已获授但尚未解锁的限制性股票的议案》、于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t>日召开第六届董事会第三十四次会议决议审议通过了《关</w:t>
      </w:r>
      <w:r>
        <w:rPr>
          <w:spacing w:val="-85"/>
        </w:rPr>
        <w:t> </w:t>
      </w:r>
      <w:r>
        <w:rPr/>
        <w:t>于回购注销</w:t>
      </w:r>
      <w:r>
        <w:rPr>
          <w:rFonts w:ascii="宋体" w:hAnsi="宋体" w:cs="宋体" w:eastAsia="宋体" w:hint="default"/>
        </w:rPr>
        <w:t>2016</w:t>
      </w:r>
      <w:r>
        <w:rPr/>
        <w:t>年、</w:t>
      </w:r>
      <w:r>
        <w:rPr>
          <w:rFonts w:ascii="宋体" w:hAnsi="宋体" w:cs="宋体" w:eastAsia="宋体" w:hint="default"/>
        </w:rPr>
        <w:t>2017</w:t>
      </w:r>
      <w:r>
        <w:rPr/>
        <w:t>年限制性股票激励计划部分限制性股票的议案》，并于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日召开</w:t>
      </w:r>
      <w:r>
        <w:rPr>
          <w:rFonts w:ascii="宋体" w:hAnsi="宋体" w:cs="宋体" w:eastAsia="宋体" w:hint="default"/>
        </w:rPr>
        <w:t>2018</w:t>
      </w:r>
      <w:r>
        <w:rPr/>
        <w:t>年度股东大会审议</w:t>
      </w:r>
      <w:r>
        <w:rPr>
          <w:spacing w:val="-85"/>
        </w:rPr>
        <w:t> </w:t>
      </w:r>
      <w:r>
        <w:rPr/>
        <w:t>通过了上述议案，回购注销部分已不符合激励条件的原激励对象已获授但尚未解锁的限制性股票4 4 25</w:t>
      </w:r>
      <w:r>
        <w:rPr>
          <w:spacing w:val="9"/>
        </w:rPr>
        <w:t> </w:t>
      </w:r>
      <w:r>
        <w:rPr/>
        <w:t>股，回购注销事</w:t>
      </w:r>
      <w:r>
        <w:rPr/>
        <w:t> 宜已于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28</w:t>
      </w:r>
      <w:r>
        <w:rPr/>
        <w:t>日完成。本次回购注销完成后，公司总股本从</w:t>
      </w:r>
      <w:r>
        <w:rPr>
          <w:rFonts w:ascii="宋体" w:hAnsi="宋体" w:cs="宋体" w:eastAsia="宋体" w:hint="default"/>
        </w:rPr>
        <w:t>4,442,964,822</w:t>
      </w:r>
      <w:r>
        <w:rPr/>
        <w:t>股减至</w:t>
      </w:r>
      <w:r>
        <w:rPr>
          <w:rFonts w:ascii="宋体" w:hAnsi="宋体" w:cs="宋体" w:eastAsia="宋体" w:hint="default"/>
        </w:rPr>
        <w:t>4,438,790,572</w:t>
      </w:r>
      <w:r>
        <w:rPr/>
        <w:t>股。</w:t>
      </w:r>
    </w:p>
    <w:p>
      <w:pPr>
        <w:pStyle w:val="BodyText"/>
        <w:spacing w:line="314" w:lineRule="auto" w:before="18"/>
        <w:ind w:right="1095" w:firstLine="360"/>
        <w:jc w:val="both"/>
      </w:pPr>
      <w:r>
        <w:rPr>
          <w:rFonts w:ascii="宋体" w:hAnsi="宋体" w:cs="宋体" w:eastAsia="宋体" w:hint="default"/>
          <w:spacing w:val="-3"/>
        </w:rPr>
        <w:t>2</w:t>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11</w:t>
      </w:r>
      <w:r>
        <w:rPr>
          <w:spacing w:val="-3"/>
        </w:rPr>
        <w:t>日召开第六届董事会第三十四次会议、</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10</w:t>
      </w:r>
      <w:r>
        <w:rPr>
          <w:spacing w:val="-3"/>
        </w:rPr>
        <w:t>日召开</w:t>
      </w:r>
      <w:r>
        <w:rPr>
          <w:rFonts w:ascii="宋体" w:hAnsi="宋体" w:cs="宋体" w:eastAsia="宋体" w:hint="default"/>
          <w:spacing w:val="-3"/>
        </w:rPr>
        <w:t>2018</w:t>
      </w:r>
      <w:r>
        <w:rPr>
          <w:spacing w:val="-3"/>
        </w:rPr>
        <w:t>年度股东大会分别审议通过了《公</w:t>
      </w:r>
      <w:r>
        <w:rPr/>
        <w:t> </w:t>
      </w:r>
      <w:r>
        <w:rPr>
          <w:spacing w:val="-1"/>
        </w:rPr>
        <w:t>司</w:t>
      </w:r>
      <w:r>
        <w:rPr>
          <w:rFonts w:ascii="宋体" w:hAnsi="宋体" w:cs="宋体" w:eastAsia="宋体" w:hint="default"/>
          <w:spacing w:val="-1"/>
        </w:rPr>
        <w:t>2018</w:t>
      </w:r>
      <w:r>
        <w:rPr>
          <w:spacing w:val="-1"/>
        </w:rPr>
        <w:t>年度利润分配预案》，以公司总股本</w:t>
      </w:r>
      <w:r>
        <w:rPr>
          <w:rFonts w:ascii="宋体" w:hAnsi="宋体" w:cs="宋体" w:eastAsia="宋体" w:hint="default"/>
          <w:spacing w:val="-1"/>
        </w:rPr>
        <w:t>4,438,790,572</w:t>
      </w:r>
      <w:r>
        <w:rPr>
          <w:spacing w:val="-1"/>
        </w:rPr>
        <w:t>股为基数，以资本公积金向全体股东每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3</w:t>
      </w:r>
      <w:r>
        <w:rPr>
          <w:spacing w:val="-1"/>
        </w:rPr>
        <w:t>股，转增后公司</w:t>
      </w:r>
      <w:r>
        <w:rPr>
          <w:spacing w:val="-79"/>
        </w:rPr>
        <w:t> </w:t>
      </w:r>
      <w:r>
        <w:rPr>
          <w:spacing w:val="-79"/>
        </w:rPr>
      </w:r>
      <w:r>
        <w:rPr/>
        <w:t>总股本变为</w:t>
      </w:r>
      <w:r>
        <w:rPr>
          <w:rFonts w:ascii="宋体" w:hAnsi="宋体" w:cs="宋体" w:eastAsia="宋体" w:hint="default"/>
        </w:rPr>
        <w:t>5,770,427,743</w:t>
      </w:r>
      <w:r>
        <w:rPr/>
        <w:t>股。</w:t>
      </w:r>
    </w:p>
    <w:p>
      <w:pPr>
        <w:pStyle w:val="BodyText"/>
        <w:spacing w:line="240" w:lineRule="auto" w:before="24"/>
        <w:ind w:left="501" w:right="0"/>
        <w:jc w:val="left"/>
      </w:pPr>
      <w:r>
        <w:rPr/>
        <w:t>报告期，公司因上述股份变动，导致公司股份总数较期初增加</w:t>
      </w:r>
      <w:r>
        <w:rPr>
          <w:rFonts w:ascii="宋体" w:hAnsi="宋体" w:cs="宋体" w:eastAsia="宋体" w:hint="default"/>
        </w:rPr>
        <w:t>29.88%</w:t>
      </w:r>
      <w:r>
        <w:rPr/>
        <w:t>，公司股东结构未发生重大变化。</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10"/>
        <w:jc w:val="right"/>
      </w:pPr>
      <w:r>
        <w:rPr/>
        <w:t>单位：股</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179"/>
        <w:gridCol w:w="1217"/>
        <w:gridCol w:w="1179"/>
        <w:gridCol w:w="1217"/>
        <w:gridCol w:w="1179"/>
        <w:gridCol w:w="1216"/>
        <w:gridCol w:w="1179"/>
        <w:gridCol w:w="1209"/>
      </w:tblGrid>
      <w:tr>
        <w:trPr>
          <w:trHeight w:val="157" w:hRule="exact"/>
        </w:trPr>
        <w:tc>
          <w:tcPr>
            <w:tcW w:w="1179" w:type="dxa"/>
            <w:vMerge w:val="restart"/>
            <w:tcBorders>
              <w:top w:val="single" w:sz="6" w:space="0" w:color="000000"/>
              <w:left w:val="single" w:sz="6" w:space="0" w:color="000000"/>
              <w:right w:val="single" w:sz="6" w:space="0" w:color="000000"/>
            </w:tcBorders>
            <w:shd w:val="clear" w:color="auto" w:fill="D2D2D2"/>
          </w:tcPr>
          <w:p>
            <w:pPr/>
          </w:p>
        </w:tc>
        <w:tc>
          <w:tcPr>
            <w:tcW w:w="1217" w:type="dxa"/>
            <w:vMerge w:val="restart"/>
            <w:tcBorders>
              <w:top w:val="single" w:sz="6" w:space="0" w:color="000000"/>
              <w:left w:val="single" w:sz="12" w:space="0" w:color="D2D2D2"/>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578" w:right="0"/>
              <w:jc w:val="left"/>
              <w:rPr>
                <w:rFonts w:ascii="Times New Roman" w:hAnsi="Times New Roman" w:cs="Times New Roman" w:eastAsia="Times New Roman" w:hint="default"/>
                <w:sz w:val="18"/>
                <w:szCs w:val="18"/>
              </w:rPr>
            </w:pPr>
            <w:r>
              <w:rPr>
                <w:rFonts w:ascii="Times New Roman"/>
                <w:sz w:val="18"/>
              </w:rPr>
              <w:t>280,924</w:t>
            </w:r>
          </w:p>
        </w:tc>
        <w:tc>
          <w:tcPr>
            <w:tcW w:w="1179" w:type="dxa"/>
            <w:vMerge w:val="restart"/>
            <w:tcBorders>
              <w:top w:val="single" w:sz="6" w:space="0" w:color="000000"/>
              <w:left w:val="single" w:sz="6" w:space="0" w:color="000000"/>
              <w:right w:val="single" w:sz="6" w:space="0" w:color="000000"/>
            </w:tcBorders>
            <w:shd w:val="clear" w:color="auto" w:fill="D2D2D2"/>
          </w:tcPr>
          <w:p>
            <w:pP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593" w:right="0"/>
              <w:jc w:val="left"/>
              <w:rPr>
                <w:rFonts w:ascii="Times New Roman" w:hAnsi="Times New Roman" w:cs="Times New Roman" w:eastAsia="Times New Roman" w:hint="default"/>
                <w:sz w:val="18"/>
                <w:szCs w:val="18"/>
              </w:rPr>
            </w:pPr>
            <w:r>
              <w:rPr>
                <w:rFonts w:ascii="Times New Roman"/>
                <w:sz w:val="18"/>
              </w:rPr>
              <w:t>266,646</w:t>
            </w:r>
          </w:p>
        </w:tc>
        <w:tc>
          <w:tcPr>
            <w:tcW w:w="117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vMerge w:val="restart"/>
            <w:tcBorders>
              <w:top w:val="single" w:sz="6" w:space="0" w:color="000000"/>
              <w:left w:val="single" w:sz="12" w:space="0" w:color="D2D2D2"/>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3"/>
              <w:jc w:val="right"/>
              <w:rPr>
                <w:rFonts w:ascii="Times New Roman" w:hAnsi="Times New Roman" w:cs="Times New Roman" w:eastAsia="Times New Roman" w:hint="default"/>
                <w:sz w:val="18"/>
                <w:szCs w:val="18"/>
              </w:rPr>
            </w:pPr>
            <w:r>
              <w:rPr>
                <w:rFonts w:ascii="Times New Roman"/>
                <w:sz w:val="18"/>
              </w:rPr>
              <w:t>0</w:t>
            </w: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5" w:right="6"/>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3"/>
              <w:jc w:val="right"/>
              <w:rPr>
                <w:rFonts w:ascii="Times New Roman" w:hAnsi="Times New Roman" w:cs="Times New Roman" w:eastAsia="Times New Roman" w:hint="default"/>
                <w:sz w:val="18"/>
                <w:szCs w:val="18"/>
              </w:rPr>
            </w:pPr>
            <w:r>
              <w:rPr>
                <w:rFonts w:ascii="Times New Roman"/>
                <w:sz w:val="18"/>
              </w:rPr>
              <w:t>0</w:t>
            </w:r>
          </w:p>
        </w:tc>
      </w:tr>
      <w:tr>
        <w:trPr>
          <w:trHeight w:val="150" w:hRule="exact"/>
        </w:trPr>
        <w:tc>
          <w:tcPr>
            <w:tcW w:w="1179" w:type="dxa"/>
            <w:vMerge/>
            <w:tcBorders>
              <w:left w:val="single" w:sz="6" w:space="0" w:color="000000"/>
              <w:right w:val="single" w:sz="6" w:space="0" w:color="000000"/>
            </w:tcBorders>
            <w:shd w:val="clear" w:color="auto" w:fill="D2D2D2"/>
          </w:tcPr>
          <w:p>
            <w:pPr/>
          </w:p>
        </w:tc>
        <w:tc>
          <w:tcPr>
            <w:tcW w:w="1217" w:type="dxa"/>
            <w:vMerge/>
            <w:tcBorders>
              <w:left w:val="single" w:sz="12" w:space="0" w:color="D2D2D2"/>
              <w:right w:val="single" w:sz="12" w:space="0" w:color="D2D2D2"/>
            </w:tcBorders>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17" w:type="dxa"/>
            <w:vMerge/>
            <w:tcBorders>
              <w:left w:val="single" w:sz="6" w:space="0" w:color="000000"/>
              <w:right w:val="single" w:sz="6" w:space="0" w:color="000000"/>
            </w:tcBorders>
          </w:tcPr>
          <w:p>
            <w:pPr/>
          </w:p>
        </w:tc>
        <w:tc>
          <w:tcPr>
            <w:tcW w:w="1179"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7" w:right="7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36" w:lineRule="auto" w:before="24"/>
              <w:ind w:left="7" w:right="14"/>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16" w:type="dxa"/>
            <w:vMerge/>
            <w:tcBorders>
              <w:left w:val="single" w:sz="12" w:space="0" w:color="D2D2D2"/>
              <w:right w:val="single" w:sz="18" w:space="0" w:color="D2D2D2"/>
            </w:tcBorders>
          </w:tcPr>
          <w:p>
            <w:pPr/>
          </w:p>
        </w:tc>
        <w:tc>
          <w:tcPr>
            <w:tcW w:w="1179" w:type="dxa"/>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315" w:hRule="exact"/>
        </w:trPr>
        <w:tc>
          <w:tcPr>
            <w:tcW w:w="1179" w:type="dxa"/>
            <w:vMerge/>
            <w:tcBorders>
              <w:left w:val="single" w:sz="6" w:space="0" w:color="000000"/>
              <w:bottom w:val="nil" w:sz="6" w:space="0" w:color="auto"/>
              <w:right w:val="single" w:sz="6" w:space="0" w:color="000000"/>
            </w:tcBorders>
            <w:shd w:val="clear" w:color="auto" w:fill="D2D2D2"/>
          </w:tcPr>
          <w:p>
            <w:pPr/>
          </w:p>
        </w:tc>
        <w:tc>
          <w:tcPr>
            <w:tcW w:w="1217" w:type="dxa"/>
            <w:vMerge/>
            <w:tcBorders>
              <w:left w:val="single" w:sz="12" w:space="0" w:color="D2D2D2"/>
              <w:right w:val="single" w:sz="12" w:space="0" w:color="D2D2D2"/>
            </w:tcBorders>
          </w:tcPr>
          <w:p>
            <w:pPr/>
          </w:p>
        </w:tc>
        <w:tc>
          <w:tcPr>
            <w:tcW w:w="1179"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15" w:right="66"/>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7" w:type="dxa"/>
            <w:vMerge/>
            <w:tcBorders>
              <w:left w:val="single" w:sz="6" w:space="0" w:color="000000"/>
              <w:right w:val="single" w:sz="6" w:space="0" w:color="000000"/>
            </w:tcBorders>
          </w:tcPr>
          <w:p>
            <w:pPr/>
          </w:p>
        </w:tc>
        <w:tc>
          <w:tcPr>
            <w:tcW w:w="1179" w:type="dxa"/>
            <w:vMerge/>
            <w:tcBorders>
              <w:left w:val="single" w:sz="6" w:space="0" w:color="000000"/>
              <w:right w:val="single" w:sz="6" w:space="0" w:color="000000"/>
            </w:tcBorders>
            <w:shd w:val="clear" w:color="auto" w:fill="D2D2D2"/>
          </w:tcPr>
          <w:p>
            <w:pPr/>
          </w:p>
        </w:tc>
        <w:tc>
          <w:tcPr>
            <w:tcW w:w="1216" w:type="dxa"/>
            <w:vMerge/>
            <w:tcBorders>
              <w:left w:val="single" w:sz="12" w:space="0" w:color="D2D2D2"/>
              <w:right w:val="single" w:sz="18" w:space="0" w:color="D2D2D2"/>
            </w:tcBorders>
          </w:tcPr>
          <w:p>
            <w:pPr/>
          </w:p>
        </w:tc>
        <w:tc>
          <w:tcPr>
            <w:tcW w:w="1179" w:type="dxa"/>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705" w:hRule="exact"/>
        </w:trPr>
        <w:tc>
          <w:tcPr>
            <w:tcW w:w="117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7" w:right="7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7" w:type="dxa"/>
            <w:vMerge/>
            <w:tcBorders>
              <w:left w:val="single" w:sz="12" w:space="0" w:color="D2D2D2"/>
              <w:right w:val="single" w:sz="12" w:space="0" w:color="D2D2D2"/>
            </w:tcBorders>
          </w:tcPr>
          <w:p>
            <w:pPr/>
          </w:p>
        </w:tc>
        <w:tc>
          <w:tcPr>
            <w:tcW w:w="1179"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tcPr>
          <w:p>
            <w:pPr/>
          </w:p>
        </w:tc>
        <w:tc>
          <w:tcPr>
            <w:tcW w:w="1179" w:type="dxa"/>
            <w:vMerge/>
            <w:tcBorders>
              <w:left w:val="single" w:sz="6" w:space="0" w:color="000000"/>
              <w:right w:val="single" w:sz="6" w:space="0" w:color="000000"/>
            </w:tcBorders>
            <w:shd w:val="clear" w:color="auto" w:fill="D2D2D2"/>
          </w:tcPr>
          <w:p>
            <w:pPr/>
          </w:p>
        </w:tc>
        <w:tc>
          <w:tcPr>
            <w:tcW w:w="1216" w:type="dxa"/>
            <w:vMerge/>
            <w:tcBorders>
              <w:left w:val="single" w:sz="12" w:space="0" w:color="D2D2D2"/>
              <w:right w:val="single" w:sz="18" w:space="0" w:color="D2D2D2"/>
            </w:tcBorders>
          </w:tcPr>
          <w:p>
            <w:pPr/>
          </w:p>
        </w:tc>
        <w:tc>
          <w:tcPr>
            <w:tcW w:w="1179" w:type="dxa"/>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315" w:hRule="exact"/>
        </w:trPr>
        <w:tc>
          <w:tcPr>
            <w:tcW w:w="1179" w:type="dxa"/>
            <w:vMerge w:val="restart"/>
            <w:tcBorders>
              <w:top w:val="nil" w:sz="6" w:space="0" w:color="auto"/>
              <w:left w:val="single" w:sz="6" w:space="0" w:color="000000"/>
              <w:right w:val="single" w:sz="6" w:space="0" w:color="000000"/>
            </w:tcBorders>
            <w:shd w:val="clear" w:color="auto" w:fill="D2D2D2"/>
          </w:tcPr>
          <w:p>
            <w:pPr/>
          </w:p>
        </w:tc>
        <w:tc>
          <w:tcPr>
            <w:tcW w:w="1217" w:type="dxa"/>
            <w:vMerge/>
            <w:tcBorders>
              <w:left w:val="single" w:sz="12" w:space="0" w:color="D2D2D2"/>
              <w:right w:val="single" w:sz="12" w:space="0" w:color="D2D2D2"/>
            </w:tcBorders>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17" w:type="dxa"/>
            <w:vMerge/>
            <w:tcBorders>
              <w:left w:val="single" w:sz="6" w:space="0" w:color="000000"/>
              <w:right w:val="single" w:sz="6" w:space="0" w:color="000000"/>
            </w:tcBorders>
          </w:tcPr>
          <w:p>
            <w:pPr/>
          </w:p>
        </w:tc>
        <w:tc>
          <w:tcPr>
            <w:tcW w:w="1179" w:type="dxa"/>
            <w:vMerge/>
            <w:tcBorders>
              <w:left w:val="single" w:sz="6" w:space="0" w:color="000000"/>
              <w:right w:val="single" w:sz="6" w:space="0" w:color="000000"/>
            </w:tcBorders>
            <w:shd w:val="clear" w:color="auto" w:fill="D2D2D2"/>
          </w:tcPr>
          <w:p>
            <w:pPr/>
          </w:p>
        </w:tc>
        <w:tc>
          <w:tcPr>
            <w:tcW w:w="1216" w:type="dxa"/>
            <w:vMerge/>
            <w:tcBorders>
              <w:left w:val="single" w:sz="12" w:space="0" w:color="D2D2D2"/>
              <w:right w:val="single" w:sz="18" w:space="0" w:color="D2D2D2"/>
            </w:tcBorders>
          </w:tcPr>
          <w:p>
            <w:pPr/>
          </w:p>
        </w:tc>
        <w:tc>
          <w:tcPr>
            <w:tcW w:w="1179" w:type="dxa"/>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150" w:hRule="exact"/>
        </w:trPr>
        <w:tc>
          <w:tcPr>
            <w:tcW w:w="1179" w:type="dxa"/>
            <w:vMerge/>
            <w:tcBorders>
              <w:left w:val="single" w:sz="6" w:space="0" w:color="000000"/>
              <w:right w:val="single" w:sz="6" w:space="0" w:color="000000"/>
            </w:tcBorders>
            <w:shd w:val="clear" w:color="auto" w:fill="D2D2D2"/>
          </w:tcPr>
          <w:p>
            <w:pPr/>
          </w:p>
        </w:tc>
        <w:tc>
          <w:tcPr>
            <w:tcW w:w="1217" w:type="dxa"/>
            <w:vMerge/>
            <w:tcBorders>
              <w:left w:val="single" w:sz="12" w:space="0" w:color="D2D2D2"/>
              <w:right w:val="single" w:sz="12" w:space="0" w:color="D2D2D2"/>
            </w:tcBorders>
          </w:tcPr>
          <w:p>
            <w:pPr/>
          </w:p>
        </w:tc>
        <w:tc>
          <w:tcPr>
            <w:tcW w:w="1179" w:type="dxa"/>
            <w:vMerge w:val="restart"/>
            <w:tcBorders>
              <w:top w:val="nil" w:sz="6" w:space="0" w:color="auto"/>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12" w:space="0" w:color="D2D2D2"/>
              <w:right w:val="single" w:sz="18" w:space="0" w:color="D2D2D2"/>
            </w:tcBorders>
          </w:tcPr>
          <w:p>
            <w:pPr/>
          </w:p>
        </w:tc>
        <w:tc>
          <w:tcPr>
            <w:tcW w:w="1179" w:type="dxa"/>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165" w:hRule="exact"/>
        </w:trPr>
        <w:tc>
          <w:tcPr>
            <w:tcW w:w="1179" w:type="dxa"/>
            <w:vMerge/>
            <w:tcBorders>
              <w:left w:val="single" w:sz="6" w:space="0" w:color="000000"/>
              <w:bottom w:val="single" w:sz="6" w:space="0" w:color="000000"/>
              <w:right w:val="single" w:sz="6" w:space="0" w:color="000000"/>
            </w:tcBorders>
            <w:shd w:val="clear" w:color="auto" w:fill="D2D2D2"/>
          </w:tcPr>
          <w:p>
            <w:pPr/>
          </w:p>
        </w:tc>
        <w:tc>
          <w:tcPr>
            <w:tcW w:w="1217" w:type="dxa"/>
            <w:vMerge/>
            <w:tcBorders>
              <w:left w:val="single" w:sz="12" w:space="0" w:color="D2D2D2"/>
              <w:bottom w:val="single" w:sz="6" w:space="0" w:color="000000"/>
              <w:right w:val="single" w:sz="12" w:space="0" w:color="D2D2D2"/>
            </w:tcBorders>
          </w:tcPr>
          <w:p>
            <w:pPr/>
          </w:p>
        </w:tc>
        <w:tc>
          <w:tcPr>
            <w:tcW w:w="1179" w:type="dxa"/>
            <w:vMerge/>
            <w:tcBorders>
              <w:left w:val="single" w:sz="6" w:space="0" w:color="000000"/>
              <w:bottom w:val="single" w:sz="6" w:space="0" w:color="000000"/>
              <w:right w:val="single" w:sz="6" w:space="0" w:color="000000"/>
            </w:tcBorders>
            <w:shd w:val="clear" w:color="auto" w:fill="D2D2D2"/>
          </w:tcPr>
          <w:p>
            <w:pPr/>
          </w:p>
        </w:tc>
        <w:tc>
          <w:tcPr>
            <w:tcW w:w="1217" w:type="dxa"/>
            <w:vMerge/>
            <w:tcBorders>
              <w:left w:val="single" w:sz="6" w:space="0" w:color="000000"/>
              <w:bottom w:val="single" w:sz="6" w:space="0" w:color="000000"/>
              <w:right w:val="single" w:sz="6" w:space="0" w:color="000000"/>
            </w:tcBorders>
          </w:tcPr>
          <w:p>
            <w:pPr/>
          </w:p>
        </w:tc>
        <w:tc>
          <w:tcPr>
            <w:tcW w:w="117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vMerge/>
            <w:tcBorders>
              <w:left w:val="single" w:sz="12" w:space="0" w:color="D2D2D2"/>
              <w:bottom w:val="single" w:sz="6" w:space="0" w:color="000000"/>
              <w:right w:val="single" w:sz="18" w:space="0" w:color="D2D2D2"/>
            </w:tcBorders>
          </w:tcPr>
          <w:p>
            <w:pPr/>
          </w:p>
        </w:tc>
        <w:tc>
          <w:tcPr>
            <w:tcW w:w="1179" w:type="dxa"/>
            <w:vMerge/>
            <w:tcBorders>
              <w:left w:val="single" w:sz="6" w:space="0" w:color="000000"/>
              <w:bottom w:val="single" w:sz="6" w:space="0" w:color="000000"/>
              <w:right w:val="single" w:sz="6" w:space="0" w:color="000000"/>
            </w:tcBorders>
            <w:shd w:val="clear" w:color="auto" w:fill="D2D2D2"/>
          </w:tcPr>
          <w:p>
            <w:pPr/>
          </w:p>
        </w:tc>
        <w:tc>
          <w:tcPr>
            <w:tcW w:w="1209" w:type="dxa"/>
            <w:vMerge/>
            <w:tcBorders>
              <w:left w:val="single" w:sz="12" w:space="0" w:color="000000"/>
              <w:bottom w:val="single" w:sz="6" w:space="0" w:color="000000"/>
              <w:right w:val="single" w:sz="6" w:space="0" w:color="000000"/>
            </w:tcBorders>
          </w:tcPr>
          <w:p>
            <w:pPr/>
          </w:p>
        </w:tc>
      </w:tr>
      <w:tr>
        <w:trPr>
          <w:trHeight w:val="398" w:hRule="exact"/>
        </w:trPr>
        <w:tc>
          <w:tcPr>
            <w:tcW w:w="9574"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04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72"/>
        <w:gridCol w:w="1412"/>
        <w:gridCol w:w="796"/>
        <w:gridCol w:w="781"/>
        <w:gridCol w:w="796"/>
        <w:gridCol w:w="781"/>
        <w:gridCol w:w="841"/>
        <w:gridCol w:w="1352"/>
        <w:gridCol w:w="1352"/>
      </w:tblGrid>
      <w:tr>
        <w:trPr>
          <w:trHeight w:val="405" w:hRule="exact"/>
        </w:trPr>
        <w:tc>
          <w:tcPr>
            <w:tcW w:w="14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15" w:right="4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15" w:right="3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60" w:right="4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15" w:hRule="exact"/>
        </w:trPr>
        <w:tc>
          <w:tcPr>
            <w:tcW w:w="1472" w:type="dxa"/>
            <w:vMerge/>
            <w:tcBorders>
              <w:left w:val="single" w:sz="6" w:space="0" w:color="000000"/>
              <w:bottom w:val="single" w:sz="6" w:space="0" w:color="000000"/>
              <w:right w:val="single" w:sz="6" w:space="0" w:color="000000"/>
            </w:tcBorders>
            <w:shd w:val="clear" w:color="auto" w:fill="D2D2D2"/>
          </w:tcPr>
          <w:p>
            <w:pPr/>
          </w:p>
        </w:tc>
        <w:tc>
          <w:tcPr>
            <w:tcW w:w="1412"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31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21"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79"/>
              <w:jc w:val="left"/>
              <w:rPr>
                <w:rFonts w:ascii="宋体" w:hAnsi="宋体" w:cs="宋体" w:eastAsia="宋体" w:hint="default"/>
                <w:sz w:val="18"/>
                <w:szCs w:val="18"/>
              </w:rPr>
            </w:pPr>
            <w:r>
              <w:rPr>
                <w:rFonts w:ascii="宋体" w:hAnsi="宋体" w:cs="宋体" w:eastAsia="宋体" w:hint="default"/>
                <w:sz w:val="18"/>
                <w:szCs w:val="18"/>
              </w:rPr>
              <w:t>浙富控股集团股 份有限公司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11.41%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658,497,5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24,166,04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658,497,5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128,440,000</w:t>
            </w:r>
          </w:p>
        </w:tc>
      </w:tr>
      <w:tr>
        <w:trPr>
          <w:trHeight w:val="720"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韩猛</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6.82%</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393,523,9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90,813,21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393,523,9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36</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3.78%</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218,040,4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50,317,03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218,040,4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98</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75,582,000</w:t>
            </w:r>
          </w:p>
        </w:tc>
      </w:tr>
      <w:tr>
        <w:trPr>
          <w:trHeight w:val="720"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2.67%</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154,018,0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-3,918,91</w:t>
            </w:r>
            <w:r>
              <w:rPr>
                <w:rFonts w:ascii="Times New Roman"/>
                <w:sz w:val="18"/>
              </w:rPr>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153,988,5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29,509</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79"/>
              <w:jc w:val="left"/>
              <w:rPr>
                <w:rFonts w:ascii="宋体" w:hAnsi="宋体" w:cs="宋体" w:eastAsia="宋体" w:hint="default"/>
                <w:sz w:val="18"/>
                <w:szCs w:val="18"/>
              </w:rPr>
            </w:pPr>
            <w:r>
              <w:rPr>
                <w:rFonts w:ascii="宋体" w:hAnsi="宋体" w:cs="宋体" w:eastAsia="宋体" w:hint="default"/>
                <w:sz w:val="18"/>
                <w:szCs w:val="18"/>
              </w:rPr>
              <w:t>曲水信佳科技有 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58,186,05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-31,771,2</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58,186,05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0.99%</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56,913,14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41,238,45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56,913,14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中国农业银行股 份有限公司－中</w:t>
            </w:r>
          </w:p>
          <w:p>
            <w:pPr>
              <w:pStyle w:val="TableParagraph"/>
              <w:spacing w:line="304"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交易型开放 式指数证券投资 基金</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0.80%</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46,031,63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
              <w:jc w:val="right"/>
              <w:rPr>
                <w:rFonts w:ascii="Times New Roman" w:hAnsi="Times New Roman" w:cs="Times New Roman" w:eastAsia="Times New Roman" w:hint="default"/>
                <w:sz w:val="18"/>
                <w:szCs w:val="18"/>
              </w:rPr>
            </w:pPr>
            <w:r>
              <w:rPr>
                <w:rFonts w:ascii="Times New Roman"/>
                <w:sz w:val="18"/>
              </w:rPr>
              <w:t>13,203,12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46,031,63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21,941,10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5,063,331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21,941,10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张汉荣</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14,744,70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14,744,70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14,744,70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79"/>
              <w:jc w:val="both"/>
              <w:rPr>
                <w:rFonts w:ascii="宋体" w:hAnsi="宋体" w:cs="宋体" w:eastAsia="宋体" w:hint="default"/>
                <w:sz w:val="18"/>
                <w:szCs w:val="18"/>
              </w:rPr>
            </w:pPr>
            <w:r>
              <w:rPr>
                <w:rFonts w:ascii="宋体" w:hAnsi="宋体" w:cs="宋体" w:eastAsia="宋体" w:hint="default"/>
                <w:sz w:val="18"/>
                <w:szCs w:val="18"/>
              </w:rPr>
              <w:t>中国工商银行股 份有限公司－广 发中证传媒交易 型开放式指数证 券投资基金</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12,919,98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8,048,235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12,919,98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8"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06"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5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8" w:type="dxa"/>
            <w:gridSpan w:val="7"/>
            <w:tcBorders>
              <w:top w:val="single" w:sz="6" w:space="0" w:color="000000"/>
              <w:left w:val="single" w:sz="12" w:space="0" w:color="000000"/>
              <w:bottom w:val="single" w:sz="6" w:space="0" w:color="000000"/>
              <w:right w:val="single" w:sz="6" w:space="0" w:color="000000"/>
            </w:tcBorders>
          </w:tcPr>
          <w:p>
            <w:pPr>
              <w:pStyle w:val="TableParagraph"/>
              <w:spacing w:line="288" w:lineRule="auto" w:before="45"/>
              <w:ind w:left="22" w:right="7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名普通股股东中，韩猛与张淑霞为一致行动人，其余人之间未知是否属于一致 行动人。</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3" w:hRule="exact"/>
        </w:trPr>
        <w:tc>
          <w:tcPr>
            <w:tcW w:w="2884"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3995" w:type="dxa"/>
            <w:gridSpan w:val="5"/>
            <w:tcBorders>
              <w:top w:val="single" w:sz="6" w:space="0" w:color="000000"/>
              <w:left w:val="single" w:sz="6" w:space="0" w:color="000000"/>
              <w:bottom w:val="nil" w:sz="6" w:space="0" w:color="auto"/>
              <w:right w:val="single" w:sz="6" w:space="0" w:color="000000"/>
            </w:tcBorders>
            <w:shd w:val="clear" w:color="auto" w:fill="D2D2D2"/>
          </w:tcPr>
          <w:p>
            <w:pPr/>
          </w:p>
        </w:tc>
        <w:tc>
          <w:tcPr>
            <w:tcW w:w="27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3" w:hRule="exact"/>
        </w:trPr>
        <w:tc>
          <w:tcPr>
            <w:tcW w:w="2884"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884" w:type="dxa"/>
            <w:gridSpan w:val="2"/>
            <w:vMerge/>
            <w:tcBorders>
              <w:left w:val="single" w:sz="6" w:space="0" w:color="000000"/>
              <w:right w:val="single" w:sz="6" w:space="0" w:color="000000"/>
            </w:tcBorders>
            <w:shd w:val="clear" w:color="auto" w:fill="D2D2D2"/>
          </w:tcPr>
          <w:p>
            <w:pPr/>
          </w:p>
        </w:tc>
        <w:tc>
          <w:tcPr>
            <w:tcW w:w="3995" w:type="dxa"/>
            <w:gridSpan w:val="5"/>
            <w:vMerge/>
            <w:tcBorders>
              <w:left w:val="single" w:sz="6" w:space="0" w:color="000000"/>
              <w:bottom w:val="nil" w:sz="6" w:space="0" w:color="auto"/>
              <w:right w:val="single" w:sz="6" w:space="0" w:color="000000"/>
            </w:tcBorders>
            <w:shd w:val="clear" w:color="auto" w:fill="D2D2D2"/>
          </w:tcPr>
          <w:p>
            <w:pP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8" w:hRule="exact"/>
        </w:trPr>
        <w:tc>
          <w:tcPr>
            <w:tcW w:w="2884" w:type="dxa"/>
            <w:gridSpan w:val="2"/>
            <w:vMerge/>
            <w:tcBorders>
              <w:left w:val="single" w:sz="6" w:space="0" w:color="000000"/>
              <w:bottom w:val="single" w:sz="6" w:space="0" w:color="000000"/>
              <w:right w:val="single" w:sz="6" w:space="0" w:color="000000"/>
            </w:tcBorders>
            <w:shd w:val="clear" w:color="auto" w:fill="D2D2D2"/>
          </w:tcPr>
          <w:p>
            <w:pPr/>
          </w:p>
        </w:tc>
        <w:tc>
          <w:tcPr>
            <w:tcW w:w="3995" w:type="dxa"/>
            <w:gridSpan w:val="5"/>
            <w:tcBorders>
              <w:top w:val="nil" w:sz="6" w:space="0" w:color="auto"/>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658,497,586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658,497,586</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韩猛</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393,523,936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393,523,936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84"/>
        <w:gridCol w:w="3995"/>
        <w:gridCol w:w="1352"/>
        <w:gridCol w:w="1352"/>
      </w:tblGrid>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218,040,498</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218,040,498</w:t>
            </w: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58,186,054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58,186,054</w:t>
            </w:r>
          </w:p>
        </w:tc>
      </w:tr>
      <w:tr>
        <w:trPr>
          <w:trHeight w:val="390"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56,913,146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56,913,146</w:t>
            </w:r>
          </w:p>
        </w:tc>
      </w:tr>
      <w:tr>
        <w:trPr>
          <w:trHeight w:val="721"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交易型开放式指数证券投资基金</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46,031,637</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46,031,637</w:t>
            </w: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21,941,101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21,941,101</w:t>
            </w: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张汉荣</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14,744,704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14,744,704</w:t>
            </w:r>
          </w:p>
        </w:tc>
      </w:tr>
      <w:tr>
        <w:trPr>
          <w:trHeight w:val="1021"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51"/>
              <w:jc w:val="both"/>
              <w:rPr>
                <w:rFonts w:ascii="宋体" w:hAnsi="宋体" w:cs="宋体" w:eastAsia="宋体" w:hint="default"/>
                <w:sz w:val="18"/>
                <w:szCs w:val="18"/>
              </w:rPr>
            </w:pPr>
            <w:r>
              <w:rPr>
                <w:rFonts w:ascii="宋体" w:hAnsi="宋体" w:cs="宋体" w:eastAsia="宋体" w:hint="default"/>
                <w:sz w:val="18"/>
                <w:szCs w:val="18"/>
              </w:rPr>
              <w:t>中国工商银行股份有限公司－广发 中证传媒交易型开放式指数证券投 资基金</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12,919,985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12,919,985</w:t>
            </w:r>
          </w:p>
        </w:tc>
      </w:tr>
      <w:tr>
        <w:trPr>
          <w:trHeight w:val="406"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李拓</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12,775,181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12,775,181</w:t>
            </w:r>
          </w:p>
        </w:tc>
      </w:tr>
      <w:tr>
        <w:trPr>
          <w:trHeight w:val="1336"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4" w:lineRule="auto" w:before="66"/>
              <w:ind w:left="15" w:right="14"/>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8" w:lineRule="auto" w:before="153"/>
              <w:ind w:left="30"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名无限售条件股东中，韩猛与张淑霞为一致行动人，其余人之间未知是否属于 一致行动人。</w:t>
            </w:r>
          </w:p>
        </w:tc>
      </w:tr>
      <w:tr>
        <w:trPr>
          <w:trHeight w:val="706"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6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名普通股股东中，张汉荣通过投资者信用证券账户持有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14,715,404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9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111"/>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3"/>
        <w:rPr>
          <w:rFonts w:ascii="宋体" w:hAnsi="宋体" w:cs="宋体" w:eastAsia="宋体" w:hint="default"/>
          <w:b/>
          <w:bCs/>
          <w:sz w:val="25"/>
          <w:szCs w:val="25"/>
        </w:rPr>
      </w:pPr>
    </w:p>
    <w:p>
      <w:pPr>
        <w:pStyle w:val="BodyText"/>
        <w:spacing w:line="360" w:lineRule="auto" w:before="0"/>
        <w:ind w:right="8229"/>
        <w:jc w:val="left"/>
      </w:pPr>
      <w:r>
        <w:rPr/>
        <w:t>控股股东性质：无控股主体 控股股东类型：不存在 公司不存在控股股东情况的说明 公司不存在控股股东。 控股股东报告期内变更</w:t>
      </w:r>
    </w:p>
    <w:p>
      <w:pPr>
        <w:pStyle w:val="BodyText"/>
        <w:spacing w:line="319" w:lineRule="auto" w:before="3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60" w:lineRule="auto" w:before="0"/>
        <w:ind w:right="8049"/>
        <w:jc w:val="left"/>
      </w:pPr>
      <w:r>
        <w:rPr/>
        <w:t>实际控制人性质：无实际控制人 实际控制人类型：不存在 公司不存在实际控制人情况的说明</w:t>
      </w:r>
    </w:p>
    <w:p>
      <w:pPr>
        <w:pStyle w:val="BodyText"/>
        <w:spacing w:line="304" w:lineRule="auto" w:before="35"/>
        <w:ind w:right="1128"/>
        <w:jc w:val="left"/>
      </w:pPr>
      <w:r>
        <w:rPr>
          <w:spacing w:val="-2"/>
        </w:rPr>
        <w:t>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日起公司实际控制人由包叔平先生变更为无实际控制人，详见公司于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日在巨潮资讯网披露的《关</w:t>
      </w:r>
      <w:r>
        <w:rPr>
          <w:spacing w:val="-53"/>
        </w:rPr>
        <w:t> </w:t>
      </w:r>
      <w:r>
        <w:rPr>
          <w:spacing w:val="-53"/>
        </w:rPr>
      </w:r>
      <w:r>
        <w:rPr/>
        <w:t>于公司无实际控制人的提示性公告》（公告编号：</w:t>
      </w:r>
      <w:r>
        <w:rPr>
          <w:rFonts w:ascii="Times New Roman" w:hAnsi="Times New Roman" w:cs="Times New Roman" w:eastAsia="Times New Roman" w:hint="default"/>
        </w:rPr>
        <w:t>2017-088</w:t>
      </w:r>
      <w:r>
        <w:rPr/>
        <w:t>）。</w:t>
      </w:r>
    </w:p>
    <w:p>
      <w:pPr>
        <w:pStyle w:val="BodyText"/>
        <w:spacing w:line="240" w:lineRule="auto" w:before="57"/>
        <w:ind w:right="0"/>
        <w:jc w:val="left"/>
      </w:pPr>
      <w:r>
        <w:rPr/>
        <w:t>公司最终控制层面是否存在持股比例在</w:t>
      </w:r>
      <w:r>
        <w:rPr>
          <w:spacing w:val="-42"/>
        </w:rPr>
        <w:t> </w:t>
      </w:r>
      <w:r>
        <w:rPr>
          <w:rFonts w:ascii="Times New Roman" w:hAnsi="Times New Roman" w:cs="Times New Roman" w:eastAsia="Times New Roman" w:hint="default"/>
        </w:rPr>
        <w:t>10%</w:t>
      </w:r>
      <w:r>
        <w:rPr/>
        <w:t>以上的股东情况</w:t>
      </w:r>
    </w:p>
    <w:p>
      <w:pPr>
        <w:pStyle w:val="BodyText"/>
        <w:spacing w:line="240" w:lineRule="auto" w:before="9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52" w:lineRule="auto"/>
        <w:ind w:right="8949"/>
        <w:jc w:val="left"/>
      </w:pPr>
      <w:r>
        <w:rPr/>
        <w:t>自然人 最终控制层面持股情况</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424"/>
        <w:gridCol w:w="2298"/>
        <w:gridCol w:w="3860"/>
      </w:tblGrid>
      <w:tr>
        <w:trPr>
          <w:trHeight w:val="405"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96"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1336"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15" w:right="32"/>
              <w:jc w:val="left"/>
              <w:rPr>
                <w:rFonts w:ascii="宋体" w:hAnsi="宋体" w:cs="宋体" w:eastAsia="宋体" w:hint="default"/>
                <w:sz w:val="18"/>
                <w:szCs w:val="18"/>
              </w:rPr>
            </w:pPr>
            <w:r>
              <w:rPr>
                <w:rFonts w:ascii="宋体" w:hAnsi="宋体" w:cs="宋体" w:eastAsia="宋体" w:hint="default"/>
                <w:spacing w:val="-4"/>
                <w:sz w:val="18"/>
                <w:szCs w:val="18"/>
              </w:rPr>
              <w:t>孙毅（孙毅先生为浙富控股股东、实际控制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日，浙富持有公</w:t>
            </w:r>
          </w:p>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658,497,586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股股份的表决权，持股比例</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11.41%</w:t>
            </w:r>
            <w:r>
              <w:rPr>
                <w:rFonts w:ascii="宋体" w:hAnsi="宋体" w:cs="宋体" w:eastAsia="宋体" w:hint="default"/>
                <w:sz w:val="18"/>
                <w:szCs w:val="18"/>
              </w:rPr>
              <w:t>，为公司第一大股东）</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6"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34"/>
              <w:jc w:val="both"/>
              <w:rPr>
                <w:rFonts w:ascii="宋体" w:hAnsi="宋体" w:cs="宋体" w:eastAsia="宋体" w:hint="default"/>
                <w:sz w:val="18"/>
                <w:szCs w:val="18"/>
              </w:rPr>
            </w:pPr>
            <w:r>
              <w:rPr>
                <w:rFonts w:ascii="宋体" w:hAnsi="宋体" w:cs="宋体" w:eastAsia="宋体" w:hint="default"/>
                <w:spacing w:val="-1"/>
                <w:sz w:val="18"/>
                <w:szCs w:val="18"/>
              </w:rPr>
              <w:t>浙富控股集团股份有限公司董事长、四川华都核设备制造有限公司董事长、浙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江富春江水电设备有限公司执行董事、桐庐浙富置业有限公司执行董事、桐庐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浙富嘉盛房地产有限公司执行董事兼总经理、桐庐浙富控股有限公司执行董事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兼总经理、浙江申联环保集团有限公司董事长。</w:t>
            </w:r>
          </w:p>
        </w:tc>
      </w:tr>
      <w:tr>
        <w:trPr>
          <w:trHeight w:val="406"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r>
    </w:tbl>
    <w:p>
      <w:pPr>
        <w:pStyle w:val="BodyText"/>
        <w:spacing w:line="240" w:lineRule="auto"/>
        <w:ind w:right="0"/>
        <w:jc w:val="left"/>
      </w:pPr>
      <w:r>
        <w:rPr/>
        <w:t>实际控制人报告期内变更</w:t>
      </w:r>
    </w:p>
    <w:p>
      <w:pPr>
        <w:pStyle w:val="BodyText"/>
        <w:spacing w:line="319"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w:t>
      </w:r>
    </w:p>
    <w:p>
      <w:pPr>
        <w:pStyle w:val="BodyText"/>
        <w:spacing w:line="240" w:lineRule="auto" w:before="65"/>
        <w:ind w:right="0"/>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660" w:lineRule="exact"/>
        <w:ind w:left="1338"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4591050" cy="419100"/>
            <wp:effectExtent l="0" t="0" r="0" b="0"/>
            <wp:docPr id="3" name="image8.png" descr=""/>
            <wp:cNvGraphicFramePr>
              <a:graphicFrameLocks noChangeAspect="1"/>
            </wp:cNvGraphicFramePr>
            <a:graphic>
              <a:graphicData uri="http://schemas.openxmlformats.org/drawingml/2006/picture">
                <pic:pic>
                  <pic:nvPicPr>
                    <pic:cNvPr id="4" name="image8.png"/>
                    <pic:cNvPicPr/>
                  </pic:nvPicPr>
                  <pic:blipFill>
                    <a:blip r:embed="rId17" cstate="print"/>
                    <a:stretch>
                      <a:fillRect/>
                    </a:stretch>
                  </pic:blipFill>
                  <pic:spPr>
                    <a:xfrm>
                      <a:off x="0" y="0"/>
                      <a:ext cx="4591050" cy="419100"/>
                    </a:xfrm>
                    <a:prstGeom prst="rect">
                      <a:avLst/>
                    </a:prstGeom>
                  </pic:spPr>
                </pic:pic>
              </a:graphicData>
            </a:graphic>
          </wp:inline>
        </w:drawing>
      </w:r>
      <w:r>
        <w:rPr>
          <w:rFonts w:ascii="宋体" w:hAnsi="宋体" w:cs="宋体" w:eastAsia="宋体" w:hint="default"/>
          <w:position w:val="-12"/>
          <w:sz w:val="20"/>
          <w:szCs w:val="20"/>
        </w:rPr>
      </w:r>
    </w:p>
    <w:p>
      <w:pPr>
        <w:spacing w:line="240" w:lineRule="auto" w:before="0"/>
        <w:rPr>
          <w:rFonts w:ascii="宋体" w:hAnsi="宋体" w:cs="宋体" w:eastAsia="宋体" w:hint="default"/>
          <w:sz w:val="18"/>
          <w:szCs w:val="18"/>
        </w:rPr>
      </w:pPr>
    </w:p>
    <w:p>
      <w:pPr>
        <w:pStyle w:val="BodyText"/>
        <w:spacing w:line="240" w:lineRule="auto" w:before="131"/>
        <w:ind w:right="0"/>
        <w:jc w:val="left"/>
      </w:pPr>
      <w:r>
        <w:rPr/>
        <w:t>实际控制人通过信托或其他资产管理方式控制公司</w:t>
      </w:r>
    </w:p>
    <w:p>
      <w:pPr>
        <w:spacing w:line="240" w:lineRule="auto" w:before="0"/>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583"/>
        <w:gridCol w:w="1817"/>
        <w:gridCol w:w="1412"/>
        <w:gridCol w:w="1637"/>
        <w:gridCol w:w="2133"/>
      </w:tblGrid>
      <w:tr>
        <w:trPr>
          <w:trHeight w:val="706" w:hRule="exact"/>
        </w:trPr>
        <w:tc>
          <w:tcPr>
            <w:tcW w:w="25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95" w:right="75" w:hanging="73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114"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197,871.9849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5"/>
              <w:jc w:val="left"/>
              <w:rPr>
                <w:rFonts w:ascii="宋体" w:hAnsi="宋体" w:cs="宋体" w:eastAsia="宋体" w:hint="default"/>
                <w:sz w:val="18"/>
                <w:szCs w:val="18"/>
              </w:rPr>
            </w:pPr>
            <w:r>
              <w:rPr>
                <w:rFonts w:ascii="宋体" w:hAnsi="宋体" w:cs="宋体" w:eastAsia="宋体" w:hint="default"/>
                <w:sz w:val="18"/>
                <w:szCs w:val="18"/>
              </w:rPr>
              <w:t>电站机电设备工程总承 </w:t>
            </w:r>
            <w:r>
              <w:rPr>
                <w:rFonts w:ascii="宋体" w:hAnsi="宋体" w:cs="宋体" w:eastAsia="宋体" w:hint="default"/>
                <w:spacing w:val="-8"/>
                <w:sz w:val="18"/>
                <w:szCs w:val="18"/>
              </w:rPr>
              <w:t>包。（经营范围中涉及许可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证的项目凭证经营），对外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承包工程（详见《中华人 民共和国对外承包工程资 </w:t>
            </w:r>
            <w:r>
              <w:rPr>
                <w:rFonts w:ascii="宋体" w:hAnsi="宋体" w:cs="宋体" w:eastAsia="宋体" w:hint="default"/>
                <w:spacing w:val="-15"/>
                <w:sz w:val="18"/>
                <w:szCs w:val="18"/>
              </w:rPr>
              <w:t>格证书》）。生产、加工：</w:t>
            </w:r>
            <w:r>
              <w:rPr>
                <w:rFonts w:ascii="宋体" w:hAnsi="宋体" w:cs="宋体" w:eastAsia="宋体" w:hint="default"/>
                <w:sz w:val="18"/>
                <w:szCs w:val="18"/>
              </w:rPr>
              <w:t> 水轮发电机组及安装、水 工机械设备、机电配件、 化纤机械设备、金属结构 件、电站机电设备，有色 金属的销售，实业投资， 经营进出口业务，水利水 电技术开发、技术服务。</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83"/>
        <w:gridCol w:w="1817"/>
        <w:gridCol w:w="1412"/>
        <w:gridCol w:w="1637"/>
        <w:gridCol w:w="2133"/>
      </w:tblGrid>
      <w:tr>
        <w:trPr>
          <w:trHeight w:val="975" w:hRule="exact"/>
        </w:trPr>
        <w:tc>
          <w:tcPr>
            <w:tcW w:w="2583"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30" w:right="105"/>
              <w:jc w:val="both"/>
              <w:rPr>
                <w:rFonts w:ascii="宋体" w:hAnsi="宋体" w:cs="宋体" w:eastAsia="宋体" w:hint="default"/>
                <w:sz w:val="18"/>
                <w:szCs w:val="18"/>
              </w:rPr>
            </w:pPr>
            <w:r>
              <w:rPr>
                <w:rFonts w:ascii="宋体" w:hAnsi="宋体" w:cs="宋体" w:eastAsia="宋体" w:hint="default"/>
                <w:sz w:val="18"/>
                <w:szCs w:val="18"/>
              </w:rPr>
              <w:t>（依法须经批准的项目， 经相关部门批准后方可开 展经营活动）</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0"/>
        <w:jc w:val="left"/>
        <w:rPr>
          <w:b w:val="0"/>
          <w:bCs w:val="0"/>
        </w:rPr>
      </w:pPr>
      <w:bookmarkStart w:name="第七节优先股相关情况" w:id="121"/>
      <w:bookmarkEnd w:id="121"/>
      <w:r>
        <w:rPr>
          <w:b w:val="0"/>
          <w:bCs w:val="0"/>
        </w:rPr>
      </w:r>
      <w:bookmarkStart w:name="_bookmark6" w:id="122"/>
      <w:bookmarkEnd w:id="122"/>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第八节可转换公司债券相关情况" w:id="123"/>
      <w:bookmarkEnd w:id="123"/>
      <w:r>
        <w:rPr>
          <w:b w:val="0"/>
          <w:bCs w:val="0"/>
        </w:rPr>
      </w:r>
      <w:bookmarkStart w:name="_bookmark7" w:id="124"/>
      <w:bookmarkEnd w:id="124"/>
      <w:r>
        <w:rPr>
          <w:b w:val="0"/>
          <w:bCs w:val="0"/>
        </w:rPr>
      </w:r>
      <w:r>
        <w:rPr>
          <w:spacing w:val="5"/>
        </w:rPr>
        <w:t>第八节可转换公司债券相关情况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0"/>
        <w:jc w:val="left"/>
        <w:rPr>
          <w:b w:val="0"/>
          <w:bCs w:val="0"/>
        </w:rPr>
      </w:pPr>
      <w:bookmarkStart w:name="第九节董事、监事、高级管理人员和员工情况" w:id="125"/>
      <w:bookmarkEnd w:id="125"/>
      <w:r>
        <w:rPr>
          <w:b w:val="0"/>
          <w:bCs w:val="0"/>
        </w:rPr>
      </w:r>
      <w:bookmarkStart w:name="_bookmark8" w:id="126"/>
      <w:bookmarkEnd w:id="126"/>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157,936,9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53</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51,300,00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47,381,08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154,018,0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39</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29"/>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1,901,300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465,325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430,792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1,866,767</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黄国敏</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left"/>
              <w:rPr>
                <w:rFonts w:ascii="宋体" w:hAnsi="宋体" w:cs="宋体" w:eastAsia="宋体" w:hint="default"/>
                <w:sz w:val="18"/>
                <w:szCs w:val="18"/>
              </w:rPr>
            </w:pPr>
            <w:r>
              <w:rPr>
                <w:rFonts w:ascii="宋体" w:hAnsi="宋体" w:cs="宋体" w:eastAsia="宋体" w:hint="default"/>
                <w:sz w:val="18"/>
                <w:szCs w:val="18"/>
              </w:rPr>
              <w:t>职工董 事、财务 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818,800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245,640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1,064,440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房振武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任怡华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1,278,550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253,592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383,565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1,408,523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29"/>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2,427,750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1,272,164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-1,155,58</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康峰</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 w:right="2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154,700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46,410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201,110</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164,518,0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53</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53,291,08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47,331,90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158,558,8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12"/>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9"/>
      <w:bookmarkEnd w:id="129"/>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367" w:lineRule="auto" w:before="0"/>
        <w:ind w:right="3729"/>
        <w:jc w:val="left"/>
      </w:pPr>
      <w:r>
        <w:rPr/>
        <w:t>公司现任董事、监事、高级管理人员专业背景、主要工作经历以及目前在公司的主要职责 公司现任董事主要工作经历：</w:t>
      </w:r>
    </w:p>
    <w:p>
      <w:pPr>
        <w:pStyle w:val="BodyText"/>
        <w:spacing w:line="220" w:lineRule="exact" w:before="0"/>
        <w:ind w:right="0" w:firstLine="360"/>
        <w:jc w:val="both"/>
      </w:pPr>
      <w:r>
        <w:rPr/>
        <w:t>（</w:t>
      </w:r>
      <w:r>
        <w:rPr>
          <w:rFonts w:ascii="宋体" w:hAnsi="宋体" w:cs="宋体" w:eastAsia="宋体" w:hint="default"/>
        </w:rPr>
        <w:t>1</w:t>
      </w:r>
      <w:r>
        <w:rPr/>
        <w:t>）陈于冰先生，中国国籍，拥有美国居留权，</w:t>
      </w:r>
      <w:r>
        <w:rPr>
          <w:rFonts w:ascii="宋体" w:hAnsi="宋体" w:cs="宋体" w:eastAsia="宋体" w:hint="default"/>
        </w:rPr>
        <w:t>1977</w:t>
      </w:r>
      <w:r>
        <w:rPr/>
        <w:t>年生，研究生学历，保荐代表人。分别于</w:t>
      </w:r>
      <w:r>
        <w:rPr>
          <w:rFonts w:ascii="宋体" w:hAnsi="宋体" w:cs="宋体" w:eastAsia="宋体" w:hint="default"/>
        </w:rPr>
        <w:t>1999</w:t>
      </w:r>
      <w:r>
        <w:rPr/>
        <w:t>年、</w:t>
      </w:r>
      <w:r>
        <w:rPr>
          <w:rFonts w:ascii="宋体" w:hAnsi="宋体" w:cs="宋体" w:eastAsia="宋体" w:hint="default"/>
        </w:rPr>
        <w:t>2002</w:t>
      </w:r>
      <w:r>
        <w:rPr/>
        <w:t>年毕业于</w:t>
      </w:r>
    </w:p>
    <w:p>
      <w:pPr>
        <w:pStyle w:val="BodyText"/>
        <w:spacing w:line="321" w:lineRule="auto" w:before="64"/>
        <w:ind w:right="1099"/>
        <w:jc w:val="both"/>
      </w:pPr>
      <w:r>
        <w:rPr>
          <w:spacing w:val="-1"/>
        </w:rPr>
        <w:t>上海复旦大学，获得经济学院学士及硕士学位。</w:t>
      </w:r>
      <w:r>
        <w:rPr>
          <w:rFonts w:ascii="宋体" w:hAnsi="宋体" w:cs="宋体" w:eastAsia="宋体" w:hint="default"/>
          <w:spacing w:val="-1"/>
        </w:rPr>
        <w:t>2002</w:t>
      </w:r>
      <w:r>
        <w:rPr>
          <w:spacing w:val="-1"/>
        </w:rPr>
        <w:t>年</w:t>
      </w:r>
      <w:r>
        <w:rPr>
          <w:rFonts w:ascii="宋体" w:hAnsi="宋体" w:cs="宋体" w:eastAsia="宋体" w:hint="default"/>
          <w:spacing w:val="-1"/>
        </w:rPr>
        <w:t>8</w:t>
      </w:r>
      <w:r>
        <w:rPr>
          <w:spacing w:val="-1"/>
        </w:rPr>
        <w:t>月至</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月，就职于国泰君安证券股份有限公司投资银行部、中</w:t>
      </w:r>
      <w:r>
        <w:rPr>
          <w:spacing w:val="-87"/>
        </w:rPr>
        <w:t> </w:t>
      </w:r>
      <w:r>
        <w:rPr>
          <w:spacing w:val="-87"/>
        </w:rPr>
      </w:r>
      <w:r>
        <w:rPr/>
        <w:t>小企业融资部，历任高级经理、董事、执行董事、董事总经理。</w:t>
      </w:r>
      <w:r>
        <w:rPr>
          <w:rFonts w:ascii="宋体" w:hAnsi="宋体" w:cs="宋体" w:eastAsia="宋体" w:hint="default"/>
        </w:rPr>
        <w:t>2014</w:t>
      </w:r>
      <w:r>
        <w:rPr/>
        <w:t>年</w:t>
      </w:r>
      <w:r>
        <w:rPr>
          <w:rFonts w:ascii="宋体" w:hAnsi="宋体" w:cs="宋体" w:eastAsia="宋体" w:hint="default"/>
        </w:rPr>
        <w:t>11</w:t>
      </w:r>
      <w:r>
        <w:rPr/>
        <w:t>月起，任公司投资总监。</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日起任公司</w:t>
      </w:r>
      <w:r>
        <w:rPr>
          <w:spacing w:val="-82"/>
        </w:rPr>
        <w:t> </w:t>
      </w:r>
      <w:r>
        <w:rPr/>
        <w:t>董事，</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11</w:t>
      </w:r>
      <w:r>
        <w:rPr/>
        <w:t>日起任本公司董事、总经理。</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日起任公司董事长兼总经理。</w:t>
      </w:r>
    </w:p>
    <w:p>
      <w:pPr>
        <w:pStyle w:val="BodyText"/>
        <w:spacing w:line="316" w:lineRule="auto" w:before="19"/>
        <w:ind w:right="1119" w:firstLine="360"/>
        <w:jc w:val="left"/>
      </w:pPr>
      <w:r>
        <w:rPr/>
        <w:t>（</w:t>
      </w:r>
      <w:r>
        <w:rPr>
          <w:rFonts w:ascii="宋体" w:hAnsi="宋体" w:cs="宋体" w:eastAsia="宋体" w:hint="default"/>
        </w:rPr>
        <w:t>2</w:t>
      </w:r>
      <w:r>
        <w:rPr/>
        <w:t>）邱俊祺先生，中国国籍，无境外永久居留权，</w:t>
      </w:r>
      <w:r>
        <w:rPr>
          <w:rFonts w:ascii="宋体" w:hAnsi="宋体" w:cs="宋体" w:eastAsia="宋体" w:hint="default"/>
        </w:rPr>
        <w:t>1980</w:t>
      </w:r>
      <w:r>
        <w:rPr/>
        <w:t>年生，本科学历，中级经济师。</w:t>
      </w:r>
      <w:r>
        <w:rPr>
          <w:rFonts w:ascii="宋体" w:hAnsi="宋体" w:cs="宋体" w:eastAsia="宋体" w:hint="default"/>
        </w:rPr>
        <w:t>2003</w:t>
      </w:r>
      <w:r>
        <w:rPr/>
        <w:t>年毕业于上海交通大学软 件学院计算机科学与技术专业，获得学士学位，同时获得管理学院金融学专业第二学科学士学位。</w:t>
      </w:r>
      <w:r>
        <w:rPr>
          <w:rFonts w:ascii="宋体" w:hAnsi="宋体" w:cs="宋体" w:eastAsia="宋体" w:hint="default"/>
        </w:rPr>
        <w:t>2003</w:t>
      </w:r>
      <w:r>
        <w:rPr/>
        <w:t>年</w:t>
      </w:r>
      <w:r>
        <w:rPr>
          <w:rFonts w:ascii="宋体" w:hAnsi="宋体" w:cs="宋体" w:eastAsia="宋体" w:hint="default"/>
        </w:rPr>
        <w:t>7</w:t>
      </w:r>
      <w:r>
        <w:rPr/>
        <w:t>月起加入公司并</w:t>
      </w:r>
      <w:r>
        <w:rPr>
          <w:spacing w:val="-81"/>
        </w:rPr>
        <w:t> </w:t>
      </w:r>
      <w:r>
        <w:rPr/>
        <w:t>工作至今。历任程序员、高级程序员、项目经理、总经理秘书、投资管理部经理，现任公司副总经理、董事会秘书。</w:t>
      </w:r>
      <w:r>
        <w:rPr>
          <w:rFonts w:ascii="宋体" w:hAnsi="宋体" w:cs="宋体" w:eastAsia="宋体" w:hint="default"/>
        </w:rPr>
        <w:t>2016</w:t>
      </w:r>
      <w:r>
        <w:rPr>
          <w:rFonts w:ascii="宋体" w:hAnsi="宋体" w:cs="宋体" w:eastAsia="宋体" w:hint="default"/>
          <w:spacing w:val="-79"/>
        </w:rPr>
        <w:t> </w:t>
      </w:r>
      <w:r>
        <w:rPr/>
        <w:t>年</w:t>
      </w:r>
      <w:r>
        <w:rPr>
          <w:rFonts w:ascii="宋体" w:hAnsi="宋体" w:cs="宋体" w:eastAsia="宋体" w:hint="default"/>
        </w:rPr>
        <w:t>5</w:t>
      </w:r>
      <w:r>
        <w:rPr/>
        <w:t>月</w:t>
      </w:r>
      <w:r>
        <w:rPr>
          <w:rFonts w:ascii="宋体" w:hAnsi="宋体" w:cs="宋体" w:eastAsia="宋体" w:hint="default"/>
        </w:rPr>
        <w:t>18</w:t>
      </w:r>
      <w:r>
        <w:rPr/>
        <w:t>日起任公司董事、副总经理兼董事会秘书。</w:t>
      </w:r>
    </w:p>
    <w:p>
      <w:pPr>
        <w:pStyle w:val="BodyText"/>
        <w:spacing w:line="316" w:lineRule="auto" w:before="22"/>
        <w:ind w:right="1106" w:firstLine="360"/>
        <w:jc w:val="both"/>
      </w:pPr>
      <w:r>
        <w:rPr/>
        <w:t>（</w:t>
      </w:r>
      <w:r>
        <w:rPr>
          <w:rFonts w:ascii="宋体" w:hAnsi="宋体" w:cs="宋体" w:eastAsia="宋体" w:hint="default"/>
        </w:rPr>
        <w:t>3</w:t>
      </w:r>
      <w:r>
        <w:rPr/>
        <w:t>）黄国敏先生，中国国籍，</w:t>
      </w:r>
      <w:r>
        <w:rPr>
          <w:rFonts w:ascii="宋体" w:hAnsi="宋体" w:cs="宋体" w:eastAsia="宋体" w:hint="default"/>
        </w:rPr>
        <w:t>1981</w:t>
      </w:r>
      <w:r>
        <w:rPr/>
        <w:t>年生，本科学历，注册会计师、注册税务师。</w:t>
      </w:r>
      <w:r>
        <w:rPr>
          <w:rFonts w:ascii="宋体" w:hAnsi="宋体" w:cs="宋体" w:eastAsia="宋体" w:hint="default"/>
        </w:rPr>
        <w:t>2007</w:t>
      </w:r>
      <w:r>
        <w:rPr/>
        <w:t>年毕业于河南财经政法大学，获 </w:t>
      </w:r>
      <w:r>
        <w:rPr>
          <w:spacing w:val="-2"/>
        </w:rPr>
        <w:t>得学士学位。曾任洛阳轴研科技股份有限公司主管会计、上海新孚美变速箱技术服务有限公司财务部经理。</w:t>
      </w:r>
      <w:r>
        <w:rPr>
          <w:rFonts w:ascii="宋体" w:hAnsi="宋体" w:cs="宋体" w:eastAsia="宋体" w:hint="default"/>
          <w:spacing w:val="-2"/>
        </w:rPr>
        <w:t>2014</w:t>
      </w:r>
      <w:r>
        <w:rPr>
          <w:spacing w:val="-2"/>
        </w:rPr>
        <w:t>年进入上海</w:t>
      </w:r>
      <w:r>
        <w:rPr>
          <w:spacing w:val="-60"/>
        </w:rPr>
        <w:t> </w:t>
      </w:r>
      <w:r>
        <w:rPr>
          <w:spacing w:val="-2"/>
        </w:rPr>
        <w:t>二三四五网络科技有限公司，任财务部部门经理。现任二三四五党支部书记、公司财务总监兼职工董事、公司第七届董事会</w:t>
      </w:r>
      <w:r>
        <w:rPr>
          <w:spacing w:val="-42"/>
        </w:rPr>
        <w:t> </w:t>
      </w:r>
      <w:r>
        <w:rPr>
          <w:spacing w:val="-42"/>
        </w:rPr>
      </w:r>
      <w:r>
        <w:rPr/>
        <w:t>审计委员会委员。</w:t>
      </w:r>
    </w:p>
    <w:p>
      <w:pPr>
        <w:pStyle w:val="BodyText"/>
        <w:spacing w:line="321" w:lineRule="auto" w:before="22"/>
        <w:ind w:right="1130" w:firstLine="360"/>
        <w:jc w:val="both"/>
      </w:pPr>
      <w:r>
        <w:rPr/>
        <w:t>（</w:t>
      </w:r>
      <w:r>
        <w:rPr>
          <w:rFonts w:ascii="宋体" w:hAnsi="宋体" w:cs="宋体" w:eastAsia="宋体" w:hint="default"/>
        </w:rPr>
        <w:t>4</w:t>
      </w:r>
      <w:r>
        <w:rPr/>
        <w:t>）房振武先生，中国国籍，无境外永久居留权，</w:t>
      </w:r>
      <w:r>
        <w:rPr>
          <w:rFonts w:ascii="宋体" w:hAnsi="宋体" w:cs="宋体" w:eastAsia="宋体" w:hint="default"/>
        </w:rPr>
        <w:t>1962</w:t>
      </w:r>
      <w:r>
        <w:rPr/>
        <w:t>年生，本科学历，高级会计师、中国注册会计师，中共党员。 </w:t>
      </w:r>
      <w:r>
        <w:rPr>
          <w:spacing w:val="-2"/>
        </w:rPr>
        <w:t>曾任浙江水利水电学校财会与计算机专业部主任、钱江水利开发股份有限公司财务部经理、浙富控股集团股份有限公司财务</w:t>
      </w:r>
      <w:r>
        <w:rPr>
          <w:spacing w:val="-72"/>
        </w:rPr>
        <w:t> </w:t>
      </w:r>
      <w:r>
        <w:rPr>
          <w:spacing w:val="-72"/>
        </w:rPr>
      </w:r>
      <w:r>
        <w:rPr/>
        <w:t>总监。现任浙富控股集团股份有限公司副总裁、董事会秘书、董事。</w:t>
      </w:r>
    </w:p>
    <w:p>
      <w:pPr>
        <w:pStyle w:val="BodyText"/>
        <w:spacing w:line="307" w:lineRule="auto" w:before="18"/>
        <w:ind w:right="1037" w:firstLine="360"/>
        <w:jc w:val="both"/>
      </w:pPr>
      <w:r>
        <w:rPr/>
        <w:t>（</w:t>
      </w:r>
      <w:r>
        <w:rPr>
          <w:rFonts w:ascii="宋体" w:hAnsi="宋体" w:cs="宋体" w:eastAsia="宋体" w:hint="default"/>
        </w:rPr>
        <w:t>5</w:t>
      </w:r>
      <w:r>
        <w:rPr/>
        <w:t>）徐骏民先生，中国国籍，无境外永久居留权，</w:t>
      </w:r>
      <w:r>
        <w:rPr>
          <w:rFonts w:ascii="宋体" w:hAnsi="宋体" w:cs="宋体" w:eastAsia="宋体" w:hint="default"/>
        </w:rPr>
        <w:t>1964</w:t>
      </w:r>
      <w:r>
        <w:rPr/>
        <w:t>年生，本科，拥有 </w:t>
      </w:r>
      <w:r>
        <w:rPr>
          <w:rFonts w:ascii="宋体" w:hAnsi="宋体" w:cs="宋体" w:eastAsia="宋体" w:hint="default"/>
        </w:rPr>
        <w:t>MBA</w:t>
      </w:r>
      <w:r>
        <w:rPr/>
        <w:t>、</w:t>
      </w:r>
      <w:r>
        <w:rPr>
          <w:rFonts w:ascii="宋体" w:hAnsi="宋体" w:cs="宋体" w:eastAsia="宋体" w:hint="default"/>
        </w:rPr>
        <w:t>EMBA</w:t>
      </w:r>
      <w:r>
        <w:rPr>
          <w:rFonts w:ascii="宋体" w:hAnsi="宋体" w:cs="宋体" w:eastAsia="宋体" w:hint="default"/>
          <w:spacing w:val="6"/>
        </w:rPr>
        <w:t> </w:t>
      </w:r>
      <w:r>
        <w:rPr/>
        <w:t>学位，中共党员，工程师职称。 </w:t>
      </w:r>
      <w:r>
        <w:rPr>
          <w:spacing w:val="-2"/>
        </w:rPr>
        <w:t>曾任上海航空股份有限公司计划财务部资金室副主任、主任、计划财务部经理助理、副经理、证券事务代表、证券事务办公</w:t>
      </w:r>
    </w:p>
    <w:p>
      <w:pPr>
        <w:spacing w:after="0" w:line="30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21"/>
        <w:jc w:val="both"/>
      </w:pPr>
      <w:r>
        <w:rPr>
          <w:spacing w:val="-2"/>
        </w:rPr>
        <w:t>室主任、投资部总经理、董事会秘书，上海利策科技股份有限公司董事会秘书，现任上海吉祥航空股份有限公司副总裁、董</w:t>
      </w:r>
      <w:r>
        <w:rPr>
          <w:spacing w:val="-57"/>
        </w:rPr>
        <w:t> </w:t>
      </w:r>
      <w:r>
        <w:rPr>
          <w:spacing w:val="-57"/>
        </w:rPr>
      </w:r>
      <w:r>
        <w:rPr>
          <w:spacing w:val="-2"/>
        </w:rPr>
        <w:t>事会秘书。徐骏民先生同时兼任九元航空有限公司董事、上海吉宁文化传媒有限公司执行董事、上海吉祥航空香港有限公司</w:t>
      </w:r>
      <w:r>
        <w:rPr>
          <w:spacing w:val="-75"/>
        </w:rPr>
        <w:t> </w:t>
      </w:r>
      <w:r>
        <w:rPr>
          <w:spacing w:val="-75"/>
        </w:rPr>
      </w:r>
      <w:r>
        <w:rPr/>
        <w:t>执行董事、上海吉道航企业管理有限公司执行董事、圆通速递（国际）控股有限公司独立董事。</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日起任公司独</w:t>
      </w:r>
      <w:r>
        <w:rPr>
          <w:spacing w:val="-81"/>
        </w:rPr>
        <w:t> </w:t>
      </w:r>
      <w:r>
        <w:rPr/>
        <w:t>立董事。</w:t>
      </w:r>
    </w:p>
    <w:p>
      <w:pPr>
        <w:pStyle w:val="BodyText"/>
        <w:spacing w:line="321" w:lineRule="auto" w:before="22"/>
        <w:ind w:right="1106" w:firstLine="360"/>
        <w:jc w:val="both"/>
      </w:pPr>
      <w:r>
        <w:rPr/>
        <w:t>（</w:t>
      </w:r>
      <w:r>
        <w:rPr>
          <w:rFonts w:ascii="宋体" w:hAnsi="宋体" w:cs="宋体" w:eastAsia="宋体" w:hint="default"/>
        </w:rPr>
        <w:t>6</w:t>
      </w:r>
      <w:r>
        <w:rPr/>
        <w:t>）李健先生，中国国籍，无境外永久居留权，</w:t>
      </w:r>
      <w:r>
        <w:rPr>
          <w:rFonts w:ascii="宋体" w:hAnsi="宋体" w:cs="宋体" w:eastAsia="宋体" w:hint="default"/>
        </w:rPr>
        <w:t>1983</w:t>
      </w:r>
      <w:r>
        <w:rPr/>
        <w:t>年生，复旦大学会计学硕士，注册会计师、税务师、律师，持有 </w:t>
      </w:r>
      <w:r>
        <w:rPr>
          <w:spacing w:val="-2"/>
        </w:rPr>
        <w:t>上市公司独立董事资格证书，具有基金从业资格。曾先后就职于立信会计师事务所、上海申浩律师事务所、上海股权托管交</w:t>
      </w:r>
      <w:r>
        <w:rPr>
          <w:spacing w:val="-42"/>
        </w:rPr>
        <w:t> </w:t>
      </w:r>
      <w:r>
        <w:rPr>
          <w:spacing w:val="-42"/>
        </w:rPr>
      </w:r>
      <w:r>
        <w:rPr>
          <w:spacing w:val="-2"/>
        </w:rPr>
        <w:t>易中心。现任上海金浦投资管理有限公司合伙人，同时兼任上海育生堂实业发展有限公司财务顾问。</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日起任公</w:t>
      </w:r>
      <w:r>
        <w:rPr>
          <w:spacing w:val="-57"/>
        </w:rPr>
        <w:t> </w:t>
      </w:r>
      <w:r>
        <w:rPr/>
        <w:t>司独立董事。</w:t>
      </w:r>
    </w:p>
    <w:p>
      <w:pPr>
        <w:pStyle w:val="BodyText"/>
        <w:spacing w:line="321" w:lineRule="auto" w:before="3"/>
        <w:ind w:right="1097" w:firstLine="360"/>
        <w:jc w:val="both"/>
      </w:pPr>
      <w:r>
        <w:rPr/>
        <w:t>（</w:t>
      </w:r>
      <w:r>
        <w:rPr>
          <w:rFonts w:ascii="宋体" w:hAnsi="宋体" w:cs="宋体" w:eastAsia="宋体" w:hint="default"/>
        </w:rPr>
        <w:t>7</w:t>
      </w:r>
      <w:r>
        <w:rPr/>
        <w:t>）薛海波先生，中国国籍，无境外永久居留权，</w:t>
      </w:r>
      <w:r>
        <w:rPr>
          <w:rFonts w:ascii="宋体" w:hAnsi="宋体" w:cs="宋体" w:eastAsia="宋体" w:hint="default"/>
        </w:rPr>
        <w:t>1980</w:t>
      </w:r>
      <w:r>
        <w:rPr/>
        <w:t>年生，博士学历。</w:t>
      </w:r>
      <w:r>
        <w:rPr>
          <w:rFonts w:ascii="宋体" w:hAnsi="宋体" w:cs="宋体" w:eastAsia="宋体" w:hint="default"/>
        </w:rPr>
        <w:t>2002</w:t>
      </w:r>
      <w:r>
        <w:rPr/>
        <w:t>年毕业于河南财经政法大学国际贸易专 </w:t>
      </w:r>
      <w:r>
        <w:rPr>
          <w:spacing w:val="-1"/>
        </w:rPr>
        <w:t>业，获经济学学士学位，</w:t>
      </w:r>
      <w:r>
        <w:rPr>
          <w:rFonts w:ascii="宋体" w:hAnsi="宋体" w:cs="宋体" w:eastAsia="宋体" w:hint="default"/>
          <w:spacing w:val="-1"/>
        </w:rPr>
        <w:t>2006</w:t>
      </w:r>
      <w:r>
        <w:rPr>
          <w:spacing w:val="-1"/>
        </w:rPr>
        <w:t>年毕业于上海财经大学市场营销专业，获管理学硕士学位，</w:t>
      </w:r>
      <w:r>
        <w:rPr>
          <w:rFonts w:ascii="宋体" w:hAnsi="宋体" w:cs="宋体" w:eastAsia="宋体" w:hint="default"/>
          <w:spacing w:val="-1"/>
        </w:rPr>
        <w:t>2009</w:t>
      </w:r>
      <w:r>
        <w:rPr>
          <w:spacing w:val="-1"/>
        </w:rPr>
        <w:t>年毕业于上海财经大学企业管</w:t>
      </w:r>
      <w:r>
        <w:rPr>
          <w:spacing w:val="-85"/>
        </w:rPr>
        <w:t> </w:t>
      </w:r>
      <w:r>
        <w:rPr>
          <w:spacing w:val="-2"/>
        </w:rPr>
        <w:t>理专业，获管理学博士学位。</w:t>
      </w:r>
      <w:r>
        <w:rPr>
          <w:rFonts w:ascii="宋体" w:hAnsi="宋体" w:cs="宋体" w:eastAsia="宋体" w:hint="default"/>
          <w:spacing w:val="-2"/>
        </w:rPr>
        <w:t>2009</w:t>
      </w:r>
      <w:r>
        <w:rPr>
          <w:spacing w:val="-2"/>
        </w:rPr>
        <w:t>年起在华东师范大学政治学系、品牌文化与公共关系研究中心、商学院等部门工作，曾在</w:t>
      </w:r>
      <w:r>
        <w:rPr>
          <w:spacing w:val="-50"/>
        </w:rPr>
        <w:t> </w:t>
      </w:r>
      <w:r>
        <w:rPr>
          <w:spacing w:val="-50"/>
        </w:rPr>
      </w:r>
      <w:r>
        <w:rPr>
          <w:spacing w:val="-2"/>
        </w:rPr>
        <w:t>北京大学光华管理学院从事博士后研究工作。现任华东师范大学经济与管理学部工商管理学院副教授，亚欧商学院精品品牌</w:t>
      </w:r>
      <w:r>
        <w:rPr>
          <w:spacing w:val="-72"/>
        </w:rPr>
        <w:t> </w:t>
      </w:r>
      <w:r>
        <w:rPr>
          <w:spacing w:val="-72"/>
        </w:rPr>
      </w:r>
      <w:r>
        <w:rPr/>
        <w:t>管理硕士项目主任。</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日起任公司独立董事。</w:t>
      </w:r>
    </w:p>
    <w:p>
      <w:pPr>
        <w:spacing w:line="240" w:lineRule="auto" w:before="5"/>
        <w:rPr>
          <w:rFonts w:ascii="宋体" w:hAnsi="宋体" w:cs="宋体" w:eastAsia="宋体" w:hint="default"/>
          <w:sz w:val="24"/>
          <w:szCs w:val="24"/>
        </w:rPr>
      </w:pPr>
    </w:p>
    <w:p>
      <w:pPr>
        <w:pStyle w:val="BodyText"/>
        <w:spacing w:line="240" w:lineRule="auto" w:before="0"/>
        <w:ind w:right="0"/>
        <w:jc w:val="both"/>
      </w:pPr>
      <w:r>
        <w:rPr/>
        <w:t>公司现任监事主要工作经历：</w:t>
      </w:r>
    </w:p>
    <w:p>
      <w:pPr>
        <w:pStyle w:val="BodyText"/>
        <w:spacing w:line="316" w:lineRule="auto" w:before="79"/>
        <w:ind w:right="1121" w:firstLine="360"/>
        <w:jc w:val="both"/>
      </w:pPr>
      <w:r>
        <w:rPr/>
        <w:t>（</w:t>
      </w:r>
      <w:r>
        <w:rPr>
          <w:rFonts w:ascii="宋体" w:hAnsi="宋体" w:cs="宋体" w:eastAsia="宋体" w:hint="default"/>
        </w:rPr>
        <w:t>1</w:t>
      </w:r>
      <w:r>
        <w:rPr/>
        <w:t>）康峰先生，中国国籍，无境外永久居留权，</w:t>
      </w:r>
      <w:r>
        <w:rPr>
          <w:rFonts w:ascii="宋体" w:hAnsi="宋体" w:cs="宋体" w:eastAsia="宋体" w:hint="default"/>
        </w:rPr>
        <w:t>1983</w:t>
      </w:r>
      <w:r>
        <w:rPr/>
        <w:t>年生，本科学历，西南财经大学工商管理专业。</w:t>
      </w:r>
      <w:r>
        <w:rPr>
          <w:rFonts w:ascii="宋体" w:hAnsi="宋体" w:cs="宋体" w:eastAsia="宋体" w:hint="default"/>
        </w:rPr>
        <w:t>2005</w:t>
      </w:r>
      <w:r>
        <w:rPr/>
        <w:t>年入职中国 </w:t>
      </w:r>
      <w:r>
        <w:rPr>
          <w:spacing w:val="-2"/>
        </w:rPr>
        <w:t>基金网任编辑，</w:t>
      </w:r>
      <w:r>
        <w:rPr>
          <w:rFonts w:ascii="宋体" w:hAnsi="宋体" w:cs="宋体" w:eastAsia="宋体" w:hint="default"/>
          <w:spacing w:val="-2"/>
        </w:rPr>
        <w:t>2006</w:t>
      </w:r>
      <w:r>
        <w:rPr>
          <w:spacing w:val="-2"/>
        </w:rPr>
        <w:t>年参加复旦新闻学院与上海市政府新闻编辑培训班，获优秀学员与编辑从业证书。</w:t>
      </w:r>
      <w:r>
        <w:rPr>
          <w:rFonts w:ascii="宋体" w:hAnsi="宋体" w:cs="宋体" w:eastAsia="宋体" w:hint="default"/>
          <w:spacing w:val="-2"/>
        </w:rPr>
        <w:t>2007</w:t>
      </w:r>
      <w:r>
        <w:rPr>
          <w:spacing w:val="-2"/>
        </w:rPr>
        <w:t>年入职上海瑞创</w:t>
      </w:r>
      <w:r>
        <w:rPr>
          <w:spacing w:val="-56"/>
        </w:rPr>
        <w:t> </w:t>
      </w:r>
      <w:r>
        <w:rPr>
          <w:spacing w:val="-2"/>
        </w:rPr>
        <w:t>网络科技发展有限公司，历任财经编辑、高级编辑、部门经理、信息化经理职务。现任上海二三四五网络科技有限公司总裁</w:t>
      </w:r>
      <w:r>
        <w:rPr>
          <w:spacing w:val="-57"/>
        </w:rPr>
        <w:t> </w:t>
      </w:r>
      <w:r>
        <w:rPr>
          <w:spacing w:val="-57"/>
        </w:rPr>
      </w:r>
      <w:r>
        <w:rPr/>
        <w:t>办主任。</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日起任公司监事，</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日起任公司监事会主席。</w:t>
      </w:r>
    </w:p>
    <w:p>
      <w:pPr>
        <w:pStyle w:val="BodyText"/>
        <w:spacing w:line="321" w:lineRule="auto" w:before="22"/>
        <w:ind w:right="1126" w:firstLine="360"/>
        <w:jc w:val="both"/>
      </w:pPr>
      <w:r>
        <w:rPr/>
        <w:t>（</w:t>
      </w:r>
      <w:r>
        <w:rPr>
          <w:rFonts w:ascii="宋体" w:hAnsi="宋体" w:cs="宋体" w:eastAsia="宋体" w:hint="default"/>
        </w:rPr>
        <w:t>2</w:t>
      </w:r>
      <w:r>
        <w:rPr/>
        <w:t>）任怡华女士，中国国籍，无境外永久居留权，</w:t>
      </w:r>
      <w:r>
        <w:rPr>
          <w:rFonts w:ascii="宋体" w:hAnsi="宋体" w:cs="宋体" w:eastAsia="宋体" w:hint="default"/>
        </w:rPr>
        <w:t>1988</w:t>
      </w:r>
      <w:r>
        <w:rPr/>
        <w:t>年生，本科学历。</w:t>
      </w:r>
      <w:r>
        <w:rPr>
          <w:rFonts w:ascii="宋体" w:hAnsi="宋体" w:cs="宋体" w:eastAsia="宋体" w:hint="default"/>
        </w:rPr>
        <w:t>2011</w:t>
      </w:r>
      <w:r>
        <w:rPr/>
        <w:t>年毕业于上海师范大学法学专业，获学 士学位，随后进入上海捷强烟草糖酒集团配销中心任法务，现任上海二三四五移动科技有限公司高级法务经理。</w:t>
      </w:r>
      <w:r>
        <w:rPr>
          <w:rFonts w:ascii="宋体" w:hAnsi="宋体" w:cs="宋体" w:eastAsia="宋体" w:hint="default"/>
        </w:rPr>
        <w:t>2017</w:t>
      </w:r>
      <w:r>
        <w:rPr/>
        <w:t>年</w:t>
      </w:r>
      <w:r>
        <w:rPr>
          <w:rFonts w:ascii="宋体" w:hAnsi="宋体" w:cs="宋体" w:eastAsia="宋体" w:hint="default"/>
        </w:rPr>
        <w:t>3</w:t>
      </w:r>
      <w:r>
        <w:rPr/>
        <w:t>月</w:t>
      </w:r>
      <w:r>
        <w:rPr>
          <w:spacing w:val="-79"/>
        </w:rPr>
        <w:t> </w:t>
      </w:r>
      <w:r>
        <w:rPr>
          <w:rFonts w:ascii="宋体" w:hAnsi="宋体" w:cs="宋体" w:eastAsia="宋体" w:hint="default"/>
        </w:rPr>
        <w:t>31</w:t>
      </w:r>
      <w:r>
        <w:rPr/>
        <w:t>日起任公司监事。</w:t>
      </w:r>
    </w:p>
    <w:p>
      <w:pPr>
        <w:pStyle w:val="BodyText"/>
        <w:spacing w:line="307" w:lineRule="auto" w:before="18"/>
        <w:ind w:right="1129" w:firstLine="360"/>
        <w:jc w:val="both"/>
      </w:pPr>
      <w:r>
        <w:rPr>
          <w:spacing w:val="-4"/>
        </w:rPr>
        <w:t>（</w:t>
      </w:r>
      <w:r>
        <w:rPr>
          <w:rFonts w:ascii="宋体" w:hAnsi="宋体" w:cs="宋体" w:eastAsia="宋体" w:hint="default"/>
          <w:spacing w:val="-4"/>
        </w:rPr>
        <w:t>3</w:t>
      </w:r>
      <w:r>
        <w:rPr>
          <w:spacing w:val="-4"/>
        </w:rPr>
        <w:t>）张丹女士，中国国籍，无境外永久居留权，</w:t>
      </w:r>
      <w:r>
        <w:rPr>
          <w:rFonts w:ascii="宋体" w:hAnsi="宋体" w:cs="宋体" w:eastAsia="宋体" w:hint="default"/>
          <w:spacing w:val="-4"/>
        </w:rPr>
        <w:t>1978</w:t>
      </w:r>
      <w:r>
        <w:rPr>
          <w:spacing w:val="-4"/>
        </w:rPr>
        <w:t>年生，本科学历。</w:t>
      </w:r>
      <w:r>
        <w:rPr>
          <w:rFonts w:ascii="宋体" w:hAnsi="宋体" w:cs="宋体" w:eastAsia="宋体" w:hint="default"/>
          <w:spacing w:val="-4"/>
        </w:rPr>
        <w:t>2002</w:t>
      </w:r>
      <w:r>
        <w:rPr>
          <w:spacing w:val="-4"/>
        </w:rPr>
        <w:t>年毕业于辽宁大学中文系，获得学士学位。</w:t>
      </w:r>
      <w:r>
        <w:rPr/>
        <w:t> 现任上海二三四五网络科技有限公司总裁高级秘书。</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日起任公司职工代表监事。</w:t>
      </w:r>
    </w:p>
    <w:p>
      <w:pPr>
        <w:spacing w:line="240" w:lineRule="auto" w:before="4"/>
        <w:rPr>
          <w:rFonts w:ascii="宋体" w:hAnsi="宋体" w:cs="宋体" w:eastAsia="宋体" w:hint="default"/>
          <w:sz w:val="26"/>
          <w:szCs w:val="26"/>
        </w:rPr>
      </w:pPr>
    </w:p>
    <w:p>
      <w:pPr>
        <w:pStyle w:val="BodyText"/>
        <w:spacing w:line="240" w:lineRule="auto" w:before="0"/>
        <w:ind w:right="0"/>
        <w:jc w:val="both"/>
      </w:pPr>
      <w:r>
        <w:rPr/>
        <w:t>现任高级管理人员主要工作经历：</w:t>
      </w:r>
    </w:p>
    <w:p>
      <w:pPr>
        <w:pStyle w:val="BodyText"/>
        <w:spacing w:line="240" w:lineRule="auto" w:before="79"/>
        <w:ind w:left="501" w:right="0"/>
        <w:jc w:val="left"/>
      </w:pPr>
      <w:r>
        <w:rPr/>
        <w:t>（</w:t>
      </w:r>
      <w:r>
        <w:rPr>
          <w:rFonts w:ascii="宋体" w:hAnsi="宋体" w:cs="宋体" w:eastAsia="宋体" w:hint="default"/>
        </w:rPr>
        <w:t>1</w:t>
      </w:r>
      <w:r>
        <w:rPr/>
        <w:t>）陈于冰先生，本公司董事、总经理。简历参见董事简介。</w:t>
      </w:r>
    </w:p>
    <w:p>
      <w:pPr>
        <w:pStyle w:val="BodyText"/>
        <w:spacing w:line="240" w:lineRule="auto" w:before="80"/>
        <w:ind w:left="501" w:right="0"/>
        <w:jc w:val="left"/>
      </w:pPr>
      <w:r>
        <w:rPr/>
        <w:t>（</w:t>
      </w:r>
      <w:r>
        <w:rPr>
          <w:rFonts w:ascii="宋体" w:hAnsi="宋体" w:cs="宋体" w:eastAsia="宋体" w:hint="default"/>
        </w:rPr>
        <w:t>2</w:t>
      </w:r>
      <w:r>
        <w:rPr/>
        <w:t>）邱俊祺先生，本公司董事、副总经理、董事会秘书。简历参见董事简介。</w:t>
      </w:r>
    </w:p>
    <w:p>
      <w:pPr>
        <w:pStyle w:val="BodyText"/>
        <w:spacing w:line="240" w:lineRule="auto" w:before="64"/>
        <w:ind w:left="501" w:right="0"/>
        <w:jc w:val="left"/>
      </w:pPr>
      <w:r>
        <w:rPr/>
        <w:t>（</w:t>
      </w:r>
      <w:r>
        <w:rPr>
          <w:rFonts w:ascii="宋体" w:hAnsi="宋体" w:cs="宋体" w:eastAsia="宋体" w:hint="default"/>
        </w:rPr>
        <w:t>3</w:t>
      </w:r>
      <w:r>
        <w:rPr/>
        <w:t>）黄国敏先生，本公司职工董事、财务总监。简历参见董事简介。</w:t>
      </w:r>
    </w:p>
    <w:p>
      <w:pPr>
        <w:pStyle w:val="BodyText"/>
        <w:spacing w:line="321" w:lineRule="auto" w:before="80"/>
        <w:ind w:right="1128" w:firstLine="360"/>
        <w:jc w:val="both"/>
      </w:pPr>
      <w:r>
        <w:rPr>
          <w:spacing w:val="-4"/>
        </w:rPr>
        <w:t>（</w:t>
      </w:r>
      <w:r>
        <w:rPr>
          <w:rFonts w:ascii="宋体" w:hAnsi="宋体" w:cs="宋体" w:eastAsia="宋体" w:hint="default"/>
          <w:spacing w:val="-4"/>
        </w:rPr>
        <w:t>4</w:t>
      </w:r>
      <w:r>
        <w:rPr>
          <w:spacing w:val="-4"/>
        </w:rPr>
        <w:t>）罗绘女士，中国国籍，无境外永久居留权，</w:t>
      </w:r>
      <w:r>
        <w:rPr>
          <w:rFonts w:ascii="宋体" w:hAnsi="宋体" w:cs="宋体" w:eastAsia="宋体" w:hint="default"/>
          <w:spacing w:val="-4"/>
        </w:rPr>
        <w:t>1987</w:t>
      </w:r>
      <w:r>
        <w:rPr>
          <w:spacing w:val="-4"/>
        </w:rPr>
        <w:t>年生，研究生学历。</w:t>
      </w:r>
      <w:r>
        <w:rPr>
          <w:rFonts w:ascii="宋体" w:hAnsi="宋体" w:cs="宋体" w:eastAsia="宋体" w:hint="default"/>
          <w:spacing w:val="-4"/>
        </w:rPr>
        <w:t>2009</w:t>
      </w:r>
      <w:r>
        <w:rPr>
          <w:spacing w:val="-4"/>
        </w:rPr>
        <w:t>年毕业于东北林业大学，获得学士学位，</w:t>
      </w:r>
      <w:r>
        <w:rPr/>
        <w:t> </w:t>
      </w:r>
      <w:r>
        <w:rPr>
          <w:rFonts w:ascii="宋体" w:hAnsi="宋体" w:cs="宋体" w:eastAsia="宋体" w:hint="default"/>
          <w:spacing w:val="-2"/>
        </w:rPr>
        <w:t>2012</w:t>
      </w:r>
      <w:r>
        <w:rPr>
          <w:spacing w:val="-2"/>
        </w:rPr>
        <w:t>年毕业于上海理工大学，获得硕士学位。曾就职于美丽传说股份有限公司（猫扑网），任公共事务部总监。历任上海二</w:t>
      </w:r>
      <w:r>
        <w:rPr>
          <w:spacing w:val="-68"/>
        </w:rPr>
        <w:t> </w:t>
      </w:r>
      <w:r>
        <w:rPr>
          <w:spacing w:val="-68"/>
        </w:rPr>
      </w:r>
      <w:r>
        <w:rPr/>
        <w:t>三四五网络科技有限公司助理总裁、职工代表监事。</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23</w:t>
      </w:r>
      <w:r>
        <w:rPr/>
        <w:t>日起任公司副总经理。</w:t>
      </w:r>
    </w:p>
    <w:p>
      <w:pPr>
        <w:pStyle w:val="BodyText"/>
        <w:spacing w:line="240" w:lineRule="auto" w:before="64"/>
        <w:ind w:right="0"/>
        <w:jc w:val="both"/>
      </w:pPr>
      <w:r>
        <w:rPr/>
        <w:t>在股东单位任职情况</w:t>
      </w:r>
    </w:p>
    <w:p>
      <w:pPr>
        <w:pStyle w:val="BodyText"/>
        <w:spacing w:line="240" w:lineRule="auto" w:before="12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17"/>
        <w:gridCol w:w="3229"/>
        <w:gridCol w:w="1082"/>
        <w:gridCol w:w="1216"/>
        <w:gridCol w:w="1352"/>
        <w:gridCol w:w="1487"/>
      </w:tblGrid>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0"/>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90"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119" w:hanging="91"/>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房振武</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3"/>
              <w:jc w:val="righ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4"/>
              <w:jc w:val="left"/>
              <w:rPr>
                <w:rFonts w:ascii="宋体" w:hAnsi="宋体" w:cs="宋体" w:eastAsia="宋体" w:hint="default"/>
                <w:sz w:val="18"/>
                <w:szCs w:val="18"/>
              </w:rPr>
            </w:pPr>
            <w:r>
              <w:rPr>
                <w:rFonts w:ascii="宋体" w:hAnsi="宋体" w:cs="宋体" w:eastAsia="宋体" w:hint="default"/>
                <w:spacing w:val="-10"/>
                <w:sz w:val="18"/>
                <w:szCs w:val="18"/>
              </w:rPr>
              <w:t>副总裁、董事</w:t>
            </w:r>
            <w:r>
              <w:rPr>
                <w:rFonts w:ascii="宋体" w:hAnsi="宋体" w:cs="宋体" w:eastAsia="宋体" w:hint="default"/>
                <w:sz w:val="18"/>
                <w:szCs w:val="18"/>
              </w:rPr>
              <w:t> </w:t>
            </w:r>
            <w:r>
              <w:rPr>
                <w:rFonts w:ascii="宋体" w:hAnsi="宋体" w:cs="宋体" w:eastAsia="宋体" w:hint="default"/>
                <w:spacing w:val="-10"/>
                <w:sz w:val="18"/>
                <w:szCs w:val="18"/>
              </w:rPr>
              <w:t>会秘书、董事</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公司董事房振武先生在公司股东浙富控股集团股份有限公司担任副总裁、董事会秘书、董事职务。</w:t>
            </w:r>
          </w:p>
        </w:tc>
      </w:tr>
    </w:tbl>
    <w:p>
      <w:pPr>
        <w:pStyle w:val="BodyText"/>
        <w:spacing w:line="240" w:lineRule="auto" w:before="45"/>
        <w:ind w:right="0"/>
        <w:jc w:val="left"/>
      </w:pPr>
      <w:r>
        <w:rPr/>
        <w:t>在其他单位任职情况</w:t>
      </w:r>
    </w:p>
    <w:p>
      <w:pPr>
        <w:pStyle w:val="BodyText"/>
        <w:spacing w:line="319" w:lineRule="auto" w:before="124"/>
        <w:ind w:right="40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公司现任及报告期内离任董事、监事和高级管理人员近三年证券监管机构处罚的情况</w:t>
      </w:r>
    </w:p>
    <w:p>
      <w:pPr>
        <w:spacing w:after="0" w:line="319"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pStyle w:val="BodyText"/>
        <w:spacing w:line="302" w:lineRule="auto" w:before="125"/>
        <w:ind w:right="1119"/>
        <w:jc w:val="left"/>
      </w:pPr>
      <w:r>
        <w:rPr>
          <w:rFonts w:ascii="Times New Roman" w:hAnsi="Times New Roman" w:cs="Times New Roman" w:eastAsia="Times New Roman" w:hint="default"/>
          <w:spacing w:val="-2"/>
        </w:rPr>
        <w:t>1</w:t>
      </w:r>
      <w:r>
        <w:rPr>
          <w:spacing w:val="-2"/>
        </w:rPr>
        <w:t>、决策程序：由公司董事会提名</w:t>
      </w:r>
      <w:r>
        <w:rPr>
          <w:rFonts w:ascii="Times New Roman" w:hAnsi="Times New Roman" w:cs="Times New Roman" w:eastAsia="Times New Roman" w:hint="default"/>
          <w:spacing w:val="-2"/>
        </w:rPr>
        <w:t>•</w:t>
      </w:r>
      <w:r>
        <w:rPr>
          <w:spacing w:val="-2"/>
        </w:rPr>
        <w:t>薪酬与考核委员会研究制订公司董事、监事和高级管理人员的薪酬政策、方案，公司综合</w:t>
      </w:r>
      <w:r>
        <w:rPr>
          <w:spacing w:val="-43"/>
        </w:rPr>
        <w:t> </w:t>
      </w:r>
      <w:r>
        <w:rPr>
          <w:spacing w:val="-43"/>
        </w:rPr>
      </w:r>
      <w:r>
        <w:rPr/>
        <w:t>管理部、财务部配合董事会提名</w:t>
      </w:r>
      <w:r>
        <w:rPr>
          <w:rFonts w:ascii="Times New Roman" w:hAnsi="Times New Roman" w:cs="Times New Roman" w:eastAsia="Times New Roman" w:hint="default"/>
        </w:rPr>
        <w:t>•</w:t>
      </w:r>
      <w:r>
        <w:rPr/>
        <w:t>薪酬与考核委员会进行公司董事、高级管理人员薪酬方案的具体实施。 </w:t>
      </w:r>
      <w:r>
        <w:rPr>
          <w:rFonts w:ascii="Times New Roman" w:hAnsi="Times New Roman" w:cs="Times New Roman" w:eastAsia="Times New Roman" w:hint="default"/>
        </w:rPr>
        <w:t>2</w:t>
      </w:r>
      <w:r>
        <w:rPr/>
        <w:t>、确定依据：董事、监事的报酬根据公司年度业绩情况并结合市场行情确定；高级管理人员的报酬根据公司相关规定，结 合公司年度经营目标和公司高级管理人员在上一年度经营目标所承担的具体岗位职责综合确定。 </w:t>
      </w:r>
      <w:r>
        <w:rPr>
          <w:rFonts w:ascii="Times New Roman" w:hAnsi="Times New Roman" w:cs="Times New Roman" w:eastAsia="Times New Roman" w:hint="default"/>
        </w:rPr>
        <w:t>3</w:t>
      </w:r>
      <w:r>
        <w:rPr/>
        <w:t>、实际支付情况：独立董事报酬按月支付到个人账户；其他人员报酬按各自考核结果按月或根据薪酬发放制度规定的时间 进行发放。</w:t>
      </w:r>
    </w:p>
    <w:p>
      <w:pPr>
        <w:pStyle w:val="BodyText"/>
        <w:spacing w:line="240" w:lineRule="auto" w:before="78"/>
        <w:ind w:right="0"/>
        <w:jc w:val="left"/>
      </w:pPr>
      <w:r>
        <w:rPr/>
        <w:t>公司报告期内董事、监事和高级管理人员报酬情况</w:t>
      </w:r>
    </w:p>
    <w:p>
      <w:pPr>
        <w:pStyle w:val="BodyText"/>
        <w:spacing w:line="240" w:lineRule="auto" w:before="110"/>
        <w:ind w:left="0" w:right="1110"/>
        <w:jc w:val="right"/>
      </w:pPr>
      <w:r>
        <w:rPr/>
        <w:pict>
          <v:group style="position:absolute;margin-left:193.75pt;margin-top:79.811722pt;width:68.350pt;height:27.8pt;mso-position-horizontal-relative:page;mso-position-vertical-relative:paragraph;z-index:-1159528" coordorigin="3875,1596" coordsize="1367,556">
            <v:group style="position:absolute;left:3875;top:1596;width:1367;height:150" coordorigin="3875,1596" coordsize="1367,150">
              <v:shape style="position:absolute;left:3875;top:1596;width:1367;height:150" coordorigin="3875,1596" coordsize="1367,150" path="m3875,1746l5242,1746,5242,1596,3875,1596,3875,1746xe" filled="true" fillcolor="#ffffff" stroked="false">
                <v:path arrowok="t"/>
                <v:fill type="solid"/>
              </v:shape>
            </v:group>
            <v:group style="position:absolute;left:3890;top:1746;width:2;height:391" coordorigin="3890,1746" coordsize="2,391">
              <v:shape style="position:absolute;left:3890;top:1746;width:2;height:391" coordorigin="3890,1746" coordsize="0,391" path="m3890,1746l3890,2137e" filled="false" stroked="true" strokeweight="1.5pt" strokecolor="#ffffff">
                <v:path arrowok="t"/>
              </v:shape>
            </v:group>
            <v:group style="position:absolute;left:3905;top:1746;width:1307;height:391" coordorigin="3905,1746" coordsize="1307,391">
              <v:shape style="position:absolute;left:3905;top:1746;width:1307;height:391" coordorigin="3905,1746" coordsize="1307,391" path="m3905,2137l5212,2137,5212,1746,3905,1746,3905,2137xe" filled="true" fillcolor="#ffffff" stroked="false">
                <v:path arrowok="t"/>
                <v:fill type="solid"/>
              </v:shape>
            </v:group>
            <w10:wrap type="none"/>
          </v:group>
        </w:pict>
      </w: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299.6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06"/>
              <w:jc w:val="left"/>
              <w:rPr>
                <w:rFonts w:ascii="宋体" w:hAnsi="宋体" w:cs="宋体" w:eastAsia="宋体" w:hint="default"/>
                <w:sz w:val="18"/>
                <w:szCs w:val="18"/>
              </w:rPr>
            </w:pPr>
            <w:r>
              <w:rPr>
                <w:rFonts w:ascii="宋体" w:hAnsi="宋体" w:cs="宋体" w:eastAsia="宋体" w:hint="default"/>
                <w:spacing w:val="-7"/>
                <w:sz w:val="18"/>
                <w:szCs w:val="18"/>
              </w:rPr>
              <w:t>董事、副总经理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44"/>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85.63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黄国敏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61"/>
              <w:jc w:val="left"/>
              <w:rPr>
                <w:rFonts w:ascii="宋体" w:hAnsi="宋体" w:cs="宋体" w:eastAsia="宋体" w:hint="default"/>
                <w:sz w:val="18"/>
                <w:szCs w:val="18"/>
              </w:rPr>
            </w:pPr>
            <w:r>
              <w:rPr>
                <w:rFonts w:ascii="宋体" w:hAnsi="宋体" w:cs="宋体" w:eastAsia="宋体" w:hint="default"/>
                <w:sz w:val="18"/>
                <w:szCs w:val="18"/>
              </w:rPr>
              <w:t>职工董事、财务 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房振武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10.8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康峰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60.25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任怡华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26.8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102.82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06"/>
              <w:jc w:val="left"/>
              <w:rPr>
                <w:rFonts w:ascii="宋体" w:hAnsi="宋体" w:cs="宋体" w:eastAsia="宋体" w:hint="default"/>
                <w:sz w:val="18"/>
                <w:szCs w:val="18"/>
              </w:rPr>
            </w:pPr>
            <w:r>
              <w:rPr>
                <w:rFonts w:ascii="宋体" w:hAnsi="宋体" w:cs="宋体" w:eastAsia="宋体" w:hint="default"/>
                <w:spacing w:val="-7"/>
                <w:sz w:val="18"/>
                <w:szCs w:val="18"/>
              </w:rPr>
              <w:t>董事、副总经理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before="30"/>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780.61</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pict>
          <v:group style="position:absolute;margin-left:193.75pt;margin-top:-75.868286pt;width:68.350pt;height:28.55pt;mso-position-horizontal-relative:page;mso-position-vertical-relative:paragraph;z-index:-1159504" coordorigin="3875,-1517" coordsize="1367,571">
            <v:group style="position:absolute;left:3875;top:-1517;width:1367;height:165" coordorigin="3875,-1517" coordsize="1367,165">
              <v:shape style="position:absolute;left:3875;top:-1517;width:1367;height:165" coordorigin="3875,-1517" coordsize="1367,165" path="m3875,-1352l5242,-1352,5242,-1517,3875,-1517,3875,-1352xe" filled="true" fillcolor="#ffffff" stroked="false">
                <v:path arrowok="t"/>
                <v:fill type="solid"/>
              </v:shape>
            </v:group>
            <v:group style="position:absolute;left:3890;top:-1352;width:2;height:391" coordorigin="3890,-1352" coordsize="2,391">
              <v:shape style="position:absolute;left:3890;top:-1352;width:2;height:391" coordorigin="3890,-1352" coordsize="0,391" path="m3890,-1352l3890,-962e" filled="false" stroked="true" strokeweight="1.5pt" strokecolor="#ffffff">
                <v:path arrowok="t"/>
              </v:shape>
            </v:group>
            <v:group style="position:absolute;left:3905;top:-1352;width:1307;height:391" coordorigin="3905,-1352" coordsize="1307,391">
              <v:shape style="position:absolute;left:3905;top:-1352;width:1307;height:391" coordorigin="3905,-1352" coordsize="1307,391" path="m3905,-962l5212,-962,5212,-1352,3905,-1352,3905,-962xe" filled="true" fillcolor="#ffffff" stroked="false">
                <v:path arrowok="t"/>
                <v:fill type="solid"/>
              </v:shape>
            </v:group>
            <w10:wrap type="none"/>
          </v:group>
        </w:pict>
      </w:r>
      <w:r>
        <w:rPr/>
        <w:t>公司董事、高级管理人员报告期内被授予的股权激励情况</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五、公司员工情况" w:id="131"/>
      <w:bookmarkEnd w:id="131"/>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81"/>
        <w:gridCol w:w="4793"/>
      </w:tblGrid>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806</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823</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885</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85</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554</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22</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88</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专业管理人员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74</w:t>
            </w:r>
          </w:p>
        </w:tc>
      </w:tr>
      <w:tr>
        <w:trPr>
          <w:trHeight w:val="413"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823</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91</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学士</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559</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173</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823</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0"/>
        <w:jc w:val="left"/>
      </w:pPr>
      <w:r>
        <w:rPr>
          <w:spacing w:val="-2"/>
        </w:rPr>
        <w:t>公司严格按照《中华人民共和国劳动合同法》和有关劳动法律法规的规定，向员工提供稳定而具有竞争力的薪酬，以充分调</w:t>
      </w:r>
      <w:r>
        <w:rPr>
          <w:spacing w:val="-42"/>
        </w:rPr>
        <w:t> </w:t>
      </w:r>
      <w:r>
        <w:rPr>
          <w:spacing w:val="-42"/>
        </w:rPr>
      </w:r>
      <w:r>
        <w:rPr/>
        <w:t>动员工的积极性和创造性。</w:t>
      </w:r>
    </w:p>
    <w:p>
      <w:pPr>
        <w:pStyle w:val="BodyText"/>
        <w:spacing w:line="319" w:lineRule="auto" w:before="78"/>
        <w:ind w:left="501" w:right="0" w:hanging="361"/>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2"/>
        </w:rPr>
        <w:t>报告期内，公司职工薪酬总额（计入成本部分）为</w:t>
      </w:r>
      <w:r>
        <w:rPr>
          <w:rFonts w:ascii="宋体" w:hAnsi="宋体" w:cs="宋体" w:eastAsia="宋体" w:hint="default"/>
          <w:spacing w:val="-2"/>
        </w:rPr>
        <w:t>16,365,025.29</w:t>
      </w:r>
      <w:r>
        <w:rPr>
          <w:spacing w:val="-2"/>
        </w:rPr>
        <w:t>元，占公司营业成本的</w:t>
      </w:r>
      <w:r>
        <w:rPr>
          <w:rFonts w:ascii="宋体" w:hAnsi="宋体" w:cs="宋体" w:eastAsia="宋体" w:hint="default"/>
          <w:spacing w:val="-2"/>
        </w:rPr>
        <w:t>7.07%</w:t>
      </w:r>
      <w:r>
        <w:rPr>
          <w:spacing w:val="-2"/>
        </w:rPr>
        <w:t>。公司利润对职工薪酬总</w:t>
      </w:r>
    </w:p>
    <w:p>
      <w:pPr>
        <w:pStyle w:val="BodyText"/>
        <w:spacing w:line="321" w:lineRule="auto" w:before="20"/>
        <w:ind w:left="501" w:right="1119" w:hanging="361"/>
        <w:jc w:val="left"/>
      </w:pPr>
      <w:r>
        <w:rPr/>
        <w:t>额变化敏感度较低，职工薪酬对公司财务状况和经营成果不构成重大影响。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日，公司核心技术人员为</w:t>
      </w:r>
      <w:r>
        <w:rPr>
          <w:rFonts w:ascii="宋体" w:hAnsi="宋体" w:cs="宋体" w:eastAsia="宋体" w:hint="default"/>
        </w:rPr>
        <w:t>202</w:t>
      </w:r>
      <w:r>
        <w:rPr/>
        <w:t>人，占全体员工人数的</w:t>
      </w:r>
      <w:r>
        <w:rPr>
          <w:rFonts w:ascii="宋体" w:hAnsi="宋体" w:cs="宋体" w:eastAsia="宋体" w:hint="default"/>
        </w:rPr>
        <w:t>24.54%</w:t>
      </w:r>
      <w:r>
        <w:rPr/>
        <w:t>；截至报告期末，核心技术人员薪酬占全</w:t>
      </w:r>
    </w:p>
    <w:p>
      <w:pPr>
        <w:pStyle w:val="BodyText"/>
        <w:spacing w:line="240" w:lineRule="auto" w:before="3"/>
        <w:ind w:right="0"/>
        <w:jc w:val="left"/>
      </w:pPr>
      <w:r>
        <w:rPr/>
        <w:t>体员工薪酬的</w:t>
      </w:r>
      <w:r>
        <w:rPr>
          <w:rFonts w:ascii="宋体" w:hAnsi="宋体" w:cs="宋体" w:eastAsia="宋体" w:hint="default"/>
        </w:rPr>
        <w:t>34.3%</w:t>
      </w:r>
      <w:r>
        <w:rPr/>
        <w:t>，本报告期较上年同期未发生重大变化。</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0"/>
        <w:jc w:val="left"/>
      </w:pPr>
      <w:r>
        <w:rPr>
          <w:spacing w:val="-2"/>
        </w:rPr>
        <w:t>公司注重员工的培训工作，通过新入职员工培训和在职员工的职业生涯持续培训等多种形式，培养复合型人才和专业岗位人</w:t>
      </w:r>
      <w:r>
        <w:rPr>
          <w:spacing w:val="-72"/>
        </w:rPr>
        <w:t> </w:t>
      </w:r>
      <w:r>
        <w:rPr>
          <w:spacing w:val="-72"/>
        </w:rPr>
      </w:r>
      <w:r>
        <w:rPr/>
        <w:t>才，充分挖掘员工潜力，助力员工成长，以实现公司与员工双赢、员工价值和企业价值共同成长。</w:t>
      </w:r>
    </w:p>
    <w:p>
      <w:pPr>
        <w:spacing w:after="0" w:line="321"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690" w:right="2673"/>
        <w:jc w:val="center"/>
        <w:rPr>
          <w:b w:val="0"/>
          <w:bCs w:val="0"/>
        </w:rPr>
      </w:pPr>
      <w:bookmarkStart w:name="第十节公司治理" w:id="136"/>
      <w:bookmarkEnd w:id="136"/>
      <w:r>
        <w:rPr>
          <w:b w:val="0"/>
          <w:bCs w:val="0"/>
        </w:rPr>
      </w:r>
      <w:bookmarkStart w:name="_bookmark9" w:id="137"/>
      <w:bookmarkEnd w:id="137"/>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1096" w:firstLine="360"/>
        <w:jc w:val="both"/>
      </w:pPr>
      <w:r>
        <w:rPr>
          <w:spacing w:val="-1"/>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圳证券交易所中小企业板上市公司规范运作指引》及中国证监会有关法律法规的要求，不断完善公司法人治理结构、建立健</w:t>
      </w:r>
      <w:r>
        <w:rPr>
          <w:spacing w:val="-75"/>
        </w:rPr>
        <w:t> </w:t>
      </w:r>
      <w:r>
        <w:rPr>
          <w:spacing w:val="-75"/>
        </w:rPr>
      </w:r>
      <w:r>
        <w:rPr>
          <w:spacing w:val="-2"/>
        </w:rPr>
        <w:t>全公司内部控制体系，进一步规范公司运作，提高公司治理水平。截至报告期末，公司治理的实际情况符合有关上市公司治</w:t>
      </w:r>
      <w:r>
        <w:rPr>
          <w:spacing w:val="-42"/>
        </w:rPr>
        <w:t> </w:t>
      </w:r>
      <w:r>
        <w:rPr>
          <w:spacing w:val="-42"/>
        </w:rPr>
      </w:r>
      <w:r>
        <w:rPr/>
        <w:t>理规范性文件的要求。</w:t>
      </w:r>
    </w:p>
    <w:p>
      <w:pPr>
        <w:pStyle w:val="BodyText"/>
        <w:spacing w:line="240" w:lineRule="auto" w:before="22"/>
        <w:ind w:left="501" w:right="0"/>
        <w:jc w:val="left"/>
      </w:pPr>
      <w:r>
        <w:rPr/>
        <w:t>报告期内，公司建立和修订的治理制度：</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871"/>
        <w:gridCol w:w="4386"/>
        <w:gridCol w:w="1847"/>
        <w:gridCol w:w="2553"/>
      </w:tblGrid>
      <w:tr>
        <w:trPr>
          <w:trHeight w:val="345" w:hRule="exact"/>
        </w:trPr>
        <w:tc>
          <w:tcPr>
            <w:tcW w:w="8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18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34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w:t>
            </w:r>
          </w:p>
        </w:tc>
        <w:tc>
          <w:tcPr>
            <w:tcW w:w="4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w:t>
            </w:r>
          </w:p>
        </w:tc>
        <w:tc>
          <w:tcPr>
            <w:tcW w:w="4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风险投资管理制度（</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0"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3</w:t>
            </w:r>
          </w:p>
        </w:tc>
        <w:tc>
          <w:tcPr>
            <w:tcW w:w="4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5"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4</w:t>
            </w:r>
          </w:p>
        </w:tc>
        <w:tc>
          <w:tcPr>
            <w:tcW w:w="4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07" w:lineRule="auto" w:before="0"/>
        <w:ind w:left="501" w:right="0"/>
        <w:jc w:val="left"/>
      </w:pPr>
      <w:r>
        <w:rPr/>
        <w:t>（一）关于股东与股东大会 </w:t>
      </w:r>
      <w:r>
        <w:rPr>
          <w:spacing w:val="-2"/>
        </w:rPr>
        <w:t>公司严格按照《公司法》、《上市公司股东大会规则》、《公司章程》和《公司股东大会议事规则》的规定和要求，规</w:t>
      </w:r>
    </w:p>
    <w:p>
      <w:pPr>
        <w:pStyle w:val="BodyText"/>
        <w:spacing w:line="321" w:lineRule="auto" w:before="29"/>
        <w:ind w:right="1106"/>
        <w:jc w:val="both"/>
      </w:pPr>
      <w:r>
        <w:rPr>
          <w:spacing w:val="-2"/>
        </w:rPr>
        <w:t>范股东大会的召集、召开、表决程序，包括通知、登记、提案的审议、投票、计票、表决结果的宣布、会议决议的形成、会</w:t>
      </w:r>
      <w:r>
        <w:rPr>
          <w:spacing w:val="-77"/>
        </w:rPr>
        <w:t> </w:t>
      </w:r>
      <w:r>
        <w:rPr>
          <w:spacing w:val="-77"/>
        </w:rPr>
      </w:r>
      <w:r>
        <w:rPr>
          <w:spacing w:val="-2"/>
        </w:rPr>
        <w:t>议记录及其签署、公告等内容，以及股东大会对董事会的授权等，平等对待所有股东，确保全体股东特别是中小股东能充分</w:t>
      </w:r>
      <w:r>
        <w:rPr>
          <w:spacing w:val="-42"/>
        </w:rPr>
        <w:t> </w:t>
      </w:r>
      <w:r>
        <w:rPr>
          <w:spacing w:val="-42"/>
        </w:rPr>
      </w:r>
      <w:r>
        <w:rPr/>
        <w:t>行使权利，并请律师出席见证。</w:t>
      </w:r>
    </w:p>
    <w:p>
      <w:pPr>
        <w:pStyle w:val="BodyText"/>
        <w:spacing w:line="240" w:lineRule="auto" w:before="18"/>
        <w:ind w:left="501" w:right="0"/>
        <w:jc w:val="left"/>
      </w:pPr>
      <w:r>
        <w:rPr/>
        <w:t>根据《上市公司股东大会规则（</w:t>
      </w:r>
      <w:r>
        <w:rPr>
          <w:rFonts w:ascii="宋体" w:hAnsi="宋体" w:cs="宋体" w:eastAsia="宋体" w:hint="default"/>
        </w:rPr>
        <w:t>2016</w:t>
      </w:r>
      <w:r>
        <w:rPr/>
        <w:t>年修订）》及《深圳证券交易所中小企业板上市公司规范运作指引》的要求，修订</w:t>
      </w:r>
    </w:p>
    <w:p>
      <w:pPr>
        <w:pStyle w:val="BodyText"/>
        <w:spacing w:line="321" w:lineRule="auto" w:before="65"/>
        <w:ind w:right="1127"/>
        <w:jc w:val="both"/>
      </w:pPr>
      <w:r>
        <w:rPr>
          <w:spacing w:val="-2"/>
        </w:rPr>
        <w:t>《公司章程》等制度，就审议影响中小投资者利益的重大事项，对中小投资者即单独或合计持有上市公司</w:t>
      </w:r>
      <w:r>
        <w:rPr>
          <w:rFonts w:ascii="宋体" w:hAnsi="宋体" w:cs="宋体" w:eastAsia="宋体" w:hint="default"/>
          <w:spacing w:val="-2"/>
        </w:rPr>
        <w:t>5%</w:t>
      </w:r>
      <w:r>
        <w:rPr>
          <w:spacing w:val="-2"/>
        </w:rPr>
        <w:t>以上股份的股东</w:t>
      </w:r>
      <w:r>
        <w:rPr>
          <w:spacing w:val="-63"/>
        </w:rPr>
        <w:t> </w:t>
      </w:r>
      <w:r>
        <w:rPr/>
        <w:t>以外的其他股东的表决单独计票并披露，切实维护中小投资者利益。</w:t>
      </w:r>
    </w:p>
    <w:p>
      <w:pPr>
        <w:pStyle w:val="BodyText"/>
        <w:spacing w:line="321" w:lineRule="auto" w:before="18"/>
        <w:ind w:left="501" w:right="1119"/>
        <w:jc w:val="left"/>
      </w:pPr>
      <w:r>
        <w:rPr/>
        <w:t>（二）关于公司与实际控制人的关系 公司无控股股东，自</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日起公司无实际控制人。公司具有独立的业务、独立的经营能力和完备的运营系统，</w:t>
      </w:r>
    </w:p>
    <w:p>
      <w:pPr>
        <w:pStyle w:val="BodyText"/>
        <w:spacing w:line="240" w:lineRule="auto" w:before="19"/>
        <w:ind w:right="0"/>
        <w:jc w:val="both"/>
      </w:pPr>
      <w:r>
        <w:rPr/>
        <w:t>业务、人员、资产、机构、财务独立，公司董事会、监事会和内部机构均能够独立运作。</w:t>
      </w:r>
    </w:p>
    <w:p>
      <w:pPr>
        <w:pStyle w:val="BodyText"/>
        <w:spacing w:line="240" w:lineRule="auto" w:before="64"/>
        <w:ind w:left="501" w:right="0"/>
        <w:jc w:val="left"/>
      </w:pPr>
      <w:r>
        <w:rPr/>
        <w:t>（三）关于董事与董事会</w:t>
      </w:r>
    </w:p>
    <w:p>
      <w:pPr>
        <w:pStyle w:val="BodyText"/>
        <w:spacing w:line="321" w:lineRule="auto" w:before="80"/>
        <w:ind w:right="1127" w:firstLine="360"/>
        <w:jc w:val="both"/>
      </w:pPr>
      <w:r>
        <w:rPr/>
        <w:t>《公司章程》规定了董事选聘程序，保证董事选聘公开、公平、公正、独立。公司设董事会，董事会由</w:t>
      </w:r>
      <w:r>
        <w:rPr>
          <w:rFonts w:ascii="宋体" w:hAnsi="宋体" w:cs="宋体" w:eastAsia="宋体" w:hint="default"/>
        </w:rPr>
        <w:t>7</w:t>
      </w:r>
      <w:r>
        <w:rPr/>
        <w:t>名董事组成， 设董事长</w:t>
      </w:r>
      <w:r>
        <w:rPr>
          <w:rFonts w:ascii="宋体" w:hAnsi="宋体" w:cs="宋体" w:eastAsia="宋体" w:hint="default"/>
        </w:rPr>
        <w:t>1</w:t>
      </w:r>
      <w:r>
        <w:rPr/>
        <w:t>名，董事长由全体董事过半数选举产生，董事会成员中有</w:t>
      </w:r>
      <w:r>
        <w:rPr>
          <w:rFonts w:ascii="宋体" w:hAnsi="宋体" w:cs="宋体" w:eastAsia="宋体" w:hint="default"/>
        </w:rPr>
        <w:t>3</w:t>
      </w:r>
      <w:r>
        <w:rPr/>
        <w:t>名独立董事，其中</w:t>
      </w:r>
      <w:r>
        <w:rPr>
          <w:rFonts w:ascii="宋体" w:hAnsi="宋体" w:cs="宋体" w:eastAsia="宋体" w:hint="default"/>
        </w:rPr>
        <w:t>1</w:t>
      </w:r>
      <w:r>
        <w:rPr/>
        <w:t>名为财务专业人士。公司董事会人</w:t>
      </w:r>
      <w:r>
        <w:rPr>
          <w:spacing w:val="-82"/>
        </w:rPr>
        <w:t> </w:t>
      </w:r>
      <w:r>
        <w:rPr/>
        <w:t>数和人员构成符合法律、法规的要求。</w:t>
      </w:r>
    </w:p>
    <w:p>
      <w:pPr>
        <w:pStyle w:val="BodyText"/>
        <w:spacing w:line="304" w:lineRule="auto" w:before="19"/>
        <w:ind w:right="1094" w:firstLine="360"/>
        <w:jc w:val="both"/>
      </w:pPr>
      <w:r>
        <w:rPr>
          <w:spacing w:val="-8"/>
        </w:rPr>
        <w:t>公司明确了董事的职权和义务，建立了《董事会议事规则》和《独立董事工作制度》；董事会设立了战略委员会，提名·薪</w:t>
      </w:r>
      <w:r>
        <w:rPr/>
        <w:t> </w:t>
      </w:r>
      <w:r>
        <w:rPr>
          <w:spacing w:val="-4"/>
        </w:rPr>
        <w:t>酬与考核委员会、审计委员会等</w:t>
      </w:r>
      <w:r>
        <w:rPr>
          <w:rFonts w:ascii="宋体" w:hAnsi="宋体" w:cs="宋体" w:eastAsia="宋体" w:hint="default"/>
          <w:spacing w:val="-4"/>
        </w:rPr>
        <w:t>3</w:t>
      </w:r>
      <w:r>
        <w:rPr>
          <w:spacing w:val="-4"/>
        </w:rPr>
        <w:t>个专业委员会，制订了《战略委员会实施细则》、《提名·薪酬与考核委员会实施细则》、</w:t>
      </w:r>
    </w:p>
    <w:p>
      <w:pPr>
        <w:pStyle w:val="BodyText"/>
        <w:spacing w:line="321" w:lineRule="auto" w:before="31"/>
        <w:ind w:left="501" w:right="1029" w:hanging="361"/>
        <w:jc w:val="left"/>
      </w:pPr>
      <w:r>
        <w:rPr/>
        <w:t>《审计委员会实施细则》。 公司董事会严格按照《公司法》、《深圳证券交易所中小企业板上市公司规范运作指引》等法律法规及《公司章程》、</w:t>
      </w:r>
    </w:p>
    <w:p>
      <w:pPr>
        <w:pStyle w:val="BodyText"/>
        <w:spacing w:line="314" w:lineRule="auto" w:before="19"/>
        <w:ind w:right="1106"/>
        <w:jc w:val="both"/>
      </w:pPr>
      <w:r>
        <w:rPr>
          <w:spacing w:val="-2"/>
        </w:rPr>
        <w:t>《董事会议事规则》的规定开展工作，规范董事会会议召集、召开和表决程序。公司董事积极参加相关知识培训，熟悉有关</w:t>
      </w:r>
      <w:r>
        <w:rPr>
          <w:spacing w:val="-57"/>
        </w:rPr>
        <w:t> </w:t>
      </w:r>
      <w:r>
        <w:rPr>
          <w:spacing w:val="-57"/>
        </w:rPr>
      </w:r>
      <w:r>
        <w:rPr>
          <w:spacing w:val="-5"/>
        </w:rPr>
        <w:t>法律法规，提高了规范运作意识；公司各位董事认真出席董事会和股东大会，执行股东大会决议并依法行使职权；能够勤勉、</w:t>
      </w:r>
      <w:r>
        <w:rPr>
          <w:spacing w:val="-55"/>
        </w:rPr>
        <w:t> </w:t>
      </w:r>
      <w:r>
        <w:rPr>
          <w:spacing w:val="-55"/>
        </w:rPr>
      </w:r>
      <w:r>
        <w:rPr/>
        <w:t>尽责地履行义务和责任，维护公司和股东的利益。</w:t>
      </w:r>
    </w:p>
    <w:p>
      <w:pPr>
        <w:pStyle w:val="BodyText"/>
        <w:spacing w:line="321" w:lineRule="auto" w:before="23"/>
        <w:ind w:left="501" w:right="1133"/>
        <w:jc w:val="left"/>
      </w:pPr>
      <w:r>
        <w:rPr/>
        <w:t>（四）关于监事和监事会 </w:t>
      </w:r>
      <w:r>
        <w:rPr>
          <w:spacing w:val="-2"/>
        </w:rPr>
        <w:t>公司监事会在《公司法》、《公司章程》和股东大会赋予的职权范围内依法并积极行使监督权，建立了《监事会议事规</w:t>
      </w:r>
    </w:p>
    <w:p>
      <w:pPr>
        <w:pStyle w:val="BodyText"/>
        <w:spacing w:line="314" w:lineRule="auto" w:before="18"/>
        <w:ind w:right="1133"/>
        <w:jc w:val="both"/>
      </w:pPr>
      <w:r>
        <w:rPr>
          <w:spacing w:val="-2"/>
        </w:rPr>
        <w:t>则》。公司监事会由</w:t>
      </w:r>
      <w:r>
        <w:rPr>
          <w:rFonts w:ascii="宋体" w:hAnsi="宋体" w:cs="宋体" w:eastAsia="宋体" w:hint="default"/>
          <w:spacing w:val="-2"/>
        </w:rPr>
        <w:t>3</w:t>
      </w:r>
      <w:r>
        <w:rPr>
          <w:spacing w:val="-2"/>
        </w:rPr>
        <w:t>名监事组成，其中</w:t>
      </w:r>
      <w:r>
        <w:rPr>
          <w:rFonts w:ascii="宋体" w:hAnsi="宋体" w:cs="宋体" w:eastAsia="宋体" w:hint="default"/>
          <w:spacing w:val="-2"/>
        </w:rPr>
        <w:t>1</w:t>
      </w:r>
      <w:r>
        <w:rPr>
          <w:spacing w:val="-2"/>
        </w:rPr>
        <w:t>名为职工代表监事。公司监事会严格按照《公司章程》、《监事会议事规则》的规</w:t>
      </w:r>
      <w:r>
        <w:rPr>
          <w:spacing w:val="-73"/>
        </w:rPr>
        <w:t> </w:t>
      </w:r>
      <w:r>
        <w:rPr>
          <w:spacing w:val="-73"/>
        </w:rPr>
      </w:r>
      <w:r>
        <w:rPr>
          <w:spacing w:val="-2"/>
        </w:rPr>
        <w:t>定，规范监事会会议召集、召开和表决程序。公司监事会向股东大会负责，公司监事认真履行职责，诚信、勤勉、尽责地对</w:t>
      </w:r>
      <w:r>
        <w:rPr>
          <w:spacing w:val="-73"/>
        </w:rPr>
        <w:t> </w:t>
      </w:r>
      <w:r>
        <w:rPr>
          <w:spacing w:val="-73"/>
        </w:rPr>
      </w:r>
      <w:r>
        <w:rPr/>
        <w:t>公司财务工作以及公司董事、经理及其他高级管理人员履行职务情况进行监督，维护公司及股东的合法权益。</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33"/>
        <w:jc w:val="left"/>
      </w:pPr>
      <w:r>
        <w:rPr/>
        <w:t>（五）关于绩效评价与激励约束机制 </w:t>
      </w:r>
      <w:r>
        <w:rPr>
          <w:spacing w:val="-2"/>
        </w:rPr>
        <w:t>公司已经建立绩效评价激励体系，经营层的收入与公司经营业绩挂钩。公司高级管理人员薪酬执行基本年薪加年度绩效</w:t>
      </w:r>
    </w:p>
    <w:p>
      <w:pPr>
        <w:pStyle w:val="BodyText"/>
        <w:spacing w:line="307" w:lineRule="auto" w:before="18"/>
        <w:ind w:right="1124"/>
        <w:jc w:val="left"/>
      </w:pPr>
      <w:r>
        <w:rPr>
          <w:spacing w:val="-5"/>
        </w:rPr>
        <w:t>考核的政策，在公司任职的董事、监事和高级管理人员按其岗位及职务，根据公司现行的薪酬制度和业绩考核规定获取薪酬；</w:t>
      </w:r>
      <w:r>
        <w:rPr>
          <w:spacing w:val="-75"/>
        </w:rPr>
        <w:t> </w:t>
      </w:r>
      <w:r>
        <w:rPr>
          <w:spacing w:val="-75"/>
        </w:rPr>
      </w:r>
      <w:r>
        <w:rPr/>
        <w:t>高级管理人员的聘任公开、有效，符合法律法规及公司的有关规定。</w:t>
      </w:r>
    </w:p>
    <w:p>
      <w:pPr>
        <w:pStyle w:val="BodyText"/>
        <w:spacing w:line="321" w:lineRule="auto" w:before="29"/>
        <w:ind w:right="1121" w:firstLine="360"/>
        <w:jc w:val="both"/>
      </w:pPr>
      <w:r>
        <w:rPr>
          <w:spacing w:val="-6"/>
        </w:rPr>
        <w:t>公司通过限制性股票激励计划进一步健全公司长效激励机制，吸引和留住优秀人才，充分调动公司董事、高级管理人员、</w:t>
      </w:r>
      <w:r>
        <w:rPr/>
        <w:t> </w:t>
      </w:r>
      <w:r>
        <w:rPr>
          <w:spacing w:val="-2"/>
        </w:rPr>
        <w:t>中层管理人员及核心业务（技术）人员的积极性，有效地将股东利益、公司利益和激励对象个人利益结合在一起，使各方共</w:t>
      </w:r>
      <w:r>
        <w:rPr>
          <w:spacing w:val="-57"/>
        </w:rPr>
        <w:t> </w:t>
      </w:r>
      <w:r>
        <w:rPr>
          <w:spacing w:val="-57"/>
        </w:rPr>
      </w:r>
      <w:r>
        <w:rPr/>
        <w:t>同关注公司的长远发展，并由公司董事会提名·薪酬与考核委员会负责领导、组织考核工作并审核考核结果。</w:t>
      </w:r>
    </w:p>
    <w:p>
      <w:pPr>
        <w:pStyle w:val="BodyText"/>
        <w:spacing w:line="304" w:lineRule="auto" w:before="18"/>
        <w:ind w:left="501" w:right="0"/>
        <w:jc w:val="left"/>
      </w:pPr>
      <w:r>
        <w:rPr/>
        <w:t>（六）关于信息披露与透明度 </w:t>
      </w:r>
      <w:r>
        <w:rPr>
          <w:spacing w:val="-2"/>
        </w:rPr>
        <w:t>公司根据《深圳证券交易所股票上市规则》、《上市公司信息披露管理办法》、《公司章程》以及公司《信息披露事务</w:t>
      </w:r>
    </w:p>
    <w:p>
      <w:pPr>
        <w:pStyle w:val="BodyText"/>
        <w:spacing w:line="321" w:lineRule="auto" w:before="31"/>
        <w:ind w:right="0"/>
        <w:jc w:val="left"/>
      </w:pPr>
      <w:r>
        <w:rPr>
          <w:spacing w:val="-2"/>
        </w:rPr>
        <w:t>管理制度》等相关法规制度的规定，认真履行信息披露义务。公司指定董事会秘书负责信息披露工作，设立证券事务部并配</w:t>
      </w:r>
      <w:r>
        <w:rPr>
          <w:spacing w:val="-42"/>
        </w:rPr>
        <w:t> </w:t>
      </w:r>
      <w:r>
        <w:rPr>
          <w:spacing w:val="-42"/>
        </w:rPr>
      </w:r>
      <w:r>
        <w:rPr>
          <w:spacing w:val="-2"/>
        </w:rPr>
        <w:t>备了相应人员，真实、准确、及时、公平、完整地披露有关信息，确保公司所有股东能够以平等的机会获得信息。公司指定</w:t>
      </w:r>
    </w:p>
    <w:p>
      <w:pPr>
        <w:pStyle w:val="BodyText"/>
        <w:spacing w:line="321" w:lineRule="auto" w:before="18"/>
        <w:ind w:right="1119"/>
        <w:jc w:val="left"/>
      </w:pPr>
      <w:r>
        <w:rPr/>
        <w:t>《中国证券报》、《证券时报》、《上海证券报》、《证券日报》和巨潮资讯网（</w:t>
      </w:r>
      <w:hyperlink r:id="rId9">
        <w:r>
          <w:rPr>
            <w:rFonts w:ascii="宋体" w:hAnsi="宋体" w:cs="宋体" w:eastAsia="宋体" w:hint="default"/>
          </w:rPr>
          <w:t>www.cninfo.com.cn</w:t>
        </w:r>
      </w:hyperlink>
      <w:r>
        <w:rPr/>
        <w:t>）为公司信息披露的</w:t>
      </w:r>
      <w:r>
        <w:rPr>
          <w:spacing w:val="-80"/>
        </w:rPr>
        <w:t> </w:t>
      </w:r>
      <w:r>
        <w:rPr/>
        <w:t>指定报纸和网站。</w:t>
      </w:r>
    </w:p>
    <w:p>
      <w:pPr>
        <w:pStyle w:val="BodyText"/>
        <w:spacing w:line="321" w:lineRule="auto" w:before="3"/>
        <w:ind w:right="1029" w:firstLine="360"/>
        <w:jc w:val="left"/>
      </w:pPr>
      <w:r>
        <w:rPr>
          <w:spacing w:val="-2"/>
        </w:rPr>
        <w:t>同时，为完善公司信息披露管理制度，加大对年报信息披露责任人的问责力度，提高年报信息披露质量和透明度，公司</w:t>
      </w:r>
      <w:r>
        <w:rPr/>
        <w:t> 董事会制定了《年报信息披露重大差错责任追究制度》，在公司年报信息披露工作中有关人员不履行或者不正确履行职责、</w:t>
      </w:r>
      <w:r>
        <w:rPr>
          <w:spacing w:val="-86"/>
        </w:rPr>
        <w:t> </w:t>
      </w:r>
      <w:r>
        <w:rPr>
          <w:spacing w:val="-86"/>
        </w:rPr>
      </w:r>
      <w:r>
        <w:rPr/>
        <w:t>义务或因其他个人原因，对公司造成重大经济损失或造成不良社会影响时，予以追究责任。</w:t>
      </w:r>
    </w:p>
    <w:p>
      <w:pPr>
        <w:pStyle w:val="BodyText"/>
        <w:spacing w:line="321" w:lineRule="auto" w:before="18"/>
        <w:ind w:left="501" w:right="1029"/>
        <w:jc w:val="left"/>
      </w:pPr>
      <w:r>
        <w:rPr/>
        <w:t>（七）关于相关利益者 公司积极履行企业的社会责任，充分尊重和维护相关利益者的合法权益，加强与各方的沟通和交流，实现股东、员工、</w:t>
      </w:r>
    </w:p>
    <w:p>
      <w:pPr>
        <w:pStyle w:val="BodyText"/>
        <w:spacing w:line="240" w:lineRule="auto" w:before="4"/>
        <w:ind w:right="0"/>
        <w:jc w:val="left"/>
      </w:pPr>
      <w:r>
        <w:rPr/>
        <w:t>社会等各方利益的协调平衡，共同推动公司持续、健康的发展。</w:t>
      </w:r>
    </w:p>
    <w:p>
      <w:pPr>
        <w:pStyle w:val="BodyText"/>
        <w:spacing w:line="321" w:lineRule="auto" w:before="79"/>
        <w:ind w:left="501" w:right="1119"/>
        <w:jc w:val="left"/>
      </w:pPr>
      <w:r>
        <w:rPr/>
        <w:t>（八）关于内部审计制度 公司设立了内部审计部，配置了</w:t>
      </w:r>
      <w:r>
        <w:rPr>
          <w:rFonts w:ascii="宋体" w:hAnsi="宋体" w:cs="宋体" w:eastAsia="宋体" w:hint="default"/>
        </w:rPr>
        <w:t>3</w:t>
      </w:r>
      <w:r>
        <w:rPr/>
        <w:t>名专职审计人员，在董事会审计委员会的领导下对公司及子公司的经济运行质量、经</w:t>
      </w:r>
    </w:p>
    <w:p>
      <w:pPr>
        <w:pStyle w:val="BodyText"/>
        <w:spacing w:line="367" w:lineRule="auto" w:before="18"/>
        <w:ind w:right="3549"/>
        <w:jc w:val="left"/>
      </w:pPr>
      <w:r>
        <w:rPr/>
        <w:t>济效益、内控的制度和执行、各项费用的使用以及资产情况进行审计和监督。</w:t>
      </w:r>
      <w:r>
        <w:rPr>
          <w:spacing w:val="-84"/>
        </w:rPr>
        <w:t> </w:t>
      </w:r>
      <w:r>
        <w:rPr>
          <w:spacing w:val="-84"/>
        </w:rPr>
      </w:r>
      <w:r>
        <w:rPr/>
        <w:t>公司治理的实际状况与中国证监会发布的有关上市公司治理的规范性文件是否存在重大差异</w:t>
      </w:r>
    </w:p>
    <w:p>
      <w:pPr>
        <w:pStyle w:val="BodyText"/>
        <w:spacing w:line="316" w:lineRule="auto" w:before="29"/>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13"/>
        <w:rPr>
          <w:rFonts w:ascii="宋体" w:hAnsi="宋体" w:cs="宋体" w:eastAsia="宋体" w:hint="default"/>
          <w:b/>
          <w:bCs/>
          <w:sz w:val="24"/>
          <w:szCs w:val="24"/>
        </w:rPr>
      </w:pPr>
    </w:p>
    <w:p>
      <w:pPr>
        <w:pStyle w:val="BodyText"/>
        <w:spacing w:line="316" w:lineRule="auto" w:before="0"/>
        <w:ind w:right="1121" w:firstLine="360"/>
        <w:jc w:val="both"/>
      </w:pPr>
      <w:r>
        <w:rPr/>
        <w:t>公司无控股股东，自</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日起公司无实际控制人。公司在业务、人员、资产、机构及财务等方面完全独立，不 </w:t>
      </w:r>
      <w:r>
        <w:rPr>
          <w:spacing w:val="-2"/>
        </w:rPr>
        <w:t>存在公司与控股股东在业务、人员、资产、机构、财务等方面的问题。同时公司的股东及其关联公司未以其他任何形式占用</w:t>
      </w:r>
      <w:r>
        <w:rPr>
          <w:spacing w:val="-57"/>
        </w:rPr>
        <w:t> </w:t>
      </w:r>
      <w:r>
        <w:rPr>
          <w:spacing w:val="-57"/>
        </w:rPr>
      </w:r>
      <w:r>
        <w:rPr>
          <w:spacing w:val="-2"/>
        </w:rPr>
        <w:t>公司的货币资金或其他资产。公司严格按照《公司法》和公司章程规范运作，建立健全公司的法人治理结构，公司具有独立</w:t>
      </w:r>
      <w:r>
        <w:rPr>
          <w:spacing w:val="-57"/>
        </w:rPr>
        <w:t> </w:t>
      </w:r>
      <w:r>
        <w:rPr>
          <w:spacing w:val="-57"/>
        </w:rPr>
      </w:r>
      <w:r>
        <w:rPr/>
        <w:t>完整的业务及自主经营能力。</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40"/>
      <w:bookmarkEnd w:id="140"/>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31.84%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详见公司在巨潮资 讯网披露的《</w:t>
            </w:r>
            <w:r>
              <w:rPr>
                <w:rFonts w:ascii="Times New Roman" w:hAnsi="Times New Roman" w:cs="Times New Roman" w:eastAsia="Times New Roman" w:hint="default"/>
                <w:sz w:val="18"/>
                <w:szCs w:val="18"/>
              </w:rPr>
              <w:t>2018</w:t>
            </w:r>
          </w:p>
        </w:tc>
      </w:tr>
    </w:tbl>
    <w:p>
      <w:pPr>
        <w:spacing w:after="0" w:line="321"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975"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2019-034</w:t>
            </w:r>
            <w:r>
              <w:rPr>
                <w:rFonts w:ascii="宋体" w:hAnsi="宋体" w:cs="宋体" w:eastAsia="宋体" w:hint="default"/>
                <w:sz w:val="18"/>
                <w:szCs w:val="18"/>
              </w:rPr>
              <w:t>）</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6"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2" w:lineRule="auto"/>
        <w:ind w:right="6249"/>
        <w:jc w:val="left"/>
      </w:pPr>
      <w:r>
        <w:rPr/>
        <w:t>连续两次未亲自出席董事会的说明 公司未有独立董事出现连续两次未亲自出席董事会情况。</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独立董事对公司有关事项是否提出异议</w:t>
      </w:r>
    </w:p>
    <w:p>
      <w:pPr>
        <w:pStyle w:val="BodyText"/>
        <w:spacing w:line="331" w:lineRule="auto" w:before="125"/>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独立董事对公司有关建议是否被采纳</w:t>
      </w:r>
    </w:p>
    <w:p>
      <w:pPr>
        <w:pStyle w:val="BodyText"/>
        <w:spacing w:line="319" w:lineRule="auto" w:before="125"/>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19" w:lineRule="auto" w:before="65"/>
        <w:ind w:right="1029" w:firstLine="360"/>
        <w:jc w:val="left"/>
      </w:pPr>
      <w:r>
        <w:rPr>
          <w:spacing w:val="-2"/>
        </w:rPr>
        <w:t>公司独立董事根据《公司法》、《证券法》等法律法规及《公司章程》和《独立董事工作制度》等的规定，关注公司运</w:t>
      </w:r>
      <w:r>
        <w:rPr/>
        <w:t> </w:t>
      </w:r>
      <w:r>
        <w:rPr>
          <w:spacing w:val="-2"/>
        </w:rPr>
        <w:t>作的规范性，独立履行职责，对公司的制度完善和日常经营决策等方面提出了许多宝贵的专业性意见，对报告期内公司发生</w:t>
      </w:r>
      <w:r>
        <w:rPr>
          <w:spacing w:val="-75"/>
        </w:rPr>
        <w:t> </w:t>
      </w:r>
      <w:r>
        <w:rPr>
          <w:spacing w:val="-75"/>
        </w:rPr>
      </w:r>
      <w:r>
        <w:rPr>
          <w:spacing w:val="-2"/>
        </w:rPr>
        <w:t>的计提资产减值准备、聘请年度报告审计机构、担保、利润分配方案、募集资金存放与使用情况、</w:t>
      </w:r>
      <w:r>
        <w:rPr>
          <w:rFonts w:ascii="宋体" w:hAnsi="宋体" w:cs="宋体" w:eastAsia="宋体" w:hint="default"/>
          <w:spacing w:val="-2"/>
        </w:rPr>
        <w:t>2016</w:t>
      </w:r>
      <w:r>
        <w:rPr>
          <w:spacing w:val="-2"/>
        </w:rPr>
        <w:t>年及</w:t>
      </w:r>
      <w:r>
        <w:rPr>
          <w:rFonts w:ascii="宋体" w:hAnsi="宋体" w:cs="宋体" w:eastAsia="宋体" w:hint="default"/>
          <w:spacing w:val="-2"/>
        </w:rPr>
        <w:t>2017</w:t>
      </w:r>
      <w:r>
        <w:rPr>
          <w:spacing w:val="-2"/>
        </w:rPr>
        <w:t>年限制性股</w:t>
      </w:r>
      <w:r>
        <w:rPr>
          <w:spacing w:val="-40"/>
        </w:rPr>
        <w:t> </w:t>
      </w:r>
      <w:r>
        <w:rPr/>
        <w:t>票回购、解除限售事项、会计政策变更、全资子公司开展保理业务暨关联交易等需要独立董事发表意见的事项出具了独立、 </w:t>
      </w:r>
      <w:r>
        <w:rPr>
          <w:spacing w:val="-2"/>
        </w:rPr>
        <w:t>公正的独立董事意见，为完善公司监督机制，维护公司和全体股东的合法权益发挥了积极的作用。独立董事对公司有关建议</w:t>
      </w:r>
      <w:r>
        <w:rPr>
          <w:spacing w:val="-72"/>
        </w:rPr>
        <w:t> </w:t>
      </w:r>
      <w:r>
        <w:rPr>
          <w:spacing w:val="-72"/>
        </w:rPr>
      </w:r>
      <w:r>
        <w:rPr/>
        <w:t>均被采纳。</w:t>
      </w:r>
    </w:p>
    <w:p>
      <w:pPr>
        <w:spacing w:after="0" w:line="319"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6"/>
          <w:szCs w:val="26"/>
        </w:rPr>
      </w:pPr>
    </w:p>
    <w:p>
      <w:pPr>
        <w:pStyle w:val="BodyText"/>
        <w:spacing w:line="314" w:lineRule="auto" w:before="0"/>
        <w:ind w:right="1106" w:firstLine="360"/>
        <w:jc w:val="both"/>
      </w:pPr>
      <w:r>
        <w:rPr/>
        <w:t>公司董事会下设三个专门委员会，分别为审计委员会、战略委员会、提名•薪酬与考核委员会。</w:t>
      </w:r>
      <w:r>
        <w:rPr>
          <w:rFonts w:ascii="宋体" w:hAnsi="宋体" w:cs="宋体" w:eastAsia="宋体" w:hint="default"/>
        </w:rPr>
        <w:t>2019</w:t>
      </w:r>
      <w:r>
        <w:rPr/>
        <w:t>年各专门委员会本 </w:t>
      </w:r>
      <w:r>
        <w:rPr>
          <w:spacing w:val="-2"/>
        </w:rPr>
        <w:t>着勤勉尽责的原则，按照有关法律法规、规范性文件及公司各专门委员会工作细则的有关规定开展相关工作，报告期内，各</w:t>
      </w:r>
      <w:r>
        <w:rPr>
          <w:spacing w:val="-42"/>
        </w:rPr>
        <w:t> </w:t>
      </w:r>
      <w:r>
        <w:rPr>
          <w:spacing w:val="-42"/>
        </w:rPr>
      </w:r>
      <w:r>
        <w:rPr/>
        <w:t>专门委员会履职情况如下：</w:t>
      </w:r>
    </w:p>
    <w:p>
      <w:pPr>
        <w:pStyle w:val="BodyText"/>
        <w:spacing w:line="321" w:lineRule="auto" w:before="24"/>
        <w:ind w:left="501" w:right="1029"/>
        <w:jc w:val="left"/>
      </w:pPr>
      <w:r>
        <w:rPr/>
        <w:t>（一）审计委员会 报告期内，审计委员会根据《董事会审计委员会实施细则》及其他有关规定积极开展工作，认真履行职责。报告期内，</w:t>
      </w:r>
    </w:p>
    <w:p>
      <w:pPr>
        <w:pStyle w:val="BodyText"/>
        <w:spacing w:line="316" w:lineRule="auto" w:before="18"/>
        <w:ind w:right="1135"/>
        <w:jc w:val="both"/>
      </w:pPr>
      <w:r>
        <w:rPr>
          <w:spacing w:val="-2"/>
        </w:rPr>
        <w:t>审计委员会召开了多次会议，审查了公司内部控制制度及执行情况，审核了公司所有重要的会计政策，定期了解公司财务状</w:t>
      </w:r>
      <w:r>
        <w:rPr>
          <w:spacing w:val="-75"/>
        </w:rPr>
        <w:t> </w:t>
      </w:r>
      <w:r>
        <w:rPr>
          <w:spacing w:val="-75"/>
        </w:rPr>
      </w:r>
      <w:r>
        <w:rPr>
          <w:spacing w:val="-2"/>
        </w:rPr>
        <w:t>况和经营情况，督促和指导公司审计部门对公司财务管理运行情况进行定期和不定期的检查和评估。委员会认为公司内控制</w:t>
      </w:r>
      <w:r>
        <w:rPr>
          <w:spacing w:val="-72"/>
        </w:rPr>
        <w:t> </w:t>
      </w:r>
      <w:r>
        <w:rPr>
          <w:spacing w:val="-72"/>
        </w:rPr>
      </w:r>
      <w:r>
        <w:rPr>
          <w:spacing w:val="-2"/>
        </w:rPr>
        <w:t>度体系符合法律、法规及《公司章程》的要求，适应当前公司生产经营实际情况的需要。同时，审计委员会还就下列事项展</w:t>
      </w:r>
      <w:r>
        <w:rPr>
          <w:spacing w:val="-72"/>
        </w:rPr>
        <w:t> </w:t>
      </w:r>
      <w:r>
        <w:rPr>
          <w:spacing w:val="-72"/>
        </w:rPr>
      </w:r>
      <w:r>
        <w:rPr/>
        <w:t>开工作：</w:t>
      </w:r>
    </w:p>
    <w:p>
      <w:pPr>
        <w:pStyle w:val="BodyText"/>
        <w:spacing w:line="321" w:lineRule="auto" w:before="22"/>
        <w:ind w:right="1137" w:firstLine="360"/>
        <w:jc w:val="both"/>
      </w:pPr>
      <w:r>
        <w:rPr/>
        <w:t>（</w:t>
      </w:r>
      <w:r>
        <w:rPr>
          <w:rFonts w:ascii="宋体" w:hAnsi="宋体" w:cs="宋体" w:eastAsia="宋体" w:hint="default"/>
        </w:rPr>
        <w:t>1</w:t>
      </w:r>
      <w:r>
        <w:rPr/>
        <w:t>）与会计师事务所就年度审计报告编制进行沟通和交流，要求审计机构密切关注中国证监会、深圳证券交易所等监 管部门对年报审计工作的相关政策和要求，确保审计的独立性并保质保量如期完成审计工作；</w:t>
      </w:r>
    </w:p>
    <w:p>
      <w:pPr>
        <w:pStyle w:val="BodyText"/>
        <w:spacing w:line="240" w:lineRule="auto" w:before="19"/>
        <w:ind w:left="501" w:right="0"/>
        <w:jc w:val="left"/>
      </w:pPr>
      <w:r>
        <w:rPr/>
        <w:t>（</w:t>
      </w:r>
      <w:r>
        <w:rPr>
          <w:rFonts w:ascii="宋体" w:hAnsi="宋体" w:cs="宋体" w:eastAsia="宋体" w:hint="default"/>
        </w:rPr>
        <w:t>2</w:t>
      </w:r>
      <w:r>
        <w:rPr/>
        <w:t>）审查公司</w:t>
      </w:r>
      <w:r>
        <w:rPr>
          <w:rFonts w:ascii="宋体" w:hAnsi="宋体" w:cs="宋体" w:eastAsia="宋体" w:hint="default"/>
        </w:rPr>
        <w:t>2018</w:t>
      </w:r>
      <w:r>
        <w:rPr/>
        <w:t>年度内控自我评价报告；</w:t>
      </w:r>
    </w:p>
    <w:p>
      <w:pPr>
        <w:pStyle w:val="BodyText"/>
        <w:spacing w:line="240" w:lineRule="auto" w:before="65"/>
        <w:ind w:left="501" w:right="0"/>
        <w:jc w:val="left"/>
      </w:pPr>
      <w:r>
        <w:rPr/>
        <w:t>（</w:t>
      </w:r>
      <w:r>
        <w:rPr>
          <w:rFonts w:ascii="宋体" w:hAnsi="宋体" w:cs="宋体" w:eastAsia="宋体" w:hint="default"/>
        </w:rPr>
        <w:t>3</w:t>
      </w:r>
      <w:r>
        <w:rPr/>
        <w:t>）在年审期间，与负责年审的注册会计师充分沟通，关注年审进展；</w:t>
      </w:r>
    </w:p>
    <w:p>
      <w:pPr>
        <w:pStyle w:val="BodyText"/>
        <w:spacing w:line="240" w:lineRule="auto" w:before="79"/>
        <w:ind w:left="501" w:right="0"/>
        <w:jc w:val="left"/>
      </w:pPr>
      <w:r>
        <w:rPr/>
        <w:t>（</w:t>
      </w:r>
      <w:r>
        <w:rPr>
          <w:rFonts w:ascii="宋体" w:hAnsi="宋体" w:cs="宋体" w:eastAsia="宋体" w:hint="default"/>
        </w:rPr>
        <w:t>4</w:t>
      </w:r>
      <w:r>
        <w:rPr/>
        <w:t>）审议公司审计部门提交的季度工作报告等；</w:t>
      </w:r>
    </w:p>
    <w:p>
      <w:pPr>
        <w:pStyle w:val="BodyText"/>
        <w:spacing w:line="240" w:lineRule="auto" w:before="80"/>
        <w:ind w:left="501" w:right="0"/>
        <w:jc w:val="left"/>
      </w:pPr>
      <w:r>
        <w:rPr/>
        <w:t>（</w:t>
      </w:r>
      <w:r>
        <w:rPr>
          <w:rFonts w:ascii="宋体" w:hAnsi="宋体" w:cs="宋体" w:eastAsia="宋体" w:hint="default"/>
        </w:rPr>
        <w:t>5</w:t>
      </w:r>
      <w:r>
        <w:rPr/>
        <w:t>）对会计师事务所的工作进行评价和总结，并向董事会提出续聘议案。</w:t>
      </w:r>
    </w:p>
    <w:p>
      <w:pPr>
        <w:pStyle w:val="BodyText"/>
        <w:spacing w:line="321" w:lineRule="auto" w:before="79"/>
        <w:ind w:left="501" w:right="0"/>
        <w:jc w:val="left"/>
      </w:pPr>
      <w:r>
        <w:rPr/>
        <w:t>（二）战略委员会 </w:t>
      </w:r>
      <w:r>
        <w:rPr>
          <w:spacing w:val="-2"/>
        </w:rPr>
        <w:t>报告期内，战略委员会积极履行职责，研究公司的中长期发展计划在关于</w:t>
      </w:r>
      <w:r>
        <w:rPr>
          <w:rFonts w:ascii="宋体" w:hAnsi="宋体" w:cs="宋体" w:eastAsia="宋体" w:hint="default"/>
          <w:spacing w:val="-2"/>
        </w:rPr>
        <w:t>2015</w:t>
      </w:r>
      <w:r>
        <w:rPr>
          <w:spacing w:val="-2"/>
        </w:rPr>
        <w:t>年非公开发行股票募投项目结项并拟将节</w:t>
      </w:r>
    </w:p>
    <w:p>
      <w:pPr>
        <w:pStyle w:val="BodyText"/>
        <w:spacing w:line="321" w:lineRule="auto" w:before="3"/>
        <w:ind w:right="1029"/>
        <w:jc w:val="left"/>
      </w:pPr>
      <w:r>
        <w:rPr>
          <w:spacing w:val="-2"/>
        </w:rPr>
        <w:t>余募集资金永久性补充流动资金、关于公司拟调整发展战略、关于拟清算股权投资基金暨关联交易、关于参与投资股权投资</w:t>
      </w:r>
      <w:r>
        <w:rPr>
          <w:spacing w:val="-75"/>
        </w:rPr>
        <w:t> </w:t>
      </w:r>
      <w:r>
        <w:rPr>
          <w:spacing w:val="-75"/>
        </w:rPr>
      </w:r>
      <w:r>
        <w:rPr/>
        <w:t>基金等事项上均进行了认真的讨论和分析，提出意见和建议，并出具专门的审核意见，对增强公司核心竞争力和战略转型，</w:t>
      </w:r>
      <w:r>
        <w:rPr>
          <w:spacing w:val="-84"/>
        </w:rPr>
        <w:t> </w:t>
      </w:r>
      <w:r>
        <w:rPr>
          <w:spacing w:val="-84"/>
        </w:rPr>
      </w:r>
      <w:r>
        <w:rPr/>
        <w:t>加强决策的科学性，提高决策效益和质量发挥了重要作用。</w:t>
      </w:r>
    </w:p>
    <w:p>
      <w:pPr>
        <w:pStyle w:val="BodyText"/>
        <w:spacing w:line="321" w:lineRule="auto" w:before="18"/>
        <w:ind w:left="501" w:right="1119"/>
        <w:jc w:val="left"/>
      </w:pPr>
      <w:r>
        <w:rPr/>
        <w:t>（三）提名•薪酬与考核委员会 报告期内，提名•薪酬与考核委员会审核了公司董事、监事及高级管理人员</w:t>
      </w:r>
      <w:r>
        <w:rPr>
          <w:rFonts w:ascii="宋体" w:hAnsi="宋体" w:cs="宋体" w:eastAsia="宋体" w:hint="default"/>
        </w:rPr>
        <w:t>2018</w:t>
      </w:r>
      <w:r>
        <w:rPr/>
        <w:t>年度从公司领取的报酬情况，认为总体</w:t>
      </w:r>
    </w:p>
    <w:p>
      <w:pPr>
        <w:pStyle w:val="BodyText"/>
        <w:spacing w:line="321" w:lineRule="auto" w:before="3"/>
        <w:ind w:right="0"/>
        <w:jc w:val="left"/>
      </w:pPr>
      <w:r>
        <w:rPr/>
        <w:t>薪酬情况符合实际，合情合理；审核了公司</w:t>
      </w:r>
      <w:r>
        <w:rPr>
          <w:rFonts w:ascii="宋体" w:hAnsi="宋体" w:cs="宋体" w:eastAsia="宋体" w:hint="default"/>
        </w:rPr>
        <w:t>2016</w:t>
      </w:r>
      <w:r>
        <w:rPr/>
        <w:t>年、</w:t>
      </w:r>
      <w:r>
        <w:rPr>
          <w:rFonts w:ascii="宋体" w:hAnsi="宋体" w:cs="宋体" w:eastAsia="宋体" w:hint="default"/>
        </w:rPr>
        <w:t>2017</w:t>
      </w:r>
      <w:r>
        <w:rPr/>
        <w:t>年限制性股票激励计划的激励对象</w:t>
      </w:r>
      <w:r>
        <w:rPr>
          <w:rFonts w:ascii="宋体" w:hAnsi="宋体" w:cs="宋体" w:eastAsia="宋体" w:hint="default"/>
        </w:rPr>
        <w:t>2018</w:t>
      </w:r>
      <w:r>
        <w:rPr/>
        <w:t>年度考核结果；审议</w:t>
      </w:r>
      <w:r>
        <w:rPr>
          <w:rFonts w:ascii="宋体" w:hAnsi="宋体" w:cs="宋体" w:eastAsia="宋体" w:hint="default"/>
        </w:rPr>
        <w:t>2016</w:t>
      </w:r>
      <w:r>
        <w:rPr>
          <w:rFonts w:ascii="宋体" w:hAnsi="宋体" w:cs="宋体" w:eastAsia="宋体" w:hint="default"/>
          <w:spacing w:val="-83"/>
        </w:rPr>
        <w:t> </w:t>
      </w:r>
      <w:r>
        <w:rPr>
          <w:spacing w:val="-2"/>
        </w:rPr>
        <w:t>年限制性股票激励计划（首期）第三个解除限售期、</w:t>
      </w:r>
      <w:r>
        <w:rPr>
          <w:rFonts w:ascii="宋体" w:hAnsi="宋体" w:cs="宋体" w:eastAsia="宋体" w:hint="default"/>
          <w:spacing w:val="-2"/>
        </w:rPr>
        <w:t>2016</w:t>
      </w:r>
      <w:r>
        <w:rPr>
          <w:spacing w:val="-2"/>
        </w:rPr>
        <w:t>年限制性股票激励计划（预留部分）第二个解除限售期、</w:t>
      </w:r>
      <w:r>
        <w:rPr>
          <w:rFonts w:ascii="宋体" w:hAnsi="宋体" w:cs="宋体" w:eastAsia="宋体" w:hint="default"/>
          <w:spacing w:val="-2"/>
        </w:rPr>
        <w:t>2017</w:t>
      </w:r>
      <w:r>
        <w:rPr>
          <w:spacing w:val="-2"/>
        </w:rPr>
        <w:t>年限</w:t>
      </w:r>
      <w:r>
        <w:rPr>
          <w:spacing w:val="-55"/>
        </w:rPr>
        <w:t> </w:t>
      </w:r>
      <w:r>
        <w:rPr>
          <w:spacing w:val="-2"/>
        </w:rPr>
        <w:t>制性股票激励计划（首期）第二个解除限售期、</w:t>
      </w:r>
      <w:r>
        <w:rPr>
          <w:rFonts w:ascii="宋体" w:hAnsi="宋体" w:cs="宋体" w:eastAsia="宋体" w:hint="default"/>
          <w:spacing w:val="-2"/>
        </w:rPr>
        <w:t>2017</w:t>
      </w:r>
      <w:r>
        <w:rPr>
          <w:spacing w:val="-2"/>
        </w:rPr>
        <w:t>年限制性股票激励计划（预留部分）第一个解除限售期解除限售的相关</w:t>
      </w:r>
      <w:r>
        <w:rPr>
          <w:spacing w:val="-50"/>
        </w:rPr>
        <w:t> </w:t>
      </w:r>
      <w:r>
        <w:rPr>
          <w:spacing w:val="-50"/>
        </w:rPr>
      </w:r>
      <w:r>
        <w:rPr>
          <w:spacing w:val="-2"/>
        </w:rPr>
        <w:t>事项。针对相关事项都出具了审核意见，有效加强了公司治理的合法合规，充分调动公司董事、高级管理人员、中层管理人</w:t>
      </w:r>
      <w:r>
        <w:rPr>
          <w:spacing w:val="-57"/>
        </w:rPr>
        <w:t> </w:t>
      </w:r>
      <w:r>
        <w:rPr>
          <w:spacing w:val="-57"/>
        </w:rPr>
      </w:r>
      <w:r>
        <w:rPr/>
        <w:t>员及核心业务（技术）人员的积极性，有效地将股东利益、公司利益和激励对象个人利益结合在一起。</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19" w:lineRule="auto" w:before="140"/>
        <w:ind w:right="76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监事会对报告期内的监督事项无异议。</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before="0"/>
        <w:ind w:right="1098" w:firstLine="360"/>
        <w:jc w:val="both"/>
      </w:pPr>
      <w:r>
        <w:rPr>
          <w:spacing w:val="-1"/>
        </w:rPr>
        <w:t>公司建立了公正、合理、有效的高级管理人员绩效考核评价体系，以公司规范化管理以及经营效益稳步提升为基础，明</w:t>
      </w:r>
      <w:r>
        <w:rPr/>
        <w:t> 确责任。董事会提名•薪酬与考核委员会具体审议高级管理人员的薪酬奖励方案，根据公司实际经营完成情况以及高级管理 </w:t>
      </w:r>
      <w:r>
        <w:rPr>
          <w:spacing w:val="-2"/>
        </w:rPr>
        <w:t>人员的工作绩效，对高级管理人员进行年度绩效考核，并监督薪酬制度执行情况。报告期内，本公司高级管理人员严格按照</w:t>
      </w:r>
    </w:p>
    <w:p>
      <w:pPr>
        <w:pStyle w:val="BodyText"/>
        <w:spacing w:line="240" w:lineRule="auto" w:before="3"/>
        <w:ind w:right="0"/>
        <w:jc w:val="left"/>
      </w:pPr>
      <w:r>
        <w:rPr/>
        <w:t>《公司法》等法律法规及《公司章程》，认真履行职责。</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r>
        <w:rPr/>
        <w:pict>
          <v:shape style="position:absolute;margin-left:304.877014pt;margin-top:347.549988pt;width:230.6pt;height:46.55pt;mso-position-horizontal-relative:page;mso-position-vertical-relative:page;z-index:-115945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公司控制环境无效；</w:t>
                  </w:r>
                </w:p>
              </w:txbxContent>
            </v:textbox>
            <w10:wrap type="none"/>
          </v:shape>
        </w:pict>
      </w:r>
    </w:p>
    <w:p>
      <w:pPr>
        <w:pStyle w:val="Heading2"/>
        <w:spacing w:line="240" w:lineRule="auto" w:before="26"/>
        <w:ind w:right="0"/>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line="931" w:lineRule="exact"/>
        <w:ind w:left="6659"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52.450pt;height:46.55pt;mso-position-horizontal-relative:char;mso-position-vertical-relative:line" coordorigin="0,0" coordsize="3049,931">
            <v:group style="position:absolute;left:0;top:0;width:3049;height:931" coordorigin="0,0" coordsize="3049,931">
              <v:shape style="position:absolute;left:0;top:0;width:3049;height:931" coordorigin="0,0" coordsize="3049,931" path="m0,931l3049,931,3049,0,0,0,0,931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40" w:lineRule="auto"/>
        <w:ind w:left="0" w:right="1126"/>
        <w:jc w:val="right"/>
      </w:pPr>
      <w:r>
        <w:rPr/>
        <w:pict>
          <v:shape style="position:absolute;margin-left:56.325001pt;margin-top:-517.248291pt;width:480.25pt;height:566.050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3"/>
                    <w:gridCol w:w="3064"/>
                  </w:tblGrid>
                  <w:tr>
                    <w:trPr>
                      <w:trHeight w:val="4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年度内部控制自我评价报告（巨潮资讯网</w:t>
                        </w:r>
                        <w:r>
                          <w:rPr>
                            <w:rFonts w:ascii="宋体" w:hAnsi="宋体" w:cs="宋体" w:eastAsia="宋体" w:hint="default"/>
                            <w:spacing w:val="-63"/>
                            <w:sz w:val="18"/>
                            <w:szCs w:val="18"/>
                          </w:rPr>
                          <w:t> </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7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8" w:right="47"/>
                          <w:jc w:val="both"/>
                          <w:rPr>
                            <w:rFonts w:ascii="宋体" w:hAnsi="宋体" w:cs="宋体" w:eastAsia="宋体" w:hint="default"/>
                            <w:sz w:val="18"/>
                            <w:szCs w:val="18"/>
                          </w:rPr>
                        </w:pPr>
                        <w:r>
                          <w:rPr>
                            <w:rFonts w:ascii="宋体" w:hAnsi="宋体" w:cs="宋体" w:eastAsia="宋体" w:hint="default"/>
                            <w:sz w:val="18"/>
                            <w:szCs w:val="18"/>
                          </w:rPr>
                          <w:t>出现下列情形的，认定为存在财务报告内 </w:t>
                        </w:r>
                        <w:r>
                          <w:rPr>
                            <w:rFonts w:ascii="宋体" w:hAnsi="宋体" w:cs="宋体" w:eastAsia="宋体" w:hint="default"/>
                            <w:spacing w:val="-11"/>
                            <w:sz w:val="18"/>
                            <w:szCs w:val="18"/>
                          </w:rPr>
                          <w:t>部控制重大缺陷：（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p>
                      <w:p>
                        <w:pPr>
                          <w:pStyle w:val="TableParagraph"/>
                          <w:spacing w:line="288" w:lineRule="auto"/>
                          <w:ind w:left="18" w:right="1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）公司董事、监事和高级管理人员的舞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w:t>
                        </w:r>
                        <w:r>
                          <w:rPr>
                            <w:rFonts w:ascii="宋体" w:hAnsi="宋体" w:cs="宋体" w:eastAsia="宋体" w:hint="default"/>
                            <w:spacing w:val="-84"/>
                            <w:sz w:val="18"/>
                            <w:szCs w:val="18"/>
                          </w:rPr>
                          <w:t> </w:t>
                        </w:r>
                        <w:r>
                          <w:rPr>
                            <w:rFonts w:ascii="宋体" w:hAnsi="宋体" w:cs="宋体" w:eastAsia="宋体" w:hint="default"/>
                            <w:sz w:val="18"/>
                            <w:szCs w:val="18"/>
                          </w:rPr>
                          <w:t>告存在重大错报，而公司内部控制在运行</w:t>
                        </w:r>
                      </w:p>
                      <w:p>
                        <w:pPr>
                          <w:pStyle w:val="TableParagraph"/>
                          <w:spacing w:line="304" w:lineRule="auto" w:before="58"/>
                          <w:ind w:left="18" w:right="44"/>
                          <w:jc w:val="both"/>
                          <w:rPr>
                            <w:rFonts w:ascii="宋体" w:hAnsi="宋体" w:cs="宋体" w:eastAsia="宋体" w:hint="default"/>
                            <w:sz w:val="18"/>
                            <w:szCs w:val="18"/>
                          </w:rPr>
                        </w:pPr>
                        <w:r>
                          <w:rPr>
                            <w:rFonts w:ascii="宋体" w:hAnsi="宋体" w:cs="宋体" w:eastAsia="宋体" w:hint="default"/>
                            <w:spacing w:val="-5"/>
                            <w:sz w:val="18"/>
                            <w:szCs w:val="18"/>
                          </w:rPr>
                          <w:t>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w:t>
                        </w:r>
                        <w:r>
                          <w:rPr>
                            <w:rFonts w:ascii="宋体" w:hAnsi="宋体" w:cs="宋体" w:eastAsia="宋体" w:hint="default"/>
                            <w:spacing w:val="-83"/>
                            <w:sz w:val="18"/>
                            <w:szCs w:val="18"/>
                          </w:rPr>
                          <w:t> </w:t>
                        </w:r>
                        <w:r>
                          <w:rPr>
                            <w:rFonts w:ascii="宋体" w:hAnsi="宋体" w:cs="宋体" w:eastAsia="宋体" w:hint="default"/>
                            <w:sz w:val="18"/>
                            <w:szCs w:val="18"/>
                          </w:rPr>
                          <w:t>员会和内部审计机构对内部控制的监督无 效。出现下列情形的，认定为存在财务报</w:t>
                        </w:r>
                      </w:p>
                      <w:p>
                        <w:pPr>
                          <w:pStyle w:val="TableParagraph"/>
                          <w:spacing w:line="300" w:lineRule="auto" w:before="46"/>
                          <w:ind w:left="18" w:right="44"/>
                          <w:jc w:val="both"/>
                          <w:rPr>
                            <w:rFonts w:ascii="宋体" w:hAnsi="宋体" w:cs="宋体" w:eastAsia="宋体" w:hint="default"/>
                            <w:sz w:val="18"/>
                            <w:szCs w:val="18"/>
                          </w:rPr>
                        </w:pPr>
                        <w:r>
                          <w:rPr>
                            <w:rFonts w:ascii="宋体" w:hAnsi="宋体" w:cs="宋体" w:eastAsia="宋体" w:hint="default"/>
                            <w:spacing w:val="-5"/>
                            <w:sz w:val="18"/>
                            <w:szCs w:val="18"/>
                          </w:rPr>
                          <w:t>告内部控制重要缺陷：（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3"/>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2"/>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3"/>
                            <w:sz w:val="18"/>
                            <w:szCs w:val="18"/>
                          </w:rPr>
                          <w:t> </w:t>
                        </w:r>
                        <w:r>
                          <w:rPr>
                            <w:rFonts w:ascii="宋体" w:hAnsi="宋体" w:cs="宋体" w:eastAsia="宋体" w:hint="default"/>
                            <w:sz w:val="18"/>
                            <w:szCs w:val="18"/>
                          </w:rPr>
                          <w:t>或特殊交易的账务处理没有建立相应的控 制机制或没有实施且没有相应的补偿性控</w:t>
                        </w:r>
                      </w:p>
                      <w:p>
                        <w:pPr>
                          <w:pStyle w:val="TableParagraph"/>
                          <w:spacing w:line="297" w:lineRule="auto" w:before="50"/>
                          <w:ind w:left="18" w:right="46"/>
                          <w:jc w:val="both"/>
                          <w:rPr>
                            <w:rFonts w:ascii="宋体" w:hAnsi="宋体" w:cs="宋体" w:eastAsia="宋体" w:hint="default"/>
                            <w:sz w:val="18"/>
                            <w:szCs w:val="18"/>
                          </w:rPr>
                        </w:pP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财务报表达到真实、完整的目标。一般缺</w:t>
                        </w:r>
                      </w:p>
                      <w:p>
                        <w:pPr>
                          <w:pStyle w:val="TableParagraph"/>
                          <w:spacing w:line="321" w:lineRule="auto" w:before="36"/>
                          <w:ind w:left="18" w:right="47"/>
                          <w:jc w:val="both"/>
                          <w:rPr>
                            <w:rFonts w:ascii="宋体" w:hAnsi="宋体" w:cs="宋体" w:eastAsia="宋体" w:hint="default"/>
                            <w:sz w:val="18"/>
                            <w:szCs w:val="18"/>
                          </w:rPr>
                        </w:pPr>
                        <w:r>
                          <w:rPr>
                            <w:rFonts w:ascii="宋体" w:hAnsi="宋体" w:cs="宋体" w:eastAsia="宋体" w:hint="default"/>
                            <w:sz w:val="18"/>
                            <w:szCs w:val="18"/>
                          </w:rPr>
                          <w:t>陷是指除上述重大缺陷、重要缺陷之外的 其他控制缺陷。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30" w:right="16"/>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性作判定。如果缺陷发生的可能性较</w:t>
                        </w:r>
                        <w:r>
                          <w:rPr>
                            <w:rFonts w:ascii="宋体" w:hAnsi="宋体" w:cs="宋体" w:eastAsia="宋体" w:hint="default"/>
                            <w:sz w:val="18"/>
                            <w:szCs w:val="18"/>
                          </w:rPr>
                          <w:t>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显著加大效果的不确定性、或使之显著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偏离预期目标为重要缺陷；如果缺陷发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使之严重偏离预期目标为重大缺陷。</w:t>
                        </w:r>
                      </w:p>
                    </w:tc>
                  </w:tr>
                  <w:tr>
                    <w:trPr>
                      <w:trHeight w:val="2552"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8" w:right="13"/>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 该缺陷单独或连同其他缺陷可能导致的财 务报告错报金额小于营业收入的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，则认</w:t>
                        </w:r>
                        <w:r>
                          <w:rPr>
                            <w:rFonts w:ascii="宋体" w:hAnsi="宋体" w:cs="宋体" w:eastAsia="宋体" w:hint="default"/>
                            <w:sz w:val="18"/>
                            <w:szCs w:val="18"/>
                          </w:rPr>
                          <w:t> 定为一般缺陷；如果超过营业收入的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但小于</w:t>
                        </w:r>
                        <w:r>
                          <w:rPr>
                            <w:rFonts w:ascii="宋体" w:hAnsi="宋体" w:cs="宋体" w:eastAsia="宋体" w:hint="default"/>
                            <w:spacing w:val="-39"/>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，则为重要缺陷；如果超过营业</w:t>
                        </w:r>
                      </w:p>
                      <w:p>
                        <w:pPr>
                          <w:pStyle w:val="TableParagraph"/>
                          <w:spacing w:line="290" w:lineRule="auto"/>
                          <w:ind w:left="18" w:right="32"/>
                          <w:jc w:val="left"/>
                          <w:rPr>
                            <w:rFonts w:ascii="宋体" w:hAnsi="宋体" w:cs="宋体" w:eastAsia="宋体" w:hint="default"/>
                            <w:sz w:val="18"/>
                            <w:szCs w:val="18"/>
                          </w:rPr>
                        </w:pPr>
                        <w:r>
                          <w:rPr>
                            <w:rFonts w:ascii="宋体" w:hAnsi="宋体" w:cs="宋体" w:eastAsia="宋体" w:hint="default"/>
                            <w:sz w:val="18"/>
                            <w:szCs w:val="18"/>
                          </w:rPr>
                          <w:t>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，则认定为重大缺陷。内部控制</w:t>
                        </w:r>
                        <w:r>
                          <w:rPr>
                            <w:rFonts w:ascii="宋体" w:hAnsi="宋体" w:cs="宋体" w:eastAsia="宋体" w:hint="default"/>
                            <w:sz w:val="18"/>
                            <w:szCs w:val="18"/>
                          </w:rPr>
                          <w:t> 缺陷可能导致或导致的损失与资产管理相</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6"/>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，则认定为一般缺陷</w:t>
                        </w:r>
                      </w:p>
                      <w:p>
                        <w:pPr>
                          <w:pStyle w:val="TableParagraph"/>
                          <w:spacing w:line="233" w:lineRule="exact"/>
                          <w:ind w:left="30" w:right="0"/>
                          <w:jc w:val="left"/>
                          <w:rPr>
                            <w:rFonts w:ascii="宋体" w:hAnsi="宋体" w:cs="宋体" w:eastAsia="宋体" w:hint="default"/>
                            <w:sz w:val="18"/>
                            <w:szCs w:val="18"/>
                          </w:rPr>
                        </w:pPr>
                        <w:r>
                          <w:rPr>
                            <w:rFonts w:ascii="宋体" w:hAnsi="宋体" w:cs="宋体" w:eastAsia="宋体" w:hint="default"/>
                            <w:sz w:val="18"/>
                            <w:szCs w:val="18"/>
                          </w:rPr>
                          <w:t>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pacing w:val="-4"/>
                            <w:sz w:val="18"/>
                            <w:szCs w:val="18"/>
                          </w:rPr>
                          <w:t>则认定为重要缺陷；如果超过营业收入</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319"/>
        <w:gridCol w:w="3064"/>
      </w:tblGrid>
      <w:tr>
        <w:trPr>
          <w:trHeight w:val="2867"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4" w:right="14"/>
              <w:jc w:val="both"/>
              <w:rPr>
                <w:rFonts w:ascii="宋体" w:hAnsi="宋体" w:cs="宋体" w:eastAsia="宋体" w:hint="default"/>
                <w:sz w:val="18"/>
                <w:szCs w:val="18"/>
              </w:rPr>
            </w:pPr>
            <w:r>
              <w:rPr>
                <w:rFonts w:ascii="宋体" w:hAnsi="宋体" w:cs="宋体" w:eastAsia="宋体" w:hint="default"/>
                <w:sz w:val="18"/>
                <w:szCs w:val="18"/>
              </w:rPr>
              <w:t>关的，以资产总额指标衡量。如果该缺陷 单独或连同其他缺陷可能导致的财务报告 错报金额小于资产总额的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，则认定为一</w:t>
            </w:r>
            <w:r>
              <w:rPr>
                <w:rFonts w:ascii="宋体" w:hAnsi="宋体" w:cs="宋体" w:eastAsia="宋体" w:hint="default"/>
                <w:sz w:val="18"/>
                <w:szCs w:val="18"/>
              </w:rPr>
              <w:t> 般缺陷；如果超过资产总额的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p>
          <w:p>
            <w:pPr>
              <w:pStyle w:val="TableParagraph"/>
              <w:spacing w:line="304" w:lineRule="auto" w:before="4"/>
              <w:ind w:left="14"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，则认定为重要缺陷；如果超过资产总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30" w:right="16"/>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 缺陷可能导致或导致的损失与资产管 </w:t>
            </w:r>
            <w:r>
              <w:rPr>
                <w:rFonts w:ascii="宋体" w:hAnsi="宋体" w:cs="宋体" w:eastAsia="宋体" w:hint="default"/>
                <w:spacing w:val="-4"/>
                <w:sz w:val="18"/>
                <w:szCs w:val="18"/>
              </w:rPr>
              <w:t>理相关的，以资产总额指标衡量。如果</w:t>
            </w:r>
          </w:p>
          <w:p>
            <w:pPr>
              <w:pStyle w:val="TableParagraph"/>
              <w:spacing w:line="321" w:lineRule="auto" w:before="36"/>
              <w:ind w:left="30" w:right="76"/>
              <w:jc w:val="left"/>
              <w:rPr>
                <w:rFonts w:ascii="宋体" w:hAnsi="宋体" w:cs="宋体" w:eastAsia="宋体" w:hint="default"/>
                <w:sz w:val="18"/>
                <w:szCs w:val="18"/>
              </w:rPr>
            </w:pPr>
            <w:r>
              <w:rPr>
                <w:rFonts w:ascii="宋体" w:hAnsi="宋体" w:cs="宋体" w:eastAsia="宋体" w:hint="default"/>
                <w:sz w:val="18"/>
                <w:szCs w:val="18"/>
              </w:rPr>
              <w:t>该缺陷单独或连同其他缺陷可能导致 的财务报告错报金额小于资产总额的</w:t>
            </w:r>
          </w:p>
          <w:p>
            <w:pPr>
              <w:pStyle w:val="TableParagraph"/>
              <w:spacing w:line="292" w:lineRule="auto" w:before="34"/>
              <w:ind w:left="30"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，则认为一般缺陷；如果超过资产</w:t>
            </w:r>
            <w:r>
              <w:rPr>
                <w:rFonts w:ascii="宋体" w:hAnsi="宋体" w:cs="宋体" w:eastAsia="宋体" w:hint="default"/>
                <w:w w:val="99"/>
                <w:sz w:val="18"/>
                <w:szCs w:val="18"/>
              </w:rPr>
              <w:t> </w:t>
            </w:r>
            <w:r>
              <w:rPr>
                <w:rFonts w:ascii="宋体" w:hAnsi="宋体" w:cs="宋体" w:eastAsia="宋体" w:hint="default"/>
                <w:sz w:val="18"/>
                <w:szCs w:val="18"/>
              </w:rPr>
              <w:t>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，则认定为重要缺</w:t>
            </w:r>
            <w:r>
              <w:rPr>
                <w:rFonts w:ascii="宋体" w:hAnsi="宋体" w:cs="宋体" w:eastAsia="宋体" w:hint="default"/>
                <w:w w:val="99"/>
                <w:sz w:val="18"/>
                <w:szCs w:val="18"/>
              </w:rPr>
              <w:t> </w:t>
            </w:r>
            <w:r>
              <w:rPr>
                <w:rFonts w:ascii="宋体" w:hAnsi="宋体" w:cs="宋体" w:eastAsia="宋体" w:hint="default"/>
                <w:sz w:val="18"/>
                <w:szCs w:val="18"/>
              </w:rPr>
              <w:t>陷；如果超过资产总额的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w:t>
            </w:r>
            <w:r>
              <w:rPr>
                <w:rFonts w:ascii="宋体" w:hAnsi="宋体" w:cs="宋体" w:eastAsia="宋体" w:hint="default"/>
                <w:w w:val="99"/>
                <w:sz w:val="18"/>
                <w:szCs w:val="18"/>
              </w:rPr>
              <w:t> </w:t>
            </w:r>
            <w:r>
              <w:rPr>
                <w:rFonts w:ascii="宋体" w:hAnsi="宋体" w:cs="宋体" w:eastAsia="宋体" w:hint="default"/>
                <w:sz w:val="18"/>
                <w:szCs w:val="18"/>
              </w:rPr>
              <w:t>为重大缺陷。</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内部控制鉴证报告</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58"/>
        <w:gridCol w:w="6924"/>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7"/>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06"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我们认为，贵公司按照财政部颁发的《企业内部控制基本规范》规定的标准于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 与财务报表相关的有效的内部控制。</w:t>
            </w:r>
          </w:p>
        </w:tc>
      </w:tr>
      <w:tr>
        <w:trPr>
          <w:trHeight w:val="405"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6"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06"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上海二三四五网络控股集团股份有限公司内部控制鉴证报告（巨潮资讯网</w:t>
            </w:r>
          </w:p>
          <w:p>
            <w:pPr>
              <w:pStyle w:val="TableParagraph"/>
              <w:spacing w:line="240" w:lineRule="auto" w:before="95"/>
              <w:ind w:left="30" w:right="0"/>
              <w:jc w:val="left"/>
              <w:rPr>
                <w:rFonts w:ascii="宋体" w:hAnsi="宋体" w:cs="宋体" w:eastAsia="宋体" w:hint="default"/>
                <w:sz w:val="18"/>
                <w:szCs w:val="18"/>
              </w:rPr>
            </w:pP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5"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6"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ind w:right="0"/>
        <w:jc w:val="left"/>
      </w:pPr>
      <w:r>
        <w:rPr/>
        <w:t>会计师事务所是否出具非标准意见的内部控制鉴证报告</w:t>
      </w:r>
    </w:p>
    <w:p>
      <w:pPr>
        <w:pStyle w:val="BodyText"/>
        <w:spacing w:line="316" w:lineRule="auto" w:before="125"/>
        <w:ind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会计师事务所出具的内部控制鉴证报告与董事会的自我评价报告意见是否一致</w:t>
      </w:r>
    </w:p>
    <w:p>
      <w:pPr>
        <w:pStyle w:val="BodyText"/>
        <w:spacing w:line="240" w:lineRule="auto" w:before="8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第十一节公司债券相关情况" w:id="155"/>
      <w:bookmarkEnd w:id="155"/>
      <w:r>
        <w:rPr>
          <w:b w:val="0"/>
          <w:bCs w:val="0"/>
        </w:rPr>
      </w:r>
      <w:bookmarkStart w:name="_bookmark10" w:id="156"/>
      <w:bookmarkEnd w:id="156"/>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before="0"/>
        <w:ind w:right="2109"/>
        <w:jc w:val="left"/>
      </w:pPr>
      <w:r>
        <w:rPr/>
        <w:t>公司是否存在公开发行并在证券交易所上市，且在年度报告批准报出日未到期或到期未能全额兑付的公司债券 是</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7"/>
      <w:bookmarkEnd w:id="157"/>
      <w:r>
        <w:rPr>
          <w:b w:val="0"/>
          <w:bCs w:val="0"/>
        </w:rPr>
      </w:r>
      <w:r>
        <w:rPr/>
        <w:t>一、公司债券基本信息</w:t>
      </w:r>
      <w:r>
        <w:rPr>
          <w:b w:val="0"/>
          <w:bCs w:val="0"/>
        </w:rPr>
      </w:r>
    </w:p>
    <w:p>
      <w:pPr>
        <w:spacing w:line="240" w:lineRule="auto" w:before="13"/>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上海二三四五 网络控股集团 股份有限公司</w:t>
            </w:r>
          </w:p>
          <w:p>
            <w:pPr>
              <w:pStyle w:val="TableParagraph"/>
              <w:spacing w:line="297" w:lineRule="auto" w:before="38"/>
              <w:ind w:left="15"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年面向合 格投资者公开 发行公司债券</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二三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112699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50,000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6.00%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每年付息一 次，到期一次 还本，最后一 期利息随本金 的兑付一起支 付。</w:t>
            </w:r>
          </w:p>
        </w:tc>
      </w:tr>
      <w:tr>
        <w:trPr>
          <w:trHeight w:val="706"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9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5"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9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1"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196"/>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9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日期间的利息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元</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张，详见公司于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公开发行公司债券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年付息公告</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2019-033</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1337"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16"/>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9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本期公司债券附发行人或投资者选择权条款，截至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日相关条款未执行。</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债券受托管理人和资信评级机构信息" w:id="158"/>
      <w:bookmarkEnd w:id="158"/>
      <w:r>
        <w:rPr>
          <w:b w:val="0"/>
          <w:bCs w:val="0"/>
        </w:rPr>
      </w:r>
      <w:r>
        <w:rPr/>
        <w:t>二、债券受托管理人和资信评级机构信息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240" w:lineRule="auto"/>
        <w:ind w:left="0" w:right="1141"/>
        <w:jc w:val="right"/>
      </w:pPr>
      <w:r>
        <w:rPr/>
        <w:pict>
          <v:shape style="position:absolute;margin-left:56.700001pt;margin-top:-93.135788pt;width:479.85pt;height:195.2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202"/>
                    <w:gridCol w:w="788"/>
                    <w:gridCol w:w="413"/>
                    <w:gridCol w:w="1202"/>
                    <w:gridCol w:w="1186"/>
                    <w:gridCol w:w="1201"/>
                    <w:gridCol w:w="1187"/>
                    <w:gridCol w:w="1201"/>
                  </w:tblGrid>
                  <w:tr>
                    <w:trPr>
                      <w:trHeight w:val="398"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15" w:hRule="exact"/>
                    </w:trPr>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中信建投证券 股份有限公司</w:t>
                        </w:r>
                      </w:p>
                    </w:tc>
                    <w:tc>
                      <w:tcPr>
                        <w:tcW w:w="120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vMerge w:val="restart"/>
                        <w:tcBorders>
                          <w:top w:val="single" w:sz="6" w:space="0" w:color="000000"/>
                          <w:left w:val="single" w:sz="12" w:space="0" w:color="D2D2D2"/>
                          <w:right w:val="single" w:sz="12" w:space="0" w:color="D2D2D2"/>
                        </w:tcBorders>
                      </w:tcPr>
                      <w:p>
                        <w:pPr>
                          <w:pStyle w:val="TableParagraph"/>
                          <w:spacing w:line="304" w:lineRule="auto" w:before="52"/>
                          <w:ind w:left="7" w:right="36"/>
                          <w:jc w:val="both"/>
                          <w:rPr>
                            <w:rFonts w:ascii="宋体" w:hAnsi="宋体" w:cs="宋体" w:eastAsia="宋体" w:hint="default"/>
                            <w:sz w:val="18"/>
                            <w:szCs w:val="18"/>
                          </w:rPr>
                        </w:pPr>
                        <w:r>
                          <w:rPr>
                            <w:rFonts w:ascii="宋体" w:hAnsi="宋体" w:cs="宋体" w:eastAsia="宋体" w:hint="default"/>
                            <w:sz w:val="18"/>
                            <w:szCs w:val="18"/>
                          </w:rPr>
                          <w:t>北京市朝阳区 安立路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王桐</w:t>
                        </w:r>
                      </w:p>
                    </w:tc>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010-86451335</w:t>
                        </w:r>
                      </w:p>
                    </w:tc>
                  </w:tr>
                  <w:tr>
                    <w:trPr>
                      <w:trHeight w:val="405" w:hRule="exact"/>
                    </w:trPr>
                    <w:tc>
                      <w:tcPr>
                        <w:tcW w:w="1194"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tcPr>
                      <w:p>
                        <w:pPr/>
                      </w:p>
                    </w:tc>
                    <w:tc>
                      <w:tcPr>
                        <w:tcW w:w="1201"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2" w:type="dxa"/>
                        <w:vMerge/>
                        <w:tcBorders>
                          <w:left w:val="single" w:sz="12" w:space="0" w:color="D2D2D2"/>
                          <w:right w:val="single" w:sz="12" w:space="0" w:color="D2D2D2"/>
                        </w:tcBorders>
                      </w:tcPr>
                      <w:p>
                        <w:pPr/>
                      </w:p>
                    </w:tc>
                    <w:tc>
                      <w:tcPr>
                        <w:tcW w:w="11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1" w:type="dxa"/>
                        <w:vMerge/>
                        <w:tcBorders>
                          <w:left w:val="single" w:sz="6" w:space="0" w:color="000000"/>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1" w:type="dxa"/>
                        <w:vMerge/>
                        <w:tcBorders>
                          <w:left w:val="single" w:sz="12" w:space="0" w:color="D2D2D2"/>
                          <w:right w:val="single" w:sz="6" w:space="0" w:color="000000"/>
                        </w:tcBorders>
                      </w:tcPr>
                      <w:p>
                        <w:pPr/>
                      </w:p>
                    </w:tc>
                  </w:tr>
                  <w:tr>
                    <w:trPr>
                      <w:trHeight w:val="316" w:hRule="exact"/>
                    </w:trPr>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tcPr>
                      <w:p>
                        <w:pPr/>
                      </w:p>
                    </w:tc>
                    <w:tc>
                      <w:tcPr>
                        <w:tcW w:w="1201"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vMerge/>
                        <w:tcBorders>
                          <w:left w:val="single" w:sz="12" w:space="0" w:color="D2D2D2"/>
                          <w:bottom w:val="single" w:sz="6" w:space="0" w:color="000000"/>
                          <w:right w:val="single" w:sz="12" w:space="0" w:color="D2D2D2"/>
                        </w:tcBorders>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r>
                  <w:tr>
                    <w:trPr>
                      <w:trHeight w:val="390"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5" w:hRule="exact"/>
                    </w:trPr>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5" w:type="dxa"/>
                        <w:gridSpan w:val="4"/>
                        <w:vMerge w:val="restart"/>
                        <w:tcBorders>
                          <w:top w:val="single" w:sz="6" w:space="0" w:color="000000"/>
                          <w:left w:val="single" w:sz="6" w:space="0" w:color="000000"/>
                          <w:right w:val="single" w:sz="12" w:space="0" w:color="D2D2D2"/>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中诚信国际信用评级有限责任公司</w:t>
                        </w: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3589" w:type="dxa"/>
                        <w:gridSpan w:val="3"/>
                        <w:vMerge w:val="restart"/>
                        <w:tcBorders>
                          <w:top w:val="single" w:sz="6" w:space="0" w:color="000000"/>
                          <w:left w:val="single" w:sz="6" w:space="0" w:color="000000"/>
                          <w:right w:val="single" w:sz="6" w:space="0" w:color="000000"/>
                        </w:tcBorders>
                      </w:tcPr>
                      <w:p>
                        <w:pPr>
                          <w:pStyle w:val="TableParagraph"/>
                          <w:spacing w:line="240" w:lineRule="auto" w:before="67"/>
                          <w:ind w:left="15" w:right="0"/>
                          <w:jc w:val="left"/>
                          <w:rPr>
                            <w:rFonts w:ascii="宋体" w:hAnsi="宋体" w:cs="宋体" w:eastAsia="宋体" w:hint="default"/>
                            <w:sz w:val="18"/>
                            <w:szCs w:val="18"/>
                          </w:rPr>
                        </w:pPr>
                        <w:r>
                          <w:rPr>
                            <w:rFonts w:ascii="宋体" w:hAnsi="宋体" w:cs="宋体" w:eastAsia="宋体" w:hint="default"/>
                            <w:sz w:val="18"/>
                            <w:szCs w:val="18"/>
                          </w:rPr>
                          <w:t>上海市西藏南路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760 </w:t>
                        </w:r>
                        <w:r>
                          <w:rPr>
                            <w:rFonts w:ascii="宋体" w:hAnsi="宋体" w:cs="宋体" w:eastAsia="宋体" w:hint="default"/>
                            <w:sz w:val="18"/>
                            <w:szCs w:val="18"/>
                          </w:rPr>
                          <w:t>号安基大厦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8"/>
                            <w:sz w:val="18"/>
                            <w:szCs w:val="18"/>
                          </w:rPr>
                          <w:t>楼、</w:t>
                        </w:r>
                        <w:r>
                          <w:rPr>
                            <w:rFonts w:ascii="Times New Roman" w:hAnsi="Times New Roman" w:cs="Times New Roman" w:eastAsia="Times New Roman" w:hint="default"/>
                            <w:spacing w:val="-8"/>
                            <w:sz w:val="18"/>
                            <w:szCs w:val="18"/>
                          </w:rPr>
                          <w:t>21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楼</w:t>
                        </w:r>
                      </w:p>
                    </w:tc>
                  </w:tr>
                  <w:tr>
                    <w:trPr>
                      <w:trHeight w:val="390" w:hRule="exact"/>
                    </w:trPr>
                    <w:tc>
                      <w:tcPr>
                        <w:tcW w:w="1194" w:type="dxa"/>
                        <w:vMerge/>
                        <w:tcBorders>
                          <w:left w:val="single" w:sz="6" w:space="0" w:color="000000"/>
                          <w:right w:val="single" w:sz="6" w:space="0" w:color="000000"/>
                        </w:tcBorders>
                        <w:shd w:val="clear" w:color="auto" w:fill="D2D2D2"/>
                      </w:tcPr>
                      <w:p>
                        <w:pPr/>
                      </w:p>
                    </w:tc>
                    <w:tc>
                      <w:tcPr>
                        <w:tcW w:w="3605" w:type="dxa"/>
                        <w:gridSpan w:val="4"/>
                        <w:vMerge/>
                        <w:tcBorders>
                          <w:left w:val="single" w:sz="6" w:space="0" w:color="000000"/>
                          <w:right w:val="single" w:sz="12" w:space="0" w:color="D2D2D2"/>
                        </w:tcBorders>
                      </w:tcPr>
                      <w:p>
                        <w:pPr/>
                      </w:p>
                    </w:tc>
                    <w:tc>
                      <w:tcPr>
                        <w:tcW w:w="11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vMerge/>
                        <w:tcBorders>
                          <w:left w:val="single" w:sz="6" w:space="0" w:color="000000"/>
                          <w:right w:val="single" w:sz="6" w:space="0" w:color="000000"/>
                        </w:tcBorders>
                      </w:tcPr>
                      <w:p>
                        <w:pPr/>
                      </w:p>
                    </w:tc>
                  </w:tr>
                  <w:tr>
                    <w:trPr>
                      <w:trHeight w:val="173" w:hRule="exact"/>
                    </w:trPr>
                    <w:tc>
                      <w:tcPr>
                        <w:tcW w:w="1194" w:type="dxa"/>
                        <w:vMerge/>
                        <w:tcBorders>
                          <w:left w:val="single" w:sz="6" w:space="0" w:color="000000"/>
                          <w:bottom w:val="single" w:sz="6" w:space="0" w:color="000000"/>
                          <w:right w:val="single" w:sz="6" w:space="0" w:color="000000"/>
                        </w:tcBorders>
                        <w:shd w:val="clear" w:color="auto" w:fill="D2D2D2"/>
                      </w:tcPr>
                      <w:p>
                        <w:pPr/>
                      </w:p>
                    </w:tc>
                    <w:tc>
                      <w:tcPr>
                        <w:tcW w:w="3605" w:type="dxa"/>
                        <w:gridSpan w:val="4"/>
                        <w:vMerge/>
                        <w:tcBorders>
                          <w:left w:val="single" w:sz="6" w:space="0" w:color="000000"/>
                          <w:bottom w:val="single" w:sz="6" w:space="0" w:color="000000"/>
                          <w:right w:val="single" w:sz="12" w:space="0" w:color="D2D2D2"/>
                        </w:tcBorders>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3589" w:type="dxa"/>
                        <w:gridSpan w:val="3"/>
                        <w:vMerge/>
                        <w:tcBorders>
                          <w:left w:val="single" w:sz="6" w:space="0" w:color="000000"/>
                          <w:bottom w:val="single" w:sz="6" w:space="0" w:color="000000"/>
                          <w:right w:val="single" w:sz="6" w:space="0" w:color="000000"/>
                        </w:tcBorders>
                      </w:tcPr>
                      <w:p>
                        <w:pPr/>
                      </w:p>
                    </w:tc>
                  </w:tr>
                  <w:tr>
                    <w:trPr>
                      <w:trHeight w:val="1336" w:hRule="exact"/>
                    </w:trPr>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5"/>
                            <w:sz w:val="18"/>
                            <w:szCs w:val="18"/>
                          </w:rPr>
                          <w:t>履行的程序、对投资者利益的影响等（如</w:t>
                        </w:r>
                        <w:r>
                          <w:rPr>
                            <w:rFonts w:ascii="宋体" w:hAnsi="宋体" w:cs="宋体" w:eastAsia="宋体" w:hint="default"/>
                            <w:sz w:val="18"/>
                            <w:szCs w:val="18"/>
                          </w:rPr>
                          <w:t> 适用）</w:t>
                        </w:r>
                      </w:p>
                    </w:tc>
                    <w:tc>
                      <w:tcPr>
                        <w:tcW w:w="639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00"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870" w:lineRule="exact"/>
        <w:ind w:left="3340"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318.4pt;height:43.55pt;mso-position-horizontal-relative:char;mso-position-vertical-relative:line" coordorigin="0,0" coordsize="6368,871">
            <v:group style="position:absolute;left:0;top:0;width:6368;height:481" coordorigin="0,0" coordsize="6368,481">
              <v:shape style="position:absolute;left:0;top:0;width:6368;height:481" coordorigin="0,0" coordsize="6368,481" path="m0,481l6368,481,6368,0,0,0,0,481xe" filled="true" fillcolor="#ffffff" stroked="false">
                <v:path arrowok="t"/>
                <v:fill type="solid"/>
              </v:shape>
            </v:group>
            <v:group style="position:absolute;left:15;top:480;width:6338;height:390" coordorigin="15,480" coordsize="6338,390">
              <v:shape style="position:absolute;left:15;top:480;width:6338;height:390" coordorigin="15,480" coordsize="6338,390" path="m15,870l6353,870,6353,480,15,480,15,870xe" filled="true" fillcolor="#ffffff" stroked="false">
                <v:path arrowok="t"/>
                <v:fill type="solid"/>
              </v:shape>
            </v:group>
          </v:group>
        </w:pict>
      </w:r>
      <w:r>
        <w:rPr>
          <w:rFonts w:ascii="宋体" w:hAnsi="宋体" w:cs="宋体" w:eastAsia="宋体" w:hint="default"/>
          <w:position w:val="-16"/>
          <w:sz w:val="20"/>
          <w:szCs w:val="20"/>
        </w:rPr>
      </w:r>
    </w:p>
    <w:p>
      <w:pPr>
        <w:spacing w:after="0" w:line="870" w:lineRule="exact"/>
        <w:rPr>
          <w:rFonts w:ascii="宋体" w:hAnsi="宋体" w:cs="宋体" w:eastAsia="宋体" w:hint="default"/>
          <w:sz w:val="20"/>
          <w:szCs w:val="20"/>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三、公司债券募集资金使用情况" w:id="159"/>
      <w:bookmarkEnd w:id="159"/>
      <w:r>
        <w:rPr>
          <w:b w:val="0"/>
          <w:bCs w:val="0"/>
        </w:rPr>
      </w:r>
      <w:r>
        <w:rPr/>
        <w:t>三、公司债券募集资金使用情况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99"/>
        <w:gridCol w:w="6383"/>
      </w:tblGrid>
      <w:tr>
        <w:trPr>
          <w:trHeight w:val="165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304" w:lineRule="auto"/>
              <w:ind w:left="15" w:right="107"/>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4" w:right="28"/>
              <w:jc w:val="left"/>
              <w:rPr>
                <w:rFonts w:ascii="宋体" w:hAnsi="宋体" w:cs="宋体" w:eastAsia="宋体" w:hint="default"/>
                <w:sz w:val="18"/>
                <w:szCs w:val="18"/>
              </w:rPr>
            </w:pPr>
            <w:r>
              <w:rPr>
                <w:rFonts w:ascii="宋体" w:hAnsi="宋体" w:cs="宋体" w:eastAsia="宋体" w:hint="default"/>
                <w:sz w:val="18"/>
                <w:szCs w:val="18"/>
              </w:rPr>
              <w:t>本次公开发行公司债券的募集资金扣除发行费用后，用于增资全资子公司上海二 三四五大数据科技有限公司。募集资金扣除发行费用后实际到账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49,780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万元，公</w:t>
            </w:r>
          </w:p>
          <w:p>
            <w:pPr>
              <w:pStyle w:val="TableParagraph"/>
              <w:spacing w:line="247" w:lineRule="exact"/>
              <w:ind w:left="14" w:right="0"/>
              <w:jc w:val="left"/>
              <w:rPr>
                <w:rFonts w:ascii="宋体" w:hAnsi="宋体" w:cs="宋体" w:eastAsia="宋体" w:hint="default"/>
                <w:sz w:val="18"/>
                <w:szCs w:val="18"/>
              </w:rPr>
            </w:pPr>
            <w:r>
              <w:rPr>
                <w:rFonts w:ascii="宋体" w:hAnsi="宋体" w:cs="宋体" w:eastAsia="宋体" w:hint="default"/>
                <w:sz w:val="18"/>
                <w:szCs w:val="18"/>
              </w:rPr>
              <w:t>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日完成对上海二三四五大数据科技有限公司的增资及工商</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pacing w:val="-7"/>
                <w:sz w:val="18"/>
                <w:szCs w:val="18"/>
              </w:rPr>
              <w:t>变更。截至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日，上海二三四五大数据科技有限公司已使用募集资</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34,774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15,006 </w:t>
            </w:r>
            <w:r>
              <w:rPr>
                <w:rFonts w:ascii="宋体" w:hAnsi="宋体" w:cs="宋体" w:eastAsia="宋体" w:hint="default"/>
                <w:sz w:val="18"/>
                <w:szCs w:val="18"/>
              </w:rPr>
              <w:t>万元。</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15,006</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专户运作正常</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4" w:right="33"/>
              <w:jc w:val="left"/>
              <w:rPr>
                <w:rFonts w:ascii="宋体" w:hAnsi="宋体" w:cs="宋体" w:eastAsia="宋体" w:hint="default"/>
                <w:sz w:val="18"/>
                <w:szCs w:val="18"/>
              </w:rPr>
            </w:pPr>
            <w:r>
              <w:rPr>
                <w:rFonts w:ascii="宋体" w:hAnsi="宋体" w:cs="宋体" w:eastAsia="宋体" w:hint="default"/>
                <w:sz w:val="18"/>
                <w:szCs w:val="18"/>
              </w:rPr>
              <w:t>募集资金使用与《</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年面向合格投资者公开发行公司债券募集说明书》承诺的 用途、使用计划及其他约定一致。</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公司债券信息评级情况" w:id="160"/>
      <w:bookmarkEnd w:id="160"/>
      <w:r>
        <w:rPr>
          <w:b w:val="0"/>
          <w:bCs w:val="0"/>
        </w:rPr>
      </w:r>
      <w:r>
        <w:rPr/>
        <w:t>四、公司债券信息评级情况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01" w:right="0"/>
        <w:jc w:val="left"/>
      </w:pPr>
      <w:r>
        <w:rPr>
          <w:rFonts w:ascii="宋体" w:hAnsi="宋体" w:cs="宋体" w:eastAsia="宋体" w:hint="default"/>
        </w:rPr>
        <w:t>18</w:t>
      </w:r>
      <w:r>
        <w:rPr/>
        <w:t>二三</w:t>
      </w:r>
      <w:r>
        <w:rPr>
          <w:rFonts w:ascii="宋体" w:hAnsi="宋体" w:cs="宋体" w:eastAsia="宋体" w:hint="default"/>
        </w:rPr>
        <w:t>01</w:t>
      </w:r>
      <w:r>
        <w:rPr/>
        <w:t>的信用评级机构中诚信证券评估有限公司于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13</w:t>
      </w:r>
      <w:r>
        <w:rPr/>
        <w:t>日出具了《</w:t>
      </w:r>
      <w:r>
        <w:rPr>
          <w:rFonts w:ascii="宋体" w:hAnsi="宋体" w:cs="宋体" w:eastAsia="宋体" w:hint="default"/>
        </w:rPr>
        <w:t>2018</w:t>
      </w:r>
      <w:r>
        <w:rPr/>
        <w:t>年面向合格投资者公开发行公司债券</w:t>
      </w:r>
    </w:p>
    <w:p>
      <w:pPr>
        <w:pStyle w:val="BodyText"/>
        <w:spacing w:line="321" w:lineRule="auto" w:before="65"/>
        <w:ind w:right="0"/>
        <w:jc w:val="left"/>
      </w:pPr>
      <w:r>
        <w:rPr>
          <w:spacing w:val="-2"/>
        </w:rPr>
        <w:t>（品种一）跟踪评级报告（</w:t>
      </w:r>
      <w:r>
        <w:rPr>
          <w:rFonts w:ascii="宋体" w:hAnsi="宋体" w:cs="宋体" w:eastAsia="宋体" w:hint="default"/>
          <w:spacing w:val="-2"/>
        </w:rPr>
        <w:t>2019</w:t>
      </w:r>
      <w:r>
        <w:rPr>
          <w:spacing w:val="-2"/>
        </w:rPr>
        <w:t>）》，评级结论为：“维持二三四五主体信用等级为</w:t>
      </w:r>
      <w:r>
        <w:rPr>
          <w:rFonts w:ascii="宋体" w:hAnsi="宋体" w:cs="宋体" w:eastAsia="宋体" w:hint="default"/>
          <w:spacing w:val="-2"/>
        </w:rPr>
        <w:t>AA</w:t>
      </w:r>
      <w:r>
        <w:rPr>
          <w:spacing w:val="-2"/>
        </w:rPr>
        <w:t>，评级展望为稳定；维持本次债券的</w:t>
      </w:r>
      <w:r>
        <w:rPr>
          <w:spacing w:val="-61"/>
        </w:rPr>
        <w:t> </w:t>
      </w:r>
      <w:r>
        <w:rPr>
          <w:spacing w:val="-61"/>
        </w:rPr>
      </w:r>
      <w:r>
        <w:rPr/>
        <w:t>信用等级为AAA”。</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五、公司债券增信机制、偿债计划及其他偿债保障措施" w:id="161"/>
      <w:bookmarkEnd w:id="161"/>
      <w:r>
        <w:rPr>
          <w:b w:val="0"/>
          <w:bCs w:val="0"/>
        </w:rPr>
      </w:r>
      <w:r>
        <w:rPr/>
        <w:t>五、公司债券增信机制、偿债计划及其他偿债保障措施</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right="1039" w:firstLine="360"/>
        <w:jc w:val="both"/>
      </w:pPr>
      <w:r>
        <w:rPr/>
        <w:t>公司债券增信机制、偿债计划及其他偿债保障措施无变更，与《</w:t>
      </w:r>
      <w:r>
        <w:rPr>
          <w:rFonts w:ascii="宋体" w:hAnsi="宋体" w:cs="宋体" w:eastAsia="宋体" w:hint="default"/>
        </w:rPr>
        <w:t>2018</w:t>
      </w:r>
      <w:r>
        <w:rPr/>
        <w:t>年面向合格投资者公开发行公司债券募集说明书》 承诺一致。</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六、报告期内债券持有人会议的召开情况" w:id="162"/>
      <w:bookmarkEnd w:id="162"/>
      <w:r>
        <w:rPr>
          <w:b w:val="0"/>
          <w:bCs w:val="0"/>
        </w:rPr>
      </w:r>
      <w:r>
        <w:rPr/>
        <w:t>六、报告期内债券持有人会议的召开情况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501" w:right="0"/>
        <w:jc w:val="left"/>
      </w:pPr>
      <w:r>
        <w:rPr/>
        <w:t>本报告期内未召开债券持有人会议。</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63"/>
      <w:bookmarkEnd w:id="163"/>
      <w:r>
        <w:rPr>
          <w:b w:val="0"/>
          <w:bCs w:val="0"/>
        </w:rPr>
      </w:r>
      <w:r>
        <w:rPr/>
        <w:t>七、报告期内债券受托管理人履行职责的情况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1106" w:firstLine="360"/>
        <w:jc w:val="both"/>
      </w:pPr>
      <w:r>
        <w:rPr>
          <w:spacing w:val="-2"/>
        </w:rPr>
        <w:t>报告期内，中信建投证券股份有限公司作为“上海二三四五网络控股集团股份有限公司</w:t>
      </w:r>
      <w:r>
        <w:rPr>
          <w:rFonts w:ascii="宋体" w:hAnsi="宋体" w:cs="宋体" w:eastAsia="宋体" w:hint="default"/>
          <w:spacing w:val="-2"/>
        </w:rPr>
        <w:t>2018</w:t>
      </w:r>
      <w:r>
        <w:rPr>
          <w:spacing w:val="-2"/>
        </w:rPr>
        <w:t>年面向合格投资者公开发行</w:t>
      </w:r>
      <w:r>
        <w:rPr/>
        <w:t> </w:t>
      </w:r>
      <w:r>
        <w:rPr>
          <w:spacing w:val="-2"/>
        </w:rPr>
        <w:t>公司债券”受托管理人，严格按照《公司债券发行与交易管理办法》、《公司债券受托管理人执业行为准则》等相关法律法</w:t>
      </w:r>
      <w:r>
        <w:rPr>
          <w:spacing w:val="-73"/>
        </w:rPr>
        <w:t> </w:t>
      </w:r>
      <w:r>
        <w:rPr>
          <w:spacing w:val="-73"/>
        </w:rPr>
      </w:r>
      <w:r>
        <w:rPr>
          <w:spacing w:val="-2"/>
        </w:rPr>
        <w:t>规积极履行受托管理人相关职责，持续关注公司的经营状况、财务状况及资信状况，积极行使受托管理人职责，维护债券持</w:t>
      </w:r>
      <w:r>
        <w:rPr>
          <w:spacing w:val="-42"/>
        </w:rPr>
        <w:t> </w:t>
      </w:r>
      <w:r>
        <w:rPr>
          <w:spacing w:val="-42"/>
        </w:rPr>
      </w:r>
      <w:r>
        <w:rPr/>
        <w:t>有人的合法权益，与公司不存在利益冲突情形。</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八、截至报告期末公司近2年的主要会计数据和财务指标" w:id="164"/>
      <w:bookmarkEnd w:id="164"/>
      <w:r>
        <w:rPr>
          <w:b w:val="0"/>
          <w:bCs w:val="0"/>
        </w:rPr>
      </w:r>
      <w:r>
        <w:rPr/>
        <w:t>八、截至报告期末公司近</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年的主要会计数据和财务指标</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51"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90,525.96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167,603.3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-45.99%</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605.84%</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421.24%</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184.60%</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10.53%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20.77%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-10.24%</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524.23%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381.26%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142.97%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全部债务比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75.51%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68.53%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6.98%</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-50.85%</w:t>
            </w: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31.82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6,729.17%</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利息保障倍数</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14.33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28.69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-50.05%</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59"/>
        <w:ind w:right="0"/>
        <w:jc w:val="left"/>
      </w:pPr>
      <w:r>
        <w:rPr/>
        <w:t>上述会计数据和财务指标同比变动超过</w:t>
      </w:r>
      <w:r>
        <w:rPr>
          <w:spacing w:val="-42"/>
        </w:rPr>
        <w:t> </w:t>
      </w:r>
      <w:r>
        <w:rPr>
          <w:rFonts w:ascii="Times New Roman" w:hAnsi="Times New Roman" w:cs="Times New Roman" w:eastAsia="Times New Roman" w:hint="default"/>
        </w:rPr>
        <w:t>30%</w:t>
      </w:r>
      <w:r>
        <w:rPr/>
        <w:t>的主要原因</w:t>
      </w:r>
    </w:p>
    <w:p>
      <w:pPr>
        <w:pStyle w:val="BodyText"/>
        <w:spacing w:line="240" w:lineRule="auto" w:before="11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501" w:right="0"/>
        <w:jc w:val="left"/>
      </w:pPr>
      <w:r>
        <w:rPr/>
        <w:t>（</w:t>
      </w:r>
      <w:r>
        <w:rPr>
          <w:rFonts w:ascii="宋体" w:hAnsi="宋体" w:cs="宋体" w:eastAsia="宋体" w:hint="default"/>
        </w:rPr>
        <w:t>1</w:t>
      </w:r>
      <w:r>
        <w:rPr/>
        <w:t>）息税折旧摊销前利润本期较上期减少</w:t>
      </w:r>
      <w:r>
        <w:rPr>
          <w:rFonts w:ascii="宋体" w:hAnsi="宋体" w:cs="宋体" w:eastAsia="宋体" w:hint="default"/>
        </w:rPr>
        <w:t>45.99%</w:t>
      </w:r>
      <w:r>
        <w:rPr/>
        <w:t>，主要系公司报告期内净利润减少所致；</w:t>
      </w:r>
    </w:p>
    <w:p>
      <w:pPr>
        <w:pStyle w:val="BodyText"/>
        <w:spacing w:line="321" w:lineRule="auto" w:before="80"/>
        <w:ind w:right="1090" w:firstLine="360"/>
        <w:jc w:val="left"/>
      </w:pPr>
      <w:r>
        <w:rPr>
          <w:spacing w:val="-1"/>
        </w:rPr>
        <w:t>（</w:t>
      </w:r>
      <w:r>
        <w:rPr>
          <w:rFonts w:ascii="宋体" w:hAnsi="宋体" w:cs="宋体" w:eastAsia="宋体" w:hint="default"/>
          <w:spacing w:val="-1"/>
        </w:rPr>
        <w:t>2</w:t>
      </w:r>
      <w:r>
        <w:rPr>
          <w:spacing w:val="-1"/>
        </w:rPr>
        <w:t>）流动比率、速动比率本期较上期上升</w:t>
      </w:r>
      <w:r>
        <w:rPr>
          <w:rFonts w:ascii="宋体" w:hAnsi="宋体" w:cs="宋体" w:eastAsia="宋体" w:hint="default"/>
          <w:spacing w:val="-1"/>
        </w:rPr>
        <w:t>184.60%</w:t>
      </w:r>
      <w:r>
        <w:rPr>
          <w:spacing w:val="-1"/>
        </w:rPr>
        <w:t>、</w:t>
      </w:r>
      <w:r>
        <w:rPr>
          <w:rFonts w:ascii="宋体" w:hAnsi="宋体" w:cs="宋体" w:eastAsia="宋体" w:hint="default"/>
          <w:spacing w:val="-1"/>
        </w:rPr>
        <w:t>142.97%</w:t>
      </w:r>
      <w:r>
        <w:rPr>
          <w:spacing w:val="-1"/>
        </w:rPr>
        <w:t>，主要系公司报告期内偿还银行短期借款和</w:t>
      </w:r>
      <w:r>
        <w:rPr>
          <w:rFonts w:ascii="宋体" w:hAnsi="宋体" w:cs="宋体" w:eastAsia="宋体" w:hint="default"/>
          <w:spacing w:val="-1"/>
        </w:rPr>
        <w:t>ABS</w:t>
      </w:r>
      <w:r>
        <w:rPr>
          <w:spacing w:val="-1"/>
        </w:rPr>
        <w:t>债券导致流</w:t>
      </w:r>
      <w:r>
        <w:rPr/>
        <w:t> 动负债减少所致；</w:t>
      </w:r>
    </w:p>
    <w:p>
      <w:pPr>
        <w:pStyle w:val="BodyText"/>
        <w:spacing w:line="240" w:lineRule="auto" w:before="3"/>
        <w:ind w:left="501" w:right="0"/>
        <w:jc w:val="left"/>
      </w:pPr>
      <w:r>
        <w:rPr/>
        <w:t>（</w:t>
      </w:r>
      <w:r>
        <w:rPr>
          <w:rFonts w:ascii="宋体" w:hAnsi="宋体" w:cs="宋体" w:eastAsia="宋体" w:hint="default"/>
        </w:rPr>
        <w:t>3</w:t>
      </w:r>
      <w:r>
        <w:rPr/>
        <w:t>）利息保障倍数本期较上期减少</w:t>
      </w:r>
      <w:r>
        <w:rPr>
          <w:rFonts w:ascii="宋体" w:hAnsi="宋体" w:cs="宋体" w:eastAsia="宋体" w:hint="default"/>
        </w:rPr>
        <w:t>50.85%</w:t>
      </w:r>
      <w:r>
        <w:rPr/>
        <w:t>，主要系公司报告期内息税折旧摊销前利润减少所致；</w:t>
      </w:r>
    </w:p>
    <w:p>
      <w:pPr>
        <w:pStyle w:val="BodyText"/>
        <w:spacing w:line="240" w:lineRule="auto" w:before="80"/>
        <w:ind w:left="501" w:right="0"/>
        <w:jc w:val="left"/>
      </w:pPr>
      <w:r>
        <w:rPr/>
        <w:t>（</w:t>
      </w:r>
      <w:r>
        <w:rPr>
          <w:rFonts w:ascii="宋体" w:hAnsi="宋体" w:cs="宋体" w:eastAsia="宋体" w:hint="default"/>
        </w:rPr>
        <w:t>4</w:t>
      </w:r>
      <w:r>
        <w:rPr/>
        <w:t>）现金利息保障倍数本期较上期上升</w:t>
      </w:r>
      <w:r>
        <w:rPr>
          <w:rFonts w:ascii="宋体" w:hAnsi="宋体" w:cs="宋体" w:eastAsia="宋体" w:hint="default"/>
        </w:rPr>
        <w:t>6,729.17%</w:t>
      </w:r>
      <w:r>
        <w:rPr/>
        <w:t>，主要公司报告期内业务调整导致经营活动现金流量净额增加所致；</w:t>
      </w:r>
    </w:p>
    <w:p>
      <w:pPr>
        <w:pStyle w:val="BodyText"/>
        <w:spacing w:line="240" w:lineRule="auto" w:before="79"/>
        <w:ind w:left="501" w:right="0"/>
        <w:jc w:val="left"/>
      </w:pPr>
      <w:r>
        <w:rPr/>
        <w:t>（</w:t>
      </w:r>
      <w:r>
        <w:rPr>
          <w:rFonts w:ascii="宋体" w:hAnsi="宋体" w:cs="宋体" w:eastAsia="宋体" w:hint="default"/>
        </w:rPr>
        <w:t>5</w:t>
      </w:r>
      <w:r>
        <w:rPr>
          <w:spacing w:val="-90"/>
        </w:rPr>
        <w:t>）</w:t>
      </w:r>
      <w:r>
        <w:rPr>
          <w:rFonts w:ascii="宋体" w:hAnsi="宋体" w:cs="宋体" w:eastAsia="宋体" w:hint="default"/>
        </w:rPr>
        <w:t>EBITDA</w:t>
      </w:r>
      <w:r>
        <w:rPr/>
        <w:t>利息保障倍</w:t>
      </w:r>
      <w:r>
        <w:rPr>
          <w:spacing w:val="1"/>
        </w:rPr>
        <w:t>数</w:t>
      </w:r>
      <w:r>
        <w:rPr/>
        <w:t>本期较上期减</w:t>
      </w:r>
      <w:r>
        <w:rPr>
          <w:spacing w:val="1"/>
        </w:rPr>
        <w:t>少</w:t>
      </w:r>
      <w:r>
        <w:rPr>
          <w:rFonts w:ascii="宋体" w:hAnsi="宋体" w:cs="宋体" w:eastAsia="宋体" w:hint="default"/>
        </w:rPr>
        <w:t>50.05%</w:t>
      </w:r>
      <w:r>
        <w:rPr>
          <w:spacing w:val="-90"/>
        </w:rPr>
        <w:t>，</w:t>
      </w:r>
      <w:r>
        <w:rPr/>
        <w:t>主要系公司报告期内净利润减少导致息税折旧摊销前利润减少所致。</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九、报告期内对其他债券和债务融资工具的付息兑付情况" w:id="165"/>
      <w:bookmarkEnd w:id="165"/>
      <w:r>
        <w:rPr>
          <w:b w:val="0"/>
          <w:bCs w:val="0"/>
        </w:rPr>
      </w:r>
      <w:r>
        <w:rPr/>
        <w:t>九、报告期内对其他债券和债务融资工具的付息兑付情况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报告期内获得的银行授信情况、使用情况以及偿还银行贷款的情况" w:id="166"/>
      <w:bookmarkEnd w:id="166"/>
      <w:r>
        <w:rPr>
          <w:b w:val="0"/>
          <w:bCs w:val="0"/>
        </w:rPr>
      </w:r>
      <w:r>
        <w:rPr/>
        <w:t>十、报告期内获得的银行授信情况、使用情况以及偿还银行贷款的情况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left="501" w:right="0"/>
        <w:jc w:val="left"/>
      </w:pPr>
      <w:r>
        <w:rPr>
          <w:rFonts w:ascii="宋体" w:hAnsi="宋体" w:cs="宋体" w:eastAsia="宋体" w:hint="default"/>
        </w:rPr>
        <w:t>2019</w:t>
      </w:r>
      <w:r>
        <w:rPr/>
        <w:t>年度获得银行授信总额</w:t>
      </w:r>
      <w:r>
        <w:rPr>
          <w:rFonts w:ascii="宋体" w:hAnsi="宋体" w:cs="宋体" w:eastAsia="宋体" w:hint="default"/>
        </w:rPr>
        <w:t>30,060</w:t>
      </w:r>
      <w:r>
        <w:rPr/>
        <w:t>万元，已使用</w:t>
      </w:r>
      <w:r>
        <w:rPr>
          <w:rFonts w:ascii="宋体" w:hAnsi="宋体" w:cs="宋体" w:eastAsia="宋体" w:hint="default"/>
        </w:rPr>
        <w:t>9,884</w:t>
      </w:r>
      <w:r>
        <w:rPr/>
        <w:t>万元。报告期内按时偿还银行贷款</w:t>
      </w:r>
      <w:r>
        <w:rPr>
          <w:rFonts w:ascii="宋体" w:hAnsi="宋体" w:cs="宋体" w:eastAsia="宋体" w:hint="default"/>
        </w:rPr>
        <w:t>51,680</w:t>
      </w:r>
      <w:r>
        <w:rPr/>
        <w:t>万元，无违约情况。</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一、报告期内执行公司债券募集说明书相关约定或承诺的情况" w:id="167"/>
      <w:bookmarkEnd w:id="167"/>
      <w:r>
        <w:rPr>
          <w:b w:val="0"/>
          <w:bCs w:val="0"/>
        </w:rPr>
      </w:r>
      <w:r>
        <w:rPr/>
        <w:t>十一、报告期内执行公司债券募集说明书相关约定或承诺的情况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01" w:right="0"/>
        <w:jc w:val="left"/>
      </w:pPr>
      <w:r>
        <w:rPr/>
        <w:t>公司在报告期内未出现违反公司债券募集说明书相关约定或承诺的情况。</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二、报告期内发生的重大事项" w:id="168"/>
      <w:bookmarkEnd w:id="168"/>
      <w:r>
        <w:rPr>
          <w:b w:val="0"/>
          <w:bCs w:val="0"/>
        </w:rPr>
      </w:r>
      <w:r>
        <w:rPr/>
        <w:t>十二、报告期内发生的重大事项</w:t>
      </w:r>
      <w:r>
        <w:rPr>
          <w:b w:val="0"/>
          <w:bCs w:val="0"/>
        </w:rPr>
      </w:r>
    </w:p>
    <w:p>
      <w:pPr>
        <w:spacing w:line="240" w:lineRule="auto" w:before="1"/>
        <w:rPr>
          <w:rFonts w:ascii="宋体" w:hAnsi="宋体" w:cs="宋体" w:eastAsia="宋体" w:hint="default"/>
          <w:b/>
          <w:bCs/>
          <w:sz w:val="26"/>
          <w:szCs w:val="26"/>
        </w:rPr>
      </w:pPr>
    </w:p>
    <w:p>
      <w:pPr>
        <w:pStyle w:val="BodyText"/>
        <w:spacing w:line="314" w:lineRule="auto" w:before="0"/>
        <w:ind w:right="1128" w:firstLine="360"/>
        <w:jc w:val="both"/>
      </w:pPr>
      <w:r>
        <w:rPr/>
        <w:t>公司在报告期内发生的回购股权激励部分股票的情况详见本报告“第五节</w:t>
      </w:r>
      <w:r>
        <w:rPr>
          <w:spacing w:val="6"/>
        </w:rPr>
        <w:t> </w:t>
      </w:r>
      <w:r>
        <w:rPr/>
        <w:t>重要事项”之“十五、公司股权激励计划、</w:t>
      </w:r>
      <w:r>
        <w:rPr/>
        <w:t> </w:t>
      </w:r>
      <w:r>
        <w:rPr>
          <w:spacing w:val="-2"/>
        </w:rPr>
        <w:t>员工持股计划或其他员工激励措施的实施情况”，上述回购事项对公司经营及偿债能力无影响。除上述事项外，公司报告期</w:t>
      </w:r>
      <w:r>
        <w:rPr>
          <w:spacing w:val="-71"/>
        </w:rPr>
        <w:t> </w:t>
      </w:r>
      <w:r>
        <w:rPr>
          <w:spacing w:val="-71"/>
        </w:rPr>
      </w:r>
      <w:r>
        <w:rPr/>
        <w:t>内未发生《公司债券发行与交易管理办法》第四十五条列示的其他重大事项。</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十三、公司债券是否存在保证人" w:id="169"/>
      <w:bookmarkEnd w:id="169"/>
      <w:r>
        <w:rPr>
          <w:b w:val="0"/>
          <w:bCs w:val="0"/>
        </w:rPr>
      </w:r>
      <w:r>
        <w:rPr/>
        <w:t>十三、公司债券是否存在保证人</w:t>
      </w:r>
      <w:r>
        <w:rPr>
          <w:b w:val="0"/>
          <w:bCs w:val="0"/>
        </w:rPr>
      </w:r>
    </w:p>
    <w:p>
      <w:pPr>
        <w:spacing w:line="240" w:lineRule="auto" w:before="3"/>
        <w:rPr>
          <w:rFonts w:ascii="宋体" w:hAnsi="宋体" w:cs="宋体" w:eastAsia="宋体" w:hint="default"/>
          <w:b/>
          <w:bCs/>
          <w:sz w:val="27"/>
          <w:szCs w:val="27"/>
        </w:rPr>
      </w:pPr>
    </w:p>
    <w:p>
      <w:pPr>
        <w:pStyle w:val="BodyText"/>
        <w:spacing w:line="333" w:lineRule="auto" w:before="0"/>
        <w:ind w:right="75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公司债券的保证人是否为法人或其他组织</w:t>
      </w:r>
    </w:p>
    <w:p>
      <w:pPr>
        <w:pStyle w:val="BodyText"/>
        <w:spacing w:line="240" w:lineRule="auto" w:before="5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90" w:lineRule="auto" w:before="96"/>
        <w:ind w:right="1084"/>
        <w:jc w:val="left"/>
      </w:pPr>
      <w:r>
        <w:rPr/>
        <w:t>是否在每个会计年度结束之日起</w:t>
      </w:r>
      <w:r>
        <w:rPr>
          <w:spacing w:val="-72"/>
        </w:rPr>
        <w:t>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个月内单独披露保证人报告期财务报表，包括资产负债表、利润表、现金流量表、所有者 权益（股东权益）变动表和财务报表附注</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0"/>
        <w:jc w:val="left"/>
        <w:rPr>
          <w:b w:val="0"/>
          <w:bCs w:val="0"/>
        </w:rPr>
      </w:pPr>
      <w:bookmarkStart w:name="第十二节 财务报告" w:id="170"/>
      <w:bookmarkEnd w:id="170"/>
      <w:r>
        <w:rPr>
          <w:b w:val="0"/>
          <w:bCs w:val="0"/>
        </w:rPr>
      </w:r>
      <w:bookmarkStart w:name="_bookmark11" w:id="171"/>
      <w:bookmarkEnd w:id="171"/>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72"/>
      <w:bookmarkEnd w:id="172"/>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ZA12188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郑斌、范翃</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18"/>
          <w:szCs w:val="18"/>
        </w:rPr>
      </w:pPr>
    </w:p>
    <w:p>
      <w:pPr>
        <w:pStyle w:val="Heading4"/>
        <w:spacing w:line="626" w:lineRule="auto" w:before="155"/>
        <w:ind w:left="141" w:right="0"/>
        <w:jc w:val="left"/>
        <w:rPr>
          <w:b w:val="0"/>
          <w:bCs w:val="0"/>
        </w:rPr>
      </w:pPr>
      <w:r>
        <w:rPr>
          <w:w w:val="95"/>
        </w:rPr>
        <w:t>上海二三四五网络控股集团股份有限公司全体股东：</w:t>
      </w:r>
      <w:r>
        <w:rPr>
          <w:spacing w:val="33"/>
          <w:w w:val="95"/>
        </w:rPr>
        <w:t> </w:t>
      </w:r>
      <w:r>
        <w:rPr>
          <w:spacing w:val="33"/>
          <w:w w:val="95"/>
        </w:rPr>
      </w:r>
      <w:r>
        <w:rPr/>
        <w:t>一、审计意见</w:t>
      </w:r>
      <w:r>
        <w:rPr>
          <w:b w:val="0"/>
          <w:bCs w:val="0"/>
        </w:rPr>
      </w:r>
    </w:p>
    <w:p>
      <w:pPr>
        <w:pStyle w:val="BodyText"/>
        <w:spacing w:line="240" w:lineRule="auto"/>
        <w:ind w:left="85" w:right="0"/>
        <w:jc w:val="left"/>
      </w:pPr>
      <w:r>
        <w:rPr/>
        <w:br w:type="column"/>
      </w:r>
      <w:r>
        <w:rPr/>
        <w:t>审计报告正文</w:t>
      </w:r>
    </w:p>
    <w:p>
      <w:pPr>
        <w:spacing w:after="0" w:line="240" w:lineRule="auto"/>
        <w:jc w:val="left"/>
        <w:sectPr>
          <w:type w:val="continuous"/>
          <w:pgSz w:w="11910" w:h="16850"/>
          <w:pgMar w:top="1040" w:bottom="1180" w:left="1000" w:right="0"/>
          <w:cols w:num="2" w:equalWidth="0">
            <w:col w:w="4297" w:space="40"/>
            <w:col w:w="6573"/>
          </w:cols>
        </w:sectPr>
      </w:pPr>
    </w:p>
    <w:p>
      <w:pPr>
        <w:pStyle w:val="BodyText"/>
        <w:spacing w:line="295" w:lineRule="auto" w:before="120"/>
        <w:ind w:right="1125" w:firstLine="420"/>
        <w:jc w:val="both"/>
      </w:pPr>
      <w:r>
        <w:rPr/>
        <w:t>我们审计了上海二三四五网络控股集团股份有限公司（以下简称二三四五）财务报表，包括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 </w:t>
      </w:r>
      <w:r>
        <w:rPr>
          <w:spacing w:val="-2"/>
        </w:rPr>
        <w:t>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w:t>
      </w:r>
      <w:r>
        <w:rPr>
          <w:spacing w:val="-68"/>
        </w:rPr>
        <w:t> </w:t>
      </w:r>
      <w:r>
        <w:rPr>
          <w:spacing w:val="-68"/>
        </w:rPr>
      </w:r>
      <w:r>
        <w:rPr/>
        <w:t>财务报表附注。</w:t>
      </w:r>
    </w:p>
    <w:p>
      <w:pPr>
        <w:pStyle w:val="BodyText"/>
        <w:spacing w:line="302" w:lineRule="auto" w:before="38"/>
        <w:ind w:right="1126" w:firstLine="420"/>
        <w:jc w:val="both"/>
      </w:pPr>
      <w:r>
        <w:rPr/>
        <w:t>我们认为，后附的财务报表在所有重大方面按照企业会计准则的规定编制，公允反映了二三四五</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1"/>
        <w:rPr>
          <w:rFonts w:ascii="宋体" w:hAnsi="宋体" w:cs="宋体" w:eastAsia="宋体" w:hint="default"/>
          <w:sz w:val="24"/>
          <w:szCs w:val="24"/>
        </w:rPr>
      </w:pPr>
    </w:p>
    <w:p>
      <w:pPr>
        <w:pStyle w:val="Heading4"/>
        <w:spacing w:line="240" w:lineRule="auto"/>
        <w:ind w:left="141" w:right="0"/>
        <w:jc w:val="left"/>
        <w:rPr>
          <w:b w:val="0"/>
          <w:bCs w:val="0"/>
        </w:rPr>
      </w:pPr>
      <w:r>
        <w:rPr/>
        <w:t>二、形成审计意见的基础</w:t>
      </w:r>
      <w:r>
        <w:rPr>
          <w:b w:val="0"/>
          <w:bCs w:val="0"/>
        </w:rPr>
      </w:r>
    </w:p>
    <w:p>
      <w:pPr>
        <w:spacing w:line="240" w:lineRule="auto" w:before="0"/>
        <w:rPr>
          <w:rFonts w:ascii="宋体" w:hAnsi="宋体" w:cs="宋体" w:eastAsia="宋体" w:hint="default"/>
          <w:b/>
          <w:bCs/>
          <w:sz w:val="18"/>
          <w:szCs w:val="18"/>
        </w:rPr>
      </w:pPr>
    </w:p>
    <w:p>
      <w:pPr>
        <w:pStyle w:val="BodyText"/>
        <w:spacing w:line="304" w:lineRule="auto" w:before="159"/>
        <w:ind w:right="1125" w:firstLine="42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 </w:t>
      </w:r>
      <w:r>
        <w:rPr>
          <w:spacing w:val="-2"/>
        </w:rPr>
        <w:t>步阐述了我们在这些准则下的责任。按照中国注册会计师职业道德守则，我们独立于二三四五，并履行了职业道德方面的其</w:t>
      </w:r>
      <w:r>
        <w:rPr>
          <w:spacing w:val="-75"/>
        </w:rPr>
        <w:t> </w:t>
      </w:r>
      <w:r>
        <w:rPr>
          <w:spacing w:val="-75"/>
        </w:rPr>
      </w:r>
      <w:r>
        <w:rPr/>
        <w:t>他责任。我们相信，我们获取的审计证据是充分、适当的，为发表审计意见提供了基础。</w:t>
      </w:r>
    </w:p>
    <w:p>
      <w:pPr>
        <w:pStyle w:val="BodyText"/>
        <w:spacing w:line="616" w:lineRule="exact" w:before="63"/>
        <w:ind w:left="561" w:right="1118" w:hanging="421"/>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w:t>
      </w:r>
    </w:p>
    <w:p>
      <w:pPr>
        <w:pStyle w:val="BodyText"/>
        <w:spacing w:line="217" w:lineRule="exact" w:before="0"/>
        <w:ind w:right="0"/>
        <w:jc w:val="left"/>
      </w:pPr>
      <w:r>
        <w:rPr/>
        <w:t>行审计并形成审计意见为背景，我们不对这些事项单独发表意见。我们确定下列事项是需要在审计报告中沟通的关键审计事</w:t>
      </w:r>
    </w:p>
    <w:p>
      <w:pPr>
        <w:pStyle w:val="BodyText"/>
        <w:spacing w:line="240" w:lineRule="auto" w:before="80"/>
        <w:ind w:right="0"/>
        <w:jc w:val="left"/>
      </w:pPr>
      <w:r>
        <w:rPr/>
        <w:t>项。</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4896"/>
        <w:gridCol w:w="4776"/>
      </w:tblGrid>
      <w:tr>
        <w:trPr>
          <w:trHeight w:val="345"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1"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9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b/>
                <w:bCs/>
                <w:sz w:val="18"/>
                <w:szCs w:val="18"/>
              </w:rPr>
              <w:t>（一）商誉减值测试</w:t>
            </w:r>
            <w:r>
              <w:rPr>
                <w:rFonts w:ascii="宋体" w:hAnsi="宋体" w:cs="宋体" w:eastAsia="宋体" w:hint="default"/>
                <w:sz w:val="18"/>
                <w:szCs w:val="18"/>
              </w:rPr>
            </w:r>
          </w:p>
        </w:tc>
      </w:tr>
      <w:tr>
        <w:trPr>
          <w:trHeight w:val="2222"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30"/>
              <w:ind w:left="15" w:right="-14"/>
              <w:jc w:val="both"/>
              <w:rPr>
                <w:rFonts w:ascii="宋体" w:hAnsi="宋体" w:cs="宋体" w:eastAsia="宋体" w:hint="default"/>
                <w:sz w:val="18"/>
                <w:szCs w:val="18"/>
              </w:rPr>
            </w:pPr>
            <w:r>
              <w:rPr>
                <w:rFonts w:ascii="宋体" w:hAnsi="宋体" w:cs="宋体" w:eastAsia="宋体" w:hint="default"/>
                <w:spacing w:val="-3"/>
                <w:w w:val="100"/>
                <w:sz w:val="18"/>
                <w:szCs w:val="18"/>
              </w:rPr>
              <w:t>商誉减值的会计政策详情及分析请参阅财务报表附注</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三、重要</w:t>
            </w:r>
            <w:r>
              <w:rPr>
                <w:rFonts w:ascii="宋体" w:hAnsi="宋体" w:cs="宋体" w:eastAsia="宋体" w:hint="default"/>
                <w:spacing w:val="-68"/>
                <w:w w:val="100"/>
                <w:sz w:val="18"/>
                <w:szCs w:val="18"/>
              </w:rPr>
              <w:t> </w:t>
            </w:r>
            <w:r>
              <w:rPr>
                <w:rFonts w:ascii="宋体" w:hAnsi="宋体" w:cs="宋体" w:eastAsia="宋体" w:hint="default"/>
                <w:spacing w:val="-68"/>
                <w:w w:val="100"/>
                <w:sz w:val="18"/>
                <w:szCs w:val="18"/>
              </w:rPr>
            </w:r>
            <w:r>
              <w:rPr>
                <w:rFonts w:ascii="宋体" w:hAnsi="宋体" w:cs="宋体" w:eastAsia="宋体" w:hint="default"/>
                <w:sz w:val="18"/>
                <w:szCs w:val="18"/>
              </w:rPr>
              <w:t>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注释（十九）所述的会计政策及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w:t>
            </w:r>
            <w:r>
              <w:rPr>
                <w:rFonts w:ascii="宋体" w:hAnsi="宋体" w:cs="宋体" w:eastAsia="宋体" w:hint="default"/>
                <w:spacing w:val="-80"/>
                <w:sz w:val="18"/>
                <w:szCs w:val="18"/>
              </w:rPr>
              <w:t> </w:t>
            </w:r>
            <w:r>
              <w:rPr>
                <w:rFonts w:ascii="宋体" w:hAnsi="宋体" w:cs="宋体" w:eastAsia="宋体" w:hint="default"/>
                <w:sz w:val="18"/>
                <w:szCs w:val="18"/>
              </w:rPr>
              <w:t>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注释（十三）。</w:t>
            </w:r>
          </w:p>
          <w:p>
            <w:pPr>
              <w:pStyle w:val="TableParagraph"/>
              <w:spacing w:line="300" w:lineRule="auto" w:before="20"/>
              <w:ind w:left="15" w:right="-12"/>
              <w:jc w:val="both"/>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日，二三四五商誉的账面价值为人民币 </w:t>
            </w:r>
            <w:r>
              <w:rPr>
                <w:rFonts w:ascii="Times New Roman" w:hAnsi="Times New Roman" w:cs="Times New Roman" w:eastAsia="Times New Roman" w:hint="default"/>
                <w:sz w:val="18"/>
                <w:szCs w:val="18"/>
              </w:rPr>
              <w:t>2,408,185,626.08</w:t>
            </w:r>
            <w:r>
              <w:rPr>
                <w:rFonts w:ascii="宋体" w:hAnsi="宋体" w:cs="宋体" w:eastAsia="宋体" w:hint="default"/>
                <w:sz w:val="18"/>
                <w:szCs w:val="18"/>
              </w:rPr>
              <w:t>元，其主要是于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年度因收购上海二三四五 网络科技有限公司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股权形成的（</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二三四五互联网信息业</w:t>
            </w:r>
            <w:r>
              <w:rPr>
                <w:rFonts w:ascii="宋体" w:hAnsi="宋体" w:cs="宋体" w:eastAsia="宋体" w:hint="default"/>
                <w:spacing w:val="-77"/>
                <w:sz w:val="18"/>
                <w:szCs w:val="18"/>
              </w:rPr>
              <w:t> </w:t>
            </w:r>
            <w:r>
              <w:rPr>
                <w:rFonts w:ascii="宋体" w:hAnsi="宋体" w:cs="宋体" w:eastAsia="宋体" w:hint="default"/>
                <w:sz w:val="18"/>
                <w:szCs w:val="18"/>
              </w:rPr>
              <w:t>务商誉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
              <w:ind w:right="-10"/>
              <w:jc w:val="left"/>
              <w:rPr>
                <w:rFonts w:ascii="宋体" w:hAnsi="宋体" w:cs="宋体" w:eastAsia="宋体" w:hint="default"/>
                <w:sz w:val="18"/>
                <w:szCs w:val="18"/>
              </w:rPr>
            </w:pPr>
            <w:r>
              <w:rPr>
                <w:rFonts w:ascii="宋体" w:hAnsi="宋体" w:cs="宋体" w:eastAsia="宋体" w:hint="default"/>
                <w:sz w:val="18"/>
                <w:szCs w:val="18"/>
              </w:rPr>
              <w:t>我们对商誉的减值测试与计量执行的审计程序主要包括：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、评估及测试与二三四五互联网信息业务商誉减值测试相关 的内部控制的设计与执行有效性，包括关键假设的采用及减 值计提金额的复核及审批；</w:t>
            </w:r>
          </w:p>
          <w:p>
            <w:pPr>
              <w:pStyle w:val="TableParagraph"/>
              <w:spacing w:line="240" w:lineRule="auto"/>
              <w:ind w:right="0"/>
              <w:jc w:val="left"/>
              <w:rPr>
                <w:rFonts w:ascii="宋体" w:hAnsi="宋体" w:cs="宋体" w:eastAsia="宋体" w:hint="default"/>
                <w:sz w:val="18"/>
                <w:szCs w:val="18"/>
              </w:rPr>
            </w:pPr>
          </w:p>
          <w:p>
            <w:pPr>
              <w:pStyle w:val="TableParagraph"/>
              <w:spacing w:line="276" w:lineRule="auto" w:before="122"/>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、评估管理层委聘的外部估值专家的胜任能力、专业素质和 客观性；</w:t>
            </w:r>
          </w:p>
        </w:tc>
      </w:tr>
    </w:tbl>
    <w:p>
      <w:pPr>
        <w:spacing w:after="0" w:line="276"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4896"/>
        <w:gridCol w:w="4776"/>
      </w:tblGrid>
      <w:tr>
        <w:trPr>
          <w:trHeight w:val="4098"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管理层每年对二三四五互联网信息业务商誉进行减值测试。商 誉的减值评估结果由管理层依据其聘任的外部评估师编制的 估值报告进行确定。减值评估是将含有二三四五互联网信息业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务商誉的资产组的账面价值与其可收回金额进行比较，以确定 是否需要计提减值。可收回金额是采用预计未来现金流量的现 值计算所得。编制折现的现金流量预测涉及重大的管理层判 断，特别是估计收入增长率和确定采用的折现率。 由于管理层对二三四五互联网信息业务商誉的减值评估较为 复杂，其中包含若干涉及判断的假设，特别是对所采用的收入 增长率和折现率的判断，有可能受到管理层偏好的影响，我们 将评估二三四五互联网信息业务商誉的减值识别为关键审计 事项。</w:t>
            </w:r>
          </w:p>
        </w:tc>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8" w:lineRule="auto" w:before="123"/>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、通过参考行业惯例，评估了管理层进行现金流量预测时使 用的估值方法的适当性；</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90" w:lineRule="auto"/>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、将本年度的业绩与管理层上一年度预测进行比较，以评估 管理层预测过程的可靠性和历史准确性；</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8" w:lineRule="auto" w:before="150"/>
              <w:ind w:right="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、将在折现的现金流量预测中采用的收入增长率与公司过往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业绩进行比较；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97" w:lineRule="auto"/>
              <w:ind w:right="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、获取管理层对折现的现金流量预测中采用的收入等变动的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敏感性分析，并评价关键假设的变化对减值评估结果的影响 以及是否存在管理层偏好的迹象。</w:t>
            </w:r>
          </w:p>
        </w:tc>
      </w:tr>
      <w:tr>
        <w:trPr>
          <w:trHeight w:val="345" w:hRule="exact"/>
        </w:trPr>
        <w:tc>
          <w:tcPr>
            <w:tcW w:w="9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b/>
                <w:bCs/>
                <w:sz w:val="18"/>
                <w:szCs w:val="18"/>
              </w:rPr>
              <w:t>（二）收入确认</w:t>
            </w:r>
            <w:r>
              <w:rPr>
                <w:rFonts w:ascii="宋体" w:hAnsi="宋体" w:cs="宋体" w:eastAsia="宋体" w:hint="default"/>
                <w:sz w:val="18"/>
                <w:szCs w:val="18"/>
              </w:rPr>
            </w:r>
          </w:p>
        </w:tc>
      </w:tr>
      <w:tr>
        <w:trPr>
          <w:trHeight w:val="9399" w:hRule="exact"/>
        </w:trPr>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收入确认的会计政策详情及收入的分析请参阅财务报表附注</w:t>
            </w:r>
          </w:p>
          <w:p>
            <w:pPr>
              <w:pStyle w:val="TableParagraph"/>
              <w:spacing w:line="304" w:lineRule="auto" w:before="79"/>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三、重要会计政策及会计估计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注释（二十四）所述的会计政</w:t>
            </w:r>
            <w:r>
              <w:rPr>
                <w:rFonts w:ascii="宋体" w:hAnsi="宋体" w:cs="宋体" w:eastAsia="宋体" w:hint="default"/>
                <w:spacing w:val="-82"/>
                <w:sz w:val="18"/>
                <w:szCs w:val="18"/>
              </w:rPr>
              <w:t> </w:t>
            </w:r>
            <w:r>
              <w:rPr>
                <w:rFonts w:ascii="宋体" w:hAnsi="宋体" w:cs="宋体" w:eastAsia="宋体" w:hint="default"/>
                <w:sz w:val="18"/>
                <w:szCs w:val="18"/>
              </w:rPr>
              <w:t>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五、合并财务报表项目注释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注释（三十八）。</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20"/>
              <w:ind w:left="15"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年度，二三四五互联网信息服务销售收入</w:t>
            </w:r>
            <w:r>
              <w:rPr>
                <w:rFonts w:ascii="Times New Roman" w:hAnsi="Times New Roman" w:cs="Times New Roman" w:eastAsia="Times New Roman" w:hint="default"/>
                <w:spacing w:val="-2"/>
                <w:sz w:val="18"/>
                <w:szCs w:val="18"/>
              </w:rPr>
              <w:t>166,538.64</w:t>
            </w:r>
            <w:r>
              <w:rPr>
                <w:rFonts w:ascii="宋体" w:hAnsi="宋体" w:cs="宋体" w:eastAsia="宋体" w:hint="default"/>
                <w:spacing w:val="-2"/>
                <w:sz w:val="18"/>
                <w:szCs w:val="18"/>
              </w:rPr>
              <w:t>万元，</w:t>
            </w:r>
            <w:r>
              <w:rPr>
                <w:rFonts w:ascii="宋体" w:hAnsi="宋体" w:cs="宋体" w:eastAsia="宋体" w:hint="default"/>
                <w:spacing w:val="-75"/>
                <w:sz w:val="18"/>
                <w:szCs w:val="18"/>
              </w:rPr>
              <w:t> </w:t>
            </w:r>
            <w:r>
              <w:rPr>
                <w:rFonts w:ascii="宋体" w:hAnsi="宋体" w:cs="宋体" w:eastAsia="宋体" w:hint="default"/>
                <w:sz w:val="18"/>
                <w:szCs w:val="18"/>
              </w:rPr>
              <w:t>占合并抵消前收入的</w:t>
            </w:r>
            <w:r>
              <w:rPr>
                <w:rFonts w:ascii="Times New Roman" w:hAnsi="Times New Roman" w:cs="Times New Roman" w:eastAsia="Times New Roman" w:hint="default"/>
                <w:sz w:val="18"/>
                <w:szCs w:val="18"/>
              </w:rPr>
              <w:t>61.86%</w:t>
            </w:r>
            <w:r>
              <w:rPr>
                <w:rFonts w:ascii="宋体" w:hAnsi="宋体" w:cs="宋体" w:eastAsia="宋体" w:hint="default"/>
                <w:sz w:val="18"/>
                <w:szCs w:val="18"/>
              </w:rPr>
              <w:t>，金融科技服务业务销售收入 </w:t>
            </w:r>
            <w:r>
              <w:rPr>
                <w:rFonts w:ascii="Times New Roman" w:hAnsi="Times New Roman" w:cs="Times New Roman" w:eastAsia="Times New Roman" w:hint="default"/>
                <w:sz w:val="18"/>
                <w:szCs w:val="18"/>
              </w:rPr>
              <w:t>102,687.67</w:t>
            </w:r>
            <w:r>
              <w:rPr>
                <w:rFonts w:ascii="宋体" w:hAnsi="宋体" w:cs="宋体" w:eastAsia="宋体" w:hint="default"/>
                <w:sz w:val="18"/>
                <w:szCs w:val="18"/>
              </w:rPr>
              <w:t>万元，占合并抵消前收入的</w:t>
            </w:r>
            <w:r>
              <w:rPr>
                <w:rFonts w:ascii="Times New Roman" w:hAnsi="Times New Roman" w:cs="Times New Roman" w:eastAsia="Times New Roman" w:hint="default"/>
                <w:sz w:val="18"/>
                <w:szCs w:val="18"/>
              </w:rPr>
              <w:t>38.14%</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营业收入为我们认定的重要审计领域，且中国注册会计师审计 准则要求注册会计师基于收入确认存在舞弊风险的假定，评价 哪些类型的收入、收入交易或认定导致舞弊风险。我们将二三 四五收入确认识别为关键审计事项。</w:t>
            </w:r>
          </w:p>
        </w:tc>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10"/>
              <w:jc w:val="left"/>
              <w:rPr>
                <w:rFonts w:ascii="宋体" w:hAnsi="宋体" w:cs="宋体" w:eastAsia="宋体" w:hint="default"/>
                <w:sz w:val="18"/>
                <w:szCs w:val="18"/>
              </w:rPr>
            </w:pPr>
            <w:r>
              <w:rPr>
                <w:rFonts w:ascii="宋体" w:hAnsi="宋体" w:cs="宋体" w:eastAsia="宋体" w:hint="default"/>
                <w:sz w:val="18"/>
                <w:szCs w:val="18"/>
              </w:rPr>
              <w:t>互联网信息服务销售收入审计应对 </w:t>
            </w:r>
            <w:r>
              <w:rPr>
                <w:rFonts w:ascii="Times New Roman" w:hAnsi="Times New Roman" w:cs="Times New Roman" w:eastAsia="Times New Roman" w:hint="default"/>
                <w:sz w:val="18"/>
                <w:szCs w:val="18"/>
              </w:rPr>
              <w:t>1</w:t>
            </w:r>
            <w:r>
              <w:rPr>
                <w:rFonts w:ascii="宋体" w:hAnsi="宋体" w:cs="宋体" w:eastAsia="宋体" w:hint="default"/>
                <w:sz w:val="18"/>
                <w:szCs w:val="18"/>
              </w:rPr>
              <w:t>、测试和评价与互联网广告及服务收入确认相关的关键内部 控制，包括信息系统一般控制和应用系统控制的有效性；</w:t>
            </w:r>
          </w:p>
          <w:p>
            <w:pPr>
              <w:pStyle w:val="TableParagraph"/>
              <w:spacing w:line="312" w:lineRule="auto" w:before="46"/>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、对相关收入和毛利率执行分析性复核程序，比较分析该类 收入本年与上年收入及毛利率的变动趋势及其合理性； </w:t>
            </w:r>
            <w:r>
              <w:rPr>
                <w:rFonts w:ascii="Times New Roman" w:hAnsi="Times New Roman" w:cs="Times New Roman" w:eastAsia="Times New Roman" w:hint="default"/>
                <w:sz w:val="18"/>
                <w:szCs w:val="18"/>
              </w:rPr>
              <w:t>3</w:t>
            </w:r>
            <w:r>
              <w:rPr>
                <w:rFonts w:ascii="宋体" w:hAnsi="宋体" w:cs="宋体" w:eastAsia="宋体" w:hint="default"/>
                <w:sz w:val="18"/>
                <w:szCs w:val="18"/>
              </w:rPr>
              <w:t>、对需经双方确认具体结算数量的互联网广告及服务收入：</w:t>
            </w:r>
          </w:p>
          <w:p>
            <w:pPr>
              <w:pStyle w:val="TableParagraph"/>
              <w:spacing w:line="304" w:lineRule="auto"/>
              <w:ind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）获取主要客户收入的外部第三方证据，与本期收入进行 核对比较，确认本期收入的真实性和准确性；（</w:t>
            </w:r>
            <w:r>
              <w:rPr>
                <w:rFonts w:ascii="Times New Roman" w:hAnsi="Times New Roman" w:cs="Times New Roman" w:eastAsia="Times New Roman" w:hint="default"/>
                <w:sz w:val="18"/>
                <w:szCs w:val="18"/>
              </w:rPr>
              <w:t>2</w:t>
            </w:r>
            <w:r>
              <w:rPr>
                <w:rFonts w:ascii="宋体" w:hAnsi="宋体" w:cs="宋体" w:eastAsia="宋体" w:hint="default"/>
                <w:sz w:val="18"/>
                <w:szCs w:val="18"/>
              </w:rPr>
              <w:t>）获取本期</w:t>
            </w:r>
            <w:r>
              <w:rPr>
                <w:rFonts w:ascii="宋体" w:hAnsi="宋体" w:cs="宋体" w:eastAsia="宋体" w:hint="default"/>
                <w:spacing w:val="-85"/>
                <w:sz w:val="18"/>
                <w:szCs w:val="18"/>
              </w:rPr>
              <w:t> </w:t>
            </w:r>
            <w:r>
              <w:rPr>
                <w:rFonts w:ascii="宋体" w:hAnsi="宋体" w:cs="宋体" w:eastAsia="宋体" w:hint="default"/>
                <w:sz w:val="18"/>
                <w:szCs w:val="18"/>
              </w:rPr>
              <w:t>系统收款记录，与本期网银流水或第三方支付渠道充值记录 进行核对，检查本期收入的回款的真实性。</w:t>
            </w:r>
          </w:p>
          <w:p>
            <w:pPr>
              <w:pStyle w:val="TableParagraph"/>
              <w:spacing w:line="276" w:lineRule="auto" w:before="46"/>
              <w:ind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、对固定费用结算的互联网广告及服务收入：（</w:t>
            </w:r>
            <w:r>
              <w:rPr>
                <w:rFonts w:ascii="Times New Roman" w:hAnsi="Times New Roman" w:cs="Times New Roman" w:eastAsia="Times New Roman" w:hint="default"/>
                <w:sz w:val="18"/>
                <w:szCs w:val="18"/>
              </w:rPr>
              <w:t>1</w:t>
            </w:r>
            <w:r>
              <w:rPr>
                <w:rFonts w:ascii="宋体" w:hAnsi="宋体" w:cs="宋体" w:eastAsia="宋体" w:hint="default"/>
                <w:sz w:val="18"/>
                <w:szCs w:val="18"/>
              </w:rPr>
              <w:t>）抽取样</w:t>
            </w:r>
            <w:r>
              <w:rPr>
                <w:rFonts w:ascii="宋体" w:hAnsi="宋体" w:cs="宋体" w:eastAsia="宋体" w:hint="default"/>
                <w:spacing w:val="-85"/>
                <w:sz w:val="18"/>
                <w:szCs w:val="18"/>
              </w:rPr>
              <w:t> </w:t>
            </w:r>
            <w:r>
              <w:rPr>
                <w:rFonts w:ascii="宋体" w:hAnsi="宋体" w:cs="宋体" w:eastAsia="宋体" w:hint="default"/>
                <w:sz w:val="18"/>
                <w:szCs w:val="18"/>
              </w:rPr>
              <w:t>本，检查合同服务期间及合同金额，并与本期收入进行核对</w:t>
            </w:r>
          </w:p>
          <w:p>
            <w:pPr>
              <w:pStyle w:val="TableParagraph"/>
              <w:spacing w:line="290" w:lineRule="auto" w:before="67"/>
              <w:ind w:right="-13"/>
              <w:jc w:val="left"/>
              <w:rPr>
                <w:rFonts w:ascii="宋体" w:hAnsi="宋体" w:cs="宋体" w:eastAsia="宋体" w:hint="default"/>
                <w:sz w:val="18"/>
                <w:szCs w:val="18"/>
              </w:rPr>
            </w:pPr>
            <w:r>
              <w:rPr>
                <w:rFonts w:ascii="宋体" w:hAnsi="宋体" w:cs="宋体" w:eastAsia="宋体" w:hint="default"/>
                <w:sz w:val="18"/>
                <w:szCs w:val="18"/>
              </w:rPr>
              <w:t>确认本期收入的准确性；（</w:t>
            </w:r>
            <w:r>
              <w:rPr>
                <w:rFonts w:ascii="Times New Roman" w:hAnsi="Times New Roman" w:cs="Times New Roman" w:eastAsia="Times New Roman" w:hint="default"/>
                <w:sz w:val="18"/>
                <w:szCs w:val="18"/>
              </w:rPr>
              <w:t>2</w:t>
            </w:r>
            <w:r>
              <w:rPr>
                <w:rFonts w:ascii="宋体" w:hAnsi="宋体" w:cs="宋体" w:eastAsia="宋体" w:hint="default"/>
                <w:sz w:val="18"/>
                <w:szCs w:val="18"/>
              </w:rPr>
              <w:t>）查询广告位置和网址信息，检 查本期收入的真实性、完整性。</w:t>
            </w:r>
          </w:p>
          <w:p>
            <w:pPr>
              <w:pStyle w:val="TableParagraph"/>
              <w:spacing w:line="297" w:lineRule="auto" w:before="56"/>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、对本年客户采用审计抽样的方法选取函证样本，执行函证 程序以确认本期收入及期末往来余额。 金融科技服务销售收入审计应对</w:t>
            </w:r>
          </w:p>
          <w:p>
            <w:pPr>
              <w:pStyle w:val="TableParagraph"/>
              <w:spacing w:line="290" w:lineRule="auto" w:before="51"/>
              <w:ind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、测试和评价与金融科技服务收入确认相关的关键内部控 制，包括信息系统一般控制和应用系统控制的有效性；</w:t>
            </w:r>
          </w:p>
          <w:p>
            <w:pPr>
              <w:pStyle w:val="TableParagraph"/>
              <w:spacing w:line="297" w:lineRule="auto" w:before="56"/>
              <w:ind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、利用本所内部</w:t>
            </w:r>
            <w:r>
              <w:rPr>
                <w:rFonts w:ascii="Times New Roman" w:hAnsi="Times New Roman" w:cs="Times New Roman" w:eastAsia="Times New Roman" w:hint="default"/>
                <w:sz w:val="18"/>
                <w:szCs w:val="18"/>
              </w:rPr>
              <w:t>IT</w:t>
            </w:r>
            <w:r>
              <w:rPr>
                <w:rFonts w:ascii="宋体" w:hAnsi="宋体" w:cs="宋体" w:eastAsia="宋体" w:hint="default"/>
                <w:sz w:val="18"/>
                <w:szCs w:val="18"/>
              </w:rPr>
              <w:t>专家的工作，通过计算机辅助审计技术获</w:t>
            </w:r>
            <w:r>
              <w:rPr>
                <w:rFonts w:ascii="宋体" w:hAnsi="宋体" w:cs="宋体" w:eastAsia="宋体" w:hint="default"/>
                <w:spacing w:val="-79"/>
                <w:sz w:val="18"/>
                <w:szCs w:val="18"/>
              </w:rPr>
              <w:t> </w:t>
            </w:r>
            <w:r>
              <w:rPr>
                <w:rFonts w:ascii="宋体" w:hAnsi="宋体" w:cs="宋体" w:eastAsia="宋体" w:hint="default"/>
                <w:sz w:val="18"/>
                <w:szCs w:val="18"/>
              </w:rPr>
              <w:t>取金融科技服务业务系统中相关资产发生额、余额数据与账 面记录情况，并与银行账单、第三方支付机构流水核对；</w:t>
            </w:r>
          </w:p>
          <w:p>
            <w:pPr>
              <w:pStyle w:val="TableParagraph"/>
              <w:spacing w:line="304" w:lineRule="auto" w:before="52"/>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、按照抽样原则对金融科技服务业务项目本期发生额选取一 定的样本检查对应的系统记录、合同、抵押信息等相关资料 并对部分样本进行电话随机回访；</w:t>
            </w:r>
          </w:p>
          <w:p>
            <w:pPr>
              <w:pStyle w:val="TableParagraph"/>
              <w:spacing w:line="297" w:lineRule="auto" w:before="46"/>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、获取公司编制的金融科技服务业务项目核算表，与合同条 款及相关资料进行核对，按照合同条款对应确认收入金额进 行了重新计算；</w:t>
            </w:r>
          </w:p>
          <w:p>
            <w:pPr>
              <w:pStyle w:val="TableParagraph"/>
              <w:spacing w:line="290" w:lineRule="auto" w:before="51"/>
              <w:ind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、对重要的金融科技服务项目，查验公司编制的风控报告及 相关的审批流程，并执行函证及现场访谈程序。</w:t>
            </w:r>
          </w:p>
        </w:tc>
      </w:tr>
    </w:tbl>
    <w:p>
      <w:pPr>
        <w:spacing w:after="0" w:line="29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Heading4"/>
        <w:spacing w:line="240" w:lineRule="auto" w:before="44"/>
        <w:ind w:left="141" w:right="0"/>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288" w:lineRule="auto" w:before="159"/>
        <w:ind w:right="1128" w:firstLine="420"/>
        <w:jc w:val="both"/>
      </w:pPr>
      <w:r>
        <w:rPr/>
        <w:t>二三四五管理层（以下简称管理层）对其他信息负责。其他信息包括二三四五</w:t>
      </w:r>
      <w:r>
        <w:rPr>
          <w:rFonts w:ascii="Times New Roman" w:hAnsi="Times New Roman" w:cs="Times New Roman" w:eastAsia="Times New Roman" w:hint="default"/>
        </w:rPr>
        <w:t>2019</w:t>
      </w:r>
      <w:r>
        <w:rPr/>
        <w:t>年年度报告中涵盖的信息，但不包 括财务报表和我们的审计报告。</w:t>
      </w:r>
    </w:p>
    <w:p>
      <w:pPr>
        <w:pStyle w:val="BodyText"/>
        <w:spacing w:line="321" w:lineRule="auto"/>
        <w:ind w:left="561"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04" w:lineRule="auto" w:before="18"/>
        <w:ind w:left="561" w:right="0" w:hanging="421"/>
        <w:jc w:val="left"/>
      </w:pPr>
      <w:r>
        <w:rPr/>
        <w:t>过程中了解到的情况存在重大不一致或者似乎存在重大错报。 基于我们已执行的工作，如果我们确定其他信息存在重大错报，我们应当报告该事实。在这方面，我们无任何事项需</w:t>
      </w:r>
    </w:p>
    <w:p>
      <w:pPr>
        <w:spacing w:line="643" w:lineRule="auto" w:before="31"/>
        <w:ind w:left="141" w:right="7677" w:firstLine="0"/>
        <w:jc w:val="left"/>
        <w:rPr>
          <w:rFonts w:ascii="宋体" w:hAnsi="宋体" w:cs="宋体" w:eastAsia="宋体" w:hint="default"/>
          <w:sz w:val="18"/>
          <w:szCs w:val="18"/>
        </w:rPr>
      </w:pPr>
      <w:r>
        <w:rPr>
          <w:rFonts w:ascii="宋体" w:hAnsi="宋体" w:cs="宋体" w:eastAsia="宋体" w:hint="default"/>
          <w:sz w:val="18"/>
          <w:szCs w:val="18"/>
        </w:rPr>
        <w:t>要报告。 </w:t>
      </w:r>
      <w:r>
        <w:rPr>
          <w:rFonts w:ascii="宋体" w:hAnsi="宋体" w:cs="宋体" w:eastAsia="宋体" w:hint="default"/>
          <w:b/>
          <w:bCs/>
          <w:sz w:val="18"/>
          <w:szCs w:val="18"/>
        </w:rPr>
        <w:t>五、管理层和治理层对财务报表的责任</w:t>
      </w:r>
      <w:r>
        <w:rPr>
          <w:rFonts w:ascii="宋体" w:hAnsi="宋体" w:cs="宋体" w:eastAsia="宋体" w:hint="default"/>
          <w:sz w:val="18"/>
          <w:szCs w:val="18"/>
        </w:rPr>
      </w:r>
    </w:p>
    <w:p>
      <w:pPr>
        <w:pStyle w:val="BodyText"/>
        <w:spacing w:line="321" w:lineRule="auto" w:before="77"/>
        <w:ind w:right="1136" w:firstLine="420"/>
        <w:jc w:val="both"/>
      </w:pPr>
      <w:r>
        <w:rPr/>
        <w:t>管理层负责按照企业会计准则的规定编制财务报表，使其实现公允反映，并设计、执行和维护必要的内部控制，以使 财务报表不存在由于舞弊或错误导致的重大错报。</w:t>
      </w:r>
    </w:p>
    <w:p>
      <w:pPr>
        <w:pStyle w:val="BodyText"/>
        <w:spacing w:line="321" w:lineRule="auto" w:before="18"/>
        <w:ind w:right="1136" w:firstLine="420"/>
        <w:jc w:val="both"/>
      </w:pPr>
      <w:r>
        <w:rPr/>
        <w:t>在编制财务报表时，管理层负责评估二三四五的持续经营能力，披露与持续经营相关的事项（如适用），并运用持续 经营假设，除非计划进行清算、终止运营或别无其他现实的选择。</w:t>
      </w:r>
    </w:p>
    <w:p>
      <w:pPr>
        <w:spacing w:line="626" w:lineRule="auto" w:before="18"/>
        <w:ind w:left="141" w:right="6909" w:firstLine="420"/>
        <w:jc w:val="left"/>
        <w:rPr>
          <w:rFonts w:ascii="宋体" w:hAnsi="宋体" w:cs="宋体" w:eastAsia="宋体" w:hint="default"/>
          <w:sz w:val="18"/>
          <w:szCs w:val="18"/>
        </w:rPr>
      </w:pPr>
      <w:r>
        <w:rPr>
          <w:rFonts w:ascii="宋体" w:hAnsi="宋体" w:cs="宋体" w:eastAsia="宋体" w:hint="default"/>
          <w:sz w:val="18"/>
          <w:szCs w:val="18"/>
        </w:rPr>
        <w:t>治理层负责监督二三四五的财务报告过程。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05"/>
        <w:ind w:right="1136" w:firstLine="42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75"/>
        </w:rPr>
        <w:t> </w:t>
      </w:r>
      <w:r>
        <w:rPr>
          <w:spacing w:val="-75"/>
        </w:rPr>
      </w:r>
      <w:r>
        <w:rPr>
          <w:spacing w:val="-2"/>
        </w:rPr>
        <w:t>弊或错误导致，如果合理预期错报单独或汇总起来可能影响财务报表使用者依据财务报表作出的经济决策，则通常认为错报</w:t>
      </w:r>
      <w:r>
        <w:rPr>
          <w:spacing w:val="-72"/>
        </w:rPr>
        <w:t> </w:t>
      </w:r>
      <w:r>
        <w:rPr>
          <w:spacing w:val="-72"/>
        </w:rPr>
      </w:r>
      <w:r>
        <w:rPr/>
        <w:t>是重大的。</w:t>
      </w:r>
    </w:p>
    <w:p>
      <w:pPr>
        <w:pStyle w:val="BodyText"/>
        <w:spacing w:line="240" w:lineRule="auto" w:before="22"/>
        <w:ind w:left="561" w:right="0"/>
        <w:jc w:val="left"/>
      </w:pPr>
      <w:r>
        <w:rPr/>
        <w:t>在按照审计准则执行审计工作的过程中，我们运用职业判断，并保持职业怀疑。同时，我们也执行以下工作：</w:t>
      </w:r>
    </w:p>
    <w:p>
      <w:pPr>
        <w:pStyle w:val="BodyText"/>
        <w:spacing w:line="297" w:lineRule="auto" w:before="94"/>
        <w:ind w:right="1045" w:firstLine="42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1"/>
        <w:ind w:left="561"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6"/>
        <w:ind w:left="56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4" w:lineRule="auto" w:before="66"/>
        <w:ind w:right="1129" w:firstLine="420"/>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）对管理层使用持续经营假设的恰当性得出结论。同时，根据获取的审计证据，就可能导致对二三四五持续经营能</w:t>
      </w:r>
      <w:r>
        <w:rPr/>
        <w:t> </w:t>
      </w:r>
      <w:r>
        <w:rPr>
          <w:spacing w:val="-2"/>
        </w:rPr>
        <w:t>力产生重大疑虑的事项或情况是否存在重大不确定性得出结论。如果我们得出结论认为存在重大不确定性，审计准则要求我</w:t>
      </w:r>
      <w:r>
        <w:rPr>
          <w:spacing w:val="-72"/>
        </w:rPr>
        <w:t> </w:t>
      </w:r>
      <w:r>
        <w:rPr>
          <w:spacing w:val="-72"/>
        </w:rPr>
      </w:r>
      <w:r>
        <w:rPr>
          <w:spacing w:val="-2"/>
        </w:rPr>
        <w:t>们在审计报告中提请报表使用者注意财务报表中的相关披露；如果披露不充分，我们应当发表非无保留意见。我们的结论基</w:t>
      </w:r>
      <w:r>
        <w:rPr>
          <w:spacing w:val="-75"/>
        </w:rPr>
        <w:t> </w:t>
      </w:r>
      <w:r>
        <w:rPr>
          <w:spacing w:val="-75"/>
        </w:rPr>
      </w:r>
      <w:r>
        <w:rPr/>
        <w:t>于截至审计报告日可获得的信息。然而，未来的事项或情况可能导致二三四五不能持续经营。</w:t>
      </w:r>
    </w:p>
    <w:p>
      <w:pPr>
        <w:pStyle w:val="BodyText"/>
        <w:spacing w:line="240" w:lineRule="auto" w:before="46"/>
        <w:ind w:left="561" w:right="0"/>
        <w:jc w:val="left"/>
      </w:pPr>
      <w:r>
        <w:rPr/>
        <w:t>（</w:t>
      </w:r>
      <w:r>
        <w:rPr>
          <w:rFonts w:ascii="Times New Roman" w:hAnsi="Times New Roman" w:cs="Times New Roman" w:eastAsia="Times New Roman" w:hint="default"/>
        </w:rPr>
        <w:t>5</w:t>
      </w:r>
      <w:r>
        <w:rPr/>
        <w:t>）评价财务报表的总体列报（包括披露）、结构和内容，并评价财务报表是否公允反映相关交易和事项。</w:t>
      </w:r>
    </w:p>
    <w:p>
      <w:pPr>
        <w:pStyle w:val="BodyText"/>
        <w:spacing w:line="288" w:lineRule="auto" w:before="66"/>
        <w:ind w:right="1128" w:firstLine="420"/>
        <w:jc w:val="both"/>
      </w:pPr>
      <w:r>
        <w:rPr>
          <w:spacing w:val="-2"/>
        </w:rPr>
        <w:t>（</w:t>
      </w:r>
      <w:r>
        <w:rPr>
          <w:rFonts w:ascii="Times New Roman" w:hAnsi="Times New Roman" w:cs="Times New Roman" w:eastAsia="Times New Roman" w:hint="default"/>
          <w:spacing w:val="-2"/>
        </w:rPr>
        <w:t>6</w:t>
      </w:r>
      <w:r>
        <w:rPr>
          <w:spacing w:val="-2"/>
        </w:rPr>
        <w:t>）就二三四五中实体或业务活动的财务信息获取充分、适当的审计证据，以对财务报表发表审计意见。我们负责指</w:t>
      </w:r>
      <w:r>
        <w:rPr/>
        <w:t> 导、监督和执行集团审计，并对审计意见承担全部责任。</w:t>
      </w:r>
    </w:p>
    <w:p>
      <w:pPr>
        <w:pStyle w:val="BodyText"/>
        <w:spacing w:line="321" w:lineRule="auto" w:before="29"/>
        <w:ind w:right="1136" w:firstLine="420"/>
        <w:jc w:val="both"/>
      </w:pPr>
      <w:r>
        <w:rPr/>
        <w:t>我们与治理层就计划的审计范围、时间安排和重大审计发现等事项进行沟通，包括沟通我们在审计中识别出的值得关 注的内部控制缺陷。</w:t>
      </w:r>
    </w:p>
    <w:p>
      <w:pPr>
        <w:pStyle w:val="BodyText"/>
        <w:spacing w:line="321" w:lineRule="auto" w:before="18"/>
        <w:ind w:right="1136" w:firstLine="420"/>
        <w:jc w:val="both"/>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307" w:lineRule="auto" w:before="18"/>
        <w:ind w:right="1131" w:firstLine="420"/>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p>
    <w:p>
      <w:pPr>
        <w:spacing w:after="0" w:line="30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pStyle w:val="Heading4"/>
        <w:tabs>
          <w:tab w:pos="4556" w:val="left" w:leader="none"/>
        </w:tabs>
        <w:spacing w:line="240" w:lineRule="auto" w:before="159"/>
        <w:ind w:left="411" w:right="0"/>
        <w:jc w:val="left"/>
        <w:rPr>
          <w:b w:val="0"/>
          <w:bCs w:val="0"/>
        </w:rPr>
      </w:pPr>
      <w:r>
        <w:rPr>
          <w:w w:val="95"/>
        </w:rPr>
        <w:t>立信会计师事务所</w:t>
        <w:tab/>
      </w:r>
      <w:r>
        <w:rPr/>
        <w:t>中国注册会计师：郑斌</w:t>
      </w:r>
      <w:r>
        <w:rPr>
          <w:b w:val="0"/>
          <w:bCs w:val="0"/>
        </w:rPr>
      </w:r>
    </w:p>
    <w:p>
      <w:pPr>
        <w:pStyle w:val="Heading4"/>
        <w:tabs>
          <w:tab w:pos="4857" w:val="left" w:leader="none"/>
        </w:tabs>
        <w:spacing w:line="240" w:lineRule="auto" w:before="65"/>
        <w:ind w:left="411" w:right="0"/>
        <w:jc w:val="left"/>
        <w:rPr>
          <w:b w:val="0"/>
          <w:bCs w:val="0"/>
        </w:rPr>
      </w:pPr>
      <w:r>
        <w:rPr>
          <w:w w:val="95"/>
        </w:rPr>
        <w:t>（特殊普通合伙）</w:t>
        <w:tab/>
      </w:r>
      <w:r>
        <w:rPr/>
        <w:t>（项目合伙人）</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8"/>
          <w:szCs w:val="18"/>
        </w:rPr>
      </w:pPr>
    </w:p>
    <w:p>
      <w:pPr>
        <w:pStyle w:val="Heading4"/>
        <w:spacing w:line="240" w:lineRule="auto"/>
        <w:ind w:left="1691" w:right="1790"/>
        <w:jc w:val="center"/>
        <w:rPr>
          <w:b w:val="0"/>
          <w:bCs w:val="0"/>
        </w:rPr>
      </w:pPr>
      <w:r>
        <w:rPr/>
        <w:t>中国注册会计师：范翃</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8"/>
          <w:szCs w:val="18"/>
        </w:rPr>
      </w:pPr>
    </w:p>
    <w:p>
      <w:pPr>
        <w:pStyle w:val="Heading4"/>
        <w:tabs>
          <w:tab w:pos="4466" w:val="left" w:leader="none"/>
        </w:tabs>
        <w:spacing w:line="240" w:lineRule="auto"/>
        <w:ind w:left="411" w:right="0"/>
        <w:jc w:val="left"/>
        <w:rPr>
          <w:b w:val="0"/>
          <w:bCs w:val="0"/>
        </w:rPr>
      </w:pPr>
      <w:r>
        <w:rPr>
          <w:spacing w:val="-1"/>
          <w:w w:val="95"/>
        </w:rPr>
        <w:t>中国</w:t>
      </w:r>
      <w:r>
        <w:rPr>
          <w:rFonts w:ascii="Times New Roman" w:hAnsi="Times New Roman" w:cs="Times New Roman" w:eastAsia="Times New Roman" w:hint="default"/>
          <w:spacing w:val="-1"/>
          <w:w w:val="95"/>
        </w:rPr>
        <w:t>•</w:t>
      </w:r>
      <w:r>
        <w:rPr>
          <w:spacing w:val="-1"/>
          <w:w w:val="95"/>
        </w:rPr>
        <w:t>上海</w:t>
        <w:tab/>
      </w:r>
      <w:r>
        <w:rPr>
          <w:spacing w:val="1"/>
        </w:rPr>
        <w:t>二〇二〇年四月二十八日</w:t>
      </w:r>
      <w:r>
        <w:rPr>
          <w:b w:val="0"/>
          <w:bCs w:val="0"/>
          <w:spacing w:val="1"/>
        </w:rPr>
      </w:r>
    </w:p>
    <w:p>
      <w:pPr>
        <w:spacing w:line="240" w:lineRule="auto" w:before="10"/>
        <w:rPr>
          <w:rFonts w:ascii="宋体" w:hAnsi="宋体" w:cs="宋体" w:eastAsia="宋体" w:hint="default"/>
          <w:b/>
          <w:bCs/>
          <w:sz w:val="23"/>
          <w:szCs w:val="23"/>
        </w:rPr>
      </w:pPr>
    </w:p>
    <w:p>
      <w:pPr>
        <w:pStyle w:val="Heading2"/>
        <w:spacing w:line="240" w:lineRule="auto"/>
        <w:ind w:right="0"/>
        <w:jc w:val="left"/>
        <w:rPr>
          <w:b w:val="0"/>
          <w:bCs w:val="0"/>
        </w:rPr>
      </w:pPr>
      <w:bookmarkStart w:name="二、财务报表" w:id="173"/>
      <w:bookmarkEnd w:id="173"/>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合并资产负债表" w:id="174"/>
      <w:bookmarkEnd w:id="17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0"/>
        <w:jc w:val="left"/>
      </w:pPr>
      <w:r>
        <w:rPr/>
        <w:t>编制单位：上海二三四五网络控股集团股份有限公司</w:t>
      </w:r>
    </w:p>
    <w:p>
      <w:pPr>
        <w:pStyle w:val="BodyText"/>
        <w:spacing w:line="240" w:lineRule="auto" w:before="125"/>
        <w:ind w:left="0" w:right="0"/>
        <w:jc w:val="right"/>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5714" w:space="3223"/>
            <w:col w:w="1973"/>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2,992,671,815.70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3,482,843,345.27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2,311,641,578.54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448,448,950.74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620,552,755.95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27,779,850.28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72,496,312.70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11,353,667.35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91,333,486.67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3,174,716.02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6,602,091.07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886,743,716.20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661,299,806.95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110,171,958.03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2,802,310,074.38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6,788,811,536.84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7,730,835,781.92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101,634,227.09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198,921,338.75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455,450,636.86</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100,153,850.00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749,615,816.08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741,734,448.95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63,212,205.13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293,150,213.53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391,693,146.87</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98,672,192.98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137,487,021.64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71,811,802.47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4,714,012.86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2,350,607.36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2,408,185,626.08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2,408,185,626.08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26,332,079.05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35,360,220.37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158,106,426.03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93,248,987.84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4,595,103,390.67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4,044,917,095.35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11,383,914,927.51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11,775,752,877.27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101,207,679.31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516,800,000.00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205,724,677.91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317,862,623.47</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7,680,796.67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94,772,922.04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100,782,211.21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89,817,190.49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47,329,270.98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116,584,866.35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110,113,941.20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198,181,883.66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18,991,870.84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20,266,058.32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1,790,808.00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2,555,430.00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536,237,992.00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476,977,620.00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11,485,577.69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24,259,043.99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1,120,562,146.97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1,835,256,150.00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500,000,000.00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108,242,300.00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6,135,000.00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2,077,997.32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226,104.38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78,361,104.38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610,320,297.32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1,198,923,251.35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2,445,576,447.32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5,770,427,743.00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4,442,964,822.00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456,252,762.92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1,784,399,149.32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110,028,800.00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318,332,502.59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-1,413,808.20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90,504.27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232,272,925.45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130,641,715.90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3,811,703,537.92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3,275,910,090.23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10,159,214,361.09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9,315,673,779.13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25,777,315.07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14,502,650.82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10,184,991,676.16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9,330,176,429.95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11,383,914,927.51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11,775,752,877.27</w:t>
            </w: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ind w:right="0"/>
        <w:jc w:val="left"/>
      </w:pPr>
      <w:r>
        <w:rPr/>
        <w:t>法定代表人：陈于冰</w:t>
        <w:tab/>
        <w:t>主管会计工作负责人：陈于冰</w:t>
        <w:tab/>
        <w:t>会计机构负责人：黄国敏</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2、母公司资产负债表" w:id="175"/>
      <w:bookmarkEnd w:id="17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312,955,915.82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364,293,103.00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13"/>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1,353,896,540.43</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13,517,825.77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4,960,018.01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1,248,207.57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6,149,644.56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18,292,058.76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20,238,524.36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66,515.72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357,834,745.10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1,699,977,064.07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753,476,035.03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87,500,000.00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6,587,120,138.16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6,783,633,036.53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698,546,226.83</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5,526,645.75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9,449,225.37</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26,332,079.05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35,360,220.37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9,346,999.37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8,341,466.60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7,326,872,089.16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7,024,283,948.87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9,026,849,153.23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7,777,759,983.90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14,980,000.00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9,352,731.47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10,685,014.71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10,421,042.31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2,050,919.81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1,319,599.36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1,493,080.79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329,145.86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284,967.16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478,498,287.66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147,009,405.15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18,767,389.13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18,750,000.00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1,790,808.00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2,555,430.00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536,237,992.00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209,977,620.00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1,262,631.41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1,051,138,798.66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372,763,639.03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500,000,000.00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108,242,300.00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10,645,217.54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82,645,217.54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608,242,300.00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1,133,784,016.20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981,005,939.03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5,770,427,743.00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4,442,964,822.00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476,756,470.19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1,801,136,030.35</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110,028,800.00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318,332,502.59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232,272,925.45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130,641,715.90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1,523,636,798.39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740,343,979.21</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7,893,065,137.03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6,796,754,044.87</w:t>
            </w:r>
          </w:p>
        </w:tc>
      </w:tr>
      <w:tr>
        <w:trPr>
          <w:trHeight w:val="39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9,026,849,153.23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7,777,759,983.90</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3、合并利润表" w:id="176"/>
      <w:bookmarkEnd w:id="17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2,440,761,431.33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3,773,918,388.17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2,440,761,431.33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3,773,918,388.17</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1,452,108,569.61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1,712,383,439.25</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231,362,489.94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398,975,014.85</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8,807,384.12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17,693,330.27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762,652,109.13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805,380,020.77</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200,192,086.30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216,597,367.93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247,091,510.71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297,861,977.04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2,002,989.41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-24,124,271.61</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63,180,117.06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58,427,273.01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77,611,667.86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76,888,060.20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73,597,203.88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47,466,089.91</w:t>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173,431,661.35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65,454,978.09</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52,879,593.93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-6,172,983.42</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-10,598,820.21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44"/>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23,313,020.20</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-438,176,235.48</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-578,446,758.80</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21,859.71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-1,673,148.45</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820,840,371.38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1,594,336,109.67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136,243.85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3,611,672.99</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5,632,002.68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2,887,753.40</w:t>
            </w: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042" w:val="left" w:leader="none"/>
              </w:tabs>
              <w:spacing w:line="240" w:lineRule="auto" w:before="59"/>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815,344,612.55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1,595,060,029.26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45,474,539.99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222,878,835.12</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769,870,072.56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1,372,181,194.14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769,870,072.56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1,372,181,194.14</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759,120,256.35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1,367,355,675.26</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10,749,816.21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4,825,518.88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-1,504,312.47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90,504.27</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-1,504,312.47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90,504.27</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-1,504,312.47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90,504.27</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-1,504,312.47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90,504.27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768,365,760.09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1,372,271,698.41</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757,615,943.88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1,367,446,179.53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10,749,816.21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4,825,518.88</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079"/>
        <w:gridCol w:w="3214"/>
        <w:gridCol w:w="3289"/>
      </w:tblGrid>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0.25</w:t>
            </w: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0.25</w:t>
            </w:r>
          </w:p>
        </w:tc>
      </w:tr>
    </w:tbl>
    <w:p>
      <w:pPr>
        <w:pStyle w:val="BodyText"/>
        <w:tabs>
          <w:tab w:pos="3565" w:val="left" w:leader="none"/>
          <w:tab w:pos="7710" w:val="left" w:leader="none"/>
        </w:tabs>
        <w:spacing w:line="612" w:lineRule="auto"/>
        <w:ind w:right="1218"/>
        <w:jc w:val="left"/>
      </w:pPr>
      <w:r>
        <w:rPr/>
        <w:t>本期发生同一控制下企业合并的，被合并方在合并前实现的净利润为：元，上期被合并方实现的净利润为：元。 法定代表人：陈于冰</w:t>
        <w:tab/>
        <w:t>主管会计工作负责人：陈于冰</w:t>
        <w:tab/>
        <w:t>会计机构负责人：黄国敏</w:t>
      </w:r>
    </w:p>
    <w:p>
      <w:pPr>
        <w:pStyle w:val="Heading3"/>
        <w:spacing w:line="240" w:lineRule="auto" w:before="111"/>
        <w:ind w:right="0"/>
        <w:jc w:val="left"/>
        <w:rPr>
          <w:b w:val="0"/>
          <w:bCs w:val="0"/>
        </w:rPr>
      </w:pPr>
      <w:bookmarkStart w:name="4、母公司利润表" w:id="177"/>
      <w:bookmarkEnd w:id="17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49,150,661.56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62,981,026.24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291,652.88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20,670.05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61,537,374.68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64,830,836.00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38,938,631.23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50,830,656.46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43,908,644.17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52,707,084.37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5,386,994.41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4,082,752.02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198,223.37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3,304,117.49</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1,048,600,254.40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592,684,324.85</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-4,204,819.48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-30,876,148.79</w:t>
            </w:r>
            <w:r>
              <w:rPr>
                <w:rFonts w:ascii="Times New Roman"/>
                <w:sz w:val="18"/>
              </w:rPr>
            </w:r>
          </w:p>
        </w:tc>
      </w:tr>
      <w:tr>
        <w:trPr>
          <w:trHeight w:val="10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15,625,675.56</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-5,000,000.00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-42,000.00</w:t>
            </w:r>
            <w:r>
              <w:rPr>
                <w:rFonts w:ascii="Times New Roman"/>
                <w:sz w:val="18"/>
              </w:rPr>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1,007,807,156.10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543,245,306.07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1,007,807,156.10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543,245,306.07</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-2,880,384.42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-5,431,371.64</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1,010,687,540.52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548,676,677.71</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1,010,687,540.52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548,676,677.71</w:t>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1,010,687,540.52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548,676,677.71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0.10</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5、合并现金流量表" w:id="178"/>
      <w:bookmarkEnd w:id="17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2,148,221,039.56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3,815,129,061.53</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355,039,779.12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344,794,743.01</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457,800,903.43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280,075,790.03</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2,961,061,722.11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4,439,999,594.57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247,668,699.03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458,458,848.53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-605,961,366.80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2,587,793,123.66</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47"/>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363,524,071.76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297,664,273.29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36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307,652,298.52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318,329,141.72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991,603,047.98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956,314,065.58</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1,304,486,750.49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4,618,559,452.78</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1,656,574,971.62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-178,559,858.21</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302,502,255.72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35,900,000.00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16,244,982.18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21,002.95</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106,737.56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113,194.38</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6,283,013,455.47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453,419,672.66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6,601,867,430.93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489,453,869.99</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179,138,083.88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31,322,272.12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552,228,000.00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218,900,000.00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6,912,945,912.25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805,300,000.00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7,644,311,996.13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1,055,522,272.12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w w:val="95"/>
                <w:sz w:val="18"/>
              </w:rPr>
              <w:t>-1,042,444,565.20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-566,068,402.13</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23,352,800.00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6,900,000.00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290,207,679.31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2,133,800,000.00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300,207,679.31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2,157,152,800.00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1,146,570,334.35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1,184,240,000.00</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204,725,447.15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139,972,912.65</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11,561,650.00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19,005,705.66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1,362,857,431.50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1,343,218,618.31</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w w:val="95"/>
                <w:sz w:val="18"/>
              </w:rPr>
              <w:t>-1,062,649,752.19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813,934,181.69</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-16,866,565.28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3,888,431.64</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-465,385,911.05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73,194,352.99</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3,456,946,685.86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3,383,752,332.87</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2,991,560,774.81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3,456,946,685.86</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6、母公司现金流量表" w:id="179"/>
      <w:bookmarkEnd w:id="17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22,746,440.82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34,115,832.48</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36,356,947.34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27,664,100.88</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59,103,388.16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61,779,933.36</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8,145,868.55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8,279,834.29</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1,776,536.18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795,559.18</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40,049,101.02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32,396,327.29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49,971,505.75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41,471,720.76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9,131,882.41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20,308,212.60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202,449,335.38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35,400,000.00</w:t>
            </w:r>
          </w:p>
        </w:tc>
      </w:tr>
      <w:tr>
        <w:trPr>
          <w:trHeight w:val="39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1,016,244,982.18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614,295,241.44</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1,920,587,472.57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465,776,201.47</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3,139,281,790.13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1,115,471,442.91</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344,597.04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16,824,301.19</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542,500,000.00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3,288,229,665.65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455,300,000.00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3,356,074,262.69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1,014,624,301.19</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-216,792,472.56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100,847,141.72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16,452,800.00</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14,980,000.00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1,350,000,000.00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330,499,984.29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124,400,000.00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345,479,984.29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1,490,852,800.00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1,150,000,000.00</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177,594,931.32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134,085,207.30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11,561,650.00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17,496,271.70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189,156,581.32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1,301,581,479.00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156,323,402.97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189,271,321.00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-51,337,187.18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310,426,675.32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364,293,103.00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53,866,427.68</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312,955,915.82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364,293,103.00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80"/>
      <w:bookmarkEnd w:id="18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9"/>
        <w:gridCol w:w="473"/>
        <w:gridCol w:w="465"/>
        <w:gridCol w:w="481"/>
        <w:gridCol w:w="466"/>
        <w:gridCol w:w="585"/>
        <w:gridCol w:w="586"/>
        <w:gridCol w:w="586"/>
        <w:gridCol w:w="571"/>
        <w:gridCol w:w="585"/>
        <w:gridCol w:w="586"/>
        <w:gridCol w:w="586"/>
        <w:gridCol w:w="586"/>
        <w:gridCol w:w="586"/>
        <w:gridCol w:w="586"/>
        <w:gridCol w:w="586"/>
      </w:tblGrid>
      <w:tr>
        <w:trPr>
          <w:trHeight w:val="406" w:hRule="exact"/>
        </w:trPr>
        <w:tc>
          <w:tcPr>
            <w:tcW w:w="1269" w:type="dxa"/>
            <w:vMerge w:val="restart"/>
            <w:tcBorders>
              <w:top w:val="single" w:sz="6" w:space="0" w:color="000000"/>
              <w:left w:val="single" w:sz="6" w:space="0" w:color="000000"/>
              <w:right w:val="single" w:sz="6" w:space="0" w:color="000000"/>
            </w:tcBorders>
            <w:shd w:val="clear" w:color="auto" w:fill="D2D2D2"/>
          </w:tcPr>
          <w:p>
            <w:pPr/>
          </w:p>
        </w:tc>
        <w:tc>
          <w:tcPr>
            <w:tcW w:w="831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8" w:hRule="exact"/>
        </w:trPr>
        <w:tc>
          <w:tcPr>
            <w:tcW w:w="1269" w:type="dxa"/>
            <w:vMerge/>
            <w:tcBorders>
              <w:left w:val="single" w:sz="6" w:space="0" w:color="000000"/>
              <w:right w:val="single" w:sz="6" w:space="0" w:color="000000"/>
            </w:tcBorders>
            <w:shd w:val="clear" w:color="auto" w:fill="D2D2D2"/>
          </w:tcPr>
          <w:p>
            <w:pPr/>
          </w:p>
        </w:tc>
        <w:tc>
          <w:tcPr>
            <w:tcW w:w="714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69" w:type="dxa"/>
            <w:vMerge/>
            <w:tcBorders>
              <w:left w:val="single" w:sz="6" w:space="0" w:color="000000"/>
              <w:right w:val="single" w:sz="6" w:space="0" w:color="000000"/>
            </w:tcBorders>
            <w:shd w:val="clear" w:color="auto" w:fill="D2D2D2"/>
          </w:tcPr>
          <w:p>
            <w:pPr/>
          </w:p>
        </w:tc>
        <w:tc>
          <w:tcPr>
            <w:tcW w:w="7142"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8" w:hRule="exact"/>
        </w:trPr>
        <w:tc>
          <w:tcPr>
            <w:tcW w:w="1269" w:type="dxa"/>
            <w:vMerge/>
            <w:tcBorders>
              <w:left w:val="single" w:sz="6" w:space="0" w:color="000000"/>
              <w:bottom w:val="single" w:sz="6" w:space="0" w:color="FFFFFF"/>
              <w:right w:val="single" w:sz="6" w:space="0" w:color="000000"/>
            </w:tcBorders>
            <w:shd w:val="clear" w:color="auto" w:fill="D2D2D2"/>
          </w:tcPr>
          <w:p>
            <w:pPr/>
          </w:p>
        </w:tc>
        <w:tc>
          <w:tcPr>
            <w:tcW w:w="7142" w:type="dxa"/>
            <w:gridSpan w:val="13"/>
            <w:vMerge/>
            <w:tcBorders>
              <w:left w:val="single" w:sz="6" w:space="0" w:color="000000"/>
              <w:bottom w:val="single" w:sz="6" w:space="0" w:color="FFFFFF"/>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03" w:hRule="exact"/>
        </w:trPr>
        <w:tc>
          <w:tcPr>
            <w:tcW w:w="1269"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73" w:type="dxa"/>
            <w:vMerge w:val="restart"/>
            <w:tcBorders>
              <w:top w:val="single" w:sz="6" w:space="0" w:color="FFFFFF"/>
              <w:left w:val="single" w:sz="6" w:space="0" w:color="000000"/>
              <w:right w:val="single" w:sz="6" w:space="0" w:color="000000"/>
            </w:tcBorders>
            <w:shd w:val="clear" w:color="auto" w:fill="D2D2D2"/>
          </w:tcPr>
          <w:p>
            <w:pPr/>
          </w:p>
        </w:tc>
        <w:tc>
          <w:tcPr>
            <w:tcW w:w="1412" w:type="dxa"/>
            <w:gridSpan w:val="3"/>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FFFFFF"/>
              <w:left w:val="single" w:sz="6" w:space="0" w:color="000000"/>
              <w:bottom w:val="nil" w:sz="6" w:space="0" w:color="auto"/>
              <w:right w:val="single" w:sz="6" w:space="0" w:color="000000"/>
            </w:tcBorders>
            <w:shd w:val="clear" w:color="auto" w:fill="D2D2D2"/>
          </w:tcPr>
          <w:p>
            <w:pPr/>
          </w:p>
        </w:tc>
        <w:tc>
          <w:tcPr>
            <w:tcW w:w="585"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FFFFFF"/>
              <w:left w:val="single" w:sz="6" w:space="0" w:color="000000"/>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65" w:hRule="exact"/>
        </w:trPr>
        <w:tc>
          <w:tcPr>
            <w:tcW w:w="1269" w:type="dxa"/>
            <w:vMerge/>
            <w:tcBorders>
              <w:left w:val="single" w:sz="6" w:space="0" w:color="000000"/>
              <w:bottom w:val="nil" w:sz="6" w:space="0" w:color="auto"/>
              <w:right w:val="single" w:sz="6" w:space="0" w:color="000000"/>
            </w:tcBorders>
            <w:shd w:val="clear" w:color="auto" w:fill="D2D2D2"/>
          </w:tcPr>
          <w:p>
            <w:pPr/>
          </w:p>
        </w:tc>
        <w:tc>
          <w:tcPr>
            <w:tcW w:w="473"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76" w:hRule="exact"/>
        </w:trPr>
        <w:tc>
          <w:tcPr>
            <w:tcW w:w="1269" w:type="dxa"/>
            <w:vMerge w:val="restart"/>
            <w:tcBorders>
              <w:top w:val="nil" w:sz="6" w:space="0" w:color="auto"/>
              <w:left w:val="single" w:sz="6" w:space="0" w:color="000000"/>
              <w:right w:val="single" w:sz="6" w:space="0" w:color="000000"/>
            </w:tcBorders>
            <w:shd w:val="clear" w:color="auto" w:fill="D2D2D2"/>
          </w:tcPr>
          <w:p>
            <w:pPr/>
          </w:p>
        </w:tc>
        <w:tc>
          <w:tcPr>
            <w:tcW w:w="47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9"/>
              <w:ind w:left="3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43" w:hRule="exact"/>
        </w:trPr>
        <w:tc>
          <w:tcPr>
            <w:tcW w:w="1269" w:type="dxa"/>
            <w:vMerge/>
            <w:tcBorders>
              <w:left w:val="single" w:sz="6" w:space="0" w:color="000000"/>
              <w:right w:val="single" w:sz="6" w:space="0" w:color="000000"/>
            </w:tcBorders>
            <w:shd w:val="clear" w:color="auto" w:fill="D2D2D2"/>
          </w:tcPr>
          <w:p>
            <w:pPr/>
          </w:p>
        </w:tc>
        <w:tc>
          <w:tcPr>
            <w:tcW w:w="473"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69" w:type="dxa"/>
            <w:vMerge/>
            <w:tcBorders>
              <w:left w:val="single" w:sz="6" w:space="0" w:color="000000"/>
              <w:right w:val="single" w:sz="6" w:space="0" w:color="000000"/>
            </w:tcBorders>
            <w:shd w:val="clear" w:color="auto" w:fill="D2D2D2"/>
          </w:tcPr>
          <w:p>
            <w:pPr/>
          </w:p>
        </w:tc>
        <w:tc>
          <w:tcPr>
            <w:tcW w:w="473"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69" w:type="dxa"/>
            <w:vMerge/>
            <w:tcBorders>
              <w:left w:val="single" w:sz="6" w:space="0" w:color="000000"/>
              <w:bottom w:val="single" w:sz="6" w:space="0" w:color="000000"/>
              <w:right w:val="single" w:sz="6" w:space="0" w:color="000000"/>
            </w:tcBorders>
            <w:shd w:val="clear" w:color="auto" w:fill="D2D2D2"/>
          </w:tcPr>
          <w:p>
            <w:pPr/>
          </w:p>
        </w:tc>
        <w:tc>
          <w:tcPr>
            <w:tcW w:w="473"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23" w:hRule="exact"/>
        </w:trPr>
        <w:tc>
          <w:tcPr>
            <w:tcW w:w="1269" w:type="dxa"/>
            <w:tcBorders>
              <w:top w:val="single" w:sz="6" w:space="0" w:color="000000"/>
              <w:left w:val="single" w:sz="6" w:space="0" w:color="000000"/>
              <w:bottom w:val="nil" w:sz="6" w:space="0" w:color="auto"/>
              <w:right w:val="single" w:sz="6" w:space="0" w:color="000000"/>
            </w:tcBorders>
            <w:shd w:val="clear" w:color="auto" w:fill="D2D2D2"/>
          </w:tcPr>
          <w:p>
            <w:pPr/>
          </w:p>
        </w:tc>
        <w:tc>
          <w:tcPr>
            <w:tcW w:w="473" w:type="dxa"/>
            <w:vMerge w:val="restart"/>
            <w:tcBorders>
              <w:top w:val="single" w:sz="6" w:space="0" w:color="000000"/>
              <w:left w:val="single" w:sz="12" w:space="0" w:color="D2D2D2"/>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,964,</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822.0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1,784,</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399,14</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9.32</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318,33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59</w:t>
            </w: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5" w:right="0"/>
              <w:jc w:val="lef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.27</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130,64</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1,715.</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90</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3,275,</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910,09</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0.23</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9,315,</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673,77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9.13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14,502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,650.8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9,330,</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176,42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9.95</w:t>
            </w:r>
          </w:p>
        </w:tc>
      </w:tr>
      <w:tr>
        <w:trPr>
          <w:trHeight w:val="705" w:hRule="exact"/>
        </w:trPr>
        <w:tc>
          <w:tcPr>
            <w:tcW w:w="126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15" w:right="36"/>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73"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308" w:hRule="exact"/>
        </w:trPr>
        <w:tc>
          <w:tcPr>
            <w:tcW w:w="1269" w:type="dxa"/>
            <w:tcBorders>
              <w:top w:val="nil" w:sz="6" w:space="0" w:color="auto"/>
              <w:left w:val="single" w:sz="6" w:space="0" w:color="000000"/>
              <w:bottom w:val="single" w:sz="6" w:space="0" w:color="000000"/>
              <w:right w:val="single" w:sz="6" w:space="0" w:color="000000"/>
            </w:tcBorders>
            <w:shd w:val="clear" w:color="auto" w:fill="D2D2D2"/>
          </w:tcPr>
          <w:p>
            <w:pPr/>
          </w:p>
        </w:tc>
        <w:tc>
          <w:tcPr>
            <w:tcW w:w="473"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20" w:hRule="exact"/>
        </w:trPr>
        <w:tc>
          <w:tcPr>
            <w:tcW w:w="12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36"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73"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562,45</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5.50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9,130,</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012.14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9,692,</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467.64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9,692,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467.64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28"/>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,964,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822.0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1,784,</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399,14</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9.32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318,33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131,20</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4,171.</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3,285,</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040,10</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2.37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9,325,</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366,24</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6.77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14,502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,650.8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9,339,</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868,89</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7.59</w:t>
            </w: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8"/>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1,327</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,462,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921.0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-1,328,</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146,38</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6.40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-208,3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03,702</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-1,504,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312.47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101,06</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8,754.</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526,66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3,435.</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55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833,84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8,114.</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32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11,274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,664.2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845,12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2,778.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57</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-1,504,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312.47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759,12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0,256.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757,61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10,749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,816.2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768,36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5,760.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09</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8"/>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-4,17</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4,250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3,490,</w:t>
            </w:r>
          </w:p>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784.60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-208,3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03,702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207,62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0,237.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2,484,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848.04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210,10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5,085.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23</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-4,17</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4,250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-7,387,</w:t>
            </w:r>
          </w:p>
          <w:p>
            <w:pPr>
              <w:pStyle w:val="TableParagraph"/>
              <w:spacing w:line="240" w:lineRule="auto" w:before="108"/>
              <w:ind w:left="44" w:right="0"/>
              <w:jc w:val="left"/>
              <w:rPr>
                <w:rFonts w:ascii="Times New Roman" w:hAnsi="Times New Roman" w:cs="Times New Roman" w:eastAsia="Times New Roman" w:hint="default"/>
                <w:sz w:val="18"/>
                <w:szCs w:val="18"/>
              </w:rPr>
            </w:pPr>
            <w:r>
              <w:rPr>
                <w:rFonts w:ascii="Times New Roman"/>
                <w:sz w:val="18"/>
              </w:rPr>
              <w:t>400.00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-208,3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03,702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196,74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2,052.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2,484,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848.04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199,22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6,900.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63</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,652.3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,652.3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,652.3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-3,777,</w:t>
            </w:r>
          </w:p>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467.72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-3,777,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467.72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-3,777,</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467.72</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101,06</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8,754.</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-232,4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56,820</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.80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88,066</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-1,960,</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48,066</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.75</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101,06</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8,754.</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-101,0</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68,754</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76"/>
                <w:sz w:val="18"/>
                <w:szCs w:val="18"/>
              </w:rPr>
              <w:t>．</w:t>
            </w:r>
            <w:r>
              <w:rPr>
                <w:rFonts w:ascii="宋体" w:hAnsi="宋体" w:cs="宋体" w:eastAsia="宋体" w:hint="default"/>
                <w:sz w:val="18"/>
                <w:szCs w:val="18"/>
              </w:rPr>
              <w:t>对所有</w:t>
            </w:r>
            <w:r>
              <w:rPr>
                <w:rFonts w:ascii="宋体" w:hAnsi="宋体" w:cs="宋体" w:eastAsia="宋体" w:hint="default"/>
                <w:spacing w:val="-76"/>
                <w:sz w:val="18"/>
                <w:szCs w:val="18"/>
              </w:rPr>
              <w:t>者</w:t>
            </w:r>
            <w:r>
              <w:rPr>
                <w:rFonts w:ascii="宋体" w:hAnsi="宋体" w:cs="宋体" w:eastAsia="宋体" w:hint="default"/>
                <w:sz w:val="18"/>
                <w:szCs w:val="18"/>
              </w:rPr>
              <w:t>（或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-131,3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-131,3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-1,960,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-133,3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88,066</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88,066</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 w:right="0"/>
              <w:jc w:val="left"/>
              <w:rPr>
                <w:rFonts w:ascii="Times New Roman" w:hAnsi="Times New Roman" w:cs="Times New Roman" w:eastAsia="Times New Roman" w:hint="default"/>
                <w:sz w:val="18"/>
                <w:szCs w:val="18"/>
              </w:rPr>
            </w:pPr>
            <w:r>
              <w:rPr>
                <w:rFonts w:ascii="Times New Roman"/>
                <w:sz w:val="18"/>
              </w:rPr>
              <w:t>48,066</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.75</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28"/>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171.0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637,17</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171.0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637,17</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28"/>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5,770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743.0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456,25</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2,762.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110,02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8,800.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808.20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232,27</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2,925.</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45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3,811,</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703,53</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7.92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10,159</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,214,3</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61.09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25,777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,315.0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10,184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,991,6</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76.16</w:t>
            </w:r>
          </w:p>
        </w:tc>
      </w:tr>
    </w:tbl>
    <w:p>
      <w:pPr>
        <w:pStyle w:val="BodyText"/>
        <w:spacing w:line="240" w:lineRule="auto"/>
        <w:ind w:right="0"/>
        <w:jc w:val="left"/>
      </w:pPr>
      <w:r>
        <w:rPr/>
        <w:t>上期金额</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65"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405" w:hRule="exact"/>
        </w:trPr>
        <w:tc>
          <w:tcPr>
            <w:tcW w:w="1217" w:type="dxa"/>
            <w:vMerge/>
            <w:tcBorders>
              <w:left w:val="single" w:sz="6" w:space="0" w:color="000000"/>
              <w:right w:val="single" w:sz="6" w:space="0" w:color="000000"/>
            </w:tcBorders>
            <w:shd w:val="clear" w:color="auto" w:fill="D2D2D2"/>
          </w:tcPr>
          <w:p>
            <w:pPr/>
          </w:p>
        </w:tc>
        <w:tc>
          <w:tcPr>
            <w:tcW w:w="7074" w:type="dxa"/>
            <w:gridSpan w:val="13"/>
            <w:tcBorders>
              <w:top w:val="single" w:sz="6"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04" w:lineRule="auto"/>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6"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7" w:type="dxa"/>
            <w:gridSpan w:val="3"/>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705" w:hRule="exact"/>
        </w:trPr>
        <w:tc>
          <w:tcPr>
            <w:tcW w:w="1217"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04"/>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,091,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248.0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2,697,</w:t>
            </w:r>
          </w:p>
          <w:p>
            <w:pPr>
              <w:pStyle w:val="TableParagraph"/>
              <w:spacing w:line="240" w:lineRule="auto" w:before="108"/>
              <w:ind w:left="59" w:right="0"/>
              <w:jc w:val="center"/>
              <w:rPr>
                <w:rFonts w:ascii="Times New Roman" w:hAnsi="Times New Roman" w:cs="Times New Roman" w:eastAsia="Times New Roman" w:hint="default"/>
                <w:sz w:val="18"/>
                <w:szCs w:val="18"/>
              </w:rPr>
            </w:pPr>
            <w:r>
              <w:rPr>
                <w:rFonts w:ascii="Times New Roman"/>
                <w:sz w:val="18"/>
              </w:rPr>
              <w:t>292,26</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1.31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622,99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1,508.</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70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,048.1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8"/>
              <w:ind w:left="44" w:right="0"/>
              <w:jc w:val="center"/>
              <w:rPr>
                <w:rFonts w:ascii="Times New Roman" w:hAnsi="Times New Roman" w:cs="Times New Roman" w:eastAsia="Times New Roman" w:hint="default"/>
                <w:sz w:val="18"/>
                <w:szCs w:val="18"/>
              </w:rPr>
            </w:pPr>
            <w:r>
              <w:rPr>
                <w:rFonts w:ascii="Times New Roman"/>
                <w:sz w:val="18"/>
              </w:rPr>
              <w:t>690,56</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6.29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7,631,</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856,61</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5.03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154,841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,367.62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7,786,6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97,982.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03"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04"/>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,091,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248.0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2,697,</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292,26</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1.31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622,99</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1,508.</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,048.1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690,56</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6.29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7,631,</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856,61</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5.03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154,841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,367.62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7,786,6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97,982.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三、本期增减 变动金额（减</w:t>
            </w:r>
          </w:p>
          <w:p>
            <w:pPr>
              <w:pStyle w:val="TableParagraph"/>
              <w:spacing w:line="288" w:lineRule="auto" w:before="33"/>
              <w:ind w:left="15" w:right="118"/>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,873,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574.0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-912,8</w:t>
            </w:r>
          </w:p>
          <w:p>
            <w:pPr>
              <w:pStyle w:val="TableParagraph"/>
              <w:spacing w:line="240" w:lineRule="auto" w:before="93"/>
              <w:ind w:left="74" w:right="-15"/>
              <w:jc w:val="left"/>
              <w:rPr>
                <w:rFonts w:ascii="Times New Roman" w:hAnsi="Times New Roman" w:cs="Times New Roman" w:eastAsia="Times New Roman" w:hint="default"/>
                <w:sz w:val="18"/>
                <w:szCs w:val="18"/>
              </w:rPr>
            </w:pPr>
            <w:r>
              <w:rPr>
                <w:rFonts w:ascii="Times New Roman"/>
                <w:sz w:val="18"/>
              </w:rPr>
              <w:t>93,111</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.99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59,006</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.11</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,667.7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219,52</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3.94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1,683,</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817,16</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4.10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-140,33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8,716.8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1,543,4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78,447.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30</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355,67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5.26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446,17</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9.53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4,825,5</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18.88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1,372,2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71,698.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41</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3,254</w:t>
            </w:r>
          </w:p>
          <w:p>
            <w:pPr>
              <w:pStyle w:val="TableParagraph"/>
              <w:spacing w:line="240" w:lineRule="auto" w:before="108"/>
              <w:ind w:left="7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93"/>
              <w:ind w:left="255"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110,72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6,462.</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59,006</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.11</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418,63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9,468.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12</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-145,16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4,235.6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273,475</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,232.44</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3,254</w:t>
            </w:r>
          </w:p>
          <w:p>
            <w:pPr>
              <w:pStyle w:val="TableParagraph"/>
              <w:spacing w:line="240" w:lineRule="auto" w:before="108"/>
              <w:ind w:left="7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8"/>
              <w:ind w:left="255"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-2,222,</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59,006</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.11</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305,69</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1,006.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6,900,0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312,591</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,006.11</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130,31</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8,442.</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61</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130,31</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8,442.</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61</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130,318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,442.61</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-17,36</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-17,36</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-152,06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4,235.6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-169,43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4,216.2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,667.7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36,151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68,483</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-102,26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8,483.5</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50"/>
          <w:pgMar w:footer="981" w:header="73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3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30" w:right="0"/>
              <w:jc w:val="left"/>
              <w:rPr>
                <w:rFonts w:ascii="Times New Roman" w:hAnsi="Times New Roman" w:cs="Times New Roman" w:eastAsia="Times New Roman" w:hint="default"/>
                <w:sz w:val="18"/>
                <w:szCs w:val="18"/>
              </w:rPr>
            </w:pPr>
            <w:r>
              <w:rPr>
                <w:rFonts w:ascii="Times New Roman"/>
                <w:sz w:val="18"/>
              </w:rPr>
              <w:t>.32</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00" w:right="0"/>
              <w:jc w:val="left"/>
              <w:rPr>
                <w:rFonts w:ascii="Times New Roman" w:hAnsi="Times New Roman" w:cs="Times New Roman" w:eastAsia="Times New Roman" w:hint="default"/>
                <w:sz w:val="18"/>
                <w:szCs w:val="18"/>
              </w:rPr>
            </w:pPr>
            <w:r>
              <w:rPr>
                <w:rFonts w:ascii="Times New Roman"/>
                <w:sz w:val="18"/>
              </w:rPr>
              <w:t>.55</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5</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,667.7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7,667.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36"/>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68,483</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.55</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68,483</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.55</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-102,26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8,483.5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3"/>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,619,</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574.0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8"/>
              <w:ind w:left="59" w:right="0"/>
              <w:jc w:val="center"/>
              <w:rPr>
                <w:rFonts w:ascii="Times New Roman" w:hAnsi="Times New Roman" w:cs="Times New Roman" w:eastAsia="Times New Roman" w:hint="default"/>
                <w:sz w:val="18"/>
                <w:szCs w:val="18"/>
              </w:rPr>
            </w:pPr>
            <w:r>
              <w:rPr>
                <w:rFonts w:ascii="Times New Roman"/>
                <w:sz w:val="18"/>
              </w:rPr>
              <w:t>619,57</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4.00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,619,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619,57</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4.00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,964,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822.0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1,784,</w:t>
            </w:r>
          </w:p>
          <w:p>
            <w:pPr>
              <w:pStyle w:val="TableParagraph"/>
              <w:spacing w:line="240" w:lineRule="auto" w:before="108"/>
              <w:ind w:left="59" w:right="0"/>
              <w:jc w:val="center"/>
              <w:rPr>
                <w:rFonts w:ascii="Times New Roman" w:hAnsi="Times New Roman" w:cs="Times New Roman" w:eastAsia="Times New Roman" w:hint="default"/>
                <w:sz w:val="18"/>
                <w:szCs w:val="18"/>
              </w:rPr>
            </w:pPr>
            <w:r>
              <w:rPr>
                <w:rFonts w:ascii="Times New Roman"/>
                <w:sz w:val="18"/>
              </w:rPr>
              <w:t>399,14</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9.32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318,33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59</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.27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130,64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1,715.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3,275,</w:t>
            </w:r>
          </w:p>
          <w:p>
            <w:pPr>
              <w:pStyle w:val="TableParagraph"/>
              <w:spacing w:line="240" w:lineRule="auto" w:before="108"/>
              <w:ind w:left="44" w:right="0"/>
              <w:jc w:val="center"/>
              <w:rPr>
                <w:rFonts w:ascii="Times New Roman" w:hAnsi="Times New Roman" w:cs="Times New Roman" w:eastAsia="Times New Roman" w:hint="default"/>
                <w:sz w:val="18"/>
                <w:szCs w:val="18"/>
              </w:rPr>
            </w:pPr>
            <w:r>
              <w:rPr>
                <w:rFonts w:ascii="Times New Roman"/>
                <w:sz w:val="18"/>
              </w:rPr>
              <w:t>910,09</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0.23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9,315,</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673,77</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9.13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14,502,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650.82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9,330,1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76,429.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95</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50"/>
          <w:pgMar w:footer="981" w:header="731" w:top="1040" w:bottom="1180" w:left="1000" w:right="0"/>
          <w:pgNumType w:start="101"/>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0"/>
        <w:ind w:right="0"/>
        <w:jc w:val="left"/>
        <w:rPr>
          <w:b w:val="0"/>
          <w:bCs w:val="0"/>
        </w:rPr>
      </w:pPr>
      <w:bookmarkStart w:name="8、母公司所有者权益变动表" w:id="181"/>
      <w:bookmarkEnd w:id="18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本期金额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99"/>
        <w:gridCol w:w="631"/>
        <w:gridCol w:w="601"/>
        <w:gridCol w:w="601"/>
        <w:gridCol w:w="615"/>
        <w:gridCol w:w="721"/>
        <w:gridCol w:w="736"/>
        <w:gridCol w:w="721"/>
        <w:gridCol w:w="736"/>
        <w:gridCol w:w="721"/>
        <w:gridCol w:w="616"/>
        <w:gridCol w:w="706"/>
        <w:gridCol w:w="871"/>
      </w:tblGrid>
      <w:tr>
        <w:trPr>
          <w:trHeight w:val="398" w:hRule="exact"/>
        </w:trPr>
        <w:tc>
          <w:tcPr>
            <w:tcW w:w="12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8275"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10" w:hRule="exact"/>
        </w:trPr>
        <w:tc>
          <w:tcPr>
            <w:tcW w:w="1299" w:type="dxa"/>
            <w:vMerge/>
            <w:tcBorders>
              <w:left w:val="single" w:sz="6" w:space="0" w:color="000000"/>
              <w:right w:val="single" w:sz="6" w:space="0" w:color="000000"/>
            </w:tcBorders>
            <w:shd w:val="clear" w:color="auto" w:fill="D2D2D2"/>
          </w:tcPr>
          <w:p>
            <w:pPr/>
          </w:p>
        </w:tc>
        <w:tc>
          <w:tcPr>
            <w:tcW w:w="631"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99" w:type="dxa"/>
            <w:vMerge/>
            <w:tcBorders>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9" w:type="dxa"/>
            <w:vMerge/>
            <w:tcBorders>
              <w:left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2" w:hRule="exact"/>
        </w:trPr>
        <w:tc>
          <w:tcPr>
            <w:tcW w:w="1299" w:type="dxa"/>
            <w:vMerge/>
            <w:tcBorders>
              <w:left w:val="single" w:sz="6" w:space="0" w:color="000000"/>
              <w:bottom w:val="single" w:sz="6" w:space="0" w:color="000000"/>
              <w:right w:val="single" w:sz="6" w:space="0" w:color="000000"/>
            </w:tcBorders>
            <w:shd w:val="clear" w:color="auto" w:fill="D2D2D2"/>
          </w:tcPr>
          <w:p>
            <w:pPr/>
          </w:p>
        </w:tc>
        <w:tc>
          <w:tcPr>
            <w:tcW w:w="631"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4,442,9</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64,822.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1,801,13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6,030.35</w:t>
            </w:r>
          </w:p>
        </w:tc>
        <w:tc>
          <w:tcPr>
            <w:tcW w:w="73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318,332,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502.59</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130,641,</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715.90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740,34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3,979.2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6,796,754,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044.87</w:t>
            </w:r>
          </w:p>
        </w:tc>
      </w:tr>
      <w:tr>
        <w:trPr>
          <w:trHeight w:val="70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8"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562,455.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5,062,0</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99.46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5,624,554.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96</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9"/>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4,442,9</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64,822.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1,801,13</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6,030.35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318,332,</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502.59</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131,204,</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171.40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745,40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6,078.6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6,802,378,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599.83</w:t>
            </w: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9"/>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1,327,4</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62,921.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-1,324,3</w:t>
            </w:r>
            <w:r>
              <w:rPr>
                <w:rFonts w:ascii="Times New Roman"/>
                <w:sz w:val="18"/>
              </w:rPr>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79,560.1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-208,303</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,702.59</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101,068,</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754.05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778,23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0,719.7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1,090,686,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537.20</w:t>
            </w: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1,010,6</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87,540.</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52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1,010,687,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540.52</w:t>
            </w:r>
          </w:p>
        </w:tc>
      </w:tr>
      <w:tr>
        <w:trPr>
          <w:trHeight w:val="70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-4,174,</w:t>
            </w:r>
          </w:p>
          <w:p>
            <w:pPr>
              <w:pStyle w:val="TableParagraph"/>
              <w:spacing w:line="240" w:lineRule="auto" w:before="108"/>
              <w:ind w:left="97" w:right="0"/>
              <w:jc w:val="left"/>
              <w:rPr>
                <w:rFonts w:ascii="Times New Roman" w:hAnsi="Times New Roman" w:cs="Times New Roman" w:eastAsia="Times New Roman" w:hint="default"/>
                <w:sz w:val="18"/>
                <w:szCs w:val="18"/>
              </w:rPr>
            </w:pPr>
            <w:r>
              <w:rPr>
                <w:rFonts w:ascii="Times New Roman"/>
                <w:sz w:val="18"/>
              </w:rPr>
              <w:t>250.00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7,257,61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0.84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-208,303</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,702.59</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211,387,06</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3.43</w:t>
            </w:r>
          </w:p>
        </w:tc>
      </w:tr>
      <w:tr>
        <w:trPr>
          <w:trHeight w:val="720"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82" w:right="0"/>
              <w:jc w:val="left"/>
              <w:rPr>
                <w:rFonts w:ascii="Times New Roman" w:hAnsi="Times New Roman" w:cs="Times New Roman" w:eastAsia="Times New Roman" w:hint="default"/>
                <w:sz w:val="18"/>
                <w:szCs w:val="18"/>
              </w:rPr>
            </w:pPr>
            <w:r>
              <w:rPr>
                <w:rFonts w:ascii="Times New Roman"/>
                <w:sz w:val="18"/>
              </w:rPr>
              <w:t>-4,174,</w:t>
            </w:r>
          </w:p>
          <w:p>
            <w:pPr>
              <w:pStyle w:val="TableParagraph"/>
              <w:spacing w:line="240" w:lineRule="auto" w:before="108"/>
              <w:ind w:left="97" w:right="0"/>
              <w:jc w:val="left"/>
              <w:rPr>
                <w:rFonts w:ascii="Times New Roman" w:hAnsi="Times New Roman" w:cs="Times New Roman" w:eastAsia="Times New Roman" w:hint="default"/>
                <w:sz w:val="18"/>
                <w:szCs w:val="18"/>
              </w:rPr>
            </w:pPr>
            <w:r>
              <w:rPr>
                <w:rFonts w:ascii="Times New Roman"/>
                <w:sz w:val="18"/>
              </w:rPr>
              <w:t>250.00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4" w:right="0"/>
              <w:jc w:val="center"/>
              <w:rPr>
                <w:rFonts w:ascii="Times New Roman" w:hAnsi="Times New Roman" w:cs="Times New Roman" w:eastAsia="Times New Roman" w:hint="default"/>
                <w:sz w:val="18"/>
                <w:szCs w:val="18"/>
              </w:rPr>
            </w:pPr>
            <w:r>
              <w:rPr>
                <w:rFonts w:ascii="Times New Roman"/>
                <w:sz w:val="18"/>
              </w:rPr>
              <w:t>-7,387,4</w:t>
            </w:r>
          </w:p>
          <w:p>
            <w:pPr>
              <w:pStyle w:val="TableParagraph"/>
              <w:spacing w:line="240" w:lineRule="auto" w:before="108"/>
              <w:ind w:left="270" w:right="0"/>
              <w:jc w:val="center"/>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Times New Roman" w:hAnsi="Times New Roman" w:cs="Times New Roman" w:eastAsia="Times New Roman" w:hint="default"/>
                <w:sz w:val="18"/>
                <w:szCs w:val="18"/>
              </w:rPr>
            </w:pPr>
            <w:r>
              <w:rPr>
                <w:rFonts w:ascii="Times New Roman"/>
                <w:sz w:val="18"/>
              </w:rPr>
              <w:t>-208,303</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,702.59</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0" w:right="0"/>
              <w:jc w:val="left"/>
              <w:rPr>
                <w:rFonts w:ascii="Times New Roman" w:hAnsi="Times New Roman" w:cs="Times New Roman" w:eastAsia="Times New Roman" w:hint="default"/>
                <w:sz w:val="18"/>
                <w:szCs w:val="18"/>
              </w:rPr>
            </w:pPr>
            <w:r>
              <w:rPr>
                <w:rFonts w:ascii="Times New Roman"/>
                <w:sz w:val="18"/>
              </w:rPr>
              <w:t>196,742,0</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52.59</w:t>
            </w: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14,655,6</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52.32</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14,655,65</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2.32</w:t>
            </w:r>
          </w:p>
        </w:tc>
      </w:tr>
      <w:tr>
        <w:trPr>
          <w:trHeight w:val="7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-10,641.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-10,641.48</w:t>
            </w: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101,068,</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754.05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-232,45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6,820.8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-131,388,0</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66.75</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90" w:lineRule="auto"/>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101,068,</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754.05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-101,06</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8,754.0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90" w:lineRule="auto"/>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-131,38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8,066.7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-131,388,0</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66.75</w:t>
            </w: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1,331,6</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37,171.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-1,331,6</w:t>
            </w:r>
            <w:r>
              <w:rPr>
                <w:rFonts w:ascii="Times New Roman"/>
                <w:sz w:val="18"/>
              </w:rPr>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37,171.0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1,331,6</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37,171.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-1,331,6</w:t>
            </w:r>
            <w:r>
              <w:rPr>
                <w:rFonts w:ascii="Times New Roman"/>
                <w:sz w:val="18"/>
              </w:rPr>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37,171.0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5,770,4</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27,743.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476,756,</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470.19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110,028,</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232,272,</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925.45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1,523,6</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36,798.</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39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7,893,065,</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137.03</w:t>
            </w:r>
          </w:p>
        </w:tc>
      </w:tr>
    </w:tbl>
    <w:p>
      <w:pPr>
        <w:pStyle w:val="BodyText"/>
        <w:spacing w:line="240" w:lineRule="auto"/>
        <w:ind w:right="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405" w:hRule="exact"/>
        </w:trPr>
        <w:tc>
          <w:tcPr>
            <w:tcW w:w="12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390" w:hRule="exact"/>
        </w:trPr>
        <w:tc>
          <w:tcPr>
            <w:tcW w:w="1232"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21" w:hRule="exact"/>
        </w:trPr>
        <w:tc>
          <w:tcPr>
            <w:tcW w:w="1232"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91" w:type="dxa"/>
            <w:vMerge/>
            <w:tcBorders>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091,24</w:t>
            </w:r>
          </w:p>
          <w:p>
            <w:pPr>
              <w:pStyle w:val="TableParagraph"/>
              <w:spacing w:line="240" w:lineRule="auto" w:before="108"/>
              <w:ind w:left="240" w:right="0"/>
              <w:jc w:val="center"/>
              <w:rPr>
                <w:rFonts w:ascii="Times New Roman" w:hAnsi="Times New Roman" w:cs="Times New Roman" w:eastAsia="Times New Roman" w:hint="default"/>
                <w:sz w:val="18"/>
                <w:szCs w:val="18"/>
              </w:rPr>
            </w:pPr>
            <w:r>
              <w:rPr>
                <w:rFonts w:ascii="Times New Roman"/>
                <w:sz w:val="18"/>
              </w:rPr>
              <w:t>8.00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2,697,5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27,863.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622,991,</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508.70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048.13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348,803,4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52.82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5,915,205,1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04.07</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108"/>
              <w:ind w:left="59" w:right="0"/>
              <w:jc w:val="center"/>
              <w:rPr>
                <w:rFonts w:ascii="Times New Roman" w:hAnsi="Times New Roman" w:cs="Times New Roman" w:eastAsia="Times New Roman" w:hint="default"/>
                <w:sz w:val="18"/>
                <w:szCs w:val="18"/>
              </w:rPr>
            </w:pPr>
            <w:r>
              <w:rPr>
                <w:rFonts w:ascii="Times New Roman"/>
                <w:sz w:val="18"/>
              </w:rPr>
              <w:t>091,24</w:t>
            </w:r>
          </w:p>
          <w:p>
            <w:pPr>
              <w:pStyle w:val="TableParagraph"/>
              <w:spacing w:line="240" w:lineRule="auto" w:before="93"/>
              <w:ind w:left="240" w:right="0"/>
              <w:jc w:val="center"/>
              <w:rPr>
                <w:rFonts w:ascii="Times New Roman" w:hAnsi="Times New Roman" w:cs="Times New Roman" w:eastAsia="Times New Roman" w:hint="default"/>
                <w:sz w:val="18"/>
                <w:szCs w:val="18"/>
              </w:rPr>
            </w:pPr>
            <w:r>
              <w:rPr>
                <w:rFonts w:ascii="Times New Roman"/>
                <w:sz w:val="18"/>
              </w:rPr>
              <w:t>8.00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2,697,5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27,863.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622,991,</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508.70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048.13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348,803,4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52.82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5,915,205,1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04.07</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30"/>
              <w:ind w:left="15"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center"/>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8"/>
              <w:ind w:left="59" w:right="0"/>
              <w:jc w:val="center"/>
              <w:rPr>
                <w:rFonts w:ascii="Times New Roman" w:hAnsi="Times New Roman" w:cs="Times New Roman" w:eastAsia="Times New Roman" w:hint="default"/>
                <w:sz w:val="18"/>
                <w:szCs w:val="18"/>
              </w:rPr>
            </w:pPr>
            <w:r>
              <w:rPr>
                <w:rFonts w:ascii="Times New Roman"/>
                <w:sz w:val="18"/>
              </w:rPr>
              <w:t>873,57</w:t>
            </w:r>
          </w:p>
          <w:p>
            <w:pPr>
              <w:pStyle w:val="TableParagraph"/>
              <w:spacing w:line="240" w:lineRule="auto" w:before="108"/>
              <w:ind w:left="240" w:right="0"/>
              <w:jc w:val="center"/>
              <w:rPr>
                <w:rFonts w:ascii="Times New Roman" w:hAnsi="Times New Roman" w:cs="Times New Roman" w:eastAsia="Times New Roman" w:hint="default"/>
                <w:sz w:val="18"/>
                <w:szCs w:val="18"/>
              </w:rPr>
            </w:pPr>
            <w:r>
              <w:rPr>
                <w:rFonts w:ascii="Times New Roman"/>
                <w:sz w:val="18"/>
              </w:rPr>
              <w:t>4.00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-896,39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1,833.4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9,006.11</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667.77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391,540,5</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26.39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881,548,94</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0.80</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548,676,6</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77.71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548,676,67</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7.71</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3,254,</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127,227</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,740.53</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9,006.11</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435,140,74</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6.64</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3,254,</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-2,222,0</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9,006.11</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305,691,00</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6.11</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129,449</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,740.53</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129,449,74</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0.53</w:t>
            </w: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667.77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-157,136,</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151.32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-102,268,48</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3.55</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667.77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-54,867,6</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67.77</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-102,268,</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483.55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-102,268,48</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3.55</w:t>
            </w: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619,57</w:t>
            </w:r>
          </w:p>
          <w:p>
            <w:pPr>
              <w:pStyle w:val="TableParagraph"/>
              <w:spacing w:line="240" w:lineRule="auto" w:before="108"/>
              <w:ind w:left="240" w:right="0"/>
              <w:jc w:val="center"/>
              <w:rPr>
                <w:rFonts w:ascii="Times New Roman" w:hAnsi="Times New Roman" w:cs="Times New Roman" w:eastAsia="Times New Roman" w:hint="default"/>
                <w:sz w:val="18"/>
                <w:szCs w:val="18"/>
              </w:rPr>
            </w:pPr>
            <w:r>
              <w:rPr>
                <w:rFonts w:ascii="Times New Roman"/>
                <w:sz w:val="18"/>
              </w:rPr>
              <w:t>4.00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-1,023,6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619,57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-1,023,6</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19,574.</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36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55" w:right="0"/>
              <w:jc w:val="left"/>
              <w:rPr>
                <w:rFonts w:ascii="Times New Roman" w:hAnsi="Times New Roman" w:cs="Times New Roman" w:eastAsia="Times New Roman" w:hint="default"/>
                <w:sz w:val="18"/>
                <w:szCs w:val="18"/>
              </w:rPr>
            </w:pPr>
            <w:r>
              <w:rPr>
                <w:rFonts w:ascii="Times New Roman"/>
                <w:sz w:val="18"/>
              </w:rPr>
              <w:t>4.00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964,82</w:t>
            </w:r>
          </w:p>
          <w:p>
            <w:pPr>
              <w:pStyle w:val="TableParagraph"/>
              <w:spacing w:line="240" w:lineRule="auto" w:before="108"/>
              <w:ind w:left="240" w:right="0"/>
              <w:jc w:val="center"/>
              <w:rPr>
                <w:rFonts w:ascii="Times New Roman" w:hAnsi="Times New Roman" w:cs="Times New Roman" w:eastAsia="Times New Roman" w:hint="default"/>
                <w:sz w:val="18"/>
                <w:szCs w:val="18"/>
              </w:rPr>
            </w:pPr>
            <w:r>
              <w:rPr>
                <w:rFonts w:ascii="Times New Roman"/>
                <w:sz w:val="18"/>
              </w:rPr>
              <w:t>2.00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1,801,1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318,332,</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502.59</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130,641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,715.90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740,343,9</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79.21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6,796,754,0</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44.87</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82"/>
      <w:bookmarkEnd w:id="182"/>
      <w:r>
        <w:rPr>
          <w:b w:val="0"/>
          <w:bCs w:val="0"/>
        </w:rPr>
      </w:r>
      <w:r>
        <w:rPr/>
        <w:t>三、公司基本情况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01" w:right="0"/>
        <w:jc w:val="left"/>
      </w:pPr>
      <w:r>
        <w:rPr/>
        <w:t>（一）公司概况</w:t>
      </w:r>
    </w:p>
    <w:p>
      <w:pPr>
        <w:pStyle w:val="BodyText"/>
        <w:spacing w:line="292" w:lineRule="auto" w:before="95"/>
        <w:ind w:right="1136" w:firstLine="360"/>
        <w:jc w:val="both"/>
      </w:pPr>
      <w:r>
        <w:rPr/>
        <w:t>上海二三四五网络控股集团股份有限公司（以下简称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月经上海市人民政府以沪府体改 审（</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012</w:t>
      </w:r>
      <w:r>
        <w:rPr/>
        <w:t>号文《关于同意设立上海交大欧姆龙软件股份有限公司的批复》的批准，由上海欧姆龙计算机有限公司整体 变更而设立的股份有限公司。公司的统一社会信用代码：</w:t>
      </w:r>
      <w:r>
        <w:rPr>
          <w:rFonts w:ascii="Times New Roman" w:hAnsi="Times New Roman" w:cs="Times New Roman" w:eastAsia="Times New Roman" w:hint="default"/>
        </w:rPr>
        <w:t>91310000607203699D</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月在深圳证券交易所上市。所属</w:t>
      </w:r>
      <w:r>
        <w:rPr>
          <w:spacing w:val="-78"/>
        </w:rPr>
        <w:t> </w:t>
      </w:r>
      <w:r>
        <w:rPr/>
        <w:t>行业为软件和信息技术服务业。</w:t>
      </w:r>
    </w:p>
    <w:p>
      <w:pPr>
        <w:pStyle w:val="BodyText"/>
        <w:spacing w:line="290" w:lineRule="auto" w:before="55"/>
        <w:ind w:right="1106" w:firstLine="360"/>
        <w:jc w:val="both"/>
      </w:pP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日止，本公司累计发行股本总数</w:t>
      </w:r>
      <w:r>
        <w:rPr>
          <w:rFonts w:ascii="Times New Roman" w:hAnsi="Times New Roman" w:cs="Times New Roman" w:eastAsia="Times New Roman" w:hint="default"/>
          <w:spacing w:val="-1"/>
        </w:rPr>
        <w:t>5,770,427,743</w:t>
      </w:r>
      <w:r>
        <w:rPr>
          <w:spacing w:val="-1"/>
        </w:rPr>
        <w:t>股，注册资本为</w:t>
      </w:r>
      <w:r>
        <w:rPr>
          <w:rFonts w:ascii="Times New Roman" w:hAnsi="Times New Roman" w:cs="Times New Roman" w:eastAsia="Times New Roman" w:hint="default"/>
          <w:spacing w:val="-1"/>
        </w:rPr>
        <w:t>5,770,427,743.00</w:t>
      </w:r>
      <w:r>
        <w:rPr>
          <w:spacing w:val="-1"/>
        </w:rPr>
        <w:t>元，注册地：上海市徐</w:t>
      </w:r>
      <w:r>
        <w:rPr/>
        <w:t> 汇区宜山路</w:t>
      </w:r>
      <w:r>
        <w:rPr>
          <w:rFonts w:ascii="Times New Roman" w:hAnsi="Times New Roman" w:cs="Times New Roman" w:eastAsia="Times New Roman" w:hint="default"/>
        </w:rPr>
        <w:t>700</w:t>
      </w:r>
      <w:r>
        <w:rPr/>
        <w:t>号</w:t>
      </w:r>
      <w:r>
        <w:rPr>
          <w:rFonts w:ascii="Times New Roman" w:hAnsi="Times New Roman" w:cs="Times New Roman" w:eastAsia="Times New Roman" w:hint="default"/>
        </w:rPr>
        <w:t>85</w:t>
      </w:r>
      <w:r>
        <w:rPr/>
        <w:t>幢</w:t>
      </w:r>
      <w:r>
        <w:rPr>
          <w:rFonts w:ascii="Times New Roman" w:hAnsi="Times New Roman" w:cs="Times New Roman" w:eastAsia="Times New Roman" w:hint="default"/>
        </w:rPr>
        <w:t>6</w:t>
      </w:r>
      <w:r>
        <w:rPr/>
        <w:t>楼，总部地址：上海市浦东新区环科路</w:t>
      </w:r>
      <w:r>
        <w:rPr>
          <w:rFonts w:ascii="Times New Roman" w:hAnsi="Times New Roman" w:cs="Times New Roman" w:eastAsia="Times New Roman" w:hint="default"/>
        </w:rPr>
        <w:t>555</w:t>
      </w:r>
      <w:r>
        <w:rPr/>
        <w:t>弄</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9</w:t>
      </w:r>
      <w:r>
        <w:rPr/>
        <w:t>楼。本公司经营范围为计算机软、硬件系统及相</w:t>
      </w:r>
      <w:r>
        <w:rPr>
          <w:spacing w:val="-86"/>
        </w:rPr>
        <w:t> </w:t>
      </w:r>
      <w:r>
        <w:rPr>
          <w:spacing w:val="-2"/>
        </w:rPr>
        <w:t>关系统的集成、开发、咨询、销售及服务，经营本企业自产产品的出口业务和本企业所需的机械设备、零配件、原辅材料的</w:t>
      </w:r>
    </w:p>
    <w:p>
      <w:pPr>
        <w:pStyle w:val="BodyText"/>
        <w:spacing w:line="321" w:lineRule="auto" w:before="42"/>
        <w:ind w:right="0"/>
        <w:jc w:val="left"/>
      </w:pPr>
      <w:r>
        <w:rPr>
          <w:spacing w:val="-5"/>
        </w:rPr>
        <w:t>进出口业务（但国家限定公司经营或禁止进出口的商品及技术除外），本企业包括本企业控股的成员企业，信息服务业务（含</w:t>
      </w:r>
      <w:r>
        <w:rPr>
          <w:spacing w:val="-55"/>
        </w:rPr>
        <w:t> </w:t>
      </w:r>
      <w:r>
        <w:rPr>
          <w:spacing w:val="-55"/>
        </w:rPr>
      </w:r>
      <w:r>
        <w:rPr/>
        <w:t>短信息服务业务，不含互联网信息服务业务，电话信息服务业务），实业投资。本公司无实际控制人。</w:t>
      </w:r>
    </w:p>
    <w:p>
      <w:pPr>
        <w:pStyle w:val="BodyText"/>
        <w:spacing w:line="240" w:lineRule="auto" w:before="34"/>
        <w:ind w:left="501" w:right="0"/>
        <w:jc w:val="left"/>
      </w:pPr>
      <w:r>
        <w:rPr/>
        <w:t>本财务报表业经公司全体董事于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日批准报出。</w:t>
      </w:r>
    </w:p>
    <w:p>
      <w:pPr>
        <w:pStyle w:val="BodyText"/>
        <w:spacing w:line="321" w:lineRule="auto" w:before="51"/>
        <w:ind w:left="501" w:right="3729"/>
        <w:jc w:val="left"/>
      </w:pPr>
      <w:r>
        <w:rPr/>
        <w:t>（二）合并财务报表范围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日止，本公司合并财务报表范围内孙、子公司、结构化主体如下：</w:t>
      </w:r>
    </w:p>
    <w:tbl>
      <w:tblPr>
        <w:tblW w:w="0" w:type="auto"/>
        <w:jc w:val="left"/>
        <w:tblInd w:w="111" w:type="dxa"/>
        <w:tblLayout w:type="fixed"/>
        <w:tblCellMar>
          <w:top w:w="0" w:type="dxa"/>
          <w:left w:w="0" w:type="dxa"/>
          <w:bottom w:w="0" w:type="dxa"/>
          <w:right w:w="0" w:type="dxa"/>
        </w:tblCellMar>
        <w:tblLook w:val="01E0"/>
      </w:tblPr>
      <w:tblGrid>
        <w:gridCol w:w="1006"/>
        <w:gridCol w:w="8666"/>
      </w:tblGrid>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3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8" w:right="0"/>
              <w:jc w:val="center"/>
              <w:rPr>
                <w:rFonts w:ascii="宋体" w:hAnsi="宋体" w:cs="宋体" w:eastAsia="宋体" w:hint="default"/>
                <w:sz w:val="18"/>
                <w:szCs w:val="18"/>
              </w:rPr>
            </w:pPr>
            <w:r>
              <w:rPr>
                <w:rFonts w:ascii="宋体" w:hAnsi="宋体" w:cs="宋体" w:eastAsia="宋体" w:hint="default"/>
                <w:sz w:val="18"/>
                <w:szCs w:val="18"/>
              </w:rPr>
              <w:t>子公司或孙公司名称</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5" w:right="0"/>
              <w:jc w:val="left"/>
              <w:rPr>
                <w:rFonts w:ascii="Times New Roman" w:hAnsi="Times New Roman" w:cs="Times New Roman" w:eastAsia="Times New Roman" w:hint="default"/>
                <w:sz w:val="18"/>
                <w:szCs w:val="18"/>
              </w:rPr>
            </w:pPr>
            <w:r>
              <w:rPr>
                <w:rFonts w:ascii="Times New Roman"/>
                <w:sz w:val="18"/>
              </w:rPr>
              <w:t>1</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5"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5" w:right="0"/>
              <w:jc w:val="left"/>
              <w:rPr>
                <w:rFonts w:ascii="Times New Roman" w:hAnsi="Times New Roman" w:cs="Times New Roman" w:eastAsia="Times New Roman" w:hint="default"/>
                <w:sz w:val="18"/>
                <w:szCs w:val="18"/>
              </w:rPr>
            </w:pPr>
            <w:r>
              <w:rPr>
                <w:rFonts w:ascii="Times New Roman"/>
                <w:sz w:val="18"/>
              </w:rPr>
              <w:t>1.01</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5" w:right="0"/>
              <w:jc w:val="left"/>
              <w:rPr>
                <w:rFonts w:ascii="宋体" w:hAnsi="宋体" w:cs="宋体" w:eastAsia="宋体" w:hint="default"/>
                <w:sz w:val="18"/>
                <w:szCs w:val="18"/>
              </w:rPr>
            </w:pPr>
            <w:r>
              <w:rPr>
                <w:rFonts w:ascii="宋体" w:hAnsi="宋体" w:cs="宋体" w:eastAsia="宋体" w:hint="default"/>
                <w:sz w:val="18"/>
                <w:szCs w:val="18"/>
              </w:rPr>
              <w:t>上海二三四五移动科技有限公司</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5" w:right="0"/>
              <w:jc w:val="left"/>
              <w:rPr>
                <w:rFonts w:ascii="Times New Roman" w:hAnsi="Times New Roman" w:cs="Times New Roman" w:eastAsia="Times New Roman" w:hint="default"/>
                <w:sz w:val="18"/>
                <w:szCs w:val="18"/>
              </w:rPr>
            </w:pPr>
            <w:r>
              <w:rPr>
                <w:rFonts w:ascii="Times New Roman"/>
                <w:sz w:val="18"/>
              </w:rPr>
              <w:t>1.02</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5" w:right="0"/>
              <w:jc w:val="left"/>
              <w:rPr>
                <w:rFonts w:ascii="宋体" w:hAnsi="宋体" w:cs="宋体" w:eastAsia="宋体" w:hint="default"/>
                <w:sz w:val="18"/>
                <w:szCs w:val="18"/>
              </w:rPr>
            </w:pPr>
            <w:r>
              <w:rPr>
                <w:rFonts w:ascii="宋体" w:hAnsi="宋体" w:cs="宋体" w:eastAsia="宋体" w:hint="default"/>
                <w:sz w:val="18"/>
                <w:szCs w:val="18"/>
              </w:rPr>
              <w:t>江苏趣看网络科技有限公司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5" w:right="0"/>
              <w:jc w:val="left"/>
              <w:rPr>
                <w:rFonts w:ascii="Times New Roman" w:hAnsi="Times New Roman" w:cs="Times New Roman" w:eastAsia="Times New Roman" w:hint="default"/>
                <w:sz w:val="18"/>
                <w:szCs w:val="18"/>
              </w:rPr>
            </w:pPr>
            <w:r>
              <w:rPr>
                <w:rFonts w:ascii="Times New Roman"/>
                <w:sz w:val="18"/>
              </w:rPr>
              <w:t>1.03</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5"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r>
    </w:tbl>
    <w:p>
      <w:pPr>
        <w:spacing w:after="0" w:line="234" w:lineRule="exact"/>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006"/>
        <w:gridCol w:w="8666"/>
      </w:tblGrid>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1.04</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二三四五（香港）有限公司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1.05</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Ruifeng Technology Pte.</w:t>
            </w:r>
            <w:r>
              <w:rPr>
                <w:rFonts w:ascii="Times New Roman"/>
                <w:spacing w:val="7"/>
                <w:sz w:val="18"/>
              </w:rPr>
              <w:t> </w:t>
            </w:r>
            <w:r>
              <w:rPr>
                <w:rFonts w:ascii="Times New Roman"/>
                <w:sz w:val="18"/>
              </w:rPr>
              <w:t>Ltd.</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1.06</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Ruifeng Technology </w:t>
            </w:r>
            <w:r>
              <w:rPr>
                <w:rFonts w:ascii="Times New Roman"/>
                <w:spacing w:val="-3"/>
                <w:sz w:val="18"/>
              </w:rPr>
              <w:t>USA</w:t>
            </w:r>
            <w:r>
              <w:rPr>
                <w:rFonts w:ascii="Times New Roman"/>
                <w:spacing w:val="5"/>
                <w:sz w:val="18"/>
              </w:rPr>
              <w:t> </w:t>
            </w:r>
            <w:r>
              <w:rPr>
                <w:rFonts w:ascii="Times New Roman"/>
                <w:sz w:val="18"/>
              </w:rPr>
              <w:t>INC</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1.07</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Ruifeng Wealth Management Pte.</w:t>
            </w:r>
            <w:r>
              <w:rPr>
                <w:rFonts w:ascii="Times New Roman"/>
                <w:spacing w:val="7"/>
                <w:sz w:val="18"/>
              </w:rPr>
              <w:t> </w:t>
            </w:r>
            <w:r>
              <w:rPr>
                <w:rFonts w:ascii="Times New Roman"/>
                <w:sz w:val="18"/>
              </w:rPr>
              <w:t>Ltd.</w:t>
            </w:r>
          </w:p>
        </w:tc>
      </w:tr>
      <w:tr>
        <w:trPr>
          <w:trHeight w:val="34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1.08</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集乐（上海）资产管理有限公司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1.09</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上海二三四五大数据科技有限公司</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1.10</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曲水汇通信息服务有限公司</w:t>
            </w:r>
          </w:p>
        </w:tc>
      </w:tr>
      <w:tr>
        <w:trPr>
          <w:trHeight w:val="36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1.11</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1.12</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1.13</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1.14</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r>
      <w:tr>
        <w:trPr>
          <w:trHeight w:val="36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1.15</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曲水好融车网络科技有限公司</w:t>
            </w:r>
          </w:p>
        </w:tc>
      </w:tr>
      <w:tr>
        <w:trPr>
          <w:trHeight w:val="34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1.16</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曲水惠车网络科技有限公司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上海洪昇智能科技有限公司</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2.01</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2.02</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芜湖畅想小额贷款有限公司</w:t>
            </w:r>
          </w:p>
        </w:tc>
      </w:tr>
      <w:tr>
        <w:trPr>
          <w:trHeight w:val="36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2.03</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r>
      <w:tr>
        <w:trPr>
          <w:trHeight w:val="34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2.04</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2.05</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贵州融海融资担保有限公司</w:t>
            </w:r>
          </w:p>
        </w:tc>
      </w:tr>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3</w:t>
            </w:r>
          </w:p>
        </w:tc>
        <w:tc>
          <w:tcPr>
            <w:tcW w:w="8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众邦银行</w:t>
            </w:r>
            <w:r>
              <w:rPr>
                <w:rFonts w:ascii="Times New Roman" w:hAnsi="Times New Roman" w:cs="Times New Roman" w:eastAsia="Times New Roman" w:hint="default"/>
                <w:sz w:val="18"/>
                <w:szCs w:val="18"/>
              </w:rPr>
              <w:t>-</w:t>
            </w:r>
            <w:r>
              <w:rPr>
                <w:rFonts w:ascii="宋体" w:hAnsi="宋体" w:cs="宋体" w:eastAsia="宋体" w:hint="default"/>
                <w:sz w:val="18"/>
                <w:szCs w:val="18"/>
              </w:rPr>
              <w:t>天风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年第一期财产权信托</w:t>
            </w:r>
          </w:p>
        </w:tc>
      </w:tr>
    </w:tbl>
    <w:p>
      <w:pPr>
        <w:pStyle w:val="BodyText"/>
        <w:spacing w:line="307" w:lineRule="auto" w:before="0"/>
        <w:ind w:left="501" w:right="6249"/>
        <w:jc w:val="left"/>
      </w:pPr>
      <w:r>
        <w:rPr/>
        <w:t>注</w:t>
      </w:r>
      <w:r>
        <w:rPr>
          <w:rFonts w:ascii="宋体" w:hAnsi="宋体" w:cs="宋体" w:eastAsia="宋体" w:hint="default"/>
        </w:rPr>
        <w:t>1</w:t>
      </w:r>
      <w:r>
        <w:rPr/>
        <w:t>： 上海二三四五网络科技有限公司为公司全资子公司；</w:t>
      </w:r>
    </w:p>
    <w:p>
      <w:pPr>
        <w:pStyle w:val="BodyText"/>
        <w:spacing w:line="321" w:lineRule="auto" w:before="29"/>
        <w:ind w:right="1135" w:firstLine="360"/>
        <w:jc w:val="both"/>
      </w:pPr>
      <w:r>
        <w:rPr>
          <w:spacing w:val="-2"/>
        </w:rPr>
        <w:t>上海二三四五移动科技有限公司、上海二三四五科技投资有限公司、二三四五（香港）有限公司、集乐（上海）资产管</w:t>
      </w:r>
      <w:r>
        <w:rPr/>
        <w:t> </w:t>
      </w:r>
      <w:r>
        <w:rPr>
          <w:spacing w:val="-2"/>
        </w:rPr>
        <w:t>理有限公司、上海二三四五大数据科技有限公司、广东鑫锘影视文化传播有限公司为上海二三四五网络科技有限公司全资子</w:t>
      </w:r>
      <w:r>
        <w:rPr>
          <w:spacing w:val="-72"/>
        </w:rPr>
        <w:t> </w:t>
      </w:r>
      <w:r>
        <w:rPr>
          <w:spacing w:val="-72"/>
        </w:rPr>
      </w:r>
      <w:r>
        <w:rPr/>
        <w:t>公司；</w:t>
      </w:r>
    </w:p>
    <w:p>
      <w:pPr>
        <w:pStyle w:val="BodyText"/>
        <w:spacing w:line="240" w:lineRule="auto" w:before="18"/>
        <w:ind w:left="501" w:right="0"/>
        <w:jc w:val="left"/>
      </w:pPr>
      <w:r>
        <w:rPr/>
        <w:t>江苏趣看网络科技有限公司为上海二三四五移动科技有限公司持股</w:t>
      </w:r>
      <w:r>
        <w:rPr>
          <w:rFonts w:ascii="宋体" w:hAnsi="宋体" w:cs="宋体" w:eastAsia="宋体" w:hint="default"/>
        </w:rPr>
        <w:t>95.00%</w:t>
      </w:r>
      <w:r>
        <w:rPr/>
        <w:t>控股子公司；</w:t>
      </w:r>
    </w:p>
    <w:p>
      <w:pPr>
        <w:pStyle w:val="BodyText"/>
        <w:spacing w:line="321" w:lineRule="auto" w:before="65"/>
        <w:ind w:right="1097" w:firstLine="360"/>
        <w:jc w:val="both"/>
      </w:pPr>
      <w:r>
        <w:rPr>
          <w:rFonts w:ascii="宋体" w:hAnsi="宋体" w:cs="宋体" w:eastAsia="宋体" w:hint="default"/>
        </w:rPr>
        <w:t>Ruifeng</w:t>
      </w:r>
      <w:r>
        <w:rPr>
          <w:rFonts w:ascii="宋体" w:hAnsi="宋体" w:cs="宋体" w:eastAsia="宋体" w:hint="default"/>
          <w:spacing w:val="-54"/>
        </w:rPr>
        <w:t> </w:t>
      </w:r>
      <w:r>
        <w:rPr>
          <w:rFonts w:ascii="宋体" w:hAnsi="宋体" w:cs="宋体" w:eastAsia="宋体" w:hint="default"/>
        </w:rPr>
        <w:t>Technology</w:t>
      </w:r>
      <w:r>
        <w:rPr>
          <w:rFonts w:ascii="宋体" w:hAnsi="宋体" w:cs="宋体" w:eastAsia="宋体" w:hint="default"/>
          <w:spacing w:val="-54"/>
        </w:rPr>
        <w:t> </w:t>
      </w:r>
      <w:r>
        <w:rPr>
          <w:rFonts w:ascii="宋体" w:hAnsi="宋体" w:cs="宋体" w:eastAsia="宋体" w:hint="default"/>
        </w:rPr>
        <w:t>Pte.Ltd.</w:t>
      </w:r>
      <w:r>
        <w:rPr/>
        <w:t>、</w:t>
      </w:r>
      <w:r>
        <w:rPr>
          <w:rFonts w:ascii="宋体" w:hAnsi="宋体" w:cs="宋体" w:eastAsia="宋体" w:hint="default"/>
        </w:rPr>
        <w:t>Ruifeng</w:t>
      </w:r>
      <w:r>
        <w:rPr>
          <w:rFonts w:ascii="宋体" w:hAnsi="宋体" w:cs="宋体" w:eastAsia="宋体" w:hint="default"/>
          <w:spacing w:val="-54"/>
        </w:rPr>
        <w:t> </w:t>
      </w:r>
      <w:r>
        <w:rPr>
          <w:rFonts w:ascii="宋体" w:hAnsi="宋体" w:cs="宋体" w:eastAsia="宋体" w:hint="default"/>
        </w:rPr>
        <w:t>Technology</w:t>
      </w:r>
      <w:r>
        <w:rPr>
          <w:rFonts w:ascii="宋体" w:hAnsi="宋体" w:cs="宋体" w:eastAsia="宋体" w:hint="default"/>
          <w:spacing w:val="-54"/>
        </w:rPr>
        <w:t> </w:t>
      </w:r>
      <w:r>
        <w:rPr>
          <w:rFonts w:ascii="宋体" w:hAnsi="宋体" w:cs="宋体" w:eastAsia="宋体" w:hint="default"/>
        </w:rPr>
        <w:t>USA</w:t>
      </w:r>
      <w:r>
        <w:rPr>
          <w:rFonts w:ascii="宋体" w:hAnsi="宋体" w:cs="宋体" w:eastAsia="宋体" w:hint="default"/>
          <w:spacing w:val="-54"/>
        </w:rPr>
        <w:t> </w:t>
      </w:r>
      <w:r>
        <w:rPr>
          <w:rFonts w:ascii="宋体" w:hAnsi="宋体" w:cs="宋体" w:eastAsia="宋体" w:hint="default"/>
        </w:rPr>
        <w:t>INC</w:t>
      </w:r>
      <w:r>
        <w:rPr/>
        <w:t>为二三四五（香港）有限公司全资子公司、</w:t>
      </w:r>
      <w:r>
        <w:rPr>
          <w:rFonts w:ascii="宋体" w:hAnsi="宋体" w:cs="宋体" w:eastAsia="宋体" w:hint="default"/>
        </w:rPr>
        <w:t>Ruifeng</w:t>
      </w:r>
      <w:r>
        <w:rPr>
          <w:rFonts w:ascii="宋体" w:hAnsi="宋体" w:cs="宋体" w:eastAsia="宋体" w:hint="default"/>
          <w:spacing w:val="-54"/>
        </w:rPr>
        <w:t> </w:t>
      </w:r>
      <w:r>
        <w:rPr>
          <w:rFonts w:ascii="宋体" w:hAnsi="宋体" w:cs="宋体" w:eastAsia="宋体" w:hint="default"/>
        </w:rPr>
        <w:t>Wealth</w:t>
      </w:r>
      <w:r>
        <w:rPr>
          <w:rFonts w:ascii="宋体" w:hAnsi="宋体" w:cs="宋体" w:eastAsia="宋体" w:hint="default"/>
        </w:rPr>
        <w:t> Management Pte.Ltd.</w:t>
      </w:r>
      <w:r>
        <w:rPr/>
        <w:t>为</w:t>
      </w:r>
      <w:r>
        <w:rPr>
          <w:rFonts w:ascii="宋体" w:hAnsi="宋体" w:cs="宋体" w:eastAsia="宋体" w:hint="default"/>
        </w:rPr>
        <w:t>Ruifeng Technology</w:t>
      </w:r>
      <w:r>
        <w:rPr>
          <w:rFonts w:ascii="宋体" w:hAnsi="宋体" w:cs="宋体" w:eastAsia="宋体" w:hint="default"/>
          <w:spacing w:val="5"/>
        </w:rPr>
        <w:t> </w:t>
      </w:r>
      <w:r>
        <w:rPr>
          <w:rFonts w:ascii="宋体" w:hAnsi="宋体" w:cs="宋体" w:eastAsia="宋体" w:hint="default"/>
        </w:rPr>
        <w:t>Pte.Ltd.</w:t>
      </w:r>
      <w:r>
        <w:rPr/>
        <w:t>全资子公司；</w:t>
      </w:r>
    </w:p>
    <w:p>
      <w:pPr>
        <w:pStyle w:val="BodyText"/>
        <w:spacing w:line="240" w:lineRule="auto" w:before="19"/>
        <w:ind w:left="501" w:right="0"/>
        <w:jc w:val="left"/>
      </w:pPr>
      <w:r>
        <w:rPr/>
        <w:t>上海二三四五融资租赁有限公司由上海二三四五网络科技有限公司与二三四五（香港）有限公司分别持有</w:t>
      </w:r>
      <w:r>
        <w:rPr>
          <w:rFonts w:ascii="宋体" w:hAnsi="宋体" w:cs="宋体" w:eastAsia="宋体" w:hint="default"/>
        </w:rPr>
        <w:t>95%</w:t>
      </w:r>
      <w:r>
        <w:rPr/>
        <w:t>和</w:t>
      </w:r>
      <w:r>
        <w:rPr>
          <w:rFonts w:ascii="宋体" w:hAnsi="宋体" w:cs="宋体" w:eastAsia="宋体" w:hint="default"/>
        </w:rPr>
        <w:t>5%</w:t>
      </w:r>
      <w:r>
        <w:rPr/>
        <w:t>的股</w:t>
      </w:r>
    </w:p>
    <w:p>
      <w:pPr>
        <w:pStyle w:val="BodyText"/>
        <w:spacing w:line="240" w:lineRule="auto" w:before="79"/>
        <w:ind w:right="0"/>
        <w:jc w:val="left"/>
      </w:pPr>
      <w:r>
        <w:rPr/>
        <w:t>份；</w:t>
      </w:r>
    </w:p>
    <w:p>
      <w:pPr>
        <w:pStyle w:val="BodyText"/>
        <w:spacing w:line="240" w:lineRule="auto" w:before="80"/>
        <w:ind w:left="501" w:right="0"/>
        <w:jc w:val="left"/>
      </w:pPr>
      <w:r>
        <w:rPr/>
        <w:t>青岛涌信保险经纪有限责任公司、上海二三四五商业保理有限公司、曲水好融车网络科技有限公司、曲水惠车网络科技</w:t>
      </w:r>
    </w:p>
    <w:p>
      <w:pPr>
        <w:pStyle w:val="BodyText"/>
        <w:spacing w:line="321" w:lineRule="auto" w:before="64"/>
        <w:ind w:left="501" w:right="0" w:hanging="361"/>
        <w:jc w:val="left"/>
      </w:pPr>
      <w:r>
        <w:rPr/>
        <w:t>有限公司为上海二三四五融资租赁有限公司全资子公司； </w:t>
      </w:r>
      <w:r>
        <w:rPr>
          <w:spacing w:val="-2"/>
        </w:rPr>
        <w:t>曲水汇通信息服务有限公司由上海二三四五大数据科技有限公司和上海洪昇智能科技有限公司（原上海二三四五金融科</w:t>
      </w:r>
    </w:p>
    <w:p>
      <w:pPr>
        <w:pStyle w:val="BodyText"/>
        <w:spacing w:line="321" w:lineRule="auto" w:before="18"/>
        <w:ind w:left="501" w:right="6609" w:hanging="361"/>
        <w:jc w:val="left"/>
      </w:pPr>
      <w:r>
        <w:rPr/>
        <w:t>技有限公司）分别持有</w:t>
      </w:r>
      <w:r>
        <w:rPr>
          <w:rFonts w:ascii="宋体" w:hAnsi="宋体" w:cs="宋体" w:eastAsia="宋体" w:hint="default"/>
        </w:rPr>
        <w:t>63.64%</w:t>
      </w:r>
      <w:r>
        <w:rPr/>
        <w:t>和</w:t>
      </w:r>
      <w:r>
        <w:rPr>
          <w:rFonts w:ascii="宋体" w:hAnsi="宋体" w:cs="宋体" w:eastAsia="宋体" w:hint="default"/>
        </w:rPr>
        <w:t>36.36%</w:t>
      </w:r>
      <w:r>
        <w:rPr/>
        <w:t>的股份。</w:t>
      </w:r>
      <w:r>
        <w:rPr>
          <w:spacing w:val="-87"/>
        </w:rPr>
        <w:t> </w:t>
      </w:r>
      <w:r>
        <w:rPr/>
        <w:t>注</w:t>
      </w:r>
      <w:r>
        <w:rPr>
          <w:rFonts w:ascii="宋体" w:hAnsi="宋体" w:cs="宋体" w:eastAsia="宋体" w:hint="default"/>
        </w:rPr>
        <w:t>2</w:t>
      </w:r>
      <w:r>
        <w:rPr/>
        <w:t>： 上海洪昇智能科技有限公司为公司全资子公司；</w:t>
      </w:r>
    </w:p>
    <w:p>
      <w:pPr>
        <w:pStyle w:val="BodyText"/>
        <w:spacing w:line="321" w:lineRule="auto" w:before="3"/>
        <w:ind w:left="501" w:right="1209"/>
        <w:jc w:val="left"/>
      </w:pPr>
      <w:r>
        <w:rPr/>
        <w:t>上海薪想互联网金融信息服务有限公司、贵州融海融资担保有限公司为上海洪昇智能科技有限公司全资子公司； 广西快收信息科技有限公司为上海洪昇智能科技有限公司持股</w:t>
      </w:r>
      <w:r>
        <w:rPr>
          <w:rFonts w:ascii="宋体" w:hAnsi="宋体" w:cs="宋体" w:eastAsia="宋体" w:hint="default"/>
        </w:rPr>
        <w:t>51%</w:t>
      </w:r>
      <w:r>
        <w:rPr/>
        <w:t>的控股子公司；</w:t>
      </w:r>
      <w:r>
        <w:rPr>
          <w:spacing w:val="-84"/>
        </w:rPr>
        <w:t> </w:t>
      </w:r>
      <w:r>
        <w:rPr/>
        <w:t>芜湖畅想小额贷款有限公司由上海洪昇智能科技有限公司、上海薪想互联网金融信息服务有限公司分别持有</w:t>
      </w:r>
      <w:r>
        <w:rPr>
          <w:rFonts w:ascii="宋体" w:hAnsi="宋体" w:cs="宋体" w:eastAsia="宋体" w:hint="default"/>
        </w:rPr>
        <w:t>49.00%</w:t>
      </w:r>
      <w:r>
        <w:rPr/>
        <w:t>和</w:t>
      </w:r>
    </w:p>
    <w:p>
      <w:pPr>
        <w:pStyle w:val="BodyText"/>
        <w:spacing w:line="321" w:lineRule="auto" w:before="18"/>
        <w:ind w:left="501" w:right="1118" w:hanging="361"/>
        <w:jc w:val="left"/>
        <w:rPr>
          <w:rFonts w:ascii="宋体" w:hAnsi="宋体" w:cs="宋体" w:eastAsia="宋体" w:hint="default"/>
        </w:rPr>
      </w:pPr>
      <w:r>
        <w:rPr>
          <w:rFonts w:ascii="宋体" w:hAnsi="宋体" w:cs="宋体" w:eastAsia="宋体" w:hint="default"/>
        </w:rPr>
        <w:t>41.00%</w:t>
      </w:r>
      <w:r>
        <w:rPr/>
        <w:t>的股份； </w:t>
      </w:r>
      <w:r>
        <w:rPr>
          <w:spacing w:val="-2"/>
        </w:rPr>
        <w:t>广州二三四五互联网小额贷款有限公司由上海洪昇智能科技有限公司、上海二三四五网络科技有限公司分别持有</w:t>
      </w:r>
      <w:r>
        <w:rPr>
          <w:rFonts w:ascii="宋体" w:hAnsi="宋体" w:cs="宋体" w:eastAsia="宋体" w:hint="default"/>
          <w:spacing w:val="-2"/>
        </w:rPr>
        <w:t>57.50%</w:t>
      </w:r>
    </w:p>
    <w:p>
      <w:pPr>
        <w:pStyle w:val="BodyText"/>
        <w:spacing w:line="240" w:lineRule="auto" w:before="3"/>
        <w:ind w:right="0"/>
        <w:jc w:val="left"/>
      </w:pPr>
      <w:r>
        <w:rPr/>
        <w:t>和</w:t>
      </w:r>
      <w:r>
        <w:rPr>
          <w:rFonts w:ascii="宋体" w:hAnsi="宋体" w:cs="宋体" w:eastAsia="宋体" w:hint="default"/>
        </w:rPr>
        <w:t>42.50%</w:t>
      </w:r>
      <w:r>
        <w:rPr/>
        <w:t>的股份。</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501" w:right="0"/>
        <w:jc w:val="left"/>
      </w:pPr>
      <w:r>
        <w:rPr/>
        <w:t>注</w:t>
      </w:r>
      <w:r>
        <w:rPr>
          <w:rFonts w:ascii="宋体" w:hAnsi="宋体" w:cs="宋体" w:eastAsia="宋体" w:hint="default"/>
        </w:rPr>
        <w:t>3</w:t>
      </w:r>
      <w:r>
        <w:rPr/>
        <w:t>：</w:t>
      </w:r>
    </w:p>
    <w:p>
      <w:pPr>
        <w:pStyle w:val="BodyText"/>
        <w:spacing w:line="626" w:lineRule="auto" w:before="79"/>
        <w:ind w:left="501" w:right="1929"/>
        <w:jc w:val="left"/>
      </w:pPr>
      <w:r>
        <w:rPr/>
        <w:t>众邦银行</w:t>
      </w:r>
      <w:r>
        <w:rPr>
          <w:rFonts w:ascii="宋体" w:hAnsi="宋体" w:cs="宋体" w:eastAsia="宋体" w:hint="default"/>
        </w:rPr>
        <w:t>-</w:t>
      </w:r>
      <w:r>
        <w:rPr/>
        <w:t>天风</w:t>
      </w:r>
      <w:r>
        <w:rPr>
          <w:rFonts w:ascii="宋体" w:hAnsi="宋体" w:cs="宋体" w:eastAsia="宋体" w:hint="default"/>
        </w:rPr>
        <w:t>2019</w:t>
      </w:r>
      <w:r>
        <w:rPr/>
        <w:t>年第一期财产权信托为本期纳入合并范围的结构化主体。</w:t>
      </w:r>
      <w:r>
        <w:rPr>
          <w:spacing w:val="-85"/>
        </w:rPr>
        <w:t> </w:t>
      </w:r>
      <w:r>
        <w:rPr>
          <w:spacing w:val="-85"/>
        </w:rPr>
      </w:r>
      <w:r>
        <w:rPr/>
        <w:t>本期合并财务报表范围及其变化情况详见本附注“八、合并范围的变更”和“九、在其他主体中的权益”。</w:t>
      </w:r>
    </w:p>
    <w:p>
      <w:pPr>
        <w:pStyle w:val="Heading2"/>
        <w:spacing w:line="240" w:lineRule="auto" w:before="50"/>
        <w:ind w:right="0"/>
        <w:jc w:val="left"/>
        <w:rPr>
          <w:b w:val="0"/>
          <w:bCs w:val="0"/>
        </w:rPr>
      </w:pPr>
      <w:bookmarkStart w:name="四、财务报表的编制基础" w:id="183"/>
      <w:bookmarkEnd w:id="183"/>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编制基础" w:id="184"/>
      <w:bookmarkEnd w:id="18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096" w:firstLine="360"/>
        <w:jc w:val="both"/>
      </w:pPr>
      <w:r>
        <w:rPr>
          <w:spacing w:val="-1"/>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49"/>
        </w:rPr>
        <w:t> </w:t>
      </w:r>
      <w:r>
        <w:rPr>
          <w:spacing w:val="-49"/>
        </w:rPr>
      </w:r>
      <w:r>
        <w:rPr/>
        <w:t>理委员会《公开发行证券的公司信息披露编报规则第</w:t>
      </w:r>
      <w:r>
        <w:rPr>
          <w:rFonts w:ascii="宋体" w:hAnsi="宋体" w:cs="宋体" w:eastAsia="宋体" w:hint="default"/>
        </w:rPr>
        <w:t>15</w:t>
      </w:r>
      <w:r>
        <w:rPr/>
        <w:t>号——财务报告的一般规定》的披露规定编制财务报表。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持续经营" w:id="185"/>
      <w:bookmarkEnd w:id="18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公司不存在可能导致对公司自报告期末起</w:t>
      </w:r>
      <w:r>
        <w:rPr>
          <w:rFonts w:ascii="宋体" w:hAnsi="宋体" w:cs="宋体" w:eastAsia="宋体" w:hint="default"/>
        </w:rPr>
        <w:t>12</w:t>
      </w:r>
      <w:r>
        <w:rPr/>
        <w:t>个月内的持续经营能力产生重大疑虑的事项或情况。</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86"/>
      <w:bookmarkEnd w:id="186"/>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left="501" w:right="0"/>
        <w:jc w:val="left"/>
      </w:pPr>
      <w:r>
        <w:rPr/>
        <w:t>具体会计政策和会计估计提示： </w:t>
      </w:r>
      <w:r>
        <w:rPr>
          <w:spacing w:val="-5"/>
        </w:rPr>
        <w:t>以下披露内容已涵盖了本公司根据实际生产经营特点制定的具体会计政策和会计估计。详见本附注“五、（</w:t>
      </w:r>
      <w:r>
        <w:rPr>
          <w:rFonts w:ascii="宋体" w:hAnsi="宋体" w:cs="宋体" w:eastAsia="宋体" w:hint="default"/>
          <w:spacing w:val="-5"/>
        </w:rPr>
        <w:t>39</w:t>
      </w:r>
      <w:r>
        <w:rPr>
          <w:spacing w:val="-5"/>
        </w:rPr>
        <w:t>）收入”、</w:t>
      </w:r>
    </w:p>
    <w:p>
      <w:pPr>
        <w:pStyle w:val="BodyText"/>
        <w:spacing w:line="240" w:lineRule="auto" w:before="18"/>
        <w:ind w:right="0"/>
        <w:jc w:val="left"/>
      </w:pPr>
      <w:r>
        <w:rPr/>
        <w:t>“七、（</w:t>
      </w:r>
      <w:r>
        <w:rPr>
          <w:rFonts w:ascii="宋体" w:hAnsi="宋体" w:cs="宋体" w:eastAsia="宋体" w:hint="default"/>
        </w:rPr>
        <w:t>62</w:t>
      </w:r>
      <w:r>
        <w:rPr/>
        <w:t>）营业收入和营业成本”。</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遵循企业会计准则的声明" w:id="187"/>
      <w:bookmarkEnd w:id="18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28" w:firstLine="360"/>
        <w:jc w:val="both"/>
      </w:pPr>
      <w:r>
        <w:rPr>
          <w:spacing w:val="-2"/>
        </w:rPr>
        <w:t>本财务报表符合财政部颁布的企业会计准则的要求，真实、完整地反映了本公司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日的合并及母公司财务状</w:t>
      </w:r>
      <w:r>
        <w:rPr/>
        <w:t> 况以及</w:t>
      </w:r>
      <w:r>
        <w:rPr>
          <w:rFonts w:ascii="宋体" w:hAnsi="宋体" w:cs="宋体" w:eastAsia="宋体" w:hint="default"/>
        </w:rPr>
        <w:t>2019</w:t>
      </w:r>
      <w:r>
        <w:rPr/>
        <w:t>年度的合并及母公司经营成果和现金流量。</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会计期间" w:id="188"/>
      <w:bookmarkEnd w:id="18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营业周期" w:id="189"/>
      <w:bookmarkEnd w:id="18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501" w:right="0"/>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记账本位币" w:id="190"/>
      <w:bookmarkEnd w:id="19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同一控制下和非同一控制下企业合并的会计处理方法" w:id="191"/>
      <w:bookmarkEnd w:id="19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before="0"/>
        <w:ind w:right="1105" w:firstLine="360"/>
        <w:jc w:val="both"/>
      </w:pPr>
      <w:r>
        <w:rPr>
          <w:spacing w:val="-2"/>
        </w:rPr>
        <w:t>同一控制下企业合并：合并方在企业合并中取得的资产和负债，按照合并日被合并方资产、负债（包括最终控制方收购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72"/>
        </w:rPr>
        <w:t> </w:t>
      </w:r>
      <w:r>
        <w:rPr>
          <w:spacing w:val="-72"/>
        </w:rPr>
      </w:r>
      <w:r>
        <w:rPr>
          <w:spacing w:val="-5"/>
        </w:rPr>
        <w:t>账面价值（或发行股份面值总额）的差额，调整资本公积中的股本溢价，资本公积中的股本溢价不足冲减的，调整留存收益。</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7" w:firstLine="360"/>
        <w:jc w:val="both"/>
      </w:pPr>
      <w:r>
        <w:rPr>
          <w:spacing w:val="-2"/>
        </w:rPr>
        <w:t>非同一控制下企业合并：购买方在购买日对作为企业合并对价付出的资产、发生或承担的负债按照公允价值计量，公允</w:t>
      </w:r>
      <w:r>
        <w:rPr/>
        <w:t> </w:t>
      </w:r>
      <w:r>
        <w:rPr>
          <w:spacing w:val="-2"/>
        </w:rPr>
        <w:t>价值与其账面价值的差额，计入当期损益。合并成本大于合并中取得的被购买方可辨认净资产公允价值份额的差额，确认为</w:t>
      </w:r>
      <w:r>
        <w:rPr>
          <w:spacing w:val="-66"/>
        </w:rPr>
        <w:t> </w:t>
      </w:r>
      <w:r>
        <w:rPr>
          <w:spacing w:val="-66"/>
        </w:rPr>
      </w:r>
      <w:r>
        <w:rPr/>
        <w:t>商誉；合并成本小于合并中取得的被购买方可辨认净资产公允价值份额的差额，计入当期损益。</w:t>
      </w:r>
    </w:p>
    <w:p>
      <w:pPr>
        <w:pStyle w:val="BodyText"/>
        <w:spacing w:line="321" w:lineRule="auto" w:before="3"/>
        <w:ind w:right="1137" w:firstLine="360"/>
        <w:jc w:val="both"/>
      </w:pPr>
      <w:r>
        <w:rPr>
          <w:spacing w:val="-2"/>
        </w:rPr>
        <w:t>为企业合并发生的直接相关费用于发生时计入当期损益；为企业合并而发行权益性证券或债务性证券的交易费用，计入</w:t>
      </w:r>
      <w:r>
        <w:rPr/>
        <w:t> 权益性证券或债务性证券的初始确认金额。</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6、合并财务报表的编制方法" w:id="192"/>
      <w:bookmarkEnd w:id="19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2289"/>
        <w:jc w:val="left"/>
      </w:pPr>
      <w:r>
        <w:rPr>
          <w:rFonts w:ascii="宋体" w:hAnsi="宋体" w:cs="宋体" w:eastAsia="宋体" w:hint="default"/>
        </w:rPr>
        <w:t>1</w:t>
      </w:r>
      <w:r>
        <w:rPr/>
        <w:t>、合并范围 合并财务报表的合并范围以控制为基础确定，合并范围包括本公司及全部子公司（包括结构化主体）。</w:t>
      </w:r>
    </w:p>
    <w:p>
      <w:pPr>
        <w:spacing w:line="240" w:lineRule="auto" w:before="5"/>
        <w:rPr>
          <w:rFonts w:ascii="宋体" w:hAnsi="宋体" w:cs="宋体" w:eastAsia="宋体" w:hint="default"/>
          <w:sz w:val="24"/>
          <w:szCs w:val="24"/>
        </w:rPr>
      </w:pPr>
    </w:p>
    <w:p>
      <w:pPr>
        <w:pStyle w:val="BodyText"/>
        <w:spacing w:line="321" w:lineRule="auto" w:before="0"/>
        <w:ind w:left="501" w:right="1029"/>
        <w:jc w:val="left"/>
      </w:pPr>
      <w:r>
        <w:rPr>
          <w:rFonts w:ascii="宋体" w:hAnsi="宋体" w:cs="宋体" w:eastAsia="宋体"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321" w:lineRule="auto" w:before="19"/>
        <w:ind w:right="0"/>
        <w:jc w:val="left"/>
      </w:pPr>
      <w:r>
        <w:rPr>
          <w:spacing w:val="-2"/>
        </w:rPr>
        <w:t>个企业集团视为一个会计主体，依据相关企业会计准则的确认、计量和列报要求，按照统一的会计政策，反映本企业集团整</w:t>
      </w:r>
      <w:r>
        <w:rPr>
          <w:spacing w:val="-42"/>
        </w:rPr>
        <w:t> </w:t>
      </w:r>
      <w:r>
        <w:rPr>
          <w:spacing w:val="-42"/>
        </w:rPr>
      </w:r>
      <w:r>
        <w:rPr/>
        <w:t>体财务状况、经营成果和现金流量。</w:t>
      </w:r>
    </w:p>
    <w:p>
      <w:pPr>
        <w:pStyle w:val="BodyText"/>
        <w:spacing w:line="321" w:lineRule="auto" w:before="3"/>
        <w:ind w:right="1029"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42"/>
        </w:rPr>
        <w:t> </w:t>
      </w:r>
      <w:r>
        <w:rPr>
          <w:spacing w:val="-42"/>
        </w:rPr>
      </w:r>
      <w:r>
        <w:rPr>
          <w:spacing w:val="-4"/>
        </w:rPr>
        <w:t>合并取得的子公司，以购买日可辨认净资产公允价值为基础对其财务报表进行调整。对于同一控制下企业合并取得的子公司，</w:t>
      </w:r>
      <w:r>
        <w:rPr>
          <w:spacing w:val="-50"/>
        </w:rPr>
        <w:t> </w:t>
      </w:r>
      <w:r>
        <w:rPr>
          <w:spacing w:val="-50"/>
        </w:rPr>
      </w:r>
      <w:r>
        <w:rPr>
          <w:spacing w:val="-2"/>
        </w:rPr>
        <w:t>以其资产、负债（包括最终控制方收购该子公司而形成的商誉）在最终控制方财务报表中的账面价值为基础对其财务报表进</w:t>
      </w:r>
      <w:r>
        <w:rPr>
          <w:spacing w:val="-69"/>
        </w:rPr>
        <w:t> </w:t>
      </w:r>
      <w:r>
        <w:rPr>
          <w:spacing w:val="-69"/>
        </w:rPr>
      </w:r>
      <w:r>
        <w:rPr/>
        <w:t>行调整。</w:t>
      </w:r>
    </w:p>
    <w:p>
      <w:pPr>
        <w:pStyle w:val="BodyText"/>
        <w:spacing w:line="321" w:lineRule="auto" w:before="3"/>
        <w:ind w:right="112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58"/>
        </w:rPr>
        <w:t> </w:t>
      </w:r>
      <w:r>
        <w:rPr>
          <w:spacing w:val="-58"/>
        </w:rPr>
      </w:r>
      <w:r>
        <w:rPr/>
        <w:t>所有者权益中所享有份额而形成的余额，冲减少数股东权益。</w:t>
      </w:r>
    </w:p>
    <w:p>
      <w:pPr>
        <w:pStyle w:val="BodyText"/>
        <w:spacing w:line="321" w:lineRule="auto" w:before="19"/>
        <w:ind w:left="501" w:right="1133"/>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21" w:lineRule="auto" w:before="3"/>
        <w:ind w:right="0"/>
        <w:jc w:val="left"/>
      </w:pPr>
      <w:r>
        <w:rPr>
          <w:spacing w:val="-2"/>
        </w:rPr>
        <w:t>期期初至报告期末的收入、费用、利润纳入合并利润表；将子公司或业务合并当期期初至报告期末的现金流量纳入合并现金</w:t>
      </w:r>
      <w:r>
        <w:rPr>
          <w:spacing w:val="-70"/>
        </w:rPr>
        <w:t> </w:t>
      </w:r>
      <w:r>
        <w:rPr>
          <w:spacing w:val="-70"/>
        </w:rPr>
      </w:r>
      <w:r>
        <w:rPr/>
        <w:t>流量表，同时对比较报表的相关项目进行调整，视同合并后的报告主体自最终控制方开始控制时点起一直存在。</w:t>
      </w:r>
    </w:p>
    <w:p>
      <w:pPr>
        <w:pStyle w:val="BodyText"/>
        <w:spacing w:line="316" w:lineRule="auto" w:before="19"/>
        <w:ind w:right="112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72"/>
        </w:rPr>
        <w:t> </w:t>
      </w:r>
      <w:r>
        <w:rPr>
          <w:spacing w:val="-72"/>
        </w:rPr>
      </w:r>
      <w:r>
        <w:rPr>
          <w:spacing w:val="-2"/>
        </w:rPr>
        <w:t>日孰晚日起至合并日之间已确认有关损益、其他综合收益以及其他净资产变动，分别冲减比较报表期间的期初留存收益或当</w:t>
      </w:r>
      <w:r>
        <w:rPr>
          <w:spacing w:val="-72"/>
        </w:rPr>
        <w:t> </w:t>
      </w:r>
      <w:r>
        <w:rPr>
          <w:spacing w:val="-72"/>
        </w:rPr>
      </w:r>
      <w:r>
        <w:rPr/>
        <w:t>期损益。</w:t>
      </w:r>
    </w:p>
    <w:p>
      <w:pPr>
        <w:pStyle w:val="BodyText"/>
        <w:spacing w:line="321" w:lineRule="auto" w:before="22"/>
        <w:ind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75"/>
        </w:rPr>
        <w:t> </w:t>
      </w:r>
      <w:r>
        <w:rPr>
          <w:spacing w:val="-75"/>
        </w:rPr>
      </w:r>
      <w:r>
        <w:rPr/>
        <w:t>表。</w:t>
      </w:r>
    </w:p>
    <w:p>
      <w:pPr>
        <w:pStyle w:val="BodyText"/>
        <w:spacing w:line="316" w:lineRule="auto" w:before="18"/>
        <w:ind w:right="1137"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72"/>
        </w:rPr>
        <w:t> </w:t>
      </w:r>
      <w:r>
        <w:rPr>
          <w:spacing w:val="-72"/>
        </w:rPr>
      </w:r>
      <w:r>
        <w:rPr>
          <w:spacing w:val="-2"/>
        </w:rPr>
        <w:t>权涉及权益法核算下的其他综合收益以及除净损益、其他综合收益和利润分配之外的其他所有者权益变动的，与其相关的其</w:t>
      </w:r>
      <w:r>
        <w:rPr>
          <w:spacing w:val="-72"/>
        </w:rPr>
        <w:t> </w:t>
      </w:r>
      <w:r>
        <w:rPr>
          <w:spacing w:val="-72"/>
        </w:rPr>
      </w:r>
      <w:r>
        <w:rPr>
          <w:spacing w:val="-2"/>
        </w:rPr>
        <w:t>他综合收益、其他所有者权益变动转为购买日所属当期投资收益，由于被投资方重新计量设定受益计划净负债或净资产变动</w:t>
      </w:r>
      <w:r>
        <w:rPr>
          <w:spacing w:val="-72"/>
        </w:rPr>
        <w:t> </w:t>
      </w:r>
      <w:r>
        <w:rPr>
          <w:spacing w:val="-72"/>
        </w:rPr>
      </w:r>
      <w:r>
        <w:rPr/>
        <w:t>而产生的其他综合收益除外。</w:t>
      </w:r>
    </w:p>
    <w:p>
      <w:pPr>
        <w:pStyle w:val="BodyText"/>
        <w:spacing w:line="240" w:lineRule="auto" w:before="22"/>
        <w:ind w:left="501" w:right="0"/>
        <w:jc w:val="left"/>
      </w:pPr>
      <w:r>
        <w:rPr/>
        <w:t>（</w:t>
      </w:r>
      <w:r>
        <w:rPr>
          <w:rFonts w:ascii="宋体" w:hAnsi="宋体" w:cs="宋体" w:eastAsia="宋体" w:hint="default"/>
        </w:rPr>
        <w:t>2</w:t>
      </w:r>
      <w:r>
        <w:rPr/>
        <w:t>）处置子公司或业务</w:t>
      </w:r>
    </w:p>
    <w:p>
      <w:pPr>
        <w:pStyle w:val="BodyText"/>
        <w:spacing w:line="321" w:lineRule="auto" w:before="65"/>
        <w:ind w:left="501"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21" w:lineRule="auto" w:before="18"/>
        <w:ind w:left="501" w:right="1133"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029"/>
        <w:jc w:val="left"/>
      </w:pPr>
      <w:r>
        <w:rPr>
          <w:spacing w:val="-2"/>
        </w:rPr>
        <w:t>日的公允价值进行重新计量。处置股权取得的对价与剩余股权公允价值之和，减去按原持股比例计算应享有原有子公司自购</w:t>
      </w:r>
      <w:r>
        <w:rPr>
          <w:spacing w:val="-72"/>
        </w:rPr>
        <w:t> </w:t>
      </w:r>
      <w:r>
        <w:rPr>
          <w:spacing w:val="-72"/>
        </w:rPr>
      </w:r>
      <w:r>
        <w:rPr>
          <w:spacing w:val="-2"/>
        </w:rPr>
        <w:t>买日或合并日开始持续计算的净资产的份额与商誉之和的差额，计入丧失控制权当期的投资收益。与原有子公司股权投资相</w:t>
      </w:r>
      <w:r>
        <w:rPr>
          <w:spacing w:val="-72"/>
        </w:rPr>
        <w:t> </w:t>
      </w:r>
      <w:r>
        <w:rPr>
          <w:spacing w:val="-72"/>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22"/>
        <w:ind w:left="501" w:right="0"/>
        <w:jc w:val="left"/>
      </w:pPr>
      <w:r>
        <w:rPr/>
        <w:t>因其他投资方对子公司增资而导致本公司持股比例下降从而丧失控制权的，按照上述原则进行会计处理。</w:t>
      </w:r>
    </w:p>
    <w:p>
      <w:pPr>
        <w:pStyle w:val="BodyText"/>
        <w:spacing w:line="321" w:lineRule="auto" w:before="80"/>
        <w:ind w:left="501" w:right="1133"/>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8"/>
        <w:ind w:left="501" w:right="3550"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4" w:lineRule="auto" w:before="22"/>
        <w:ind w:right="112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75"/>
        </w:rPr>
        <w:t> </w:t>
      </w:r>
      <w:r>
        <w:rPr>
          <w:spacing w:val="-75"/>
        </w:rPr>
      </w:r>
      <w:r>
        <w:rPr/>
        <w:t>合并财务报表中确认为其他综合收益，在丧失控制权时一并转入丧失控制权当期的损益。</w:t>
      </w:r>
    </w:p>
    <w:p>
      <w:pPr>
        <w:pStyle w:val="BodyText"/>
        <w:spacing w:line="321" w:lineRule="auto" w:before="23"/>
        <w:ind w:right="1133"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7" w:lineRule="auto" w:before="18"/>
        <w:ind w:left="501" w:right="1133"/>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21" w:lineRule="auto" w:before="29"/>
        <w:ind w:right="1118"/>
        <w:jc w:val="left"/>
      </w:pPr>
      <w:r>
        <w:rPr>
          <w:spacing w:val="-2"/>
        </w:rPr>
        <w:t>算的净资产份额之间的差额，调整合并资产负债表中的资本公积中的股本溢价，资本公积中的股本溢价不足冲减的，调整留</w:t>
      </w:r>
      <w:r>
        <w:rPr>
          <w:spacing w:val="-75"/>
        </w:rPr>
        <w:t> </w:t>
      </w:r>
      <w:r>
        <w:rPr>
          <w:spacing w:val="-75"/>
        </w:rPr>
      </w:r>
      <w:r>
        <w:rPr/>
        <w:t>存收益。</w:t>
      </w:r>
    </w:p>
    <w:p>
      <w:pPr>
        <w:pStyle w:val="BodyText"/>
        <w:spacing w:line="321" w:lineRule="auto" w:before="18"/>
        <w:ind w:left="501" w:right="1209"/>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21" w:lineRule="auto" w:before="4"/>
        <w:ind w:right="0"/>
        <w:jc w:val="left"/>
      </w:pPr>
      <w:r>
        <w:rPr>
          <w:spacing w:val="-2"/>
        </w:rPr>
        <w:t>司自购买日或合并日开始持续计算的净资产份额之间的差额，调整合并资产负债表中的资本公积中的股本溢价，资本公积中</w:t>
      </w:r>
      <w:r>
        <w:rPr>
          <w:spacing w:val="-72"/>
        </w:rPr>
        <w:t> </w:t>
      </w:r>
      <w:r>
        <w:rPr>
          <w:spacing w:val="-72"/>
        </w:rPr>
      </w:r>
      <w:r>
        <w:rPr/>
        <w:t>的股本溢价不足冲减的，调整留存收益。</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7、合营安排分类及共同经营会计处理方法" w:id="193"/>
      <w:bookmarkEnd w:id="19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before="0"/>
        <w:ind w:left="501" w:right="2469"/>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24"/>
        <w:ind w:left="501" w:right="0"/>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9"/>
        <w:ind w:left="501" w:right="0"/>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80"/>
        <w:ind w:left="501" w:right="0"/>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80"/>
        <w:ind w:left="501" w:right="0"/>
        <w:jc w:val="left"/>
      </w:pPr>
      <w:r>
        <w:rPr/>
        <w:t>（</w:t>
      </w:r>
      <w:r>
        <w:rPr>
          <w:rFonts w:ascii="宋体" w:hAnsi="宋体" w:cs="宋体" w:eastAsia="宋体" w:hint="default"/>
        </w:rPr>
        <w:t>4</w:t>
      </w:r>
      <w:r>
        <w:rPr/>
        <w:t>）按本公司份额确认共同经营因出售产出所产生的收入；</w:t>
      </w:r>
    </w:p>
    <w:p>
      <w:pPr>
        <w:pStyle w:val="BodyText"/>
        <w:spacing w:line="321" w:lineRule="auto" w:before="64"/>
        <w:ind w:left="501" w:right="4359"/>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本公司对合营企业投资的会计政策见本附注“七、</w:t>
      </w:r>
      <w:r>
        <w:rPr>
          <w:rFonts w:ascii="宋体" w:hAnsi="宋体" w:cs="宋体" w:eastAsia="宋体" w:hint="default"/>
        </w:rPr>
        <w:t>17</w:t>
      </w:r>
      <w:r>
        <w:rPr/>
        <w:t>、长期股权投资”。</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8、现金及现金等价物的确定标准" w:id="194"/>
      <w:bookmarkEnd w:id="19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33"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after="0" w:line="321"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9、外币业务和外币报表折算" w:id="195"/>
      <w:bookmarkEnd w:id="19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3909"/>
        <w:jc w:val="left"/>
      </w:pPr>
      <w:r>
        <w:rPr>
          <w:rFonts w:ascii="宋体" w:hAnsi="宋体" w:cs="宋体" w:eastAsia="宋体" w:hint="default"/>
        </w:rPr>
        <w:t>1</w:t>
      </w:r>
      <w:r>
        <w:rPr/>
        <w:t>、外币业务 外币业务采用交易发生日的即期汇率作为折算汇率将外币金额折合成人民币记账。</w:t>
      </w:r>
    </w:p>
    <w:p>
      <w:pPr>
        <w:pStyle w:val="BodyText"/>
        <w:spacing w:line="321" w:lineRule="auto" w:before="3"/>
        <w:ind w:right="1137" w:firstLine="360"/>
        <w:jc w:val="both"/>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21" w:lineRule="auto" w:before="18"/>
        <w:ind w:left="501" w:right="0"/>
        <w:jc w:val="left"/>
      </w:pPr>
      <w:r>
        <w:rPr>
          <w:rFonts w:ascii="宋体" w:hAnsi="宋体" w:cs="宋体" w:eastAsia="宋体" w:hint="default"/>
        </w:rPr>
        <w:t>2</w:t>
      </w:r>
      <w:r>
        <w:rPr/>
        <w:t>、外币财务报表的折算 </w:t>
      </w:r>
      <w:r>
        <w:rPr>
          <w:spacing w:val="-2"/>
        </w:rPr>
        <w:t>资产负债表中的资产和负债项目，采用资产负债表日的即期汇率折算；所有者权益项目除“未分配利润”项目外，其他</w:t>
      </w:r>
    </w:p>
    <w:p>
      <w:pPr>
        <w:pStyle w:val="BodyText"/>
        <w:spacing w:line="307" w:lineRule="auto" w:before="18"/>
        <w:ind w:left="501" w:right="2109" w:hanging="361"/>
        <w:jc w:val="left"/>
      </w:pPr>
      <w:r>
        <w:rPr/>
        <w:t>项目采用发生时的即期汇率折算。利润表中的收入和费用项目，采用报告期间的平均汇率折算。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10、金融工具" w:id="196"/>
      <w:bookmarkEnd w:id="19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6609"/>
        <w:jc w:val="left"/>
      </w:pPr>
      <w:r>
        <w:rPr/>
        <w:t>金融工具包括金融资产、金融负债和权益工具。 </w:t>
      </w:r>
      <w:r>
        <w:rPr>
          <w:rFonts w:ascii="宋体" w:hAnsi="宋体" w:cs="宋体" w:eastAsia="宋体" w:hint="default"/>
        </w:rPr>
        <w:t>1</w:t>
      </w:r>
      <w:r>
        <w:rPr/>
        <w:t>、金融工具的分类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314" w:lineRule="auto" w:before="18"/>
        <w:ind w:right="1137" w:firstLine="360"/>
        <w:jc w:val="both"/>
      </w:pPr>
      <w:r>
        <w:rPr>
          <w:spacing w:val="-2"/>
        </w:rPr>
        <w:t>根据本公司管理金融资产的业务模式和金融资产的合同现金流量特征，金融资产于初始确认时分类为：以摊余成本计量</w:t>
      </w:r>
      <w:r>
        <w:rPr/>
        <w:t> </w:t>
      </w:r>
      <w:r>
        <w:rPr>
          <w:spacing w:val="-2"/>
        </w:rPr>
        <w:t>的金融资产、以公允价值计量且其变动计入其他综合收益的金融资产（债务工具）和以公允价值计量且其变动计入当期损益</w:t>
      </w:r>
      <w:r>
        <w:rPr>
          <w:spacing w:val="-75"/>
        </w:rPr>
        <w:t> </w:t>
      </w:r>
      <w:r>
        <w:rPr>
          <w:spacing w:val="-75"/>
        </w:rPr>
      </w:r>
      <w:r>
        <w:rPr/>
        <w:t>的金融资产。</w:t>
      </w:r>
    </w:p>
    <w:p>
      <w:pPr>
        <w:pStyle w:val="BodyText"/>
        <w:spacing w:line="316" w:lineRule="auto" w:before="23"/>
        <w:ind w:right="1106" w:firstLine="360"/>
        <w:jc w:val="both"/>
      </w:pPr>
      <w:r>
        <w:rPr>
          <w:spacing w:val="-2"/>
        </w:rPr>
        <w:t>业务模式是以收取合同现金流量为目标且合同现金流量仅为对本金和以未偿付本金金额为基础的利息的支付的，分类为</w:t>
      </w:r>
      <w:r>
        <w:rPr/>
        <w:t> </w:t>
      </w:r>
      <w:r>
        <w:rPr>
          <w:spacing w:val="-2"/>
        </w:rPr>
        <w:t>以摊余成本计量的金融资产；业务模式既以收取合同现金流量又以出售该金融资产为目标且合同现金流量仅为对本金和以未</w:t>
      </w:r>
      <w:r>
        <w:rPr>
          <w:spacing w:val="-51"/>
        </w:rPr>
        <w:t> </w:t>
      </w:r>
      <w:r>
        <w:rPr>
          <w:spacing w:val="-51"/>
        </w:rPr>
      </w:r>
      <w:r>
        <w:rPr>
          <w:spacing w:val="-2"/>
        </w:rPr>
        <w:t>偿付本金金额为基础的利息的支付的，分类为以公允价值计量且其变动计入其他综合收益的金融资产（债务工具）；除此之</w:t>
      </w:r>
      <w:r>
        <w:rPr>
          <w:spacing w:val="-42"/>
        </w:rPr>
        <w:t> </w:t>
      </w:r>
      <w:r>
        <w:rPr>
          <w:spacing w:val="-42"/>
        </w:rPr>
      </w:r>
      <w:r>
        <w:rPr/>
        <w:t>外的其他金融资产，分类为以公允价值计量且其变动计入当期损益的金融资产。</w:t>
      </w:r>
    </w:p>
    <w:p>
      <w:pPr>
        <w:pStyle w:val="BodyText"/>
        <w:spacing w:line="321" w:lineRule="auto" w:before="22"/>
        <w:ind w:right="1121" w:firstLine="360"/>
        <w:jc w:val="both"/>
      </w:pPr>
      <w:r>
        <w:rPr>
          <w:spacing w:val="-2"/>
        </w:rPr>
        <w:t>对于非交易性权益工具投资，本公司在初始确认时确定是否将其指定为以公允价值计量且其变动计入其他综合收益的金</w:t>
      </w:r>
      <w:r>
        <w:rPr/>
        <w:t> 融资产（权益工具）。</w:t>
      </w:r>
    </w:p>
    <w:p>
      <w:pPr>
        <w:pStyle w:val="BodyText"/>
        <w:spacing w:line="240" w:lineRule="auto" w:before="18"/>
        <w:ind w:left="501" w:right="0"/>
        <w:jc w:val="left"/>
      </w:pPr>
      <w:r>
        <w:rPr/>
        <w:t>金融负债于初始确认时分类为：以公允价值计量且其变动计入当期损益的金融负债和以摊余成本计量的金融负债。</w:t>
      </w:r>
    </w:p>
    <w:p>
      <w:pPr>
        <w:spacing w:line="240" w:lineRule="auto" w:before="0"/>
        <w:rPr>
          <w:rFonts w:ascii="宋体" w:hAnsi="宋体" w:cs="宋体" w:eastAsia="宋体" w:hint="default"/>
          <w:sz w:val="18"/>
          <w:szCs w:val="18"/>
        </w:rPr>
      </w:pPr>
    </w:p>
    <w:p>
      <w:pPr>
        <w:pStyle w:val="BodyText"/>
        <w:spacing w:line="321" w:lineRule="auto" w:before="144"/>
        <w:ind w:left="501" w:right="1133"/>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 </w:t>
      </w:r>
      <w:r>
        <w:rPr>
          <w:spacing w:val="-2"/>
        </w:rPr>
        <w:t>金融资产和金融负债于初始确认时分类为：以公允价值计量且其变动计入当期损益的金融资产或金融负债，包括交易性</w:t>
      </w:r>
    </w:p>
    <w:p>
      <w:pPr>
        <w:pStyle w:val="BodyText"/>
        <w:spacing w:line="321" w:lineRule="auto" w:before="18"/>
        <w:ind w:right="0"/>
        <w:jc w:val="left"/>
      </w:pPr>
      <w:r>
        <w:rPr>
          <w:spacing w:val="-2"/>
        </w:rPr>
        <w:t>金融资产或金融负债和直接指定为以公允价值计量且其变动计入当期损益的金融资产或金融负债；持有至到期投资；应收款</w:t>
      </w:r>
      <w:r>
        <w:rPr>
          <w:spacing w:val="-72"/>
        </w:rPr>
        <w:t> </w:t>
      </w:r>
      <w:r>
        <w:rPr>
          <w:spacing w:val="-72"/>
        </w:rPr>
      </w:r>
      <w:r>
        <w:rPr/>
        <w:t>项；可供出售金融资产；其他金融负债等。</w:t>
      </w:r>
    </w:p>
    <w:p>
      <w:pPr>
        <w:spacing w:line="240" w:lineRule="auto" w:before="5"/>
        <w:rPr>
          <w:rFonts w:ascii="宋体" w:hAnsi="宋体" w:cs="宋体" w:eastAsia="宋体" w:hint="default"/>
          <w:sz w:val="24"/>
          <w:szCs w:val="24"/>
        </w:rPr>
      </w:pPr>
    </w:p>
    <w:p>
      <w:pPr>
        <w:pStyle w:val="BodyText"/>
        <w:spacing w:line="321" w:lineRule="auto" w:before="0"/>
        <w:ind w:left="501" w:right="7599"/>
        <w:jc w:val="left"/>
      </w:pPr>
      <w:r>
        <w:rPr>
          <w:rFonts w:ascii="宋体" w:hAnsi="宋体" w:cs="宋体" w:eastAsia="宋体" w:hint="default"/>
        </w:rPr>
        <w:t>2</w:t>
      </w:r>
      <w:r>
        <w:rPr/>
        <w:t>、金融工具的确认依据和计量方法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321" w:lineRule="auto" w:before="18"/>
        <w:ind w:left="501" w:right="0"/>
        <w:jc w:val="left"/>
      </w:pPr>
      <w:r>
        <w:rPr/>
        <w:t>（</w:t>
      </w:r>
      <w:r>
        <w:rPr>
          <w:rFonts w:ascii="宋体" w:hAnsi="宋体" w:cs="宋体" w:eastAsia="宋体" w:hint="default"/>
        </w:rPr>
        <w:t>1</w:t>
      </w:r>
      <w:r>
        <w:rPr/>
        <w:t>）以摊余成本计量的金融资产 </w:t>
      </w:r>
      <w:r>
        <w:rPr>
          <w:spacing w:val="-2"/>
        </w:rPr>
        <w:t>以摊余成本计量的金融资产包括应收票据、应收账款、其他应收款、长期应收款、债权投资等，按公允价值进行初始计</w:t>
      </w:r>
    </w:p>
    <w:p>
      <w:pPr>
        <w:pStyle w:val="BodyText"/>
        <w:spacing w:line="304" w:lineRule="auto" w:before="19"/>
        <w:ind w:right="0"/>
        <w:jc w:val="left"/>
      </w:pPr>
      <w:r>
        <w:rPr>
          <w:spacing w:val="-2"/>
        </w:rPr>
        <w:t>量，相关交易费用计入初始确认金额；不包含重大融资成分的应收账款以及本公司决定不考虑不超过一年的融资成分的应收</w:t>
      </w:r>
      <w:r>
        <w:rPr>
          <w:spacing w:val="-64"/>
        </w:rPr>
        <w:t> </w:t>
      </w:r>
      <w:r>
        <w:rPr>
          <w:spacing w:val="-64"/>
        </w:rPr>
      </w:r>
      <w:r>
        <w:rPr/>
        <w:t>账款，以合同交易价格进行初始计量。</w:t>
      </w:r>
    </w:p>
    <w:p>
      <w:pPr>
        <w:pStyle w:val="BodyText"/>
        <w:spacing w:line="321" w:lineRule="auto" w:before="31"/>
        <w:ind w:left="501" w:right="4089"/>
        <w:jc w:val="left"/>
      </w:pPr>
      <w:r>
        <w:rPr/>
        <w:t>持有期间采用实际利率法计算的利息计入当期损益。 收回或处置时，将取得的价款与该金融资产账面价值之间的差额计入当期损益。</w:t>
      </w:r>
    </w:p>
    <w:p>
      <w:pPr>
        <w:pStyle w:val="BodyText"/>
        <w:spacing w:line="321" w:lineRule="auto" w:before="18"/>
        <w:ind w:left="501" w:right="0"/>
        <w:jc w:val="left"/>
      </w:pPr>
      <w:r>
        <w:rPr/>
        <w:t>（</w:t>
      </w:r>
      <w:r>
        <w:rPr>
          <w:rFonts w:ascii="宋体" w:hAnsi="宋体" w:cs="宋体" w:eastAsia="宋体" w:hint="default"/>
        </w:rPr>
        <w:t>2</w:t>
      </w:r>
      <w:r>
        <w:rPr/>
        <w:t>）以公允价值计量且其变动计入其他综合收益的金融资产（债务工具） </w:t>
      </w:r>
      <w:r>
        <w:rPr>
          <w:spacing w:val="-2"/>
        </w:rPr>
        <w:t>以公允价值计量且其变动计入其他综合收益的金融资产（债务工具）包括应收款项融资、其他债权投资等，按公允价值</w:t>
      </w:r>
    </w:p>
    <w:p>
      <w:pPr>
        <w:pStyle w:val="BodyText"/>
        <w:spacing w:line="321" w:lineRule="auto" w:before="3"/>
        <w:ind w:right="0"/>
        <w:jc w:val="left"/>
      </w:pPr>
      <w:r>
        <w:rPr>
          <w:spacing w:val="-2"/>
        </w:rPr>
        <w:t>进行初始计量，相关交易费用计入初始确认金额。该金融资产按公允价值进行后续计量，公允价值变动除采用实际利率法计</w:t>
      </w:r>
      <w:r>
        <w:rPr>
          <w:spacing w:val="-75"/>
        </w:rPr>
        <w:t> </w:t>
      </w:r>
      <w:r>
        <w:rPr>
          <w:spacing w:val="-75"/>
        </w:rPr>
      </w:r>
      <w:r>
        <w:rPr/>
        <w:t>算的利息、减值损失或利得和汇兑损益之外，均计入其他综合收益。</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501" w:right="0"/>
        <w:jc w:val="left"/>
      </w:pPr>
      <w:r>
        <w:rPr/>
        <w:t>终止确认时，之前计入其他综合收益的累计利得或损失从其他综合收益中转出，计入当期损益。</w:t>
      </w:r>
    </w:p>
    <w:p>
      <w:pPr>
        <w:spacing w:line="240" w:lineRule="auto" w:before="0"/>
        <w:rPr>
          <w:rFonts w:ascii="宋体" w:hAnsi="宋体" w:cs="宋体" w:eastAsia="宋体" w:hint="default"/>
          <w:sz w:val="18"/>
          <w:szCs w:val="18"/>
        </w:rPr>
      </w:pPr>
    </w:p>
    <w:p>
      <w:pPr>
        <w:pStyle w:val="BodyText"/>
        <w:spacing w:line="307" w:lineRule="auto" w:before="159"/>
        <w:ind w:left="501" w:right="1133"/>
        <w:jc w:val="left"/>
      </w:pPr>
      <w:r>
        <w:rPr/>
        <w:t>（</w:t>
      </w:r>
      <w:r>
        <w:rPr>
          <w:rFonts w:ascii="宋体" w:hAnsi="宋体" w:cs="宋体" w:eastAsia="宋体" w:hint="default"/>
        </w:rPr>
        <w:t>3</w:t>
      </w:r>
      <w:r>
        <w:rPr/>
        <w:t>）以公允价值计量且其变动计入其他综合收益的金融资产（权益工具） </w:t>
      </w:r>
      <w:r>
        <w:rPr>
          <w:spacing w:val="-2"/>
        </w:rPr>
        <w:t>以公允价值计量且其变动计入其他综合收益的金融资产（权益工具）包括其他权益工具投资等，按公允价值进行初始计</w:t>
      </w:r>
    </w:p>
    <w:p>
      <w:pPr>
        <w:pStyle w:val="BodyText"/>
        <w:spacing w:line="321" w:lineRule="auto" w:before="29"/>
        <w:ind w:right="0"/>
        <w:jc w:val="left"/>
      </w:pPr>
      <w:r>
        <w:rPr>
          <w:spacing w:val="-2"/>
        </w:rPr>
        <w:t>量，相关交易费用计入初始确认金额。该金融资产按公允价值进行后续计量，公允价值变动计入其他综合收益。取得的股利</w:t>
      </w:r>
      <w:r>
        <w:rPr>
          <w:spacing w:val="-42"/>
        </w:rPr>
        <w:t> </w:t>
      </w:r>
      <w:r>
        <w:rPr>
          <w:spacing w:val="-42"/>
        </w:rPr>
      </w:r>
      <w:r>
        <w:rPr/>
        <w:t>计入当期损益。</w:t>
      </w:r>
    </w:p>
    <w:p>
      <w:pPr>
        <w:pStyle w:val="BodyText"/>
        <w:spacing w:line="240" w:lineRule="auto" w:before="18"/>
        <w:ind w:left="501" w:right="0"/>
        <w:jc w:val="left"/>
      </w:pPr>
      <w:r>
        <w:rPr/>
        <w:t>终止确认时，之前计入其他综合收益的累计利得或损失从其他综合收益中转出，计入留存收益。</w:t>
      </w:r>
    </w:p>
    <w:p>
      <w:pPr>
        <w:spacing w:line="240" w:lineRule="auto" w:before="0"/>
        <w:rPr>
          <w:rFonts w:ascii="宋体" w:hAnsi="宋体" w:cs="宋体" w:eastAsia="宋体" w:hint="default"/>
          <w:sz w:val="18"/>
          <w:szCs w:val="18"/>
        </w:rPr>
      </w:pPr>
    </w:p>
    <w:p>
      <w:pPr>
        <w:pStyle w:val="BodyText"/>
        <w:spacing w:line="321" w:lineRule="auto" w:before="144"/>
        <w:ind w:left="501" w:right="1133"/>
        <w:jc w:val="left"/>
      </w:pPr>
      <w:r>
        <w:rPr/>
        <w:t>（</w:t>
      </w:r>
      <w:r>
        <w:rPr>
          <w:rFonts w:ascii="宋体" w:hAnsi="宋体" w:cs="宋体" w:eastAsia="宋体" w:hint="default"/>
        </w:rPr>
        <w:t>4</w:t>
      </w:r>
      <w:r>
        <w:rPr/>
        <w:t>）以公允价值计量且其变动计入当期损益的金融资产 </w:t>
      </w:r>
      <w:r>
        <w:rPr>
          <w:spacing w:val="-2"/>
        </w:rPr>
        <w:t>以公允价值计量且其变动计入当期损益的金融资产包括交易性金融资产、衍生金融资产、其他非流动金融资产等，按公</w:t>
      </w:r>
    </w:p>
    <w:p>
      <w:pPr>
        <w:pStyle w:val="BodyText"/>
        <w:spacing w:line="240" w:lineRule="auto" w:before="18"/>
        <w:ind w:right="0"/>
        <w:jc w:val="left"/>
      </w:pPr>
      <w:r>
        <w:rPr/>
        <w:t>允价值进行初始计量，相关交易费用计入当期损益。该金融资产按公允价值进行后续计量，公允价值变动计入当期损益。</w:t>
      </w:r>
    </w:p>
    <w:p>
      <w:pPr>
        <w:spacing w:line="240" w:lineRule="auto" w:before="0"/>
        <w:rPr>
          <w:rFonts w:ascii="宋体" w:hAnsi="宋体" w:cs="宋体" w:eastAsia="宋体" w:hint="default"/>
          <w:sz w:val="18"/>
          <w:szCs w:val="18"/>
        </w:rPr>
      </w:pPr>
    </w:p>
    <w:p>
      <w:pPr>
        <w:pStyle w:val="BodyText"/>
        <w:spacing w:line="304" w:lineRule="auto" w:before="160"/>
        <w:ind w:left="501" w:right="1029"/>
        <w:jc w:val="left"/>
      </w:pPr>
      <w:r>
        <w:rPr/>
        <w:t>（</w:t>
      </w:r>
      <w:r>
        <w:rPr>
          <w:rFonts w:ascii="宋体" w:hAnsi="宋体" w:cs="宋体" w:eastAsia="宋体" w:hint="default"/>
        </w:rPr>
        <w:t>5</w:t>
      </w:r>
      <w:r>
        <w:rPr/>
        <w:t>）以公允价值计量且其变动计入当期损益的金融负债 以公允价值计量且其变动计入当期损益的金融负债包括交易性金融负债、衍生金融负债等，按公允价值进行初始计量，</w:t>
      </w:r>
    </w:p>
    <w:p>
      <w:pPr>
        <w:pStyle w:val="BodyText"/>
        <w:spacing w:line="321" w:lineRule="auto" w:before="31"/>
        <w:ind w:left="501" w:right="3010" w:hanging="361"/>
        <w:jc w:val="left"/>
      </w:pPr>
      <w:r>
        <w:rPr/>
        <w:t>相关交易费用计入当期损益。该金融负债按公允价值进行后续计量，公允价值变动计入当期损益。 终止确认时，其账面价值与支付的对价之间的差额计入当期损益。</w:t>
      </w:r>
    </w:p>
    <w:p>
      <w:pPr>
        <w:spacing w:line="240" w:lineRule="auto" w:before="7"/>
        <w:rPr>
          <w:rFonts w:ascii="宋体" w:hAnsi="宋体" w:cs="宋体" w:eastAsia="宋体" w:hint="default"/>
          <w:sz w:val="25"/>
          <w:szCs w:val="25"/>
        </w:rPr>
      </w:pPr>
    </w:p>
    <w:p>
      <w:pPr>
        <w:pStyle w:val="BodyText"/>
        <w:spacing w:line="307" w:lineRule="auto" w:before="0"/>
        <w:ind w:left="501" w:right="1133"/>
        <w:jc w:val="left"/>
      </w:pPr>
      <w:r>
        <w:rPr/>
        <w:t>（</w:t>
      </w:r>
      <w:r>
        <w:rPr>
          <w:rFonts w:ascii="宋体" w:hAnsi="宋体" w:cs="宋体" w:eastAsia="宋体" w:hint="default"/>
        </w:rPr>
        <w:t>6</w:t>
      </w:r>
      <w:r>
        <w:rPr/>
        <w:t>）以摊余成本计量的金融负债 </w:t>
      </w:r>
      <w:r>
        <w:rPr>
          <w:spacing w:val="-2"/>
        </w:rPr>
        <w:t>以摊余成本计量的金融负债包括短期借款、应付票据、应付账款、其他应付款、长期借款、应付债券、长期应付款，按</w:t>
      </w:r>
    </w:p>
    <w:p>
      <w:pPr>
        <w:pStyle w:val="BodyText"/>
        <w:spacing w:line="321" w:lineRule="auto" w:before="29"/>
        <w:ind w:left="501" w:right="4269" w:hanging="361"/>
        <w:jc w:val="left"/>
      </w:pPr>
      <w:r>
        <w:rPr/>
        <w:t>公允价值进行初始计量，相关交易费用计入初始确认金额。 持有期间采用实际利率法计算的利息计入当期损益。 终止确认时，将支付的对价与该金融负债账面价值之间的差额计入当期损益。</w:t>
      </w:r>
    </w:p>
    <w:p>
      <w:pPr>
        <w:spacing w:line="240" w:lineRule="auto" w:before="5"/>
        <w:rPr>
          <w:rFonts w:ascii="宋体" w:hAnsi="宋体" w:cs="宋体" w:eastAsia="宋体" w:hint="default"/>
          <w:sz w:val="24"/>
          <w:szCs w:val="24"/>
        </w:rPr>
      </w:pPr>
    </w:p>
    <w:p>
      <w:pPr>
        <w:pStyle w:val="BodyText"/>
        <w:spacing w:line="240" w:lineRule="auto" w:before="0"/>
        <w:ind w:left="501" w:right="0"/>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p>
    <w:p>
      <w:pPr>
        <w:pStyle w:val="BodyText"/>
        <w:spacing w:line="321" w:lineRule="auto" w:before="79"/>
        <w:ind w:left="501" w:right="1133"/>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4" w:lineRule="auto" w:before="18"/>
        <w:ind w:left="501" w:right="2829"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21" w:lineRule="auto" w:before="24"/>
        <w:ind w:left="501" w:right="1133"/>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04" w:lineRule="auto" w:before="19"/>
        <w:ind w:left="501" w:right="4989" w:hanging="361"/>
        <w:jc w:val="left"/>
      </w:pPr>
      <w:r>
        <w:rPr/>
        <w:t>用的更短期间内保持不变。 处置时，将所取得价款与该投资账面价值之间的差额计入投资收益。</w:t>
      </w:r>
    </w:p>
    <w:p>
      <w:pPr>
        <w:pStyle w:val="BodyText"/>
        <w:spacing w:line="321" w:lineRule="auto" w:before="31"/>
        <w:ind w:left="501" w:right="1118"/>
        <w:jc w:val="left"/>
      </w:pPr>
      <w:r>
        <w:rPr/>
        <w:t>（</w:t>
      </w:r>
      <w:r>
        <w:rPr>
          <w:rFonts w:ascii="宋体" w:hAnsi="宋体" w:cs="宋体" w:eastAsia="宋体"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21" w:lineRule="auto" w:before="19"/>
        <w:ind w:right="1118"/>
        <w:jc w:val="left"/>
      </w:pPr>
      <w:r>
        <w:rPr>
          <w:spacing w:val="-2"/>
        </w:rPr>
        <w:t>权，包括应收账款、其他应收款等，以向购货方应收的合同或协议价款作为初始确认金额；具有融资性质的，按其现值进行</w:t>
      </w:r>
      <w:r>
        <w:rPr>
          <w:spacing w:val="-57"/>
        </w:rPr>
        <w:t> </w:t>
      </w:r>
      <w:r>
        <w:rPr>
          <w:spacing w:val="-57"/>
        </w:rPr>
      </w:r>
      <w:r>
        <w:rPr/>
        <w:t>初始确认。</w:t>
      </w:r>
    </w:p>
    <w:p>
      <w:pPr>
        <w:pStyle w:val="BodyText"/>
        <w:spacing w:line="240" w:lineRule="auto" w:before="3"/>
        <w:ind w:left="501" w:right="0"/>
        <w:jc w:val="left"/>
      </w:pPr>
      <w:r>
        <w:rPr/>
        <w:t>收回或处置时，将取得的价款与该应收款项账面价值之间的差额计入当期损益。</w:t>
      </w:r>
    </w:p>
    <w:p>
      <w:pPr>
        <w:pStyle w:val="BodyText"/>
        <w:spacing w:line="321" w:lineRule="auto" w:before="79"/>
        <w:ind w:left="501" w:right="1133"/>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21" w:lineRule="auto" w:before="18"/>
        <w:ind w:left="501" w:right="1029" w:hanging="361"/>
        <w:jc w:val="left"/>
      </w:pPr>
      <w:r>
        <w:rPr/>
        <w:t>初始确认金额。 持有期间将取得的利息或现金股利确认为投资收益。期末以公允价值计量且将公允价值变动计入其他综合收益。但是，</w:t>
      </w:r>
    </w:p>
    <w:p>
      <w:pPr>
        <w:pStyle w:val="BodyText"/>
        <w:spacing w:line="240" w:lineRule="auto" w:before="3"/>
        <w:ind w:right="0"/>
        <w:jc w:val="left"/>
      </w:pPr>
      <w:r>
        <w:rPr/>
        <w:t>在活跃市场中没有报价且其公允价值不能可靠计量的权益工具投资</w:t>
      </w:r>
      <w:r>
        <w:rPr>
          <w:spacing w:val="-76"/>
        </w:rPr>
        <w:t>，</w:t>
      </w:r>
      <w:r>
        <w:rPr/>
        <w:t>以及与该权益工具挂钩并须通过交付该权益工具结算的</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0" w:hanging="361"/>
        <w:jc w:val="left"/>
      </w:pPr>
      <w:r>
        <w:rPr/>
        <w:t>衍生金融资产，按照成本计量。 </w:t>
      </w:r>
      <w:r>
        <w:rPr>
          <w:spacing w:val="-2"/>
        </w:rPr>
        <w:t>处置时，将取得的价款与该金融资产账面价值之间的差额，计入投资损益；同时，将原直接计入其他综合收益的公允价</w:t>
      </w:r>
    </w:p>
    <w:p>
      <w:pPr>
        <w:pStyle w:val="BodyText"/>
        <w:spacing w:line="240" w:lineRule="auto" w:before="18"/>
        <w:ind w:right="0"/>
        <w:jc w:val="left"/>
      </w:pPr>
      <w:r>
        <w:rPr/>
        <w:t>值变动累计额对应处置部分的金额转出，计入当期损益。</w:t>
      </w:r>
    </w:p>
    <w:p>
      <w:pPr>
        <w:pStyle w:val="BodyText"/>
        <w:spacing w:line="321" w:lineRule="auto" w:before="65"/>
        <w:ind w:left="501" w:right="3729"/>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BodyText"/>
        <w:spacing w:line="321" w:lineRule="auto" w:before="0"/>
        <w:ind w:left="501" w:right="1133"/>
        <w:jc w:val="left"/>
      </w:pPr>
      <w:r>
        <w:rPr>
          <w:rFonts w:ascii="宋体" w:hAnsi="宋体" w:cs="宋体" w:eastAsia="宋体"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21" w:lineRule="auto" w:before="3"/>
        <w:ind w:left="501" w:right="1133" w:hanging="361"/>
        <w:jc w:val="left"/>
      </w:pPr>
      <w:r>
        <w:rPr/>
        <w:t>保留了金融资产所有权上几乎所有的风险和报酬的，则不终止确认该金融资产。 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公司将金融资产转移区分为金融资产整体转移和部分转移。金融资产整体转移满足终止确认条件的，将下列两项金额的</w:t>
      </w:r>
    </w:p>
    <w:p>
      <w:pPr>
        <w:pStyle w:val="BodyText"/>
        <w:spacing w:line="240" w:lineRule="auto" w:before="18"/>
        <w:ind w:right="0"/>
        <w:jc w:val="left"/>
      </w:pPr>
      <w:r>
        <w:rPr/>
        <w:t>差额计入当期损益：</w:t>
      </w:r>
    </w:p>
    <w:p>
      <w:pPr>
        <w:pStyle w:val="BodyText"/>
        <w:spacing w:line="240" w:lineRule="auto" w:before="80"/>
        <w:ind w:left="501" w:right="0"/>
        <w:jc w:val="left"/>
      </w:pPr>
      <w:r>
        <w:rPr/>
        <w:t>（</w:t>
      </w:r>
      <w:r>
        <w:rPr>
          <w:rFonts w:ascii="宋体" w:hAnsi="宋体" w:cs="宋体" w:eastAsia="宋体" w:hint="default"/>
        </w:rPr>
        <w:t>1</w:t>
      </w:r>
      <w:r>
        <w:rPr/>
        <w:t>）所转移金融资产的账面价值；</w:t>
      </w:r>
    </w:p>
    <w:p>
      <w:pPr>
        <w:pStyle w:val="BodyText"/>
        <w:spacing w:line="321" w:lineRule="auto" w:before="64"/>
        <w:ind w:right="1119" w:firstLine="360"/>
        <w:jc w:val="left"/>
      </w:pPr>
      <w:r>
        <w:rPr/>
        <w:t>（</w:t>
      </w:r>
      <w:r>
        <w:rPr>
          <w:rFonts w:ascii="宋体" w:hAnsi="宋体" w:cs="宋体" w:eastAsia="宋体" w:hint="default"/>
        </w:rPr>
        <w:t>2</w:t>
      </w:r>
      <w:r>
        <w:rPr/>
        <w:t>）因转移而收到的对价，与原直接计入所有者权益的公允价值变动累计额（涉及转移的金融资产为以公允价值计量 且其变动计入其他综合收益的金融资产（债务工具）、可供出售金融资产的情形）之和。</w:t>
      </w:r>
    </w:p>
    <w:p>
      <w:pPr>
        <w:pStyle w:val="BodyText"/>
        <w:spacing w:line="321" w:lineRule="auto" w:before="18"/>
        <w:ind w:right="1029"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8"/>
        <w:ind w:left="501" w:right="0"/>
        <w:jc w:val="left"/>
      </w:pPr>
      <w:r>
        <w:rPr/>
        <w:t>（</w:t>
      </w:r>
      <w:r>
        <w:rPr>
          <w:rFonts w:ascii="宋体" w:hAnsi="宋体" w:cs="宋体" w:eastAsia="宋体" w:hint="default"/>
        </w:rPr>
        <w:t>1</w:t>
      </w:r>
      <w:r>
        <w:rPr/>
        <w:t>）终止确认部分的账面价值；</w:t>
      </w:r>
    </w:p>
    <w:p>
      <w:pPr>
        <w:pStyle w:val="BodyText"/>
        <w:spacing w:line="321" w:lineRule="auto" w:before="65"/>
        <w:ind w:right="1119"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金融资产为以公允价值计量且其变动计入其他综合收益的金融资产（债务工具）、可供出售金融资产的情形）之和。</w:t>
      </w:r>
    </w:p>
    <w:p>
      <w:pPr>
        <w:pStyle w:val="BodyText"/>
        <w:spacing w:line="240" w:lineRule="auto" w:before="18"/>
        <w:ind w:left="501"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spacing w:line="307" w:lineRule="auto" w:before="159"/>
        <w:ind w:left="501" w:right="1133"/>
        <w:jc w:val="left"/>
      </w:pPr>
      <w:r>
        <w:rPr>
          <w:rFonts w:ascii="宋体" w:hAnsi="宋体" w:cs="宋体" w:eastAsia="宋体"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21" w:lineRule="auto" w:before="29"/>
        <w:ind w:right="1136"/>
        <w:jc w:val="both"/>
      </w:pPr>
      <w:r>
        <w:rPr>
          <w:spacing w:val="-2"/>
        </w:rPr>
        <w:t>新金融负债方式替换现存金融负债，且新金融负债与现存金融负债的合同条款实质上不同的，则终止确认现存金融负债，并</w:t>
      </w:r>
      <w:r>
        <w:rPr>
          <w:spacing w:val="-75"/>
        </w:rPr>
        <w:t> </w:t>
      </w:r>
      <w:r>
        <w:rPr>
          <w:spacing w:val="-75"/>
        </w:rPr>
      </w:r>
      <w:r>
        <w:rPr/>
        <w:t>同时确认新金融负债。</w:t>
      </w:r>
    </w:p>
    <w:p>
      <w:pPr>
        <w:pStyle w:val="BodyText"/>
        <w:spacing w:line="321" w:lineRule="auto" w:before="18"/>
        <w:ind w:right="1133"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21" w:lineRule="auto" w:before="3"/>
        <w:ind w:right="1133"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21" w:lineRule="auto" w:before="18"/>
        <w:ind w:right="1029"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5"/>
        <w:rPr>
          <w:rFonts w:ascii="宋体" w:hAnsi="宋体" w:cs="宋体" w:eastAsia="宋体" w:hint="default"/>
          <w:sz w:val="24"/>
          <w:szCs w:val="24"/>
        </w:rPr>
      </w:pPr>
    </w:p>
    <w:p>
      <w:pPr>
        <w:pStyle w:val="BodyText"/>
        <w:spacing w:line="321" w:lineRule="auto" w:before="0"/>
        <w:ind w:left="501" w:right="0"/>
        <w:jc w:val="left"/>
      </w:pPr>
      <w:r>
        <w:rPr>
          <w:rFonts w:ascii="宋体" w:hAnsi="宋体" w:cs="宋体" w:eastAsia="宋体"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4" w:lineRule="auto" w:before="19"/>
        <w:ind w:right="1136"/>
        <w:jc w:val="both"/>
      </w:pPr>
      <w:r>
        <w:rPr>
          <w:spacing w:val="-2"/>
        </w:rPr>
        <w:t>允价值。在估值时，本公司采用在当前情况下适用并且有足够可利用数据和其他信息支持的估值技术，选择与市场参与者在</w:t>
      </w:r>
      <w:r>
        <w:rPr>
          <w:spacing w:val="-75"/>
        </w:rPr>
        <w:t> </w:t>
      </w:r>
      <w:r>
        <w:rPr>
          <w:spacing w:val="-75"/>
        </w:rPr>
      </w:r>
      <w:r>
        <w:rPr>
          <w:spacing w:val="-2"/>
        </w:rPr>
        <w:t>相关资产或负债的交易中所考虑的资产或负债特征相一致的输入值，并优先使用相关可观察输入值。只有在相关可观察输入</w:t>
      </w:r>
      <w:r>
        <w:rPr>
          <w:spacing w:val="-72"/>
        </w:rPr>
        <w:t> </w:t>
      </w:r>
      <w:r>
        <w:rPr>
          <w:spacing w:val="-72"/>
        </w:rPr>
      </w:r>
      <w:r>
        <w:rPr/>
        <w:t>值无法取得或取得不切实可行的情况下，才使用不可观察输入值。</w:t>
      </w:r>
    </w:p>
    <w:p>
      <w:pPr>
        <w:pStyle w:val="BodyText"/>
        <w:spacing w:line="321" w:lineRule="auto" w:before="23"/>
        <w:ind w:left="501" w:right="6879"/>
        <w:jc w:val="left"/>
      </w:pPr>
      <w:r>
        <w:rPr>
          <w:rFonts w:ascii="宋体" w:hAnsi="宋体" w:cs="宋体" w:eastAsia="宋体" w:hint="default"/>
        </w:rPr>
        <w:t>6</w:t>
      </w:r>
      <w:r>
        <w:rPr/>
        <w:t>、金融资产减值的测试方法及会计处理方法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314" w:lineRule="auto" w:before="18"/>
        <w:ind w:right="1131" w:firstLine="360"/>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70"/>
        </w:rPr>
        <w:t> </w:t>
      </w:r>
      <w:r>
        <w:rPr>
          <w:spacing w:val="-70"/>
        </w:rPr>
      </w:r>
      <w:r>
        <w:rPr/>
        <w:t>自初始确认后是否发生信用风险显著增加。</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1" w:firstLine="360"/>
        <w:jc w:val="both"/>
      </w:pPr>
      <w:r>
        <w:rPr>
          <w:spacing w:val="-2"/>
        </w:rPr>
        <w:t>如果该金融工具的信用风险自初始确认后已显著增加，本公司按照相当于该金融工具整个存续期内预期信用损失的金额</w:t>
      </w:r>
      <w:r>
        <w:rPr/>
        <w:t> </w:t>
      </w:r>
      <w:r>
        <w:rPr>
          <w:spacing w:val="-2"/>
        </w:rPr>
        <w:t>计量其损失准备；如果该金融工具的信用风险自初始确认后并未显著增加，本公司按照相当于该金融工具未来</w:t>
      </w:r>
      <w:r>
        <w:rPr>
          <w:rFonts w:ascii="宋体" w:hAnsi="宋体" w:cs="宋体" w:eastAsia="宋体" w:hint="default"/>
          <w:spacing w:val="-2"/>
        </w:rPr>
        <w:t>12</w:t>
      </w:r>
      <w:r>
        <w:rPr>
          <w:spacing w:val="-2"/>
        </w:rPr>
        <w:t>个月内预期</w:t>
      </w:r>
      <w:r>
        <w:rPr>
          <w:spacing w:val="-60"/>
        </w:rPr>
        <w:t> </w:t>
      </w:r>
      <w:r>
        <w:rPr/>
        <w:t>信用损失的金额计量其损失准备。由此形成的损失准备的增加或转回金额，作为减值损失或利得计入当期损益。</w:t>
      </w:r>
    </w:p>
    <w:p>
      <w:pPr>
        <w:pStyle w:val="BodyText"/>
        <w:spacing w:line="321" w:lineRule="auto" w:before="3"/>
        <w:ind w:right="1126" w:firstLine="360"/>
        <w:jc w:val="both"/>
      </w:pPr>
      <w:r>
        <w:rPr>
          <w:spacing w:val="-2"/>
        </w:rPr>
        <w:t>通常逾期超过</w:t>
      </w:r>
      <w:r>
        <w:rPr>
          <w:rFonts w:ascii="宋体" w:hAnsi="宋体" w:cs="宋体" w:eastAsia="宋体" w:hint="default"/>
          <w:spacing w:val="-2"/>
        </w:rPr>
        <w:t>30</w:t>
      </w:r>
      <w:r>
        <w:rPr>
          <w:spacing w:val="-2"/>
        </w:rPr>
        <w:t>日，本公司即认为该金融工具的信用风险已显著增加，除非有确凿证据证明该金融工具的信用风险自初</w:t>
      </w:r>
      <w:r>
        <w:rPr/>
        <w:t> 始确认后并未显著增加。</w:t>
      </w:r>
    </w:p>
    <w:p>
      <w:pPr>
        <w:pStyle w:val="BodyText"/>
        <w:spacing w:line="316" w:lineRule="auto" w:before="19"/>
        <w:ind w:left="501" w:right="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w:t>
      </w:r>
      <w:r>
        <w:rPr>
          <w:spacing w:val="-4"/>
        </w:rPr>
        <w:t>对于应收账款，无论是否包含重大融资成分，本公司始终按照相当于整个存续期内预期信用损失的金额计量其损失准备。</w:t>
      </w:r>
      <w:r>
        <w:rPr>
          <w:spacing w:val="-58"/>
        </w:rPr>
        <w:t> </w:t>
      </w:r>
      <w:r>
        <w:rPr>
          <w:spacing w:val="-58"/>
        </w:rPr>
      </w:r>
      <w:r>
        <w:rPr>
          <w:spacing w:val="-2"/>
        </w:rPr>
        <w:t>对于租赁应收款、公司通过销售商品或提供劳务形成的长期应收款，本公司选择始终按照相当于整个存续期内预期信用</w:t>
      </w:r>
    </w:p>
    <w:p>
      <w:pPr>
        <w:pStyle w:val="BodyText"/>
        <w:tabs>
          <w:tab w:pos="1222" w:val="left" w:leader="none"/>
        </w:tabs>
        <w:spacing w:line="321" w:lineRule="auto" w:before="22"/>
        <w:ind w:left="501" w:right="7347" w:hanging="361"/>
        <w:jc w:val="left"/>
      </w:pPr>
      <w:r>
        <w:rPr/>
        <w:t>损失的金额计量其损失准备。 按组合计量预期信用损失的金融资产： 组合</w:t>
      </w:r>
      <w:r>
        <w:rPr>
          <w:rFonts w:ascii="宋体" w:hAnsi="宋体" w:cs="宋体" w:eastAsia="宋体" w:hint="default"/>
        </w:rPr>
        <w:t>1</w:t>
        <w:tab/>
      </w:r>
      <w:r>
        <w:rPr/>
        <w:t>合并范围内关联方组合</w:t>
      </w:r>
    </w:p>
    <w:p>
      <w:pPr>
        <w:pStyle w:val="BodyText"/>
        <w:spacing w:line="314" w:lineRule="auto" w:before="19"/>
        <w:ind w:left="501" w:right="7343"/>
        <w:jc w:val="both"/>
      </w:pPr>
      <w:r>
        <w:rPr/>
        <w:t>组合</w:t>
      </w:r>
      <w:r>
        <w:rPr>
          <w:rFonts w:ascii="宋体" w:hAnsi="宋体" w:cs="宋体" w:eastAsia="宋体" w:hint="default"/>
        </w:rPr>
        <w:t>2 </w:t>
      </w:r>
      <w:r>
        <w:rPr/>
        <w:t>互联网信息服务普通客户组合 组合</w:t>
      </w:r>
      <w:r>
        <w:rPr>
          <w:rFonts w:ascii="宋体" w:hAnsi="宋体" w:cs="宋体" w:eastAsia="宋体" w:hint="default"/>
        </w:rPr>
        <w:t>3 </w:t>
      </w:r>
      <w:r>
        <w:rPr/>
        <w:t>互联网信息服务优质客户组合 组合</w:t>
      </w:r>
      <w:r>
        <w:rPr>
          <w:rFonts w:ascii="宋体" w:hAnsi="宋体" w:cs="宋体" w:eastAsia="宋体" w:hint="default"/>
        </w:rPr>
        <w:t>4   </w:t>
      </w:r>
      <w:r>
        <w:rPr/>
        <w:t>商业金融组合</w:t>
      </w:r>
    </w:p>
    <w:p>
      <w:pPr>
        <w:pStyle w:val="BodyText"/>
        <w:tabs>
          <w:tab w:pos="1222" w:val="left" w:leader="none"/>
        </w:tabs>
        <w:spacing w:line="240" w:lineRule="auto" w:before="23"/>
        <w:ind w:left="501" w:right="0"/>
        <w:jc w:val="left"/>
      </w:pPr>
      <w:r>
        <w:rPr/>
        <w:t>组合</w:t>
      </w:r>
      <w:r>
        <w:rPr>
          <w:rFonts w:ascii="宋体" w:hAnsi="宋体" w:cs="宋体" w:eastAsia="宋体" w:hint="default"/>
        </w:rPr>
        <w:t>5</w:t>
        <w:tab/>
      </w:r>
      <w:r>
        <w:rPr/>
        <w:t>保证金组合</w:t>
      </w:r>
    </w:p>
    <w:p>
      <w:pPr>
        <w:pStyle w:val="BodyText"/>
        <w:tabs>
          <w:tab w:pos="1222" w:val="left" w:leader="none"/>
        </w:tabs>
        <w:spacing w:line="314" w:lineRule="auto" w:before="80"/>
        <w:ind w:left="501" w:right="7166"/>
        <w:jc w:val="left"/>
      </w:pPr>
      <w:r>
        <w:rPr/>
        <w:t>组合</w:t>
      </w:r>
      <w:r>
        <w:rPr>
          <w:rFonts w:ascii="宋体" w:hAnsi="宋体" w:cs="宋体" w:eastAsia="宋体" w:hint="default"/>
        </w:rPr>
        <w:t>6</w:t>
        <w:tab/>
      </w:r>
      <w:r>
        <w:rPr/>
        <w:t>集团内部备用金、垫款组合 组合</w:t>
      </w:r>
      <w:r>
        <w:rPr>
          <w:rFonts w:ascii="宋体" w:hAnsi="宋体" w:cs="宋体" w:eastAsia="宋体" w:hint="default"/>
        </w:rPr>
        <w:t>7</w:t>
        <w:tab/>
      </w:r>
      <w:r>
        <w:rPr/>
        <w:t>第三方支付平台及其备付金组合 组合</w:t>
      </w:r>
      <w:r>
        <w:rPr>
          <w:rFonts w:ascii="宋体" w:hAnsi="宋体" w:cs="宋体" w:eastAsia="宋体" w:hint="default"/>
        </w:rPr>
        <w:t>8</w:t>
        <w:tab/>
      </w:r>
      <w:r>
        <w:rPr/>
        <w:t>其他往来组合</w:t>
      </w:r>
    </w:p>
    <w:p>
      <w:pPr>
        <w:pStyle w:val="BodyText"/>
        <w:tabs>
          <w:tab w:pos="1222" w:val="left" w:leader="none"/>
        </w:tabs>
        <w:spacing w:line="321" w:lineRule="auto" w:before="23"/>
        <w:ind w:left="501" w:right="8606"/>
        <w:jc w:val="left"/>
      </w:pPr>
      <w:r>
        <w:rPr/>
        <w:t>组合</w:t>
      </w:r>
      <w:r>
        <w:rPr>
          <w:rFonts w:ascii="宋体" w:hAnsi="宋体" w:cs="宋体" w:eastAsia="宋体" w:hint="default"/>
        </w:rPr>
        <w:t>9</w:t>
        <w:tab/>
      </w:r>
      <w:r>
        <w:rPr/>
        <w:t>消费金融组合 组合</w:t>
      </w:r>
      <w:r>
        <w:rPr>
          <w:rFonts w:ascii="宋体" w:hAnsi="宋体" w:cs="宋体" w:eastAsia="宋体" w:hint="default"/>
        </w:rPr>
        <w:t>10  </w:t>
      </w:r>
      <w:r>
        <w:rPr/>
        <w:t>汽车金融组合</w:t>
      </w:r>
    </w:p>
    <w:p>
      <w:pPr>
        <w:spacing w:line="240" w:lineRule="auto" w:before="7"/>
        <w:rPr>
          <w:rFonts w:ascii="宋体" w:hAnsi="宋体" w:cs="宋体" w:eastAsia="宋体" w:hint="default"/>
          <w:sz w:val="25"/>
          <w:szCs w:val="25"/>
        </w:rPr>
      </w:pPr>
    </w:p>
    <w:p>
      <w:pPr>
        <w:pStyle w:val="BodyText"/>
        <w:spacing w:line="307" w:lineRule="auto" w:before="0"/>
        <w:ind w:left="501" w:right="1133"/>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 </w:t>
      </w:r>
      <w:r>
        <w:rPr>
          <w:spacing w:val="-2"/>
        </w:rPr>
        <w:t>除以公允价值计量且其变动计入当期损益的金融资产外，本公司于资产负债表日对金融资产的账面价值进行检查，如果</w:t>
      </w:r>
    </w:p>
    <w:p>
      <w:pPr>
        <w:pStyle w:val="BodyText"/>
        <w:spacing w:line="240" w:lineRule="auto" w:before="29"/>
        <w:ind w:right="0"/>
        <w:jc w:val="left"/>
      </w:pPr>
      <w:r>
        <w:rPr/>
        <w:t>有客观证据表明某项金融资产发生减值的，计提减值准备。</w:t>
      </w:r>
    </w:p>
    <w:p>
      <w:pPr>
        <w:pStyle w:val="BodyText"/>
        <w:spacing w:line="321" w:lineRule="auto" w:before="80"/>
        <w:ind w:left="501" w:right="1133"/>
        <w:jc w:val="left"/>
      </w:pPr>
      <w:r>
        <w:rPr/>
        <w:t>（</w:t>
      </w:r>
      <w:r>
        <w:rPr>
          <w:rFonts w:ascii="宋体" w:hAnsi="宋体" w:cs="宋体" w:eastAsia="宋体" w:hint="default"/>
        </w:rPr>
        <w:t>1</w:t>
      </w:r>
      <w:r>
        <w:rPr/>
        <w:t>）可供出售金融资产的减值准备： </w:t>
      </w:r>
      <w:r>
        <w:rPr>
          <w:spacing w:val="-2"/>
        </w:rPr>
        <w:t>期末如果可供出售权益工具投资的公允价值发生严重下降，或在综合考虑各种相关因素后，预期这种下降趋势属于非暂</w:t>
      </w:r>
    </w:p>
    <w:p>
      <w:pPr>
        <w:pStyle w:val="BodyText"/>
        <w:spacing w:line="304" w:lineRule="auto" w:before="19"/>
        <w:ind w:left="501" w:right="0" w:hanging="361"/>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21" w:lineRule="auto" w:before="31"/>
        <w:ind w:left="501" w:right="5709" w:hanging="361"/>
        <w:jc w:val="left"/>
      </w:pPr>
      <w:r>
        <w:rPr/>
        <w:t>事项有关的，原确认的减值损失予以转回，计入当期损益。 可供出售权益工具投资发生的减值损失，不通过损益转回。</w:t>
      </w:r>
    </w:p>
    <w:p>
      <w:pPr>
        <w:pStyle w:val="BodyText"/>
        <w:spacing w:line="321" w:lineRule="auto" w:before="19"/>
        <w:ind w:right="1131" w:firstLine="360"/>
        <w:jc w:val="both"/>
      </w:pPr>
      <w:r>
        <w:rPr>
          <w:spacing w:val="-2"/>
        </w:rPr>
        <w:t>本公司对可供出售权益工具投资减值的认定标准为：期末如果可供出售金融资产的公允价值发生严重下降，或在综合考</w:t>
      </w:r>
      <w:r>
        <w:rPr/>
        <w:t> 虑各种相关因素后，预期这种下降趋势属于非暂时性的，就认定其已发生减值。</w:t>
      </w:r>
    </w:p>
    <w:p>
      <w:pPr>
        <w:pStyle w:val="BodyText"/>
        <w:spacing w:line="321" w:lineRule="auto" w:before="3"/>
        <w:ind w:left="501" w:right="0"/>
        <w:jc w:val="left"/>
      </w:pPr>
      <w:r>
        <w:rPr/>
        <w:t>本公司对可供出售权益工具投资的公允价值下跌“严重”的标准为：降幅累计超过</w:t>
      </w:r>
      <w:r>
        <w:rPr>
          <w:rFonts w:ascii="宋体" w:hAnsi="宋体" w:cs="宋体" w:eastAsia="宋体" w:hint="default"/>
        </w:rPr>
        <w:t>50%</w:t>
      </w:r>
      <w:r>
        <w:rPr/>
        <w:t>；</w:t>
      </w:r>
      <w:r>
        <w:rPr>
          <w:spacing w:val="-85"/>
        </w:rPr>
        <w:t> </w:t>
      </w:r>
      <w:r>
        <w:rPr>
          <w:spacing w:val="-2"/>
        </w:rPr>
        <w:t>公允价值下跌“非暂时性”的标准为：公允价值持续低于其成本超过一年；投资成本的计算方法为：取得可供出售权益</w:t>
      </w:r>
    </w:p>
    <w:p>
      <w:pPr>
        <w:pStyle w:val="BodyText"/>
        <w:spacing w:line="240" w:lineRule="auto" w:before="18"/>
        <w:ind w:right="0"/>
        <w:jc w:val="left"/>
      </w:pPr>
      <w:r>
        <w:rPr/>
        <w:t>工具对价及相关税费；持续下跌期间的确定依据为：自下跌幅度超过投资成本的</w:t>
      </w:r>
      <w:r>
        <w:rPr>
          <w:rFonts w:ascii="宋体" w:hAnsi="宋体" w:cs="宋体" w:eastAsia="宋体" w:hint="default"/>
        </w:rPr>
        <w:t>50%</w:t>
      </w:r>
      <w:r>
        <w:rPr/>
        <w:t>时计算。</w:t>
      </w:r>
    </w:p>
    <w:p>
      <w:pPr>
        <w:spacing w:line="240" w:lineRule="auto" w:before="0"/>
        <w:rPr>
          <w:rFonts w:ascii="宋体" w:hAnsi="宋体" w:cs="宋体" w:eastAsia="宋体" w:hint="default"/>
          <w:sz w:val="18"/>
          <w:szCs w:val="18"/>
        </w:rPr>
      </w:pPr>
    </w:p>
    <w:p>
      <w:pPr>
        <w:pStyle w:val="BodyText"/>
        <w:spacing w:line="240" w:lineRule="auto" w:before="159"/>
        <w:ind w:left="501" w:right="0"/>
        <w:jc w:val="left"/>
      </w:pPr>
      <w:r>
        <w:rPr/>
        <w:t>（</w:t>
      </w:r>
      <w:r>
        <w:rPr>
          <w:rFonts w:ascii="宋体" w:hAnsi="宋体" w:cs="宋体" w:eastAsia="宋体" w:hint="default"/>
        </w:rPr>
        <w:t>2</w:t>
      </w:r>
      <w:r>
        <w:rPr/>
        <w:t>）应收款项坏账准备：</w:t>
      </w:r>
    </w:p>
    <w:p>
      <w:pPr>
        <w:pStyle w:val="BodyText"/>
        <w:spacing w:line="240" w:lineRule="auto" w:before="65"/>
        <w:ind w:left="501" w:right="0"/>
        <w:jc w:val="left"/>
      </w:pPr>
      <w:r>
        <w:rPr/>
        <w:t>①单项金额重大并单独计提坏账准备的应收款项：</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4085"/>
        <w:gridCol w:w="5587"/>
      </w:tblGrid>
      <w:tr>
        <w:trPr>
          <w:trHeight w:val="97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8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7"/>
              <w:jc w:val="both"/>
              <w:rPr>
                <w:rFonts w:ascii="宋体" w:hAnsi="宋体" w:cs="宋体" w:eastAsia="宋体" w:hint="default"/>
                <w:sz w:val="18"/>
                <w:szCs w:val="18"/>
              </w:rPr>
            </w:pPr>
            <w:r>
              <w:rPr>
                <w:rFonts w:ascii="宋体" w:hAnsi="宋体" w:cs="宋体" w:eastAsia="宋体" w:hint="default"/>
                <w:spacing w:val="-2"/>
                <w:sz w:val="18"/>
                <w:szCs w:val="18"/>
              </w:rPr>
              <w:t>对于单项金额重大的应收款项（单项金额在</w:t>
            </w:r>
            <w:r>
              <w:rPr>
                <w:rFonts w:ascii="Times New Roman" w:hAnsi="Times New Roman" w:cs="Times New Roman" w:eastAsia="Times New Roman" w:hint="default"/>
                <w:spacing w:val="-2"/>
                <w:sz w:val="18"/>
                <w:szCs w:val="18"/>
              </w:rPr>
              <w:t>500</w:t>
            </w:r>
            <w:r>
              <w:rPr>
                <w:rFonts w:ascii="宋体" w:hAnsi="宋体" w:cs="宋体" w:eastAsia="宋体" w:hint="default"/>
                <w:spacing w:val="-2"/>
                <w:sz w:val="18"/>
                <w:szCs w:val="18"/>
              </w:rPr>
              <w:t>万元以上，含</w:t>
            </w:r>
            <w:r>
              <w:rPr>
                <w:rFonts w:ascii="Times New Roman" w:hAnsi="Times New Roman" w:cs="Times New Roman" w:eastAsia="Times New Roman" w:hint="default"/>
                <w:spacing w:val="-2"/>
                <w:sz w:val="18"/>
                <w:szCs w:val="18"/>
              </w:rPr>
              <w:t>500</w:t>
            </w:r>
            <w:r>
              <w:rPr>
                <w:rFonts w:ascii="宋体" w:hAnsi="宋体" w:cs="宋体" w:eastAsia="宋体" w:hint="default"/>
                <w:spacing w:val="-2"/>
                <w:sz w:val="18"/>
                <w:szCs w:val="18"/>
              </w:rPr>
              <w:t>万元）</w:t>
            </w:r>
            <w:r>
              <w:rPr>
                <w:rFonts w:ascii="宋体" w:hAnsi="宋体" w:cs="宋体" w:eastAsia="宋体" w:hint="default"/>
                <w:spacing w:val="-79"/>
                <w:sz w:val="18"/>
                <w:szCs w:val="18"/>
              </w:rPr>
              <w:t> </w:t>
            </w:r>
            <w:r>
              <w:rPr>
                <w:rFonts w:ascii="宋体" w:hAnsi="宋体" w:cs="宋体" w:eastAsia="宋体" w:hint="default"/>
                <w:spacing w:val="5"/>
                <w:sz w:val="18"/>
                <w:szCs w:val="18"/>
              </w:rPr>
              <w:t>当存在客观证据表明本公司将无法按应收款项的原有条款收回所有款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项时，确认相应的坏账准备。</w:t>
            </w:r>
          </w:p>
        </w:tc>
      </w:tr>
      <w:tr>
        <w:trPr>
          <w:trHeight w:val="675"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58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9"/>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根据该款项预计未来现金流量现值低于其账面价值的差额，单独进行减 值测试，计提坏账准备；经单独测试未发生减值的，包括在具有类似信</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2"/>
        <w:rPr>
          <w:rFonts w:ascii="宋体" w:hAnsi="宋体" w:cs="宋体" w:eastAsia="宋体" w:hint="default"/>
          <w:sz w:val="28"/>
          <w:szCs w:val="28"/>
        </w:rPr>
      </w:pPr>
    </w:p>
    <w:p>
      <w:pPr>
        <w:spacing w:line="390" w:lineRule="exact"/>
        <w:ind w:left="11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4.35pt;height:19.5pt;mso-position-horizontal-relative:char;mso-position-vertical-relative:line" coordorigin="0,0" coordsize="9687,390">
            <v:group style="position:absolute;left:15;top:15;width:4070;height:2" coordorigin="15,15" coordsize="4070,2">
              <v:shape style="position:absolute;left:15;top:15;width:4070;height:2" coordorigin="15,15" coordsize="4070,0" path="m15,15l4085,15e" filled="false" stroked="true" strokeweight=".75pt" strokecolor="#000000">
                <v:path arrowok="t"/>
              </v:shape>
            </v:group>
            <v:group style="position:absolute;left:4100;top:15;width:5572;height:2" coordorigin="4100,15" coordsize="5572,2">
              <v:shape style="position:absolute;left:4100;top:15;width:5572;height:2" coordorigin="4100,15" coordsize="5572,0" path="m4100,15l9672,15e" filled="false" stroked="true" strokeweight=".75pt" strokecolor="#000000">
                <v:path arrowok="t"/>
              </v:shape>
            </v:group>
            <v:group style="position:absolute;left:8;top:8;width:2;height:375" coordorigin="8,8" coordsize="2,375">
              <v:shape style="position:absolute;left:8;top:8;width:2;height:375" coordorigin="8,8" coordsize="0,375" path="m8,8l8,383e" filled="false" stroked="true" strokeweight=".75pt" strokecolor="#000000">
                <v:path arrowok="t"/>
              </v:shape>
            </v:group>
            <v:group style="position:absolute;left:15;top:375;width:4070;height:2" coordorigin="15,375" coordsize="4070,2">
              <v:shape style="position:absolute;left:15;top:375;width:4070;height:2" coordorigin="15,375" coordsize="4070,0" path="m15,375l4085,375e" filled="false" stroked="true" strokeweight=".75pt" strokecolor="#000000">
                <v:path arrowok="t"/>
              </v:shape>
            </v:group>
            <v:group style="position:absolute;left:4093;top:8;width:2;height:375" coordorigin="4093,8" coordsize="2,375">
              <v:shape style="position:absolute;left:4093;top:8;width:2;height:375" coordorigin="4093,8" coordsize="0,375" path="m4093,8l4093,383e" filled="false" stroked="true" strokeweight=".75pt" strokecolor="#000000">
                <v:path arrowok="t"/>
              </v:shape>
            </v:group>
            <v:group style="position:absolute;left:4100;top:375;width:5572;height:2" coordorigin="4100,375" coordsize="5572,2">
              <v:shape style="position:absolute;left:4100;top:375;width:5572;height:2" coordorigin="4100,375" coordsize="5572,0" path="m4100,375l9672,375e" filled="false" stroked="true" strokeweight=".75pt" strokecolor="#000000">
                <v:path arrowok="t"/>
              </v:shape>
            </v:group>
            <v:group style="position:absolute;left:9679;top:8;width:2;height:375" coordorigin="9679,8" coordsize="2,375">
              <v:shape style="position:absolute;left:9679;top:8;width:2;height:375" coordorigin="9679,8" coordsize="0,375" path="m9679,8l9679,383e" filled="false" stroked="true" strokeweight=".75pt" strokecolor="#000000">
                <v:path arrowok="t"/>
              </v:shape>
              <v:shape style="position:absolute;left:4093;top:15;width:5587;height:360" type="#_x0000_t202" filled="false" stroked="false">
                <v:textbox inset="0,0,0,0">
                  <w:txbxContent>
                    <w:p>
                      <w:pPr>
                        <w:spacing w:before="22"/>
                        <w:ind w:left="7" w:right="0" w:firstLine="0"/>
                        <w:jc w:val="left"/>
                        <w:rPr>
                          <w:rFonts w:ascii="宋体" w:hAnsi="宋体" w:cs="宋体" w:eastAsia="宋体" w:hint="default"/>
                          <w:sz w:val="18"/>
                          <w:szCs w:val="18"/>
                        </w:rPr>
                      </w:pPr>
                      <w:r>
                        <w:rPr>
                          <w:rFonts w:ascii="宋体" w:hAnsi="宋体" w:cs="宋体" w:eastAsia="宋体" w:hint="default"/>
                          <w:sz w:val="18"/>
                          <w:szCs w:val="18"/>
                        </w:rPr>
                        <w:t>用风险特征的应收款项组合中计提坏账准备。</w:t>
                      </w:r>
                    </w:p>
                  </w:txbxContent>
                </v:textbox>
                <w10:wrap type="none"/>
              </v:shape>
            </v:group>
          </v:group>
        </w:pict>
      </w:r>
      <w:r>
        <w:rPr>
          <w:rFonts w:ascii="宋体" w:hAnsi="宋体" w:cs="宋体" w:eastAsia="宋体" w:hint="default"/>
          <w:position w:val="-7"/>
          <w:sz w:val="20"/>
          <w:szCs w:val="20"/>
        </w:rPr>
      </w:r>
    </w:p>
    <w:p>
      <w:pPr>
        <w:pStyle w:val="BodyText"/>
        <w:spacing w:line="228" w:lineRule="exact" w:before="0"/>
        <w:ind w:left="501" w:right="0"/>
        <w:jc w:val="left"/>
      </w:pPr>
      <w:r>
        <w:rPr/>
        <w:t>②按信用风险特征组合计提坏账准备应收款项：</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064"/>
        <w:gridCol w:w="6608"/>
      </w:tblGrid>
      <w:tr>
        <w:trPr>
          <w:trHeight w:val="345" w:hRule="exact"/>
        </w:trPr>
        <w:tc>
          <w:tcPr>
            <w:tcW w:w="9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34"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6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5"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相同账龄的应收款项具有类似的信用风险特征</w:t>
            </w:r>
          </w:p>
        </w:tc>
      </w:tr>
      <w:tr>
        <w:trPr>
          <w:trHeight w:val="346"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融资租赁及保理业务组合</w:t>
            </w:r>
          </w:p>
        </w:tc>
        <w:tc>
          <w:tcPr>
            <w:tcW w:w="6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宋体" w:hAnsi="宋体" w:cs="宋体" w:eastAsia="宋体" w:hint="default"/>
                <w:sz w:val="18"/>
                <w:szCs w:val="18"/>
              </w:rPr>
              <w:t>应收融资租赁及保理款项具有类似的信用风险特征</w:t>
            </w:r>
          </w:p>
        </w:tc>
      </w:tr>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汽车贷款组合</w:t>
            </w:r>
          </w:p>
        </w:tc>
        <w:tc>
          <w:tcPr>
            <w:tcW w:w="6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宋体" w:hAnsi="宋体" w:cs="宋体" w:eastAsia="宋体" w:hint="default"/>
                <w:sz w:val="18"/>
                <w:szCs w:val="18"/>
              </w:rPr>
              <w:t>应收汽车贷款组合具有类似的信用风险特征</w:t>
            </w:r>
          </w:p>
        </w:tc>
      </w:tr>
      <w:tr>
        <w:trPr>
          <w:trHeight w:val="36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短期消费类贷款组合</w:t>
            </w:r>
          </w:p>
        </w:tc>
        <w:tc>
          <w:tcPr>
            <w:tcW w:w="6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5" w:right="0"/>
              <w:jc w:val="left"/>
              <w:rPr>
                <w:rFonts w:ascii="宋体" w:hAnsi="宋体" w:cs="宋体" w:eastAsia="宋体" w:hint="default"/>
                <w:sz w:val="18"/>
                <w:szCs w:val="18"/>
              </w:rPr>
            </w:pPr>
            <w:r>
              <w:rPr>
                <w:rFonts w:ascii="宋体" w:hAnsi="宋体" w:cs="宋体" w:eastAsia="宋体" w:hint="default"/>
                <w:sz w:val="18"/>
                <w:szCs w:val="18"/>
              </w:rPr>
              <w:t>应收短期消费类贷款具有类似的信用风险特征</w:t>
            </w:r>
          </w:p>
        </w:tc>
      </w:tr>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信托及资管计划组合</w:t>
            </w:r>
          </w:p>
        </w:tc>
        <w:tc>
          <w:tcPr>
            <w:tcW w:w="6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宋体" w:hAnsi="宋体" w:cs="宋体" w:eastAsia="宋体" w:hint="default"/>
                <w:sz w:val="18"/>
                <w:szCs w:val="18"/>
              </w:rPr>
              <w:t>应收信托及资管计划具有类似的信用风险特征</w:t>
            </w:r>
          </w:p>
        </w:tc>
      </w:tr>
      <w:tr>
        <w:trPr>
          <w:trHeight w:val="361"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6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5" w:right="0"/>
              <w:jc w:val="left"/>
              <w:rPr>
                <w:rFonts w:ascii="宋体" w:hAnsi="宋体" w:cs="宋体" w:eastAsia="宋体" w:hint="default"/>
                <w:sz w:val="18"/>
                <w:szCs w:val="18"/>
              </w:rPr>
            </w:pPr>
            <w:r>
              <w:rPr>
                <w:rFonts w:ascii="宋体" w:hAnsi="宋体" w:cs="宋体" w:eastAsia="宋体" w:hint="default"/>
                <w:sz w:val="18"/>
                <w:szCs w:val="18"/>
              </w:rPr>
              <w:t>应收保证金款项具有类似的信用风险特征</w:t>
            </w:r>
          </w:p>
        </w:tc>
      </w:tr>
      <w:tr>
        <w:trPr>
          <w:trHeight w:val="36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6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5" w:right="0"/>
              <w:jc w:val="left"/>
              <w:rPr>
                <w:rFonts w:ascii="宋体" w:hAnsi="宋体" w:cs="宋体" w:eastAsia="宋体" w:hint="default"/>
                <w:sz w:val="18"/>
                <w:szCs w:val="18"/>
              </w:rPr>
            </w:pPr>
            <w:r>
              <w:rPr>
                <w:rFonts w:ascii="宋体" w:hAnsi="宋体" w:cs="宋体" w:eastAsia="宋体" w:hint="default"/>
                <w:sz w:val="18"/>
                <w:szCs w:val="18"/>
              </w:rPr>
              <w:t>合并报表范围内的应收款项具有类似的信用风险特征</w:t>
            </w:r>
          </w:p>
        </w:tc>
      </w:tr>
    </w:tbl>
    <w:p>
      <w:pPr>
        <w:pStyle w:val="BodyText"/>
        <w:spacing w:line="235" w:lineRule="exact" w:before="0"/>
        <w:ind w:left="501" w:right="0"/>
        <w:jc w:val="left"/>
      </w:pPr>
      <w:r>
        <w:rPr/>
        <w:t>组合中，采用账龄分析法计提坏账准备的：</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3064"/>
        <w:gridCol w:w="3064"/>
        <w:gridCol w:w="3544"/>
      </w:tblGrid>
      <w:tr>
        <w:trPr>
          <w:trHeight w:val="361"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2"/>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25</w:t>
            </w:r>
          </w:p>
        </w:tc>
      </w:tr>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50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50</w:t>
            </w:r>
          </w:p>
        </w:tc>
      </w:tr>
      <w:tr>
        <w:trPr>
          <w:trHeight w:val="36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100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0"/>
        <w:ind w:left="501" w:right="0"/>
        <w:jc w:val="left"/>
      </w:pPr>
      <w:r>
        <w:rPr/>
        <w:t>组合中，采用融资租赁及保理业务组合计提坏账准备的：</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4866"/>
        <w:gridCol w:w="4806"/>
      </w:tblGrid>
      <w:tr>
        <w:trPr>
          <w:trHeight w:val="660"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融资租赁及保理款类别</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3" w:right="0"/>
              <w:jc w:val="center"/>
              <w:rPr>
                <w:rFonts w:ascii="宋体" w:hAnsi="宋体" w:cs="宋体" w:eastAsia="宋体" w:hint="default"/>
                <w:sz w:val="18"/>
                <w:szCs w:val="18"/>
              </w:rPr>
            </w:pPr>
            <w:r>
              <w:rPr>
                <w:rFonts w:ascii="宋体" w:hAnsi="宋体" w:cs="宋体" w:eastAsia="宋体" w:hint="default"/>
                <w:sz w:val="18"/>
                <w:szCs w:val="18"/>
              </w:rPr>
              <w:t>坏账准备计提比率</w:t>
            </w:r>
          </w:p>
          <w:p>
            <w:pPr>
              <w:pStyle w:val="TableParagraph"/>
              <w:spacing w:line="240" w:lineRule="auto" w:before="95"/>
              <w:ind w:left="13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0"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w:t>
            </w:r>
          </w:p>
        </w:tc>
      </w:tr>
      <w:tr>
        <w:trPr>
          <w:trHeight w:val="361"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50</w:t>
            </w:r>
          </w:p>
        </w:tc>
      </w:tr>
      <w:tr>
        <w:trPr>
          <w:trHeight w:val="360"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3"/>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0"/>
        <w:ind w:left="501" w:right="0"/>
        <w:jc w:val="left"/>
      </w:pPr>
      <w:r>
        <w:rPr/>
        <w:t>组合中，采用汽车贷款组合计提坏账准备的：</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4866"/>
        <w:gridCol w:w="4806"/>
      </w:tblGrid>
      <w:tr>
        <w:trPr>
          <w:trHeight w:val="661"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汽车贷款组合类别</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3" w:right="0"/>
              <w:jc w:val="center"/>
              <w:rPr>
                <w:rFonts w:ascii="宋体" w:hAnsi="宋体" w:cs="宋体" w:eastAsia="宋体" w:hint="default"/>
                <w:sz w:val="18"/>
                <w:szCs w:val="18"/>
              </w:rPr>
            </w:pPr>
            <w:r>
              <w:rPr>
                <w:rFonts w:ascii="宋体" w:hAnsi="宋体" w:cs="宋体" w:eastAsia="宋体" w:hint="default"/>
                <w:sz w:val="18"/>
                <w:szCs w:val="18"/>
              </w:rPr>
              <w:t>坏账准备计提比率</w:t>
            </w:r>
          </w:p>
          <w:p>
            <w:pPr>
              <w:pStyle w:val="TableParagraph"/>
              <w:spacing w:line="240" w:lineRule="auto" w:before="80"/>
              <w:ind w:left="13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5"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282" w:right="0"/>
              <w:jc w:val="left"/>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82" w:right="0"/>
              <w:jc w:val="left"/>
              <w:rPr>
                <w:rFonts w:ascii="Times New Roman" w:hAnsi="Times New Roman" w:cs="Times New Roman" w:eastAsia="Times New Roman" w:hint="default"/>
                <w:sz w:val="18"/>
                <w:szCs w:val="18"/>
              </w:rPr>
            </w:pPr>
            <w:r>
              <w:rPr>
                <w:rFonts w:ascii="Times New Roman"/>
                <w:sz w:val="18"/>
              </w:rPr>
              <w:t>2.5</w:t>
            </w:r>
          </w:p>
        </w:tc>
      </w:tr>
      <w:tr>
        <w:trPr>
          <w:trHeight w:val="346"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97" w:right="0"/>
              <w:jc w:val="left"/>
              <w:rPr>
                <w:rFonts w:ascii="Times New Roman" w:hAnsi="Times New Roman" w:cs="Times New Roman" w:eastAsia="Times New Roman" w:hint="default"/>
                <w:sz w:val="18"/>
                <w:szCs w:val="18"/>
              </w:rPr>
            </w:pPr>
            <w:r>
              <w:rPr>
                <w:rFonts w:ascii="Times New Roman"/>
                <w:sz w:val="18"/>
              </w:rPr>
              <w:t>10</w:t>
            </w:r>
          </w:p>
        </w:tc>
      </w:tr>
      <w:tr>
        <w:trPr>
          <w:trHeight w:val="360"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97" w:right="0"/>
              <w:jc w:val="left"/>
              <w:rPr>
                <w:rFonts w:ascii="Times New Roman" w:hAnsi="Times New Roman" w:cs="Times New Roman" w:eastAsia="Times New Roman" w:hint="default"/>
                <w:sz w:val="18"/>
                <w:szCs w:val="18"/>
              </w:rPr>
            </w:pPr>
            <w:r>
              <w:rPr>
                <w:rFonts w:ascii="Times New Roman"/>
                <w:sz w:val="18"/>
              </w:rPr>
              <w:t>50</w:t>
            </w:r>
          </w:p>
        </w:tc>
      </w:tr>
      <w:tr>
        <w:trPr>
          <w:trHeight w:val="360" w:hRule="exact"/>
        </w:trPr>
        <w:tc>
          <w:tcPr>
            <w:tcW w:w="4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52" w:right="0"/>
              <w:jc w:val="lef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0"/>
        <w:ind w:left="501" w:right="0"/>
        <w:jc w:val="left"/>
      </w:pPr>
      <w:r>
        <w:rPr/>
        <w:t>组合中，采用其他方法计提坏账准备的：</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959"/>
        <w:gridCol w:w="6713"/>
      </w:tblGrid>
      <w:tr>
        <w:trPr>
          <w:trHeight w:val="36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66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短期消费类贷款组合</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30"/>
              <w:ind w:right="19"/>
              <w:jc w:val="left"/>
              <w:rPr>
                <w:rFonts w:ascii="宋体" w:hAnsi="宋体" w:cs="宋体" w:eastAsia="宋体" w:hint="default"/>
                <w:sz w:val="18"/>
                <w:szCs w:val="18"/>
              </w:rPr>
            </w:pPr>
            <w:r>
              <w:rPr>
                <w:rFonts w:ascii="宋体" w:hAnsi="宋体" w:cs="宋体" w:eastAsia="宋体" w:hint="default"/>
                <w:sz w:val="18"/>
                <w:szCs w:val="18"/>
              </w:rPr>
              <w:t>按贷款余额</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计提贷款损失准备，并按预计未来现金流量现值低于其账面价值的差 额补计提坏账准备。</w:t>
            </w:r>
          </w:p>
        </w:tc>
      </w:tr>
      <w:tr>
        <w:trPr>
          <w:trHeight w:val="661"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信托及资管计划组合</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21"/>
              <w:jc w:val="left"/>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单独进行减值测试，若有客观证据表明发生了减值，按预计未来现金流量现值低于其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账面价值的差额计提坏账准备；经单独测试未发现减值，不计提坏账准备。</w:t>
            </w:r>
          </w:p>
        </w:tc>
      </w:tr>
      <w:tr>
        <w:trPr>
          <w:trHeight w:val="67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21"/>
              <w:jc w:val="left"/>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单独进行减值测试，若有客观证据表明发生了减值，按预计未来现金流量现值低于其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账面价值的差额计提坏账准备；经单独测试未发现减值，不计提坏账准备。</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959"/>
        <w:gridCol w:w="6713"/>
      </w:tblGrid>
      <w:tr>
        <w:trPr>
          <w:trHeight w:val="67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21"/>
              <w:jc w:val="left"/>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单独进行减值测试，若有客观证据表明发生了减值，按预计未来现金流量现值低于其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账面价值的差额计提坏账准备；经单独测试未发现减值，不计提坏账准备。</w:t>
            </w:r>
          </w:p>
        </w:tc>
      </w:tr>
    </w:tbl>
    <w:p>
      <w:pPr>
        <w:pStyle w:val="BodyText"/>
        <w:spacing w:line="235" w:lineRule="exact" w:before="0"/>
        <w:ind w:left="501" w:right="0"/>
        <w:jc w:val="left"/>
      </w:pPr>
      <w:r>
        <w:rPr/>
        <w:t>③单项金额不重大但单独计提坏账准备的应收款项：</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3935"/>
        <w:gridCol w:w="5737"/>
      </w:tblGrid>
      <w:tr>
        <w:trPr>
          <w:trHeight w:val="360" w:hRule="exact"/>
        </w:trPr>
        <w:tc>
          <w:tcPr>
            <w:tcW w:w="3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75"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46"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有确凿证据表明其可收回性存在明显差异</w:t>
            </w:r>
          </w:p>
        </w:tc>
      </w:tr>
      <w:tr>
        <w:trPr>
          <w:trHeight w:val="976" w:hRule="exact"/>
        </w:trPr>
        <w:tc>
          <w:tcPr>
            <w:tcW w:w="3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7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15" w:right="4"/>
              <w:jc w:val="both"/>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单独进行减值测试，根据其未来现金流量现值低于其账面价值的差额计提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坏账准备；经单独测试未发生减值的，包括在具有类似信用风险特征的应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收款项组合中计提坏账准备。</w:t>
            </w:r>
          </w:p>
        </w:tc>
      </w:tr>
    </w:tbl>
    <w:p>
      <w:pPr>
        <w:pStyle w:val="BodyText"/>
        <w:spacing w:line="321" w:lineRule="auto" w:before="0"/>
        <w:ind w:left="501" w:right="4809"/>
        <w:jc w:val="left"/>
      </w:pPr>
      <w:r>
        <w:rPr/>
        <w:t>（</w:t>
      </w:r>
      <w:r>
        <w:rPr>
          <w:rFonts w:ascii="宋体" w:hAnsi="宋体" w:cs="宋体" w:eastAsia="宋体" w:hint="default"/>
        </w:rPr>
        <w:t>3</w:t>
      </w:r>
      <w:r>
        <w:rPr/>
        <w:t>）持有至到期投资的减值准备： 持有至到期投资减值损失的计量比照应收款项减值损失计量方法处理。</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11、应收票据" w:id="197"/>
      <w:bookmarkEnd w:id="197"/>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详见本附注“五、（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12、应收账款" w:id="198"/>
      <w:bookmarkEnd w:id="198"/>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501" w:right="0"/>
        <w:jc w:val="left"/>
      </w:pPr>
      <w:r>
        <w:rPr/>
        <w:t>详见本附注“五、（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13、应收款项融资" w:id="199"/>
      <w:bookmarkEnd w:id="199"/>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详见本附注“五、（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14、其他应收款" w:id="200"/>
      <w:bookmarkEnd w:id="200"/>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6069"/>
        <w:jc w:val="left"/>
      </w:pPr>
      <w:r>
        <w:rPr/>
        <w:t>其他应收款的预期信用损失的确定方法及会计处理方法 详见本附注“五、（</w:t>
      </w:r>
      <w:r>
        <w:rPr>
          <w:rFonts w:ascii="宋体" w:hAnsi="宋体" w:cs="宋体" w:eastAsia="宋体" w:hint="default"/>
        </w:rPr>
        <w:t>10</w:t>
      </w:r>
      <w:r>
        <w:rPr/>
        <w:t>）金融工具”</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5、存货" w:id="201"/>
      <w:bookmarkEnd w:id="201"/>
      <w:r>
        <w:rPr>
          <w:b w:val="0"/>
          <w:bCs w:val="0"/>
        </w:rPr>
      </w:r>
      <w:r>
        <w:rPr>
          <w:rFonts w:ascii="Times New Roman" w:hAnsi="Times New Roman" w:cs="Times New Roman" w:eastAsia="Times New Roman" w:hint="default"/>
        </w:rPr>
        <w:t>15</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5889"/>
        <w:jc w:val="left"/>
      </w:pPr>
      <w:r>
        <w:rPr>
          <w:rFonts w:ascii="宋体" w:hAnsi="宋体" w:cs="宋体" w:eastAsia="宋体" w:hint="default"/>
        </w:rPr>
        <w:t>1</w:t>
      </w:r>
      <w:r>
        <w:rPr/>
        <w:t>、存货的分类 存货分类为：原材料、周转材料、库存商品、在产品等。</w:t>
      </w:r>
    </w:p>
    <w:p>
      <w:pPr>
        <w:spacing w:line="240" w:lineRule="auto" w:before="7"/>
        <w:rPr>
          <w:rFonts w:ascii="宋体" w:hAnsi="宋体" w:cs="宋体" w:eastAsia="宋体" w:hint="default"/>
          <w:sz w:val="25"/>
          <w:szCs w:val="25"/>
        </w:rPr>
      </w:pPr>
    </w:p>
    <w:p>
      <w:pPr>
        <w:pStyle w:val="BodyText"/>
        <w:spacing w:line="304" w:lineRule="auto" w:before="0"/>
        <w:ind w:left="501" w:right="6789"/>
        <w:jc w:val="left"/>
      </w:pPr>
      <w:r>
        <w:rPr>
          <w:rFonts w:ascii="宋体" w:hAnsi="宋体" w:cs="宋体" w:eastAsia="宋体" w:hint="default"/>
        </w:rPr>
        <w:t>2</w:t>
      </w:r>
      <w:r>
        <w:rPr/>
        <w:t>、发出存货的计价方法 存货发出时按先进先出法计价。</w:t>
      </w:r>
    </w:p>
    <w:p>
      <w:pPr>
        <w:spacing w:line="240" w:lineRule="auto" w:before="6"/>
        <w:rPr>
          <w:rFonts w:ascii="宋体" w:hAnsi="宋体" w:cs="宋体" w:eastAsia="宋体" w:hint="default"/>
          <w:sz w:val="26"/>
          <w:szCs w:val="26"/>
        </w:rPr>
      </w:pPr>
    </w:p>
    <w:p>
      <w:pPr>
        <w:pStyle w:val="BodyText"/>
        <w:spacing w:line="321" w:lineRule="auto" w:before="0"/>
        <w:ind w:left="501" w:right="1133"/>
        <w:jc w:val="left"/>
      </w:pPr>
      <w:r>
        <w:rPr>
          <w:rFonts w:ascii="宋体" w:hAnsi="宋体" w:cs="宋体" w:eastAsia="宋体" w:hint="default"/>
        </w:rPr>
        <w:t>3</w:t>
      </w: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6" w:lineRule="auto" w:before="18"/>
        <w:ind w:right="1106"/>
        <w:jc w:val="both"/>
      </w:pPr>
      <w:r>
        <w:rPr>
          <w:spacing w:val="-2"/>
        </w:rPr>
        <w:t>计的销售费用和相关税费后的金额，确定其可变现净值；需要经过加工的材料存货，在正常生产经营过程中，以所生产的产</w:t>
      </w:r>
      <w:r>
        <w:rPr>
          <w:spacing w:val="-42"/>
        </w:rPr>
        <w:t> </w:t>
      </w:r>
      <w:r>
        <w:rPr>
          <w:spacing w:val="-42"/>
        </w:rPr>
      </w:r>
      <w:r>
        <w:rPr>
          <w:spacing w:val="-2"/>
        </w:rPr>
        <w:t>成品的估计售价减去至完工时估计将要发生的成本、估计的销售费用和相关税费后的金额，确定其可变现净值；为执行销售</w:t>
      </w:r>
      <w:r>
        <w:rPr>
          <w:spacing w:val="-75"/>
        </w:rPr>
        <w:t> </w:t>
      </w:r>
      <w:r>
        <w:rPr>
          <w:spacing w:val="-75"/>
        </w:rPr>
      </w:r>
      <w:r>
        <w:rPr>
          <w:spacing w:val="-2"/>
        </w:rPr>
        <w:t>合同或者劳务合同而持有的存货，其可变现净值以合同价格为基础计算，若持有存货的数量多于销售合同订购数量的，超出</w:t>
      </w:r>
      <w:r>
        <w:rPr>
          <w:spacing w:val="-75"/>
        </w:rPr>
        <w:t> </w:t>
      </w:r>
      <w:r>
        <w:rPr>
          <w:spacing w:val="-75"/>
        </w:rPr>
      </w:r>
      <w:r>
        <w:rPr/>
        <w:t>部分的存货的可变现净值以一般销售价格为基础计算。</w:t>
      </w:r>
    </w:p>
    <w:p>
      <w:pPr>
        <w:pStyle w:val="BodyText"/>
        <w:spacing w:line="314" w:lineRule="auto" w:before="22"/>
        <w:ind w:right="1102"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75"/>
        </w:rPr>
        <w:t> </w:t>
      </w:r>
      <w:r>
        <w:rPr>
          <w:spacing w:val="-75"/>
        </w:rPr>
      </w:r>
      <w:r>
        <w:rPr/>
        <w:t>货跌价准备。</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569"/>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5"/>
        <w:rPr>
          <w:rFonts w:ascii="宋体" w:hAnsi="宋体" w:cs="宋体" w:eastAsia="宋体" w:hint="default"/>
          <w:sz w:val="24"/>
          <w:szCs w:val="24"/>
        </w:rPr>
      </w:pPr>
    </w:p>
    <w:p>
      <w:pPr>
        <w:pStyle w:val="BodyText"/>
        <w:spacing w:line="321" w:lineRule="auto" w:before="0"/>
        <w:ind w:left="501" w:right="8409"/>
        <w:jc w:val="left"/>
      </w:pPr>
      <w:r>
        <w:rPr>
          <w:rFonts w:ascii="宋体" w:hAnsi="宋体" w:cs="宋体" w:eastAsia="宋体" w:hint="default"/>
        </w:rPr>
        <w:t>4</w:t>
      </w:r>
      <w:r>
        <w:rPr/>
        <w:t>、存货的盘存制度 采用永续盘存制。</w:t>
      </w:r>
    </w:p>
    <w:p>
      <w:pPr>
        <w:spacing w:line="240" w:lineRule="auto" w:before="7"/>
        <w:rPr>
          <w:rFonts w:ascii="宋体" w:hAnsi="宋体" w:cs="宋体" w:eastAsia="宋体" w:hint="default"/>
          <w:sz w:val="25"/>
          <w:szCs w:val="25"/>
        </w:rPr>
      </w:pPr>
    </w:p>
    <w:p>
      <w:pPr>
        <w:pStyle w:val="BodyText"/>
        <w:spacing w:line="240" w:lineRule="auto" w:before="0"/>
        <w:ind w:left="501" w:right="0"/>
        <w:jc w:val="left"/>
      </w:pPr>
      <w:r>
        <w:rPr>
          <w:rFonts w:ascii="宋体" w:hAnsi="宋体" w:cs="宋体" w:eastAsia="宋体" w:hint="default"/>
        </w:rPr>
        <w:t>5</w:t>
      </w:r>
      <w:r>
        <w:rPr/>
        <w:t>、低值易耗品和包装物的摊销方法</w:t>
      </w:r>
    </w:p>
    <w:p>
      <w:pPr>
        <w:pStyle w:val="BodyText"/>
        <w:spacing w:line="240" w:lineRule="auto" w:before="80"/>
        <w:ind w:left="501" w:right="0"/>
        <w:jc w:val="left"/>
      </w:pPr>
      <w:r>
        <w:rPr/>
        <w:t>（</w:t>
      </w:r>
      <w:r>
        <w:rPr>
          <w:rFonts w:ascii="宋体" w:hAnsi="宋体" w:cs="宋体" w:eastAsia="宋体" w:hint="default"/>
        </w:rPr>
        <w:t>1</w:t>
      </w:r>
      <w:r>
        <w:rPr/>
        <w:t>）低值易耗品采用一次转销法；</w:t>
      </w:r>
    </w:p>
    <w:p>
      <w:pPr>
        <w:pStyle w:val="BodyText"/>
        <w:spacing w:line="240" w:lineRule="auto" w:before="64"/>
        <w:ind w:left="501" w:right="0"/>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6、合同资产" w:id="202"/>
      <w:bookmarkEnd w:id="202"/>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7、合同成本" w:id="203"/>
      <w:bookmarkEnd w:id="203"/>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8、持有待售资产" w:id="204"/>
      <w:bookmarkEnd w:id="204"/>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本公司将同时满足下列条件的非流动资产或处置组划分为持有待售类别：</w:t>
      </w:r>
    </w:p>
    <w:p>
      <w:pPr>
        <w:pStyle w:val="BodyText"/>
        <w:spacing w:line="240" w:lineRule="auto" w:before="79"/>
        <w:ind w:left="501"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21" w:lineRule="auto" w:before="65"/>
        <w:ind w:right="1119" w:firstLine="360"/>
        <w:jc w:val="left"/>
      </w:pPr>
      <w:r>
        <w:rPr/>
        <w:t>（</w:t>
      </w:r>
      <w:r>
        <w:rPr>
          <w:rFonts w:ascii="宋体" w:hAnsi="宋体" w:cs="宋体" w:eastAsia="宋体"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19、债权投资" w:id="205"/>
      <w:bookmarkEnd w:id="205"/>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详见本附注“五、（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20、其他债权投资" w:id="206"/>
      <w:bookmarkEnd w:id="206"/>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详见本附注“五、（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1、长期应收款" w:id="207"/>
      <w:bookmarkEnd w:id="207"/>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详见本附注“五、（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2、长期股权投资" w:id="208"/>
      <w:bookmarkEnd w:id="208"/>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1133"/>
        <w:jc w:val="left"/>
      </w:pPr>
      <w:r>
        <w:rPr>
          <w:rFonts w:ascii="宋体" w:hAnsi="宋体" w:cs="宋体" w:eastAsia="宋体"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07" w:lineRule="auto" w:before="19"/>
        <w:ind w:right="1118"/>
        <w:jc w:val="left"/>
      </w:pPr>
      <w:r>
        <w:rPr>
          <w:spacing w:val="-2"/>
        </w:rPr>
        <w:t>后才能决策。本公司与其他合营方一同对被投资单位实施共同控制且对被投资单位净资产享有权利的，被投资单位为本公司</w:t>
      </w:r>
      <w:r>
        <w:rPr>
          <w:spacing w:val="-72"/>
        </w:rPr>
        <w:t> </w:t>
      </w:r>
      <w:r>
        <w:rPr>
          <w:spacing w:val="-72"/>
        </w:rPr>
      </w:r>
      <w:r>
        <w:rPr/>
        <w:t>的合营企业。</w:t>
      </w:r>
    </w:p>
    <w:p>
      <w:pPr>
        <w:pStyle w:val="BodyText"/>
        <w:spacing w:line="321" w:lineRule="auto" w:before="29"/>
        <w:ind w:right="1133"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7"/>
        <w:rPr>
          <w:rFonts w:ascii="宋体" w:hAnsi="宋体" w:cs="宋体" w:eastAsia="宋体" w:hint="default"/>
          <w:sz w:val="25"/>
          <w:szCs w:val="25"/>
        </w:rPr>
      </w:pPr>
    </w:p>
    <w:p>
      <w:pPr>
        <w:pStyle w:val="BodyText"/>
        <w:spacing w:line="240" w:lineRule="auto" w:before="0"/>
        <w:ind w:left="501" w:right="0"/>
        <w:jc w:val="left"/>
      </w:pPr>
      <w:r>
        <w:rPr>
          <w:rFonts w:ascii="宋体" w:hAnsi="宋体" w:cs="宋体" w:eastAsia="宋体" w:hint="default"/>
        </w:rPr>
        <w:t>2</w:t>
      </w:r>
      <w:r>
        <w:rPr/>
        <w:t>、初始投资成本的确定</w:t>
      </w:r>
    </w:p>
    <w:p>
      <w:pPr>
        <w:pStyle w:val="BodyText"/>
        <w:spacing w:line="321" w:lineRule="auto" w:before="64"/>
        <w:ind w:left="501" w:right="1133"/>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0"/>
        <w:jc w:val="left"/>
      </w:pPr>
      <w:r>
        <w:rPr>
          <w:spacing w:val="-2"/>
        </w:rPr>
        <w:t>合并日按照取得被合并方所有者权益在最终控制方合并财务报表中的账面价值的份额作为长期股权投资的初始投资成本。因</w:t>
      </w:r>
      <w:r>
        <w:rPr>
          <w:spacing w:val="-58"/>
        </w:rPr>
        <w:t> </w:t>
      </w:r>
      <w:r>
        <w:rPr>
          <w:spacing w:val="-58"/>
        </w:rPr>
      </w:r>
      <w:r>
        <w:rPr>
          <w:spacing w:val="-2"/>
        </w:rPr>
        <w:t>追加投资等原因能够对同一控制下的被投资单位实施控制的，在合并日根据合并后应享有被合并方净资产在最终控制方合并</w:t>
      </w:r>
      <w:r>
        <w:rPr>
          <w:spacing w:val="-58"/>
        </w:rPr>
        <w:t> </w:t>
      </w:r>
      <w:r>
        <w:rPr>
          <w:spacing w:val="-58"/>
        </w:rPr>
      </w:r>
      <w:r>
        <w:rPr>
          <w:spacing w:val="-2"/>
        </w:rPr>
        <w:t>财务报表中的账面价值的份额，确定长期股权投资的初始投资成本。合并日长期股权投资的初始投资成本，与达到合并前的</w:t>
      </w:r>
      <w:r>
        <w:rPr>
          <w:spacing w:val="-75"/>
        </w:rPr>
        <w:t> </w:t>
      </w:r>
      <w:r>
        <w:rPr>
          <w:spacing w:val="-75"/>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21" w:lineRule="auto" w:before="22"/>
        <w:ind w:right="1137"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72"/>
        </w:rPr>
        <w:t> </w:t>
      </w:r>
      <w:r>
        <w:rPr>
          <w:spacing w:val="-72"/>
        </w:rPr>
      </w:r>
      <w:r>
        <w:rPr/>
        <w:t>初始投资成本。</w:t>
      </w:r>
    </w:p>
    <w:p>
      <w:pPr>
        <w:pStyle w:val="BodyText"/>
        <w:spacing w:line="321" w:lineRule="auto" w:before="3"/>
        <w:ind w:left="501" w:right="1118"/>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在非货币性资产交换具有商业实质，且换入资产或换出资产的公允价值能够可靠计量时，以公允价值为基础计量。如换</w:t>
      </w:r>
    </w:p>
    <w:p>
      <w:pPr>
        <w:pStyle w:val="BodyText"/>
        <w:spacing w:line="316" w:lineRule="auto" w:before="19"/>
        <w:ind w:right="1136"/>
        <w:jc w:val="both"/>
      </w:pPr>
      <w:r>
        <w:rPr>
          <w:spacing w:val="-2"/>
        </w:rPr>
        <w:t>入资产和换出资产的公允价值均能可靠计量的，对于换入的长期股权投资，以换出资产的公允价值和应支付的相关税费作为</w:t>
      </w:r>
      <w:r>
        <w:rPr>
          <w:spacing w:val="-72"/>
        </w:rPr>
        <w:t> </w:t>
      </w:r>
      <w:r>
        <w:rPr>
          <w:spacing w:val="-72"/>
        </w:rPr>
      </w:r>
      <w:r>
        <w:rPr>
          <w:spacing w:val="-2"/>
        </w:rPr>
        <w:t>换入的长期股权投资的初始投资成本，除非有确凿证据表明换入资产的公允价值更加可靠。非货币性资产交换不具有商业实</w:t>
      </w:r>
      <w:r>
        <w:rPr>
          <w:spacing w:val="-72"/>
        </w:rPr>
        <w:t> </w:t>
      </w:r>
      <w:r>
        <w:rPr>
          <w:spacing w:val="-72"/>
        </w:rPr>
      </w:r>
      <w:r>
        <w:rPr>
          <w:spacing w:val="-2"/>
        </w:rPr>
        <w:t>质，或换入资产和换出资产的公允价值均不能可靠计量的，对于换入的长期股权投资，以换出资产的账面价值和应支付的相</w:t>
      </w:r>
      <w:r>
        <w:rPr>
          <w:spacing w:val="-75"/>
        </w:rPr>
        <w:t> </w:t>
      </w:r>
      <w:r>
        <w:rPr>
          <w:spacing w:val="-75"/>
        </w:rPr>
      </w:r>
      <w:r>
        <w:rPr/>
        <w:t>关税费作为换入长期股权投资的初始投资成本。</w:t>
      </w:r>
    </w:p>
    <w:p>
      <w:pPr>
        <w:pStyle w:val="BodyText"/>
        <w:spacing w:line="321" w:lineRule="auto" w:before="22"/>
        <w:ind w:right="0" w:firstLine="360"/>
        <w:jc w:val="left"/>
      </w:pPr>
      <w:r>
        <w:rPr>
          <w:spacing w:val="-2"/>
        </w:rPr>
        <w:t>通过债务重组取得的长期股权投资，以所放弃债权的公允价值和可直接归属于该资产的税金等其他成本确定其入账价值，</w:t>
      </w:r>
      <w:r>
        <w:rPr/>
        <w:t> 并将所放弃债权的公允价值与账面价值之间的差额，计入当期损益。</w:t>
      </w:r>
    </w:p>
    <w:p>
      <w:pPr>
        <w:spacing w:line="240" w:lineRule="auto" w:before="5"/>
        <w:rPr>
          <w:rFonts w:ascii="宋体" w:hAnsi="宋体" w:cs="宋体" w:eastAsia="宋体" w:hint="default"/>
          <w:sz w:val="24"/>
          <w:szCs w:val="24"/>
        </w:rPr>
      </w:pPr>
    </w:p>
    <w:p>
      <w:pPr>
        <w:pStyle w:val="BodyText"/>
        <w:spacing w:line="240" w:lineRule="auto" w:before="0"/>
        <w:ind w:left="501" w:right="0"/>
        <w:jc w:val="left"/>
      </w:pPr>
      <w:r>
        <w:rPr>
          <w:rFonts w:ascii="宋体" w:hAnsi="宋体" w:cs="宋体" w:eastAsia="宋体" w:hint="default"/>
        </w:rPr>
        <w:t>3</w:t>
      </w:r>
      <w:r>
        <w:rPr/>
        <w:t>、后续计量及损益确认方法</w:t>
      </w:r>
    </w:p>
    <w:p>
      <w:pPr>
        <w:pStyle w:val="BodyText"/>
        <w:spacing w:line="321" w:lineRule="auto" w:before="80"/>
        <w:ind w:left="501" w:right="1133"/>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8"/>
        <w:ind w:right="0"/>
        <w:jc w:val="left"/>
      </w:pPr>
      <w:r>
        <w:rPr/>
        <w:t>金股利或利润外，公司按照享有被投资单位宣告发放的现金股利或利润确认当期投资收益。</w:t>
      </w:r>
    </w:p>
    <w:p>
      <w:pPr>
        <w:pStyle w:val="BodyText"/>
        <w:spacing w:line="321" w:lineRule="auto" w:before="65"/>
        <w:ind w:left="501" w:right="1133"/>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21" w:lineRule="auto" w:before="18"/>
        <w:ind w:right="0"/>
        <w:jc w:val="left"/>
      </w:pPr>
      <w:r>
        <w:rPr>
          <w:spacing w:val="-2"/>
        </w:rPr>
        <w:t>允价值份额的差额，不调整长期股权投资的初始投资成本；初始投资成本小于投资时应享有被投资单位可辨认净资产公允价</w:t>
      </w:r>
      <w:r>
        <w:rPr>
          <w:spacing w:val="-72"/>
        </w:rPr>
        <w:t> </w:t>
      </w:r>
      <w:r>
        <w:rPr>
          <w:spacing w:val="-72"/>
        </w:rPr>
      </w:r>
      <w:r>
        <w:rPr/>
        <w:t>值份额的差额，计入当期损益。</w:t>
      </w:r>
    </w:p>
    <w:p>
      <w:pPr>
        <w:pStyle w:val="BodyText"/>
        <w:spacing w:line="316" w:lineRule="auto" w:before="19"/>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72"/>
        </w:rPr>
        <w:t> </w:t>
      </w:r>
      <w:r>
        <w:rPr>
          <w:spacing w:val="-72"/>
        </w:rPr>
      </w:r>
      <w:r>
        <w:rPr>
          <w:spacing w:val="-2"/>
        </w:rPr>
        <w:t>面价值；对于被投资单位除净损益、其他综合收益和利润分配以外所有者权益的其他变动，调整长期股权投资的账面价值并</w:t>
      </w:r>
      <w:r>
        <w:rPr>
          <w:spacing w:val="-69"/>
        </w:rPr>
        <w:t> </w:t>
      </w:r>
      <w:r>
        <w:rPr>
          <w:spacing w:val="-69"/>
        </w:rPr>
      </w:r>
      <w:r>
        <w:rPr/>
        <w:t>计入所有者权益。</w:t>
      </w:r>
    </w:p>
    <w:p>
      <w:pPr>
        <w:pStyle w:val="BodyText"/>
        <w:spacing w:line="314" w:lineRule="auto" w:before="22"/>
        <w:ind w:right="1106"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42"/>
        </w:rPr>
        <w:t> </w:t>
      </w:r>
      <w:r>
        <w:rPr>
          <w:spacing w:val="-42"/>
        </w:rPr>
      </w:r>
      <w:r>
        <w:rPr/>
        <w:t>务报表中的净利润、其他综合收益和其他所有者权益变动中归属于被投资单位的金额为基础进行核算。</w:t>
      </w:r>
    </w:p>
    <w:p>
      <w:pPr>
        <w:pStyle w:val="BodyText"/>
        <w:spacing w:line="321" w:lineRule="auto" w:before="24"/>
        <w:ind w:right="1117"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54"/>
        </w:rPr>
        <w:t> </w:t>
      </w:r>
      <w:r>
        <w:rPr>
          <w:spacing w:val="-54"/>
        </w:rPr>
      </w:r>
      <w:r>
        <w:rPr/>
        <w:t>企业之间发生投出或出售资产的交易，该资产构成业务的，按照本附注“五、</w:t>
      </w:r>
      <w:r>
        <w:rPr>
          <w:rFonts w:ascii="宋体" w:hAnsi="宋体" w:cs="宋体" w:eastAsia="宋体" w:hint="default"/>
        </w:rPr>
        <w:t>5</w:t>
      </w:r>
      <w:r>
        <w:rPr/>
        <w:t>、同一控制下和非同一控制下企业合并的会</w:t>
      </w:r>
      <w:r>
        <w:rPr>
          <w:spacing w:val="-84"/>
        </w:rPr>
        <w:t> </w:t>
      </w:r>
      <w:r>
        <w:rPr/>
        <w:t>计处理方法”和“五、</w:t>
      </w:r>
      <w:r>
        <w:rPr>
          <w:rFonts w:ascii="宋体" w:hAnsi="宋体" w:cs="宋体" w:eastAsia="宋体" w:hint="default"/>
        </w:rPr>
        <w:t>6</w:t>
      </w:r>
      <w:r>
        <w:rPr/>
        <w:t>、合并财务报表的编制方法”中披露的相关政策进行会计处理。</w:t>
      </w:r>
    </w:p>
    <w:p>
      <w:pPr>
        <w:pStyle w:val="BodyText"/>
        <w:spacing w:line="321" w:lineRule="auto" w:before="3"/>
        <w:ind w:right="1029"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42"/>
        </w:rPr>
        <w:t> </w:t>
      </w:r>
      <w:r>
        <w:rPr>
          <w:spacing w:val="-42"/>
        </w:rPr>
      </w:r>
      <w:r>
        <w:rPr/>
        <w:t>务确认预计负债，计入当期投资损失。</w:t>
      </w:r>
    </w:p>
    <w:p>
      <w:pPr>
        <w:pStyle w:val="BodyText"/>
        <w:spacing w:line="307" w:lineRule="auto" w:before="18"/>
        <w:ind w:left="501" w:right="4629"/>
        <w:jc w:val="left"/>
      </w:pPr>
      <w:r>
        <w:rPr/>
        <w:t>（</w:t>
      </w:r>
      <w:r>
        <w:rPr>
          <w:rFonts w:ascii="宋体" w:hAnsi="宋体" w:cs="宋体" w:eastAsia="宋体" w:hint="default"/>
        </w:rPr>
        <w:t>3</w:t>
      </w:r>
      <w:r>
        <w:rPr/>
        <w:t>）长期股权投资的处置 处置长期股权投资，其账面价值与实际取得价款的差额，计入当期损益。</w:t>
      </w:r>
    </w:p>
    <w:p>
      <w:pPr>
        <w:spacing w:after="0" w:line="3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29"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72"/>
        </w:rPr>
        <w:t> </w:t>
      </w:r>
      <w:r>
        <w:rPr>
          <w:spacing w:val="-72"/>
        </w:rPr>
      </w:r>
      <w:r>
        <w:rPr>
          <w:spacing w:val="-2"/>
        </w:rPr>
        <w:t>变动而确认的所有者权益，按比例结转入当期损益，由于被投资方重新计量设定受益计划净负债或净资产变动而产生的其他</w:t>
      </w:r>
      <w:r>
        <w:rPr>
          <w:spacing w:val="-72"/>
        </w:rPr>
        <w:t> </w:t>
      </w:r>
      <w:r>
        <w:rPr>
          <w:spacing w:val="-72"/>
        </w:rPr>
      </w:r>
      <w:r>
        <w:rPr/>
        <w:t>综合收益除外。</w:t>
      </w:r>
    </w:p>
    <w:p>
      <w:pPr>
        <w:pStyle w:val="BodyText"/>
        <w:spacing w:line="316" w:lineRule="auto" w:before="22"/>
        <w:ind w:right="1029"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72"/>
        </w:rPr>
        <w:t> </w:t>
      </w:r>
      <w:r>
        <w:rPr>
          <w:spacing w:val="-72"/>
        </w:rPr>
      </w:r>
      <w:r>
        <w:rPr/>
        <w:t>算而确认的其他综合收益，在终止采用权益法核算时采用与被投资单位直接处置相关资产或负债相同的基础进行会计处理。</w:t>
      </w:r>
      <w:r>
        <w:rPr>
          <w:spacing w:val="-87"/>
        </w:rPr>
        <w:t> </w:t>
      </w:r>
      <w:r>
        <w:rPr>
          <w:spacing w:val="-87"/>
        </w:rPr>
      </w:r>
      <w:r>
        <w:rPr>
          <w:spacing w:val="-2"/>
        </w:rPr>
        <w:t>因被投资方除净损益、其他综合收益和利润分配以外的其他所有者权益变动而确认的所有者权益，在终止采用权益法核算时</w:t>
      </w:r>
      <w:r>
        <w:rPr>
          <w:spacing w:val="-72"/>
        </w:rPr>
        <w:t> </w:t>
      </w:r>
      <w:r>
        <w:rPr>
          <w:spacing w:val="-72"/>
        </w:rPr>
      </w:r>
      <w:r>
        <w:rPr/>
        <w:t>全部转入当期损益。</w:t>
      </w:r>
    </w:p>
    <w:p>
      <w:pPr>
        <w:pStyle w:val="BodyText"/>
        <w:spacing w:line="321" w:lineRule="auto" w:before="22"/>
        <w:ind w:right="1126"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75"/>
        </w:rPr>
        <w:t> </w:t>
      </w:r>
      <w:r>
        <w:rPr>
          <w:spacing w:val="-75"/>
        </w:rPr>
      </w:r>
      <w:r>
        <w:rPr>
          <w:spacing w:val="-2"/>
        </w:rPr>
        <w:t>得时即采用权益法核算进行调整；剩余股权不能对被投资单位实施共同控制或施加重大影响的，改按金融工具确认和计量准</w:t>
      </w:r>
      <w:r>
        <w:rPr>
          <w:spacing w:val="-62"/>
        </w:rPr>
        <w:t> </w:t>
      </w:r>
      <w:r>
        <w:rPr>
          <w:spacing w:val="-62"/>
        </w:rPr>
      </w:r>
      <w:r>
        <w:rPr/>
        <w:t>则的有关规定进行会计处理，其在丧失控制之日的公允价值与账面价值间的差额计入当期损益。</w:t>
      </w:r>
    </w:p>
    <w:p>
      <w:pPr>
        <w:pStyle w:val="BodyText"/>
        <w:spacing w:line="321" w:lineRule="auto" w:before="3"/>
        <w:ind w:right="1137"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72"/>
        </w:rPr>
        <w:t> </w:t>
      </w:r>
      <w:r>
        <w:rPr>
          <w:spacing w:val="-72"/>
        </w:rPr>
      </w:r>
      <w:r>
        <w:rPr/>
        <w:t>股权改按金融工具确认和计量准则进行会计处理的，其他综合收益和其他所有者权益全部结转。</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3、投资性房地产" w:id="209"/>
      <w:bookmarkEnd w:id="209"/>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3"/>
        <w:rPr>
          <w:rFonts w:ascii="宋体" w:hAnsi="宋体" w:cs="宋体" w:eastAsia="宋体" w:hint="default"/>
          <w:b/>
          <w:bCs/>
          <w:sz w:val="25"/>
          <w:szCs w:val="25"/>
        </w:rPr>
      </w:pPr>
    </w:p>
    <w:p>
      <w:pPr>
        <w:pStyle w:val="BodyText"/>
        <w:spacing w:line="352" w:lineRule="auto" w:before="0"/>
        <w:ind w:left="501" w:right="8950" w:hanging="361"/>
        <w:jc w:val="left"/>
      </w:pPr>
      <w:r>
        <w:rPr/>
        <w:t>投资性房地产计量模式 成本法计量</w:t>
      </w:r>
    </w:p>
    <w:p>
      <w:pPr>
        <w:pStyle w:val="BodyText"/>
        <w:spacing w:line="350" w:lineRule="auto" w:before="40"/>
        <w:ind w:left="501" w:right="1118" w:hanging="361"/>
        <w:jc w:val="left"/>
      </w:pPr>
      <w:r>
        <w:rPr/>
        <w:t>折旧或摊销方法 </w:t>
      </w:r>
      <w:r>
        <w:rPr>
          <w:spacing w:val="-2"/>
        </w:rPr>
        <w:t>投资性房地产是指为赚取租金或资本增值，或两者兼有而持有的房地产，包括已出租的土地使用权、持有并准备增值后</w:t>
      </w:r>
    </w:p>
    <w:p>
      <w:pPr>
        <w:pStyle w:val="BodyText"/>
        <w:spacing w:line="321" w:lineRule="auto" w:before="0"/>
        <w:ind w:right="0"/>
        <w:jc w:val="left"/>
      </w:pPr>
      <w:r>
        <w:rPr>
          <w:spacing w:val="-2"/>
        </w:rPr>
        <w:t>转让的土地使用权、已出租的建筑物（含自行建造或开发活动完成后用于出租的建筑物以及正在建造或开发过程中将来用于</w:t>
      </w:r>
      <w:r>
        <w:rPr>
          <w:spacing w:val="-72"/>
        </w:rPr>
        <w:t> </w:t>
      </w:r>
      <w:r>
        <w:rPr>
          <w:spacing w:val="-72"/>
        </w:rPr>
      </w:r>
      <w:r>
        <w:rPr/>
        <w:t>出租的建筑物）。</w:t>
      </w:r>
    </w:p>
    <w:p>
      <w:pPr>
        <w:pStyle w:val="BodyText"/>
        <w:spacing w:line="321" w:lineRule="auto" w:before="3"/>
        <w:ind w:right="1121" w:firstLine="360"/>
        <w:jc w:val="both"/>
      </w:pPr>
      <w:r>
        <w:rPr>
          <w:spacing w:val="-2"/>
        </w:rPr>
        <w:t>本公司对现有投资性房地产采用成本模式计量。对按照成本模式计量的投资性房地产－出租用建筑物采用与本公司固定</w:t>
      </w:r>
      <w:r>
        <w:rPr/>
        <w:t> 资产相同的折旧政策，出租用土地使用权按与无形资产相同的摊销政策执行。</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4、固定资产" w:id="210"/>
      <w:bookmarkEnd w:id="210"/>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211"/>
      <w:bookmarkEnd w:id="21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05" w:firstLine="360"/>
        <w:jc w:val="both"/>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3"/>
        <w:ind w:left="501" w:right="0"/>
        <w:jc w:val="left"/>
      </w:pPr>
      <w:r>
        <w:rPr/>
        <w:t>（</w:t>
      </w:r>
      <w:r>
        <w:rPr>
          <w:rFonts w:ascii="宋体" w:hAnsi="宋体" w:cs="宋体" w:eastAsia="宋体" w:hint="default"/>
        </w:rPr>
        <w:t>1</w:t>
      </w:r>
      <w:r>
        <w:rPr/>
        <w:t>）与该固定资产有关的经济利益很可能流入企业；</w:t>
      </w:r>
    </w:p>
    <w:p>
      <w:pPr>
        <w:pStyle w:val="BodyText"/>
        <w:spacing w:line="240" w:lineRule="auto" w:before="79"/>
        <w:ind w:left="501" w:right="0"/>
        <w:jc w:val="left"/>
      </w:pPr>
      <w:r>
        <w:rPr/>
        <w:t>（</w:t>
      </w: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折旧方法" w:id="212"/>
      <w:bookmarkEnd w:id="21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20-50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4.75</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33.33</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321" w:lineRule="auto"/>
        <w:ind w:right="1133"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4" w:lineRule="auto" w:before="18"/>
        <w:ind w:right="1137"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72"/>
        </w:rPr>
        <w:t> </w:t>
      </w:r>
      <w:r>
        <w:rPr>
          <w:spacing w:val="-72"/>
        </w:rPr>
      </w:r>
      <w:r>
        <w:rPr/>
        <w:t>折旧。</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融资租入固定资产的认定依据、计价和折旧方法" w:id="213"/>
      <w:bookmarkEnd w:id="21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01" w:right="0"/>
        <w:jc w:val="left"/>
      </w:pPr>
      <w:r>
        <w:rPr/>
        <w:t>公司与租赁方所签订的租赁协议条款中规定了下列条件之一的，确认为融资租入资产：</w:t>
      </w:r>
    </w:p>
    <w:p>
      <w:pPr>
        <w:pStyle w:val="BodyText"/>
        <w:spacing w:line="240" w:lineRule="auto" w:before="80"/>
        <w:ind w:left="501" w:right="0"/>
        <w:jc w:val="left"/>
      </w:pPr>
      <w:r>
        <w:rPr/>
        <w:t>（</w:t>
      </w:r>
      <w:r>
        <w:rPr>
          <w:rFonts w:ascii="宋体" w:hAnsi="宋体" w:cs="宋体" w:eastAsia="宋体" w:hint="default"/>
        </w:rPr>
        <w:t>1</w:t>
      </w:r>
      <w:r>
        <w:rPr/>
        <w:t>）租赁期满后租赁资产的所有权归属于本公司；</w:t>
      </w:r>
    </w:p>
    <w:p>
      <w:pPr>
        <w:pStyle w:val="BodyText"/>
        <w:spacing w:line="240" w:lineRule="auto" w:before="64"/>
        <w:ind w:left="501" w:right="0"/>
        <w:jc w:val="left"/>
      </w:pPr>
      <w:r>
        <w:rPr/>
        <w:t>（</w:t>
      </w:r>
      <w:r>
        <w:rPr>
          <w:rFonts w:ascii="宋体" w:hAnsi="宋体" w:cs="宋体" w:eastAsia="宋体" w:hint="default"/>
        </w:rPr>
        <w:t>2</w:t>
      </w:r>
      <w:r>
        <w:rPr/>
        <w:t>）公司具有购买资产的选择权，购买价款远低于行使选择权时该资产的公允价值；</w:t>
      </w:r>
    </w:p>
    <w:p>
      <w:pPr>
        <w:pStyle w:val="BodyText"/>
        <w:spacing w:line="240" w:lineRule="auto" w:before="80"/>
        <w:ind w:left="501" w:right="0"/>
        <w:jc w:val="left"/>
      </w:pPr>
      <w:r>
        <w:rPr/>
        <w:t>（</w:t>
      </w:r>
      <w:r>
        <w:rPr>
          <w:rFonts w:ascii="宋体" w:hAnsi="宋体" w:cs="宋体" w:eastAsia="宋体" w:hint="default"/>
        </w:rPr>
        <w:t>3</w:t>
      </w:r>
      <w:r>
        <w:rPr/>
        <w:t>）租赁期占所租赁资产使用寿命的大部分；</w:t>
      </w:r>
    </w:p>
    <w:p>
      <w:pPr>
        <w:pStyle w:val="BodyText"/>
        <w:spacing w:line="321" w:lineRule="auto" w:before="79"/>
        <w:ind w:left="501" w:right="1133"/>
        <w:jc w:val="left"/>
      </w:pPr>
      <w:r>
        <w:rPr/>
        <w:t>（</w:t>
      </w:r>
      <w:r>
        <w:rPr>
          <w:rFonts w:ascii="宋体" w:hAnsi="宋体" w:cs="宋体" w:eastAsia="宋体"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w:t>
      </w:r>
    </w:p>
    <w:p>
      <w:pPr>
        <w:pStyle w:val="BodyText"/>
        <w:spacing w:line="240" w:lineRule="auto" w:before="19"/>
        <w:ind w:right="0"/>
        <w:jc w:val="left"/>
      </w:pPr>
      <w:r>
        <w:rPr/>
        <w:t>款额作为长期应付款的入账价值，其差额作为未确认的融资费。</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5、在建工程" w:id="214"/>
      <w:bookmarkEnd w:id="214"/>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06"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42"/>
        </w:rPr>
        <w:t> </w:t>
      </w:r>
      <w:r>
        <w:rPr>
          <w:spacing w:val="-42"/>
        </w:rPr>
      </w:r>
      <w:r>
        <w:rPr>
          <w:spacing w:val="-2"/>
        </w:rPr>
        <w:t>成本等，按估计的价值转入固定资产，并按本公司固定资产折旧政策计提固定资产的折旧，待办理竣工决算后，再按实际成</w:t>
      </w:r>
      <w:r>
        <w:rPr>
          <w:spacing w:val="-42"/>
        </w:rPr>
        <w:t> </w:t>
      </w:r>
      <w:r>
        <w:rPr>
          <w:spacing w:val="-42"/>
        </w:rPr>
      </w:r>
      <w:r>
        <w:rPr/>
        <w:t>本调整原来的暂估价值，但不调整原已计提的折旧额。</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26、借款费用" w:id="215"/>
      <w:bookmarkEnd w:id="215"/>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1"/>
        <w:rPr>
          <w:rFonts w:ascii="宋体" w:hAnsi="宋体" w:cs="宋体" w:eastAsia="宋体" w:hint="default"/>
          <w:b/>
          <w:bCs/>
          <w:sz w:val="24"/>
          <w:szCs w:val="24"/>
        </w:rPr>
      </w:pPr>
    </w:p>
    <w:p>
      <w:pPr>
        <w:pStyle w:val="BodyText"/>
        <w:spacing w:line="321" w:lineRule="auto" w:before="0"/>
        <w:ind w:left="501" w:right="1029"/>
        <w:jc w:val="left"/>
      </w:pPr>
      <w:r>
        <w:rPr>
          <w:rFonts w:ascii="宋体" w:hAnsi="宋体" w:cs="宋体" w:eastAsia="宋体"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21" w:lineRule="auto" w:before="18"/>
        <w:ind w:left="501" w:right="0" w:hanging="361"/>
        <w:jc w:val="left"/>
      </w:pPr>
      <w:r>
        <w:rPr/>
        <w:t>借款费用，在发生时根据其发生额确认为费用，计入当期损益。 </w:t>
      </w:r>
      <w:r>
        <w:rPr>
          <w:spacing w:val="-2"/>
        </w:rPr>
        <w:t>符合资本化条件的资产，是指需要经过相当长时间的购建或者生产活动才能达到预定可使用或者可销售状态的固定资产、</w:t>
      </w:r>
    </w:p>
    <w:p>
      <w:pPr>
        <w:pStyle w:val="BodyText"/>
        <w:spacing w:line="321" w:lineRule="auto" w:before="3"/>
        <w:ind w:left="501" w:right="6969" w:hanging="361"/>
        <w:jc w:val="left"/>
      </w:pPr>
      <w:r>
        <w:rPr/>
        <w:t>投资性房地产和存货等资产。 借款费用同时满足下列条件时开始资本化：</w:t>
      </w:r>
    </w:p>
    <w:p>
      <w:pPr>
        <w:pStyle w:val="BodyText"/>
        <w:spacing w:line="321" w:lineRule="auto" w:before="18"/>
        <w:ind w:right="1119" w:firstLine="360"/>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8"/>
        <w:ind w:left="501" w:right="0"/>
        <w:jc w:val="left"/>
      </w:pPr>
      <w:r>
        <w:rPr/>
        <w:t>（</w:t>
      </w:r>
      <w:r>
        <w:rPr>
          <w:rFonts w:ascii="宋体" w:hAnsi="宋体" w:cs="宋体" w:eastAsia="宋体" w:hint="default"/>
        </w:rPr>
        <w:t>2</w:t>
      </w:r>
      <w:r>
        <w:rPr/>
        <w:t>）借款费用已经发生；</w:t>
      </w:r>
    </w:p>
    <w:p>
      <w:pPr>
        <w:pStyle w:val="BodyText"/>
        <w:spacing w:line="240" w:lineRule="auto" w:before="65"/>
        <w:ind w:left="501" w:right="0"/>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6" w:lineRule="auto" w:before="159"/>
        <w:ind w:left="501" w:right="1133"/>
        <w:jc w:val="left"/>
      </w:pPr>
      <w:r>
        <w:rPr>
          <w:rFonts w:ascii="宋体" w:hAnsi="宋体" w:cs="宋体" w:eastAsia="宋体"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2"/>
        <w:ind w:right="0"/>
        <w:jc w:val="left"/>
      </w:pPr>
      <w:r>
        <w:rPr/>
        <w:t>款费用资本化。</w:t>
      </w:r>
    </w:p>
    <w:p>
      <w:pPr>
        <w:spacing w:line="240" w:lineRule="auto" w:before="0"/>
        <w:rPr>
          <w:rFonts w:ascii="宋体" w:hAnsi="宋体" w:cs="宋体" w:eastAsia="宋体" w:hint="default"/>
          <w:sz w:val="18"/>
          <w:szCs w:val="18"/>
        </w:rPr>
      </w:pPr>
    </w:p>
    <w:p>
      <w:pPr>
        <w:pStyle w:val="BodyText"/>
        <w:spacing w:line="240" w:lineRule="auto" w:before="159"/>
        <w:ind w:left="501" w:right="0"/>
        <w:jc w:val="left"/>
      </w:pPr>
      <w:r>
        <w:rPr>
          <w:rFonts w:ascii="宋体" w:hAnsi="宋体" w:cs="宋体" w:eastAsia="宋体" w:hint="default"/>
        </w:rPr>
        <w:t>3</w:t>
      </w:r>
      <w:r>
        <w:rPr/>
        <w:t>、暂停资本化期间</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1" w:firstLine="360"/>
        <w:jc w:val="both"/>
      </w:pPr>
      <w:r>
        <w:rPr>
          <w:spacing w:val="-4"/>
        </w:rPr>
        <w:t>符合资本化条件的资产在购建或生产过程中发生的非正常中断、且中断时间连续超过</w:t>
      </w:r>
      <w:r>
        <w:rPr>
          <w:rFonts w:ascii="宋体" w:hAnsi="宋体" w:cs="宋体" w:eastAsia="宋体" w:hint="default"/>
          <w:spacing w:val="-4"/>
        </w:rPr>
        <w:t>3</w:t>
      </w:r>
      <w:r>
        <w:rPr>
          <w:spacing w:val="-4"/>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58"/>
        </w:rPr>
        <w:t> </w:t>
      </w:r>
      <w:r>
        <w:rPr>
          <w:spacing w:val="-58"/>
        </w:rPr>
      </w:r>
      <w:r>
        <w:rPr/>
        <w:t>化。在中断期间发生的借款费用确认为当期损益，直至资产的购建或者生产活动重新开始后借款费用继续资本化。</w:t>
      </w:r>
    </w:p>
    <w:p>
      <w:pPr>
        <w:spacing w:line="240" w:lineRule="auto" w:before="5"/>
        <w:rPr>
          <w:rFonts w:ascii="宋体" w:hAnsi="宋体" w:cs="宋体" w:eastAsia="宋体" w:hint="default"/>
          <w:sz w:val="24"/>
          <w:szCs w:val="24"/>
        </w:rPr>
      </w:pPr>
    </w:p>
    <w:p>
      <w:pPr>
        <w:pStyle w:val="BodyText"/>
        <w:spacing w:line="321" w:lineRule="auto" w:before="0"/>
        <w:ind w:left="501" w:right="1133"/>
        <w:jc w:val="left"/>
      </w:pPr>
      <w:r>
        <w:rPr>
          <w:rFonts w:ascii="宋体" w:hAnsi="宋体" w:cs="宋体" w:eastAsia="宋体"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21" w:lineRule="auto" w:before="18"/>
        <w:ind w:left="501" w:right="0" w:hanging="361"/>
        <w:jc w:val="left"/>
      </w:pPr>
      <w:r>
        <w:rPr/>
        <w:t>借款资金存入银行取得的利息收入或进行暂时性投资取得的投资收益后的金额，来确定借款费用的资本化金额。</w:t>
      </w:r>
      <w:r>
        <w:rPr>
          <w:spacing w:val="-85"/>
        </w:rPr>
        <w:t> </w:t>
      </w:r>
      <w:r>
        <w:rPr>
          <w:spacing w:val="-85"/>
        </w:rPr>
      </w:r>
      <w:r>
        <w:rPr>
          <w:spacing w:val="-2"/>
        </w:rPr>
        <w:t>对于为购建或者生产符合资本化条件的资产而占用的一般借款，根据累计资产支出超过专门借款部分的资产支出加权平</w:t>
      </w:r>
    </w:p>
    <w:p>
      <w:pPr>
        <w:pStyle w:val="BodyText"/>
        <w:spacing w:line="321" w:lineRule="auto" w:before="3"/>
        <w:ind w:right="0"/>
        <w:jc w:val="left"/>
      </w:pPr>
      <w:r>
        <w:rPr>
          <w:spacing w:val="-2"/>
        </w:rPr>
        <w:t>均数（按期初期末简单平均）乘以所占用一般借款的资本化率，计算确定一般借款应予资本化的借款费用金额。资本化率根</w:t>
      </w:r>
      <w:r>
        <w:rPr>
          <w:spacing w:val="-42"/>
        </w:rPr>
        <w:t> </w:t>
      </w:r>
      <w:r>
        <w:rPr>
          <w:spacing w:val="-42"/>
        </w:rPr>
      </w:r>
      <w:r>
        <w:rPr/>
        <w:t>据一般借款加权平均利率计算确定。</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7、生物资产" w:id="216"/>
      <w:bookmarkEnd w:id="216"/>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8、油气资产" w:id="217"/>
      <w:bookmarkEnd w:id="217"/>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9、使用权资产" w:id="218"/>
      <w:bookmarkEnd w:id="218"/>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0、无形资产" w:id="219"/>
      <w:bookmarkEnd w:id="219"/>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20"/>
      <w:bookmarkEnd w:id="22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501" w:right="0"/>
        <w:jc w:val="left"/>
      </w:pPr>
      <w:r>
        <w:rPr>
          <w:rFonts w:ascii="宋体" w:hAnsi="宋体" w:cs="宋体" w:eastAsia="宋体" w:hint="default"/>
        </w:rPr>
        <w:t>1</w:t>
      </w:r>
      <w:r>
        <w:rPr/>
        <w:t>）无形资产的计价方法</w:t>
      </w:r>
    </w:p>
    <w:p>
      <w:pPr>
        <w:pStyle w:val="BodyText"/>
        <w:spacing w:line="321" w:lineRule="auto" w:before="80"/>
        <w:ind w:left="501" w:right="0"/>
        <w:jc w:val="left"/>
      </w:pPr>
      <w:r>
        <w:rPr/>
        <w:t>①公司取得无形资产时按成本进行初始计量；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21" w:lineRule="auto" w:before="19"/>
        <w:ind w:left="501"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债务重组取得债务人用以抵债的无形资产，以所放弃债权的公允价值和可直接归属于使该资产达到预定用途所发生的税</w:t>
      </w:r>
    </w:p>
    <w:p>
      <w:pPr>
        <w:pStyle w:val="BodyText"/>
        <w:spacing w:line="321" w:lineRule="auto" w:before="3"/>
        <w:ind w:left="501" w:right="1133" w:hanging="361"/>
        <w:jc w:val="left"/>
      </w:pPr>
      <w:r>
        <w:rPr/>
        <w:t>金等其他成本确定其入账价值，并将所放弃债权的公允价值与账面价值之间的差额，计入当期损益。 </w:t>
      </w:r>
      <w:r>
        <w:rPr>
          <w:spacing w:val="-2"/>
        </w:rPr>
        <w:t>在非货币性资产交换具有商业实质，且换入资产或换出资产的公允价值能够可靠计量时，以公允价值为基础计量。如换</w:t>
      </w:r>
    </w:p>
    <w:p>
      <w:pPr>
        <w:pStyle w:val="BodyText"/>
        <w:spacing w:line="316" w:lineRule="auto" w:before="18"/>
        <w:ind w:right="1132"/>
        <w:jc w:val="both"/>
      </w:pPr>
      <w:r>
        <w:rPr>
          <w:spacing w:val="-2"/>
        </w:rPr>
        <w:t>入资产和换出资产的公允价值均能可靠计量的，对于换入的无形资产，以换出资产的公允价值和应支付的相关税费作为换入</w:t>
      </w:r>
      <w:r>
        <w:rPr>
          <w:spacing w:val="-67"/>
        </w:rPr>
        <w:t> </w:t>
      </w:r>
      <w:r>
        <w:rPr>
          <w:spacing w:val="-67"/>
        </w:rPr>
      </w:r>
      <w:r>
        <w:rPr>
          <w:spacing w:val="-2"/>
        </w:rPr>
        <w:t>的无形资产的初始投资成本，除非有确凿证据表明换入资产的公允价值更加可靠。非货币性资产交换不具有商业实质，或换</w:t>
      </w:r>
      <w:r>
        <w:rPr>
          <w:spacing w:val="-75"/>
        </w:rPr>
        <w:t> </w:t>
      </w:r>
      <w:r>
        <w:rPr>
          <w:spacing w:val="-75"/>
        </w:rPr>
      </w:r>
      <w:r>
        <w:rPr>
          <w:spacing w:val="-2"/>
        </w:rPr>
        <w:t>入资产和换出资产的公允价值均不能可靠计量的，对于换入的无形资产，以换出资产的账面价值和应支付的相关税费作为换</w:t>
      </w:r>
      <w:r>
        <w:rPr>
          <w:spacing w:val="-72"/>
        </w:rPr>
        <w:t> </w:t>
      </w:r>
      <w:r>
        <w:rPr>
          <w:spacing w:val="-72"/>
        </w:rPr>
      </w:r>
      <w:r>
        <w:rPr/>
        <w:t>入无形资产的初始投资成本。</w:t>
      </w:r>
    </w:p>
    <w:p>
      <w:pPr>
        <w:spacing w:line="240" w:lineRule="auto" w:before="10"/>
        <w:rPr>
          <w:rFonts w:ascii="宋体" w:hAnsi="宋体" w:cs="宋体" w:eastAsia="宋体" w:hint="default"/>
          <w:sz w:val="25"/>
          <w:szCs w:val="25"/>
        </w:rPr>
      </w:pPr>
    </w:p>
    <w:p>
      <w:pPr>
        <w:pStyle w:val="BodyText"/>
        <w:spacing w:line="321" w:lineRule="auto" w:before="0"/>
        <w:ind w:left="501" w:right="7149"/>
        <w:jc w:val="left"/>
      </w:pPr>
      <w:r>
        <w:rPr/>
        <w:t>②后续计量 在取得无形资产时分析判断其使用寿命。</w:t>
      </w:r>
    </w:p>
    <w:p>
      <w:pPr>
        <w:pStyle w:val="BodyText"/>
        <w:spacing w:line="307" w:lineRule="auto" w:before="18"/>
        <w:ind w:right="1137"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29"/>
        <w:ind w:left="501" w:right="0"/>
        <w:jc w:val="left"/>
      </w:pPr>
      <w:r>
        <w:rPr>
          <w:rFonts w:ascii="宋体" w:hAnsi="宋体" w:cs="宋体" w:eastAsia="宋体" w:hint="default"/>
        </w:rPr>
        <w:t>2</w:t>
      </w:r>
      <w:r>
        <w:rPr/>
        <w:t>）使用寿命有限的无形资产的使用寿命估计情况</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779"/>
        <w:gridCol w:w="1727"/>
        <w:gridCol w:w="2583"/>
        <w:gridCol w:w="2583"/>
      </w:tblGrid>
      <w:tr>
        <w:trPr>
          <w:trHeight w:val="34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15"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0"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受益期内平均摊销</w:t>
            </w:r>
          </w:p>
        </w:tc>
      </w:tr>
      <w:tr>
        <w:trPr>
          <w:trHeight w:val="34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受益期内平均摊销</w:t>
            </w:r>
          </w:p>
        </w:tc>
      </w:tr>
      <w:tr>
        <w:trPr>
          <w:trHeight w:val="360"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受益期内平均摊销</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内部研究开发支出会计政策" w:id="221"/>
      <w:bookmarkEnd w:id="22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5"/>
          <w:szCs w:val="25"/>
        </w:rPr>
      </w:pPr>
    </w:p>
    <w:p>
      <w:pPr>
        <w:pStyle w:val="BodyText"/>
        <w:spacing w:line="314" w:lineRule="auto" w:before="0"/>
        <w:ind w:left="501" w:right="2649"/>
        <w:jc w:val="left"/>
      </w:pPr>
      <w:r>
        <w:rPr>
          <w:rFonts w:ascii="宋体" w:hAnsi="宋体" w:cs="宋体" w:eastAsia="宋体" w:hint="default"/>
        </w:rPr>
        <w:t>1</w:t>
      </w: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21" w:lineRule="auto" w:before="24"/>
        <w:ind w:right="1133"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240" w:lineRule="auto" w:before="7"/>
        <w:rPr>
          <w:rFonts w:ascii="宋体" w:hAnsi="宋体" w:cs="宋体" w:eastAsia="宋体" w:hint="default"/>
          <w:sz w:val="25"/>
          <w:szCs w:val="25"/>
        </w:rPr>
      </w:pPr>
    </w:p>
    <w:p>
      <w:pPr>
        <w:pStyle w:val="BodyText"/>
        <w:spacing w:line="316" w:lineRule="auto" w:before="0"/>
        <w:ind w:left="501" w:right="5259"/>
        <w:jc w:val="left"/>
      </w:pPr>
      <w:r>
        <w:rPr>
          <w:rFonts w:ascii="宋体" w:hAnsi="宋体" w:cs="宋体" w:eastAsia="宋体" w:hint="default"/>
        </w:rPr>
        <w:t>2</w:t>
      </w:r>
      <w:r>
        <w:rPr/>
        <w:t>）开发阶段支出资本化的具体条件 同时满足下列条件的，确认为无形资产： </w:t>
      </w:r>
      <w:r>
        <w:rPr>
          <w:rFonts w:ascii="宋体" w:hAnsi="宋体" w:cs="宋体" w:eastAsia="宋体" w:hint="default"/>
        </w:rPr>
        <w:t>(1)</w:t>
      </w:r>
      <w:r>
        <w:rPr/>
        <w:t>完成该无形资产以使其能够使用或出售在技术上具有可行性； </w:t>
      </w:r>
      <w:r>
        <w:rPr>
          <w:rFonts w:ascii="宋体" w:hAnsi="宋体" w:cs="宋体" w:eastAsia="宋体" w:hint="default"/>
        </w:rPr>
        <w:t>(2)</w:t>
      </w:r>
      <w:r>
        <w:rPr/>
        <w:t>管理层具有完成该无形资产并使用或出售的意图； </w:t>
      </w:r>
      <w:r>
        <w:rPr>
          <w:rFonts w:ascii="宋体" w:hAnsi="宋体" w:cs="宋体" w:eastAsia="宋体" w:hint="default"/>
        </w:rPr>
        <w:t>(3)</w:t>
      </w:r>
      <w:r>
        <w:rPr/>
        <w:t>能够证明该无形资产将如何产生经济利益；</w:t>
      </w:r>
    </w:p>
    <w:p>
      <w:pPr>
        <w:pStyle w:val="BodyText"/>
        <w:spacing w:line="314" w:lineRule="auto" w:before="22"/>
        <w:ind w:left="501" w:right="1133"/>
        <w:jc w:val="left"/>
      </w:pPr>
      <w:r>
        <w:rPr>
          <w:rFonts w:ascii="宋体" w:hAnsi="宋体" w:cs="宋体" w:eastAsia="宋体" w:hint="default"/>
        </w:rPr>
        <w:t>(4)</w:t>
      </w:r>
      <w:r>
        <w:rPr/>
        <w:t>有足够的技术、财务资源和其他资源支持，以完成该无形资产的开发，并有能力使用或出售该无形资产； </w:t>
      </w:r>
      <w:r>
        <w:rPr>
          <w:rFonts w:ascii="宋体" w:hAnsi="宋体" w:cs="宋体" w:eastAsia="宋体" w:hint="default"/>
        </w:rPr>
        <w:t>(5)</w:t>
      </w:r>
      <w:r>
        <w:rPr/>
        <w:t>归属于该无形资产开发阶段的支出能够可靠地计量。</w:t>
      </w:r>
      <w:r>
        <w:rPr>
          <w:spacing w:val="-87"/>
        </w:rPr>
        <w:t> </w:t>
      </w:r>
      <w:r>
        <w:rPr>
          <w:spacing w:val="-87"/>
        </w:rPr>
      </w:r>
      <w:r>
        <w:rPr>
          <w:spacing w:val="-2"/>
        </w:rPr>
        <w:t>不满足上述条件的开发阶段的支出，于发生时计入当期损益。前期已计入损益的开发支出不在以后期间确认为资产。已</w:t>
      </w:r>
    </w:p>
    <w:p>
      <w:pPr>
        <w:pStyle w:val="BodyText"/>
        <w:spacing w:line="321" w:lineRule="auto" w:before="24"/>
        <w:ind w:left="501" w:right="1930" w:hanging="361"/>
        <w:jc w:val="left"/>
      </w:pPr>
      <w:r>
        <w:rPr/>
        <w:t>资本化的开发阶段的支出在资产负债表上列示为开发支出，自该项目达到预定可使用状态之日起转为无形资产。 当开发支出的可收回金额低于其账面价值时，账面价值减记至可收回金额。</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31、长期资产减值" w:id="222"/>
      <w:bookmarkEnd w:id="222"/>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0" w:firstLine="360"/>
        <w:jc w:val="left"/>
      </w:pPr>
      <w:r>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w:t>
      </w:r>
      <w:r>
        <w:rPr>
          <w:spacing w:val="-2"/>
        </w:rPr>
        <w:t>备并计入减值损失。可收回金额为资产的公允价值减去处置费用后的净额与资产预计未来现金流量的现值两者之间的较高者。</w:t>
      </w:r>
      <w:r>
        <w:rPr>
          <w:spacing w:val="-56"/>
        </w:rPr>
        <w:t> </w:t>
      </w:r>
      <w:r>
        <w:rPr>
          <w:spacing w:val="-56"/>
        </w:rPr>
      </w:r>
      <w:r>
        <w:rPr/>
        <w:t>资产减值准备按单项资产为基础计算并确认，如果难以对单项资产的可收回金额进行估计的，以该资产所属的资产组确定资</w:t>
      </w:r>
      <w:r>
        <w:rPr/>
        <w:t> 产组的可收回金额。资产组是能够独立产生现金流入的最小资产组合。</w:t>
      </w:r>
    </w:p>
    <w:p>
      <w:pPr>
        <w:pStyle w:val="BodyText"/>
        <w:spacing w:line="307" w:lineRule="auto" w:before="22"/>
        <w:ind w:left="501" w:right="1029"/>
        <w:jc w:val="left"/>
      </w:pPr>
      <w:r>
        <w:rPr/>
        <w:t>商誉、使用寿命不确定的无形资产、尚未达到可使用状态的无形资产至少在每年年度终了进行减值测试。 本公司进行商誉减值测试，对于因企业合并形成的商誉的账面价值，自购买日起按照合理的方法分摊至相关的资产组；</w:t>
      </w:r>
    </w:p>
    <w:p>
      <w:pPr>
        <w:pStyle w:val="BodyText"/>
        <w:spacing w:line="321" w:lineRule="auto" w:before="29"/>
        <w:ind w:right="0"/>
        <w:jc w:val="left"/>
      </w:pPr>
      <w:r>
        <w:rPr>
          <w:spacing w:val="-2"/>
        </w:rPr>
        <w:t>难以分摊至相关的资产组的，将其分摊至相关的资产组组合。本公司在分摊商誉的账面价值时，根据相关资产组或资产组组</w:t>
      </w:r>
      <w:r>
        <w:rPr>
          <w:spacing w:val="-75"/>
        </w:rPr>
        <w:t> </w:t>
      </w:r>
      <w:r>
        <w:rPr>
          <w:spacing w:val="-75"/>
        </w:rPr>
      </w:r>
      <w:r>
        <w:rPr/>
        <w:t>合能够从企业合并的协同效应中获得的相对受益情况进行分摊，在此基础上进行商誉减值测试。</w:t>
      </w:r>
    </w:p>
    <w:p>
      <w:pPr>
        <w:pStyle w:val="BodyText"/>
        <w:spacing w:line="316" w:lineRule="auto" w:before="18"/>
        <w:ind w:right="1029"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r>
        <w:rPr>
          <w:spacing w:val="-85"/>
        </w:rPr>
        <w:t> </w:t>
      </w:r>
      <w:r>
        <w:rPr>
          <w:spacing w:val="-85"/>
        </w:rPr>
      </w:r>
      <w:r>
        <w:rPr>
          <w:spacing w:val="-2"/>
        </w:rPr>
        <w:t>再对包含商誉的资产组或者资产组组合进行减值测试，比较这些相关资产组或者资产组组合的账面价值（包括所分摊的商誉</w:t>
      </w:r>
      <w:r>
        <w:rPr>
          <w:spacing w:val="-68"/>
        </w:rPr>
        <w:t> </w:t>
      </w:r>
      <w:r>
        <w:rPr>
          <w:spacing w:val="-68"/>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32、长期待摊费用" w:id="223"/>
      <w:bookmarkEnd w:id="223"/>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304" w:lineRule="auto" w:before="0"/>
        <w:ind w:right="0" w:firstLine="360"/>
        <w:jc w:val="left"/>
      </w:pPr>
      <w:r>
        <w:rPr>
          <w:spacing w:val="-2"/>
        </w:rPr>
        <w:t>长期待摊费用为已经发生但应由本期和以后各期负担的分摊期限在一年以上的各项费用。本公司长期待摊费用包括经营</w:t>
      </w:r>
      <w:r>
        <w:rPr/>
        <w:t> 租入固定资产改良支出。</w:t>
      </w:r>
    </w:p>
    <w:p>
      <w:pPr>
        <w:pStyle w:val="BodyText"/>
        <w:spacing w:line="321" w:lineRule="auto" w:before="31"/>
        <w:ind w:left="501" w:right="7689"/>
        <w:jc w:val="left"/>
      </w:pPr>
      <w:r>
        <w:rPr>
          <w:rFonts w:ascii="宋体" w:hAnsi="宋体" w:cs="宋体" w:eastAsia="宋体" w:hint="default"/>
        </w:rPr>
        <w:t>1</w:t>
      </w:r>
      <w:r>
        <w:rPr/>
        <w:t>、摊销方法 长期待摊费用在受益期内平均摊销 </w:t>
      </w:r>
      <w:r>
        <w:rPr>
          <w:rFonts w:ascii="宋体" w:hAnsi="宋体" w:cs="宋体" w:eastAsia="宋体" w:hint="default"/>
        </w:rPr>
        <w:t>2</w:t>
      </w:r>
      <w:r>
        <w:rPr/>
        <w:t>、摊销年限</w:t>
      </w:r>
    </w:p>
    <w:tbl>
      <w:tblPr>
        <w:tblW w:w="0" w:type="auto"/>
        <w:jc w:val="left"/>
        <w:tblInd w:w="111" w:type="dxa"/>
        <w:tblLayout w:type="fixed"/>
        <w:tblCellMar>
          <w:top w:w="0" w:type="dxa"/>
          <w:left w:w="0" w:type="dxa"/>
          <w:bottom w:w="0" w:type="dxa"/>
          <w:right w:w="0" w:type="dxa"/>
        </w:tblCellMar>
        <w:tblLook w:val="01E0"/>
      </w:tblPr>
      <w:tblGrid>
        <w:gridCol w:w="3635"/>
        <w:gridCol w:w="6037"/>
      </w:tblGrid>
      <w:tr>
        <w:trPr>
          <w:trHeight w:val="345"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摊销年限</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3635"/>
        <w:gridCol w:w="6037"/>
      </w:tblGrid>
      <w:tr>
        <w:trPr>
          <w:trHeight w:val="331" w:hRule="exact"/>
        </w:trPr>
        <w:tc>
          <w:tcPr>
            <w:tcW w:w="3635" w:type="dxa"/>
            <w:tcBorders>
              <w:top w:val="single" w:sz="6" w:space="0" w:color="000000"/>
              <w:left w:val="nil" w:sz="6" w:space="0" w:color="auto"/>
              <w:bottom w:val="single" w:sz="6" w:space="0" w:color="000000"/>
              <w:right w:val="nil" w:sz="6" w:space="0" w:color="auto"/>
            </w:tcBorders>
          </w:tcPr>
          <w:p>
            <w:pPr/>
          </w:p>
        </w:tc>
        <w:tc>
          <w:tcPr>
            <w:tcW w:w="6037" w:type="dxa"/>
            <w:tcBorders>
              <w:top w:val="single" w:sz="6" w:space="0" w:color="000000"/>
              <w:left w:val="nil" w:sz="6" w:space="0" w:color="auto"/>
              <w:bottom w:val="single" w:sz="6" w:space="0" w:color="000000"/>
              <w:right w:val="nil" w:sz="6" w:space="0" w:color="auto"/>
            </w:tcBorders>
          </w:tcPr>
          <w:p>
            <w:pPr/>
          </w:p>
        </w:tc>
      </w:tr>
      <w:tr>
        <w:trPr>
          <w:trHeight w:val="36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经营租入改良支出</w:t>
            </w:r>
          </w:p>
        </w:tc>
        <w:tc>
          <w:tcPr>
            <w:tcW w:w="6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剩余租赁期与租赁资产尚可使用年限中较短者</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before="35"/>
        <w:ind w:right="0"/>
        <w:jc w:val="left"/>
        <w:rPr>
          <w:b w:val="0"/>
          <w:bCs w:val="0"/>
        </w:rPr>
      </w:pPr>
      <w:bookmarkStart w:name="33、合同负债" w:id="224"/>
      <w:bookmarkEnd w:id="224"/>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34、职工薪酬" w:id="225"/>
      <w:bookmarkEnd w:id="225"/>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26"/>
      <w:bookmarkEnd w:id="22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1133"/>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21" w:lineRule="auto" w:before="18"/>
        <w:ind w:left="501" w:right="4629"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27"/>
      <w:bookmarkEnd w:id="22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1133"/>
        <w:jc w:val="left"/>
      </w:pP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321" w:lineRule="auto" w:before="19"/>
        <w:ind w:left="501" w:right="1119" w:hanging="361"/>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宋体" w:hAnsi="宋体" w:cs="宋体" w:eastAsia="宋体" w:hint="default"/>
        </w:rPr>
        <w:t>/</w:t>
      </w:r>
      <w:r>
        <w:rPr/>
        <w:t>企业年金</w:t>
      </w:r>
    </w:p>
    <w:p>
      <w:pPr>
        <w:pStyle w:val="BodyText"/>
        <w:spacing w:line="240" w:lineRule="auto" w:before="18"/>
        <w:ind w:right="0"/>
        <w:jc w:val="left"/>
      </w:pPr>
      <w:r>
        <w:rPr/>
        <w:t>计划</w:t>
      </w:r>
      <w:r>
        <w:rPr>
          <w:spacing w:val="-90"/>
        </w:rPr>
        <w:t>。</w:t>
      </w:r>
      <w:r>
        <w:rPr/>
        <w:t>本公司按职工工资总额的一定比例向当地社会保险机构缴</w:t>
      </w:r>
      <w:r>
        <w:rPr>
          <w:spacing w:val="6"/>
        </w:rPr>
        <w:t>费</w:t>
      </w:r>
      <w:r>
        <w:rPr>
          <w:rFonts w:ascii="宋体" w:hAnsi="宋体" w:cs="宋体" w:eastAsia="宋体" w:hint="default"/>
        </w:rPr>
        <w:t>/</w:t>
      </w:r>
      <w:r>
        <w:rPr/>
        <w:t>年金计划缴费</w:t>
      </w:r>
      <w:r>
        <w:rPr>
          <w:spacing w:val="-90"/>
        </w:rPr>
        <w:t>，</w:t>
      </w:r>
      <w:r>
        <w:rPr/>
        <w:t>相应支出计入当期损益或相关资产成本。</w:t>
      </w:r>
    </w:p>
    <w:p>
      <w:pPr>
        <w:spacing w:line="240" w:lineRule="auto" w:before="0"/>
        <w:rPr>
          <w:rFonts w:ascii="宋体" w:hAnsi="宋体" w:cs="宋体" w:eastAsia="宋体" w:hint="default"/>
          <w:sz w:val="18"/>
          <w:szCs w:val="18"/>
        </w:rPr>
      </w:pPr>
    </w:p>
    <w:p>
      <w:pPr>
        <w:pStyle w:val="BodyText"/>
        <w:spacing w:line="321" w:lineRule="auto" w:before="144"/>
        <w:ind w:left="501" w:right="0"/>
        <w:jc w:val="left"/>
      </w:pP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321" w:lineRule="auto" w:before="18"/>
        <w:ind w:left="501" w:right="1029" w:hanging="361"/>
        <w:jc w:val="left"/>
      </w:pPr>
      <w:r>
        <w:rPr/>
        <w:t>益或相关资产成本。 设定受益计划义务现值减去设定受益计划资产公允价值所形成的赤字或盈余确认为一项设定受益计划净负债或净资产。</w:t>
      </w:r>
    </w:p>
    <w:p>
      <w:pPr>
        <w:pStyle w:val="BodyText"/>
        <w:spacing w:line="321" w:lineRule="auto" w:before="3"/>
        <w:ind w:left="501" w:right="1133" w:hanging="361"/>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21" w:lineRule="auto" w:before="18"/>
        <w:ind w:left="501" w:right="0" w:hanging="361"/>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07" w:lineRule="auto" w:before="18"/>
        <w:ind w:right="0"/>
        <w:jc w:val="left"/>
      </w:pPr>
      <w:r>
        <w:rPr>
          <w:spacing w:val="-2"/>
        </w:rPr>
        <w:t>受益计划净负债或净资产所产生的变动计入其他综合收益，并且在后续会计期间不转回至损益，在原设定受益计划终止时在</w:t>
      </w:r>
      <w:r>
        <w:rPr>
          <w:spacing w:val="-72"/>
        </w:rPr>
        <w:t> </w:t>
      </w:r>
      <w:r>
        <w:rPr>
          <w:spacing w:val="-72"/>
        </w:rPr>
      </w:r>
      <w:r>
        <w:rPr/>
        <w:t>权益范围内将原计入其他综合收益的部分全部结转至未分配利润。</w:t>
      </w:r>
    </w:p>
    <w:p>
      <w:pPr>
        <w:pStyle w:val="BodyText"/>
        <w:spacing w:line="240" w:lineRule="auto" w:before="29"/>
        <w:ind w:left="501" w:right="0"/>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辞退福利的会计处理方法" w:id="228"/>
      <w:bookmarkEnd w:id="22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0"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after="0" w:line="321" w:lineRule="auto"/>
        <w:jc w:val="left"/>
        <w:sectPr>
          <w:pgSz w:w="11910" w:h="16850"/>
          <w:pgMar w:header="731" w:footer="981" w:top="1040" w:bottom="1180" w:left="1000" w:right="0"/>
        </w:sectPr>
      </w:pPr>
    </w:p>
    <w:p>
      <w:pPr>
        <w:spacing w:line="240" w:lineRule="auto" w:before="2"/>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0"/>
          <w:szCs w:val="20"/>
        </w:rPr>
      </w:pPr>
    </w:p>
    <w:p>
      <w:pPr>
        <w:pStyle w:val="Heading3"/>
        <w:spacing w:line="508" w:lineRule="auto" w:before="35"/>
        <w:ind w:right="7060"/>
        <w:jc w:val="left"/>
        <w:rPr>
          <w:b w:val="0"/>
          <w:bCs w:val="0"/>
        </w:rPr>
      </w:pPr>
      <w:bookmarkStart w:name="（4）其他长期职工福利的会计处理方法" w:id="229"/>
      <w:bookmarkEnd w:id="229"/>
      <w:r>
        <w:rPr>
          <w:b w:val="0"/>
          <w:bCs w:val="0"/>
        </w:rPr>
      </w:r>
      <w:r>
        <w:rPr/>
        <w:t>（</w:t>
      </w:r>
      <w:r>
        <w:rPr>
          <w:rFonts w:ascii="Times New Roman" w:hAnsi="Times New Roman" w:cs="Times New Roman" w:eastAsia="Times New Roman" w:hint="default"/>
        </w:rPr>
        <w:t>4</w:t>
      </w:r>
      <w:r>
        <w:rPr/>
        <w:t>）其他长期职工福利的会计处理方法</w:t>
      </w:r>
      <w:r>
        <w:rPr>
          <w:w w:val="99"/>
        </w:rPr>
        <w:t> </w:t>
      </w:r>
      <w:bookmarkStart w:name="35、租赁负债" w:id="230"/>
      <w:bookmarkEnd w:id="230"/>
      <w:r>
        <w:rPr>
          <w:w w:val="99"/>
        </w:rPr>
      </w:r>
      <w:r>
        <w:rPr>
          <w:rFonts w:ascii="Times New Roman" w:hAnsi="Times New Roman" w:cs="Times New Roman" w:eastAsia="Times New Roman" w:hint="default"/>
        </w:rPr>
        <w:t>35</w:t>
      </w:r>
      <w:r>
        <w:rPr/>
        <w:t>、租赁负债</w:t>
      </w:r>
      <w:r>
        <w:rPr>
          <w:b w:val="0"/>
          <w:bCs w:val="0"/>
        </w:rPr>
      </w:r>
    </w:p>
    <w:p>
      <w:pPr>
        <w:pStyle w:val="Heading3"/>
        <w:spacing w:line="240" w:lineRule="auto" w:before="64"/>
        <w:ind w:right="0"/>
        <w:jc w:val="both"/>
        <w:rPr>
          <w:b w:val="0"/>
          <w:bCs w:val="0"/>
        </w:rPr>
      </w:pPr>
      <w:bookmarkStart w:name="36、预计负债" w:id="231"/>
      <w:bookmarkEnd w:id="231"/>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3"/>
        <w:rPr>
          <w:rFonts w:ascii="宋体" w:hAnsi="宋体" w:cs="宋体" w:eastAsia="宋体" w:hint="default"/>
          <w:b/>
          <w:bCs/>
          <w:sz w:val="25"/>
          <w:szCs w:val="25"/>
        </w:rPr>
      </w:pPr>
    </w:p>
    <w:p>
      <w:pPr>
        <w:pStyle w:val="BodyText"/>
        <w:spacing w:line="307" w:lineRule="auto" w:before="0"/>
        <w:ind w:left="501" w:right="1569"/>
        <w:jc w:val="left"/>
      </w:pPr>
      <w:r>
        <w:rPr>
          <w:rFonts w:ascii="宋体" w:hAnsi="宋体" w:cs="宋体" w:eastAsia="宋体" w:hint="default"/>
        </w:rPr>
        <w:t>1</w:t>
      </w:r>
      <w:r>
        <w:rPr/>
        <w:t>、预计负债的确认标准 与诉讼、债务担保、亏损合同、重组事项等或有事项相关的义务同时满足下列条件时，本公司确认为预计负债：</w:t>
      </w:r>
    </w:p>
    <w:p>
      <w:pPr>
        <w:pStyle w:val="BodyText"/>
        <w:spacing w:line="240" w:lineRule="auto" w:before="29"/>
        <w:ind w:left="501" w:right="0"/>
        <w:jc w:val="left"/>
      </w:pPr>
      <w:r>
        <w:rPr/>
        <w:t>（</w:t>
      </w:r>
      <w:r>
        <w:rPr>
          <w:rFonts w:ascii="宋体" w:hAnsi="宋体" w:cs="宋体" w:eastAsia="宋体" w:hint="default"/>
        </w:rPr>
        <w:t>1</w:t>
      </w:r>
      <w:r>
        <w:rPr/>
        <w:t>）该义务是本公司承担的现时义务；</w:t>
      </w:r>
    </w:p>
    <w:p>
      <w:pPr>
        <w:pStyle w:val="BodyText"/>
        <w:spacing w:line="240" w:lineRule="auto" w:before="80"/>
        <w:ind w:left="501" w:right="0"/>
        <w:jc w:val="left"/>
      </w:pPr>
      <w:r>
        <w:rPr/>
        <w:t>（</w:t>
      </w:r>
      <w:r>
        <w:rPr>
          <w:rFonts w:ascii="宋体" w:hAnsi="宋体" w:cs="宋体" w:eastAsia="宋体" w:hint="default"/>
        </w:rPr>
        <w:t>2</w:t>
      </w:r>
      <w:r>
        <w:rPr/>
        <w:t>）履行该义务很可能导致经济利益流出本公司；</w:t>
      </w:r>
    </w:p>
    <w:p>
      <w:pPr>
        <w:pStyle w:val="BodyText"/>
        <w:spacing w:line="240" w:lineRule="auto" w:before="79"/>
        <w:ind w:left="501" w:right="0"/>
        <w:jc w:val="left"/>
      </w:pPr>
      <w:r>
        <w:rPr/>
        <w:t>（</w:t>
      </w:r>
      <w:r>
        <w:rPr>
          <w:rFonts w:ascii="宋体" w:hAnsi="宋体" w:cs="宋体" w:eastAsia="宋体"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21" w:lineRule="auto" w:before="144"/>
        <w:ind w:left="501" w:right="4269"/>
        <w:jc w:val="left"/>
      </w:pPr>
      <w:r>
        <w:rPr>
          <w:rFonts w:ascii="宋体" w:hAnsi="宋体" w:cs="宋体" w:eastAsia="宋体" w:hint="default"/>
        </w:rPr>
        <w:t>2</w:t>
      </w:r>
      <w:r>
        <w:rPr/>
        <w:t>、各类预计负债的计量方法 本公司预计负债按履行相关现时义务所需的支出的最佳估计数进行初始计量。</w:t>
      </w:r>
    </w:p>
    <w:p>
      <w:pPr>
        <w:pStyle w:val="BodyText"/>
        <w:spacing w:line="321" w:lineRule="auto" w:before="19"/>
        <w:ind w:right="1133"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04" w:lineRule="auto" w:before="18"/>
        <w:ind w:left="501"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21" w:lineRule="auto" w:before="31"/>
        <w:ind w:left="501" w:right="0" w:hanging="361"/>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21" w:lineRule="auto" w:before="18"/>
        <w:ind w:right="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21" w:lineRule="auto" w:before="3"/>
        <w:ind w:right="1029"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bookmarkStart w:name="37、股份支付" w:id="232"/>
      <w:bookmarkEnd w:id="232"/>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0" w:firstLine="360"/>
        <w:jc w:val="left"/>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pStyle w:val="BodyText"/>
        <w:spacing w:line="304" w:lineRule="auto" w:before="18"/>
        <w:ind w:left="501" w:right="0"/>
        <w:jc w:val="left"/>
      </w:pPr>
      <w:r>
        <w:rPr>
          <w:rFonts w:ascii="宋体" w:hAnsi="宋体" w:cs="宋体" w:eastAsia="宋体" w:hint="default"/>
        </w:rPr>
        <w:t>1</w:t>
      </w:r>
      <w:r>
        <w:rPr/>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319" w:lineRule="auto" w:before="31"/>
        <w:ind w:right="1121"/>
        <w:jc w:val="both"/>
      </w:pPr>
      <w:r>
        <w:rPr>
          <w:spacing w:val="-2"/>
        </w:rPr>
        <w:t>的，职工出资认购股票，股票在达到解锁条件并解锁前不得上市流通或转让；如果最终股权激励计划规定的解锁条件未能达</w:t>
      </w:r>
      <w:r>
        <w:rPr>
          <w:spacing w:val="-75"/>
        </w:rPr>
        <w:t> </w:t>
      </w:r>
      <w:r>
        <w:rPr>
          <w:spacing w:val="-75"/>
        </w:rPr>
      </w:r>
      <w:r>
        <w:rPr>
          <w:spacing w:val="-2"/>
        </w:rPr>
        <w:t>到，则本公司按照事先约定的价格回购股票。本公司取得职工认购限制性股票支付的款项时，按照取得的认股款确认股本和</w:t>
      </w:r>
      <w:r>
        <w:rPr>
          <w:spacing w:val="-75"/>
        </w:rPr>
        <w:t> </w:t>
      </w:r>
      <w:r>
        <w:rPr>
          <w:spacing w:val="-75"/>
        </w:rPr>
      </w:r>
      <w:r>
        <w:rPr>
          <w:spacing w:val="-2"/>
        </w:rPr>
        <w:t>资本公积（股本溢价），同时就回购义务全额确认一项负债并确认库存股。在等待期内每个资产负债表日，本公司根据最新</w:t>
      </w:r>
      <w:r>
        <w:rPr>
          <w:spacing w:val="-57"/>
        </w:rPr>
        <w:t> </w:t>
      </w:r>
      <w:r>
        <w:rPr>
          <w:spacing w:val="-57"/>
        </w:rPr>
      </w:r>
      <w:r>
        <w:rPr/>
        <w:t>取得的可行权职工人数变动</w:t>
      </w:r>
      <w:r>
        <w:rPr>
          <w:spacing w:val="2"/>
        </w:rPr>
        <w:t> </w:t>
      </w:r>
      <w:r>
        <w:rPr/>
        <w:t>、是否达到规定业绩条件等后续信息对可行权权益工具数量作出最佳估计，以此为基础，按照</w:t>
      </w:r>
      <w:r>
        <w:rPr/>
        <w:t> </w:t>
      </w:r>
      <w:r>
        <w:rPr>
          <w:spacing w:val="-2"/>
        </w:rPr>
        <w:t>授予日的公允价值，将当期取得的服务计入相关成本或费用，相应增加资本公积。在可行权日之后不再对已确认的相关成本</w:t>
      </w:r>
      <w:r>
        <w:rPr>
          <w:spacing w:val="-66"/>
        </w:rPr>
        <w:t> </w:t>
      </w:r>
      <w:r>
        <w:rPr>
          <w:spacing w:val="-66"/>
        </w:rPr>
      </w:r>
      <w:r>
        <w:rPr>
          <w:spacing w:val="-2"/>
        </w:rPr>
        <w:t>或费用和所有者权益总额进行调整。但授予后立即可行权的，在授予日按照公允价值计入相关成本或费用，相应增加资本公</w:t>
      </w:r>
      <w:r>
        <w:rPr>
          <w:spacing w:val="-75"/>
        </w:rPr>
        <w:t> </w:t>
      </w:r>
      <w:r>
        <w:rPr>
          <w:spacing w:val="-75"/>
        </w:rPr>
      </w:r>
      <w:r>
        <w:rPr/>
        <w:t>积。</w:t>
      </w:r>
    </w:p>
    <w:p>
      <w:pPr>
        <w:pStyle w:val="BodyText"/>
        <w:spacing w:line="321" w:lineRule="auto" w:before="20"/>
        <w:ind w:right="1133"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21" w:lineRule="auto" w:before="3"/>
        <w:ind w:right="1133"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21" w:lineRule="auto" w:before="18"/>
        <w:ind w:right="0" w:firstLine="360"/>
        <w:jc w:val="left"/>
      </w:pPr>
      <w:r>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w:t>
      </w:r>
      <w:r>
        <w:rPr>
          <w:spacing w:val="-2"/>
        </w:rPr>
        <w:t>益工具授予日认定所授予的新权益工具是用于替代被取消的权益工具的，则以与处理原权益工具条款和条件修改相同的方式，</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对所授予的替代权益工具进行处理。</w:t>
      </w:r>
    </w:p>
    <w:p>
      <w:pPr>
        <w:spacing w:line="240" w:lineRule="auto" w:before="0"/>
        <w:rPr>
          <w:rFonts w:ascii="宋体" w:hAnsi="宋体" w:cs="宋体" w:eastAsia="宋体" w:hint="default"/>
          <w:sz w:val="18"/>
          <w:szCs w:val="18"/>
        </w:rPr>
      </w:pPr>
    </w:p>
    <w:p>
      <w:pPr>
        <w:pStyle w:val="BodyText"/>
        <w:spacing w:line="307" w:lineRule="auto" w:before="159"/>
        <w:ind w:left="501" w:right="1124"/>
        <w:jc w:val="left"/>
        <w:rPr>
          <w:rFonts w:ascii="宋体" w:hAnsi="宋体" w:cs="宋体" w:eastAsia="宋体" w:hint="default"/>
        </w:rPr>
      </w:pPr>
      <w:r>
        <w:rPr>
          <w:rFonts w:ascii="宋体" w:hAnsi="宋体" w:cs="宋体" w:eastAsia="宋体" w:hint="default"/>
        </w:rPr>
        <w:t>2</w:t>
      </w:r>
      <w:r>
        <w:rPr/>
        <w:t>、以现金结算的股份支付及权益工具 </w:t>
      </w:r>
      <w:r>
        <w:rPr>
          <w:spacing w:val="-4"/>
        </w:rPr>
        <w:t>以现金结算的股份支付，按照本公司承担的以股份或其他权益工具为基础计算确定的负债的公允价值计量。初始采用</w:t>
      </w:r>
      <w:r>
        <w:rPr>
          <w:rFonts w:ascii="宋体" w:hAnsi="宋体" w:cs="宋体" w:eastAsia="宋体" w:hint="default"/>
          <w:spacing w:val="-4"/>
        </w:rPr>
        <w:t>B-S</w:t>
      </w:r>
    </w:p>
    <w:p>
      <w:pPr>
        <w:pStyle w:val="BodyText"/>
        <w:spacing w:line="321" w:lineRule="auto" w:before="29"/>
        <w:ind w:right="1106"/>
        <w:jc w:val="both"/>
      </w:pPr>
      <w:r>
        <w:rPr>
          <w:spacing w:val="-2"/>
        </w:rPr>
        <w:t>模型按照授予日的公允价值计量，并考虑授予权益工具的条款和条件。授予后立即可行权的，在授予日以承担负债的公允价</w:t>
      </w:r>
      <w:r>
        <w:rPr>
          <w:spacing w:val="-75"/>
        </w:rPr>
        <w:t> </w:t>
      </w:r>
      <w:r>
        <w:rPr>
          <w:spacing w:val="-75"/>
        </w:rPr>
      </w:r>
      <w:r>
        <w:rPr>
          <w:spacing w:val="-2"/>
        </w:rPr>
        <w:t>值计入成本或费用，相应增加负债；完成等待期内的服务或达到规定业绩条件才可行权的，在等待期内以对可行权情况的最</w:t>
      </w:r>
      <w:r>
        <w:rPr>
          <w:spacing w:val="-75"/>
        </w:rPr>
        <w:t> </w:t>
      </w:r>
      <w:r>
        <w:rPr>
          <w:spacing w:val="-75"/>
        </w:rPr>
      </w:r>
      <w:r>
        <w:rPr>
          <w:spacing w:val="-2"/>
        </w:rPr>
        <w:t>佳估计为基础，按照承担负债的公允价值，将当期取得的服务计入相关成本或费用，增加相应负债。在相关负债结算前的每</w:t>
      </w:r>
      <w:r>
        <w:rPr>
          <w:spacing w:val="-42"/>
        </w:rPr>
        <w:t> </w:t>
      </w:r>
      <w:r>
        <w:rPr>
          <w:spacing w:val="-42"/>
        </w:rPr>
      </w:r>
      <w:r>
        <w:rPr/>
        <w:t>个资产负债表日以及结算日，对负债的公允价值重新计量，其变动计入当期损益。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8、优先股、永续债等其他金融工具" w:id="233"/>
      <w:bookmarkEnd w:id="233"/>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9、收入" w:id="234"/>
      <w:bookmarkEnd w:id="234"/>
      <w:r>
        <w:rPr>
          <w:b w:val="0"/>
          <w:bCs w:val="0"/>
        </w:rPr>
      </w:r>
      <w:r>
        <w:rPr>
          <w:rFonts w:ascii="Times New Roman" w:hAnsi="Times New Roman" w:cs="Times New Roman" w:eastAsia="Times New Roman" w:hint="default"/>
        </w:rPr>
        <w:t>39</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left="501" w:right="1133" w:hanging="361"/>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2"/>
        </w:rPr>
        <w:t>收入的金额按照本公司在日常经营活动中销售商品和提供劳务时，已收或应收合同或协议价款的公允价值确定。收入按</w:t>
      </w:r>
    </w:p>
    <w:p>
      <w:pPr>
        <w:pStyle w:val="BodyText"/>
        <w:spacing w:line="321" w:lineRule="auto" w:before="0"/>
        <w:ind w:left="501" w:right="1133" w:hanging="361"/>
        <w:jc w:val="left"/>
      </w:pPr>
      <w:r>
        <w:rPr/>
        <w:t>扣除增值税、商业折扣、销售折让及销售退回的净额列示。 </w:t>
      </w:r>
      <w:r>
        <w:rPr>
          <w:spacing w:val="-2"/>
        </w:rPr>
        <w:t>与交易相关的经济利益能够流入本公司，相关的收入能够可靠计量且满足下列各项经营活动的特定收入确认标准时，确</w:t>
      </w:r>
    </w:p>
    <w:p>
      <w:pPr>
        <w:pStyle w:val="BodyText"/>
        <w:spacing w:line="321" w:lineRule="auto" w:before="18"/>
        <w:ind w:left="501" w:right="9039" w:hanging="361"/>
        <w:jc w:val="left"/>
      </w:pPr>
      <w:r>
        <w:rPr/>
        <w:t>认相关的收入。 </w:t>
      </w:r>
      <w:r>
        <w:rPr>
          <w:rFonts w:ascii="宋体" w:hAnsi="宋体" w:cs="宋体" w:eastAsia="宋体" w:hint="default"/>
        </w:rPr>
        <w:t>1</w:t>
      </w:r>
      <w:r>
        <w:rPr/>
        <w:t>、销售商品收入 一般原则：</w:t>
      </w:r>
    </w:p>
    <w:p>
      <w:pPr>
        <w:pStyle w:val="BodyText"/>
        <w:spacing w:line="321" w:lineRule="auto" w:before="3"/>
        <w:ind w:right="1126" w:firstLine="360"/>
        <w:jc w:val="both"/>
      </w:pPr>
      <w:r>
        <w:rPr>
          <w:spacing w:val="-2"/>
        </w:rPr>
        <w:t>商品销售满足以下条件时确认收入：（</w:t>
      </w:r>
      <w:r>
        <w:rPr>
          <w:rFonts w:ascii="宋体" w:hAnsi="宋体" w:cs="宋体" w:eastAsia="宋体" w:hint="default"/>
          <w:spacing w:val="-2"/>
        </w:rPr>
        <w:t>1</w:t>
      </w:r>
      <w:r>
        <w:rPr>
          <w:spacing w:val="-2"/>
        </w:rPr>
        <w:t>）在本公司已将商品所有权上的主要风险和报酬转移给购货方；（</w:t>
      </w:r>
      <w:r>
        <w:rPr>
          <w:rFonts w:ascii="宋体" w:hAnsi="宋体" w:cs="宋体" w:eastAsia="宋体" w:hint="default"/>
          <w:spacing w:val="-2"/>
        </w:rPr>
        <w:t>2</w:t>
      </w:r>
      <w:r>
        <w:rPr>
          <w:spacing w:val="-2"/>
        </w:rPr>
        <w:t>）本公司既</w:t>
      </w:r>
      <w:r>
        <w:rPr/>
        <w:t> </w:t>
      </w:r>
      <w:r>
        <w:rPr>
          <w:spacing w:val="-5"/>
        </w:rPr>
        <w:t>没有保留通常与所有权相联系的继续管理权，也没有对已售出的商品实施有效控制；（</w:t>
      </w:r>
      <w:r>
        <w:rPr>
          <w:rFonts w:ascii="宋体" w:hAnsi="宋体" w:cs="宋体" w:eastAsia="宋体" w:hint="default"/>
          <w:spacing w:val="-5"/>
        </w:rPr>
        <w:t>3</w:t>
      </w:r>
      <w:r>
        <w:rPr>
          <w:spacing w:val="-5"/>
        </w:rPr>
        <w:t>）收入的金额能够可靠地计量；（</w:t>
      </w:r>
      <w:r>
        <w:rPr>
          <w:rFonts w:ascii="宋体" w:hAnsi="宋体" w:cs="宋体" w:eastAsia="宋体" w:hint="default"/>
          <w:spacing w:val="-5"/>
        </w:rPr>
        <w:t>4</w:t>
      </w:r>
      <w:r>
        <w:rPr>
          <w:spacing w:val="-5"/>
        </w:rPr>
        <w:t>）</w:t>
      </w:r>
      <w:r>
        <w:rPr>
          <w:spacing w:val="-70"/>
        </w:rPr>
        <w:t> </w:t>
      </w:r>
      <w:r>
        <w:rPr/>
        <w:t>相关的经济利益很可能流入本公司；（</w:t>
      </w:r>
      <w:r>
        <w:rPr>
          <w:rFonts w:ascii="宋体" w:hAnsi="宋体" w:cs="宋体" w:eastAsia="宋体" w:hint="default"/>
        </w:rPr>
        <w:t>5</w:t>
      </w:r>
      <w:r>
        <w:rPr/>
        <w:t>）相关的、已发生或将发生的成本能够可靠地计量。</w:t>
      </w:r>
    </w:p>
    <w:p>
      <w:pPr>
        <w:spacing w:line="240" w:lineRule="auto" w:before="7"/>
        <w:rPr>
          <w:rFonts w:ascii="宋体" w:hAnsi="宋体" w:cs="宋体" w:eastAsia="宋体" w:hint="default"/>
          <w:sz w:val="25"/>
          <w:szCs w:val="25"/>
        </w:rPr>
      </w:pPr>
    </w:p>
    <w:p>
      <w:pPr>
        <w:pStyle w:val="BodyText"/>
        <w:spacing w:line="307" w:lineRule="auto" w:before="0"/>
        <w:ind w:left="501" w:right="4629"/>
        <w:jc w:val="left"/>
      </w:pPr>
      <w:r>
        <w:rPr/>
        <w:t>具体原则： 本公司在商品发出、收到款项或取得收款的凭据时，确认商品销售收入。</w:t>
      </w:r>
    </w:p>
    <w:p>
      <w:pPr>
        <w:spacing w:line="240" w:lineRule="auto" w:before="4"/>
        <w:rPr>
          <w:rFonts w:ascii="宋体" w:hAnsi="宋体" w:cs="宋体" w:eastAsia="宋体" w:hint="default"/>
          <w:sz w:val="26"/>
          <w:szCs w:val="26"/>
        </w:rPr>
      </w:pPr>
    </w:p>
    <w:p>
      <w:pPr>
        <w:pStyle w:val="BodyText"/>
        <w:spacing w:line="321" w:lineRule="auto" w:before="0"/>
        <w:ind w:left="501" w:right="9399"/>
        <w:jc w:val="left"/>
      </w:pPr>
      <w:r>
        <w:rPr>
          <w:rFonts w:ascii="宋体" w:hAnsi="宋体" w:cs="宋体" w:eastAsia="宋体" w:hint="default"/>
        </w:rPr>
        <w:t>2</w:t>
      </w:r>
      <w:r>
        <w:rPr/>
        <w:t>、提供劳务 一般原则：</w:t>
      </w:r>
    </w:p>
    <w:p>
      <w:pPr>
        <w:pStyle w:val="BodyText"/>
        <w:spacing w:line="316" w:lineRule="auto" w:before="18"/>
        <w:ind w:right="1137" w:firstLine="360"/>
        <w:jc w:val="both"/>
      </w:pPr>
      <w:r>
        <w:rPr>
          <w:spacing w:val="-6"/>
        </w:rPr>
        <w:t>提供的劳务在同一会计年度开始并完成的，在劳务已经提供，收到价款或取得收取价款的证据时，确认营业收入的实现；</w:t>
      </w:r>
      <w:r>
        <w:rPr/>
        <w:t> </w:t>
      </w:r>
      <w:r>
        <w:rPr>
          <w:spacing w:val="-2"/>
        </w:rPr>
        <w:t>劳务的开始和完成分属不同会计年度的，在劳务合同的总收入、劳务的完成程度能够可靠地确定，与交易相关的价款能够流</w:t>
      </w:r>
      <w:r>
        <w:rPr>
          <w:spacing w:val="-75"/>
        </w:rPr>
        <w:t> </w:t>
      </w:r>
      <w:r>
        <w:rPr>
          <w:spacing w:val="-75"/>
        </w:rPr>
      </w:r>
      <w:r>
        <w:rPr>
          <w:spacing w:val="-2"/>
        </w:rPr>
        <w:t>入，已经发生的成本和为完成劳务将要发生的成本能够可靠地计量时，按完工百分比法确认营业收入的实现；长期合同工程</w:t>
      </w:r>
      <w:r>
        <w:rPr>
          <w:spacing w:val="-75"/>
        </w:rPr>
        <w:t> </w:t>
      </w:r>
      <w:r>
        <w:rPr>
          <w:spacing w:val="-75"/>
        </w:rPr>
      </w:r>
      <w:r>
        <w:rPr/>
        <w:t>在合同结果已经能够合理地预见时，按结账时已完成工程进度的百分比法确认营业收入的实现。</w:t>
      </w:r>
    </w:p>
    <w:p>
      <w:pPr>
        <w:spacing w:line="240" w:lineRule="auto" w:before="10"/>
        <w:rPr>
          <w:rFonts w:ascii="宋体" w:hAnsi="宋体" w:cs="宋体" w:eastAsia="宋体" w:hint="default"/>
          <w:sz w:val="25"/>
          <w:szCs w:val="25"/>
        </w:rPr>
      </w:pPr>
    </w:p>
    <w:p>
      <w:pPr>
        <w:pStyle w:val="BodyText"/>
        <w:spacing w:line="240" w:lineRule="auto" w:before="0"/>
        <w:ind w:left="501" w:right="0"/>
        <w:jc w:val="left"/>
      </w:pPr>
      <w:r>
        <w:rPr/>
        <w:t>具体原则：</w:t>
      </w:r>
    </w:p>
    <w:p>
      <w:pPr>
        <w:pStyle w:val="BodyText"/>
        <w:spacing w:line="240" w:lineRule="auto" w:before="64"/>
        <w:ind w:left="501" w:right="0"/>
        <w:jc w:val="left"/>
      </w:pPr>
      <w:r>
        <w:rPr/>
        <w:t>（</w:t>
      </w:r>
      <w:r>
        <w:rPr>
          <w:rFonts w:ascii="宋体" w:hAnsi="宋体" w:cs="宋体" w:eastAsia="宋体" w:hint="default"/>
        </w:rPr>
        <w:t>1</w:t>
      </w:r>
      <w:r>
        <w:rPr/>
        <w:t>）搜索引擎收入指公司向用户推广客户的搜索引擎取得的收入。搜索引擎收入按与客户确认推广效果确认收入。</w:t>
      </w:r>
    </w:p>
    <w:p>
      <w:pPr>
        <w:pStyle w:val="BodyText"/>
        <w:spacing w:line="321" w:lineRule="auto" w:before="80"/>
        <w:ind w:right="1130" w:firstLine="360"/>
        <w:jc w:val="both"/>
      </w:pPr>
      <w:r>
        <w:rPr>
          <w:spacing w:val="-2"/>
        </w:rPr>
        <w:t>（</w:t>
      </w:r>
      <w:r>
        <w:rPr>
          <w:rFonts w:ascii="宋体" w:hAnsi="宋体" w:cs="宋体" w:eastAsia="宋体" w:hint="default"/>
          <w:spacing w:val="-2"/>
        </w:rPr>
        <w:t>2</w:t>
      </w:r>
      <w:r>
        <w:rPr>
          <w:spacing w:val="-2"/>
        </w:rPr>
        <w:t>）网站推广与营销业务收入指在公司的网址导航页面或公司拥有</w:t>
      </w:r>
      <w:r>
        <w:rPr>
          <w:rFonts w:ascii="宋体" w:hAnsi="宋体" w:cs="宋体" w:eastAsia="宋体" w:hint="default"/>
          <w:spacing w:val="-2"/>
        </w:rPr>
        <w:t>APP</w:t>
      </w:r>
      <w:r>
        <w:rPr>
          <w:spacing w:val="-2"/>
        </w:rPr>
        <w:t>中为客户提供推广取得的收入。网站推广与营销</w:t>
      </w:r>
      <w:r>
        <w:rPr/>
        <w:t> 业务收入分为按导航链接刊期确认收入和按与客户确认推广效果确认收入。</w:t>
      </w:r>
    </w:p>
    <w:p>
      <w:pPr>
        <w:pStyle w:val="BodyText"/>
        <w:spacing w:line="321" w:lineRule="auto" w:before="18"/>
        <w:ind w:right="1137" w:firstLine="360"/>
        <w:jc w:val="both"/>
      </w:pPr>
      <w:r>
        <w:rPr/>
        <w:t>（</w:t>
      </w:r>
      <w:r>
        <w:rPr>
          <w:rFonts w:ascii="宋体" w:hAnsi="宋体" w:cs="宋体" w:eastAsia="宋体" w:hint="default"/>
        </w:rPr>
        <w:t>3</w:t>
      </w:r>
      <w:r>
        <w:rPr/>
        <w:t>）软件推广收入指在公司网站为用户提供客户软件下载及软件信息等服务取得的收入。软件推广收入按与客户确认 的当期软件有效安装量确认收入。</w:t>
      </w:r>
    </w:p>
    <w:p>
      <w:pPr>
        <w:pStyle w:val="BodyText"/>
        <w:spacing w:line="321" w:lineRule="auto" w:before="3"/>
        <w:ind w:right="1137" w:firstLine="360"/>
        <w:jc w:val="both"/>
      </w:pPr>
      <w:r>
        <w:rPr/>
        <w:t>（</w:t>
      </w:r>
      <w:r>
        <w:rPr>
          <w:rFonts w:ascii="宋体" w:hAnsi="宋体" w:cs="宋体" w:eastAsia="宋体" w:hint="default"/>
        </w:rPr>
        <w:t>4</w:t>
      </w:r>
      <w:r>
        <w:rPr/>
        <w:t>）互联网增值服务收入是指公司以互联网（含移动互联网）为媒介，通过自建技术平台或者外购软件平台，为自然 人客户和企业客户提供增值服务，按服务期限或服务效果确认收入。</w:t>
      </w:r>
    </w:p>
    <w:p>
      <w:pPr>
        <w:spacing w:line="240" w:lineRule="auto" w:before="7"/>
        <w:rPr>
          <w:rFonts w:ascii="宋体" w:hAnsi="宋体" w:cs="宋体" w:eastAsia="宋体" w:hint="default"/>
          <w:sz w:val="25"/>
          <w:szCs w:val="25"/>
        </w:rPr>
      </w:pPr>
    </w:p>
    <w:p>
      <w:pPr>
        <w:pStyle w:val="BodyText"/>
        <w:spacing w:line="240" w:lineRule="auto" w:before="0"/>
        <w:ind w:left="501" w:right="0"/>
        <w:jc w:val="left"/>
      </w:pPr>
      <w:r>
        <w:rPr>
          <w:rFonts w:ascii="宋体" w:hAnsi="宋体" w:cs="宋体" w:eastAsia="宋体" w:hint="default"/>
        </w:rPr>
        <w:t>3</w:t>
      </w:r>
      <w:r>
        <w:rPr/>
        <w:t>、让渡资产使用权</w:t>
      </w:r>
    </w:p>
    <w:p>
      <w:pPr>
        <w:spacing w:after="0" w:line="240" w:lineRule="auto"/>
        <w:jc w:val="left"/>
        <w:sectPr>
          <w:footerReference w:type="default" r:id="rId20"/>
          <w:pgSz w:w="11910" w:h="16850"/>
          <w:pgMar w:footer="1456" w:header="731" w:top="1040" w:bottom="1640" w:left="1000" w:right="0"/>
          <w:pgNumType w:start="124"/>
        </w:sectPr>
      </w:pPr>
    </w:p>
    <w:p>
      <w:pPr>
        <w:spacing w:line="240" w:lineRule="auto" w:before="1"/>
        <w:rPr>
          <w:rFonts w:ascii="宋体" w:hAnsi="宋体" w:cs="宋体" w:eastAsia="宋体" w:hint="default"/>
          <w:sz w:val="26"/>
          <w:szCs w:val="26"/>
        </w:rPr>
      </w:pPr>
    </w:p>
    <w:p>
      <w:pPr>
        <w:pStyle w:val="BodyText"/>
        <w:spacing w:line="240" w:lineRule="auto"/>
        <w:ind w:left="501" w:right="0"/>
        <w:jc w:val="left"/>
      </w:pPr>
      <w:r>
        <w:rPr/>
        <w:t>与交易相关的经济利益很可能流入企业，收入的金额能够可靠地计量时。分别下列情况确定让渡资产使用权收入金额：</w:t>
      </w:r>
    </w:p>
    <w:p>
      <w:pPr>
        <w:pStyle w:val="BodyText"/>
        <w:spacing w:line="240" w:lineRule="auto" w:before="79"/>
        <w:ind w:left="501" w:right="0"/>
        <w:jc w:val="left"/>
      </w:pPr>
      <w:r>
        <w:rPr/>
        <w:t>（</w:t>
      </w:r>
      <w:r>
        <w:rPr>
          <w:rFonts w:ascii="宋体" w:hAnsi="宋体" w:cs="宋体" w:eastAsia="宋体" w:hint="default"/>
        </w:rPr>
        <w:t>1</w:t>
      </w:r>
      <w:r>
        <w:rPr/>
        <w:t>）利息收入金额，按照他人使用本公司货币资金的时间和实际利率计算确定。</w:t>
      </w:r>
    </w:p>
    <w:p>
      <w:pPr>
        <w:pStyle w:val="BodyText"/>
        <w:spacing w:line="314" w:lineRule="auto" w:before="80"/>
        <w:ind w:right="1137" w:firstLine="360"/>
        <w:jc w:val="both"/>
      </w:pPr>
      <w:r>
        <w:rPr>
          <w:spacing w:val="-4"/>
        </w:rPr>
        <w:t>（</w:t>
      </w:r>
      <w:r>
        <w:rPr>
          <w:rFonts w:ascii="宋体" w:hAnsi="宋体" w:cs="宋体" w:eastAsia="宋体" w:hint="default"/>
          <w:spacing w:val="-4"/>
        </w:rPr>
        <w:t>2</w:t>
      </w:r>
      <w:r>
        <w:rPr>
          <w:spacing w:val="-4"/>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72"/>
        </w:rPr>
        <w:t> </w:t>
      </w:r>
      <w:r>
        <w:rPr>
          <w:spacing w:val="-72"/>
        </w:rPr>
      </w:r>
      <w:r>
        <w:rPr/>
        <w:t>中，并减少租赁期内确认的收益金额。公司采用实际利率法计算确认当期的融资收入。</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40、政府补助" w:id="235"/>
      <w:bookmarkEnd w:id="235"/>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1"/>
          <w:szCs w:val="21"/>
        </w:rPr>
      </w:pPr>
    </w:p>
    <w:p>
      <w:pPr>
        <w:pStyle w:val="BodyText"/>
        <w:spacing w:line="321" w:lineRule="auto"/>
        <w:ind w:left="501" w:right="1133"/>
        <w:jc w:val="left"/>
      </w:pPr>
      <w:r>
        <w:rPr>
          <w:rFonts w:ascii="宋体" w:hAnsi="宋体" w:cs="宋体" w:eastAsia="宋体" w:hint="default"/>
        </w:rPr>
        <w:t>1</w:t>
      </w:r>
      <w:r>
        <w:rPr/>
        <w:t>、类型 </w:t>
      </w:r>
      <w:r>
        <w:rPr>
          <w:spacing w:val="-2"/>
        </w:rPr>
        <w:t>政府补助，是本公司从政府无偿取得的货币性资产与非货币性资产。分为与资产相关的政府补助和与收益相关的政府补</w:t>
      </w:r>
    </w:p>
    <w:p>
      <w:pPr>
        <w:pStyle w:val="BodyText"/>
        <w:spacing w:line="240" w:lineRule="auto" w:before="3"/>
        <w:ind w:right="0"/>
        <w:jc w:val="left"/>
      </w:pPr>
      <w:r>
        <w:rPr/>
        <w:t>助。</w:t>
      </w:r>
    </w:p>
    <w:p>
      <w:pPr>
        <w:pStyle w:val="BodyText"/>
        <w:spacing w:line="240" w:lineRule="auto" w:before="80"/>
        <w:ind w:left="501" w:right="0"/>
        <w:jc w:val="left"/>
      </w:pPr>
      <w:r>
        <w:rPr/>
        <w:t>与资产相关的政府补助</w:t>
      </w:r>
      <w:r>
        <w:rPr>
          <w:spacing w:val="-90"/>
        </w:rPr>
        <w:t>，</w:t>
      </w:r>
      <w:r>
        <w:rPr/>
        <w:t>是指本公司取得的</w:t>
      </w:r>
      <w:r>
        <w:rPr>
          <w:spacing w:val="-90"/>
        </w:rPr>
        <w:t>、</w:t>
      </w:r>
      <w:r>
        <w:rPr/>
        <w:t>用于购建或以其他方式形成长期资产的政府补助</w:t>
      </w:r>
      <w:r>
        <w:rPr>
          <w:spacing w:val="-90"/>
        </w:rPr>
        <w:t>。</w:t>
      </w:r>
      <w:r>
        <w:rPr/>
        <w:t>与收益相关的政府补助，</w:t>
      </w:r>
    </w:p>
    <w:p>
      <w:pPr>
        <w:pStyle w:val="BodyText"/>
        <w:spacing w:line="240" w:lineRule="auto" w:before="79"/>
        <w:ind w:right="0"/>
        <w:jc w:val="left"/>
      </w:pPr>
      <w:r>
        <w:rPr/>
        <w:t>是指除与资产相关的政府补助之外的政府补助。</w:t>
      </w:r>
    </w:p>
    <w:p>
      <w:pPr>
        <w:spacing w:line="240" w:lineRule="auto" w:before="0"/>
        <w:rPr>
          <w:rFonts w:ascii="宋体" w:hAnsi="宋体" w:cs="宋体" w:eastAsia="宋体" w:hint="default"/>
          <w:sz w:val="18"/>
          <w:szCs w:val="18"/>
        </w:rPr>
      </w:pPr>
    </w:p>
    <w:p>
      <w:pPr>
        <w:pStyle w:val="BodyText"/>
        <w:spacing w:line="314" w:lineRule="auto" w:before="160"/>
        <w:ind w:left="501" w:right="1029"/>
        <w:jc w:val="left"/>
      </w:pPr>
      <w:r>
        <w:rPr/>
        <w:t>本公司将政府补助划分为与资产相关的具体标准为：本公司取得的、用于构建或以其他方式形成长期资产的政府补助； 本公司将政府补助划分为与收益相关的具体标准为：本公司取得的除与资产相关的政府补助之外的政府补助； </w:t>
      </w:r>
      <w:r>
        <w:rPr>
          <w:spacing w:val="-2"/>
        </w:rPr>
        <w:t>对于政府文件未明确规定补助对象的，本公司将该政府补助划分为与资产相关或与收益相关的判断依据为：是否用于购</w:t>
      </w:r>
    </w:p>
    <w:p>
      <w:pPr>
        <w:pStyle w:val="BodyText"/>
        <w:spacing w:line="240" w:lineRule="auto" w:before="23"/>
        <w:ind w:right="0"/>
        <w:jc w:val="left"/>
      </w:pPr>
      <w:r>
        <w:rPr/>
        <w:t>建或以其他方式形成长期资产。</w:t>
      </w:r>
    </w:p>
    <w:p>
      <w:pPr>
        <w:spacing w:line="240" w:lineRule="auto" w:before="0"/>
        <w:rPr>
          <w:rFonts w:ascii="宋体" w:hAnsi="宋体" w:cs="宋体" w:eastAsia="宋体" w:hint="default"/>
          <w:sz w:val="18"/>
          <w:szCs w:val="18"/>
        </w:rPr>
      </w:pPr>
    </w:p>
    <w:p>
      <w:pPr>
        <w:pStyle w:val="BodyText"/>
        <w:spacing w:line="307" w:lineRule="auto" w:before="159"/>
        <w:ind w:left="501" w:right="4989"/>
        <w:jc w:val="left"/>
      </w:pPr>
      <w:r>
        <w:rPr>
          <w:rFonts w:ascii="宋体" w:hAnsi="宋体" w:cs="宋体" w:eastAsia="宋体" w:hint="default"/>
        </w:rPr>
        <w:t>2</w:t>
      </w:r>
      <w:r>
        <w:rPr/>
        <w:t>、确认时点 政府补助在能够满足政府补助所附的条件，且能够收到时予以确认。</w:t>
      </w:r>
    </w:p>
    <w:p>
      <w:pPr>
        <w:spacing w:line="240" w:lineRule="auto" w:before="4"/>
        <w:rPr>
          <w:rFonts w:ascii="宋体" w:hAnsi="宋体" w:cs="宋体" w:eastAsia="宋体" w:hint="default"/>
          <w:sz w:val="26"/>
          <w:szCs w:val="26"/>
        </w:rPr>
      </w:pPr>
    </w:p>
    <w:p>
      <w:pPr>
        <w:pStyle w:val="BodyText"/>
        <w:spacing w:line="321" w:lineRule="auto" w:before="0"/>
        <w:ind w:left="501" w:right="1133"/>
        <w:jc w:val="left"/>
      </w:pPr>
      <w:r>
        <w:rPr>
          <w:rFonts w:ascii="宋体" w:hAnsi="宋体" w:cs="宋体" w:eastAsia="宋体" w:hint="default"/>
        </w:rPr>
        <w:t>3</w:t>
      </w:r>
      <w:r>
        <w:rPr/>
        <w:t>、会计处理 </w:t>
      </w:r>
      <w:r>
        <w:rPr>
          <w:spacing w:val="-2"/>
        </w:rPr>
        <w:t>与资产相关的政府补助，冲减相关资产账面价值或确认为递延收益。确认为递延收益的，在相关资产使用寿命内按照合</w:t>
      </w:r>
    </w:p>
    <w:p>
      <w:pPr>
        <w:pStyle w:val="BodyText"/>
        <w:spacing w:line="316" w:lineRule="auto" w:before="18"/>
        <w:ind w:left="0" w:right="1127"/>
        <w:jc w:val="right"/>
      </w:pPr>
      <w:r>
        <w:rPr>
          <w:spacing w:val="-9"/>
        </w:rPr>
        <w:t>理、系统的方法分期计入当期损益（与本公司日常活动相关的，计入其他收益；与本公司日常活动无关的，计入营业外收入）；</w:t>
      </w:r>
      <w:r>
        <w:rPr>
          <w:spacing w:val="-60"/>
        </w:rPr>
        <w:t> </w:t>
      </w:r>
      <w:r>
        <w:rPr>
          <w:spacing w:val="-60"/>
        </w:rPr>
      </w:r>
      <w:r>
        <w:rPr>
          <w:spacing w:val="-2"/>
        </w:rPr>
        <w:t>与收益相关的政府补助，用于补偿本公司以后期间的相关成本费用或损失的，确认为递延收益，并在确认相关成本费用</w:t>
      </w:r>
      <w:r>
        <w:rPr/>
        <w:t> </w:t>
      </w:r>
      <w:r>
        <w:rPr>
          <w:spacing w:val="-2"/>
        </w:rPr>
        <w:t>或损失的期间，计入当期损益（与本公司日常活动相关的，计入其他收益；与本公司日常活动无关的，计入营业外收入）或</w:t>
      </w:r>
      <w:r>
        <w:rPr>
          <w:spacing w:val="-84"/>
        </w:rPr>
        <w:t> </w:t>
      </w:r>
      <w:r>
        <w:rPr>
          <w:spacing w:val="-84"/>
        </w:rPr>
      </w:r>
      <w:r>
        <w:rPr>
          <w:spacing w:val="-5"/>
        </w:rPr>
        <w:t>冲减相关成本费用或损失；用于补偿本公司已发生的相关成本费用或损失的，直接计入当期损益（与本公司日常活动相关的，</w:t>
      </w:r>
    </w:p>
    <w:p>
      <w:pPr>
        <w:pStyle w:val="BodyText"/>
        <w:spacing w:line="240" w:lineRule="auto" w:before="22"/>
        <w:ind w:right="0"/>
        <w:jc w:val="left"/>
      </w:pPr>
      <w:r>
        <w:rPr/>
        <w:t>计入其他收益；与本公司日常活动无关的，计入营业外收入）或冲减相关成本费用或损失。</w:t>
      </w:r>
    </w:p>
    <w:p>
      <w:pPr>
        <w:spacing w:line="240" w:lineRule="auto" w:before="0"/>
        <w:rPr>
          <w:rFonts w:ascii="宋体" w:hAnsi="宋体" w:cs="宋体" w:eastAsia="宋体" w:hint="default"/>
          <w:sz w:val="18"/>
          <w:szCs w:val="18"/>
        </w:rPr>
      </w:pPr>
    </w:p>
    <w:p>
      <w:pPr>
        <w:pStyle w:val="BodyText"/>
        <w:spacing w:line="240" w:lineRule="auto" w:before="144"/>
        <w:ind w:left="501" w:right="0"/>
        <w:jc w:val="left"/>
      </w:pPr>
      <w:r>
        <w:rPr/>
        <w:t>本公司取得的政策性优惠贷款贴息，区分以下两种情况，分别进行会计处理：</w:t>
      </w:r>
    </w:p>
    <w:p>
      <w:pPr>
        <w:pStyle w:val="BodyText"/>
        <w:spacing w:line="321" w:lineRule="auto" w:before="80"/>
        <w:ind w:right="1119" w:firstLine="360"/>
        <w:jc w:val="left"/>
      </w:pPr>
      <w:r>
        <w:rPr/>
        <w:t>（</w:t>
      </w:r>
      <w:r>
        <w:rPr>
          <w:rFonts w:ascii="宋体" w:hAnsi="宋体" w:cs="宋体" w:eastAsia="宋体"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19"/>
        <w:ind w:left="501" w:right="0"/>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1、递延所得税资产/递延所得税负债" w:id="236"/>
      <w:bookmarkEnd w:id="236"/>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5"/>
          <w:szCs w:val="25"/>
        </w:rPr>
      </w:pPr>
    </w:p>
    <w:p>
      <w:pPr>
        <w:pStyle w:val="BodyText"/>
        <w:spacing w:line="314" w:lineRule="auto" w:before="0"/>
        <w:ind w:right="0" w:firstLine="360"/>
        <w:jc w:val="left"/>
      </w:pPr>
      <w:r>
        <w:rPr>
          <w:spacing w:val="-2"/>
        </w:rPr>
        <w:t>对于可抵扣暂时性差异确认递延所得税资产，以未来期间很可能取得的用来抵扣可抵扣暂时性差异的应纳税所得额为限。</w:t>
      </w:r>
      <w:r>
        <w:rPr/>
        <w:t> 对于能够结转以后年度的可抵扣亏损和税款抵减，以很可能获得用来抵扣可抵扣亏损和税款抵减的未来应纳税所得额为限， 确认相应的递延所得税资产。</w:t>
      </w:r>
    </w:p>
    <w:p>
      <w:pPr>
        <w:pStyle w:val="BodyText"/>
        <w:spacing w:line="321" w:lineRule="auto" w:before="24"/>
        <w:ind w:left="501"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04" w:lineRule="auto" w:before="18"/>
        <w:ind w:left="501" w:right="1133"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240" w:lineRule="auto" w:before="31"/>
        <w:ind w:right="0"/>
        <w:jc w:val="left"/>
      </w:pPr>
      <w:r>
        <w:rPr/>
        <w:t>债以抵销后的净额列报。</w:t>
      </w:r>
    </w:p>
    <w:p>
      <w:pPr>
        <w:spacing w:after="0" w:line="240" w:lineRule="auto"/>
        <w:jc w:val="left"/>
        <w:sectPr>
          <w:footerReference w:type="default" r:id="rId21"/>
          <w:pgSz w:w="11910" w:h="16850"/>
          <w:pgMar w:footer="981" w:header="731" w:top="1040" w:bottom="1180" w:left="1000" w:right="0"/>
          <w:pgNumType w:start="125"/>
        </w:sectPr>
      </w:pPr>
    </w:p>
    <w:p>
      <w:pPr>
        <w:spacing w:line="240" w:lineRule="auto" w:before="1"/>
        <w:rPr>
          <w:rFonts w:ascii="宋体" w:hAnsi="宋体" w:cs="宋体" w:eastAsia="宋体" w:hint="default"/>
          <w:sz w:val="26"/>
          <w:szCs w:val="26"/>
        </w:rPr>
      </w:pPr>
    </w:p>
    <w:p>
      <w:pPr>
        <w:pStyle w:val="BodyText"/>
        <w:spacing w:line="316" w:lineRule="auto"/>
        <w:ind w:right="112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58"/>
        </w:rPr>
        <w:t> </w:t>
      </w:r>
      <w:r>
        <w:rPr>
          <w:spacing w:val="-58"/>
        </w:rPr>
      </w:r>
      <w:r>
        <w:rPr>
          <w:spacing w:val="-2"/>
        </w:rPr>
        <w:t>转回的期间内，涉及的纳税主体意图以净额结算当期所得税资产和负债或是同时取得资产、清偿负债时，递延所得税资产及</w:t>
      </w:r>
      <w:r>
        <w:rPr>
          <w:spacing w:val="-71"/>
        </w:rPr>
        <w:t> </w:t>
      </w:r>
      <w:r>
        <w:rPr>
          <w:spacing w:val="-71"/>
        </w:rPr>
      </w:r>
      <w:r>
        <w:rPr/>
        <w:t>递延所得税负债以抵销后的净额列报。</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42、租赁" w:id="237"/>
      <w:bookmarkEnd w:id="237"/>
      <w:r>
        <w:rPr>
          <w:b w:val="0"/>
          <w:bCs w:val="0"/>
        </w:rPr>
      </w:r>
      <w:r>
        <w:rPr>
          <w:rFonts w:ascii="Times New Roman" w:hAnsi="Times New Roman" w:cs="Times New Roman" w:eastAsia="Times New Roman" w:hint="default"/>
        </w:rPr>
        <w:t>42</w:t>
      </w:r>
      <w:r>
        <w:rPr/>
        <w:t>、租赁</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38"/>
      <w:bookmarkEnd w:id="23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37" w:firstLine="360"/>
        <w:jc w:val="both"/>
      </w:pPr>
      <w:r>
        <w:rPr>
          <w:rFonts w:ascii="宋体" w:hAnsi="宋体" w:cs="宋体" w:eastAsia="宋体" w:hint="default"/>
        </w:rPr>
        <w:t>1</w:t>
      </w:r>
      <w:r>
        <w:rPr/>
        <w:t>）公司租入资产所支付的租赁费，在不扣除免租期的整个租赁期内，按直线法进行分摊，计入当期费用。公司支付的 与租赁交易相关的初始直接费用，计入当期费用。</w:t>
      </w:r>
    </w:p>
    <w:p>
      <w:pPr>
        <w:pStyle w:val="BodyText"/>
        <w:spacing w:line="304" w:lineRule="auto" w:before="18"/>
        <w:ind w:right="1137"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21" w:lineRule="auto" w:before="31"/>
        <w:ind w:right="1106" w:firstLine="360"/>
        <w:jc w:val="both"/>
      </w:pPr>
      <w:r>
        <w:rPr>
          <w:rFonts w:ascii="宋体" w:hAnsi="宋体" w:cs="宋体" w:eastAsia="宋体" w:hint="default"/>
        </w:rPr>
        <w:t>2</w:t>
      </w:r>
      <w:r>
        <w:rPr/>
        <w:t>）公司出租资产所收取的租赁费，在不扣除免租期的整个租赁期内，按直线法进行分摊，确认为租赁相关收入。公司 </w:t>
      </w:r>
      <w:r>
        <w:rPr>
          <w:spacing w:val="-2"/>
        </w:rPr>
        <w:t>支付的与租赁交易相关的初始直接费用，计入当期费用；如金额较大的，则予以资本化，在整个租赁期间内按照与租赁相关</w:t>
      </w:r>
      <w:r>
        <w:rPr>
          <w:spacing w:val="-42"/>
        </w:rPr>
        <w:t> </w:t>
      </w:r>
      <w:r>
        <w:rPr>
          <w:spacing w:val="-42"/>
        </w:rPr>
      </w:r>
      <w:r>
        <w:rPr/>
        <w:t>收入确认相同的基础分期计入当期收益。</w:t>
      </w:r>
    </w:p>
    <w:p>
      <w:pPr>
        <w:pStyle w:val="BodyText"/>
        <w:spacing w:line="304" w:lineRule="auto" w:before="18"/>
        <w:ind w:right="1137"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2）融资租赁的会计处理方法" w:id="239"/>
      <w:bookmarkEnd w:id="23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26" w:firstLine="360"/>
        <w:jc w:val="both"/>
      </w:pPr>
      <w:r>
        <w:rPr>
          <w:rFonts w:ascii="宋体" w:hAnsi="宋体" w:cs="宋体" w:eastAsia="宋体" w:hint="default"/>
        </w:rPr>
        <w:t>1</w:t>
      </w:r>
      <w:r>
        <w:rPr/>
        <w:t>）融资租入资产：公司在承租开始日，将租赁资产公允价值与最低租赁付款额现值两者中较低者作为租入资产的入账 </w:t>
      </w:r>
      <w:r>
        <w:rPr>
          <w:spacing w:val="-2"/>
        </w:rPr>
        <w:t>价值，将最低租赁付款额作为长期应付款的入账价值，其差额作为未确认的融资费用。公司采用实际利率法对未确认的融资</w:t>
      </w:r>
      <w:r>
        <w:rPr>
          <w:spacing w:val="-65"/>
        </w:rPr>
        <w:t> </w:t>
      </w:r>
      <w:r>
        <w:rPr>
          <w:spacing w:val="-65"/>
        </w:rPr>
      </w:r>
      <w:r>
        <w:rPr/>
        <w:t>费用，在资产租赁期间内摊销，计入财务费用。公司发生的初始直接费用，计入租入资产价值。</w:t>
      </w:r>
    </w:p>
    <w:p>
      <w:pPr>
        <w:pStyle w:val="BodyText"/>
        <w:spacing w:line="321" w:lineRule="auto" w:before="4"/>
        <w:ind w:right="1137" w:firstLine="360"/>
        <w:jc w:val="both"/>
      </w:pPr>
      <w:r>
        <w:rPr>
          <w:rFonts w:ascii="宋体" w:hAnsi="宋体" w:cs="宋体" w:eastAsia="宋体"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72"/>
        </w:rPr>
        <w:t> </w:t>
      </w:r>
      <w:r>
        <w:rPr>
          <w:spacing w:val="-72"/>
        </w:rPr>
      </w:r>
      <w:r>
        <w:rPr/>
        <w:t>中，并减少租赁期内确认的收益金额。</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43、其他重要的会计政策和会计估计" w:id="240"/>
      <w:bookmarkEnd w:id="240"/>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1133"/>
        <w:jc w:val="left"/>
      </w:pPr>
      <w:r>
        <w:rPr/>
        <w:t>（</w:t>
      </w:r>
      <w:r>
        <w:rPr>
          <w:rFonts w:ascii="宋体" w:hAnsi="宋体" w:cs="宋体" w:eastAsia="宋体" w:hint="default"/>
        </w:rPr>
        <w:t>1</w:t>
      </w:r>
      <w:r>
        <w:rPr/>
        <w:t>）终止经营 </w:t>
      </w:r>
      <w:r>
        <w:rPr>
          <w:spacing w:val="-2"/>
        </w:rPr>
        <w:t>终止经营是满足下列条件之一的、能够单独区分的组成部分，且该组成部分已被本公司处置或被本公司划归为持有待售</w:t>
      </w:r>
    </w:p>
    <w:p>
      <w:pPr>
        <w:pStyle w:val="BodyText"/>
        <w:spacing w:line="240" w:lineRule="auto" w:before="3"/>
        <w:ind w:right="0"/>
        <w:jc w:val="left"/>
      </w:pPr>
      <w:r>
        <w:rPr/>
        <w:t>类别：</w:t>
      </w:r>
    </w:p>
    <w:p>
      <w:pPr>
        <w:pStyle w:val="BodyText"/>
        <w:spacing w:line="240" w:lineRule="auto" w:before="80"/>
        <w:ind w:left="501" w:right="0"/>
        <w:jc w:val="left"/>
      </w:pPr>
      <w:r>
        <w:rPr>
          <w:rFonts w:ascii="宋体" w:hAnsi="宋体" w:cs="宋体" w:eastAsia="宋体" w:hint="default"/>
        </w:rPr>
        <w:t>1</w:t>
      </w:r>
      <w:r>
        <w:rPr/>
        <w:t>）该组成部分代表一项独立的主要业务或一个单独的主要经营地区；</w:t>
      </w:r>
    </w:p>
    <w:p>
      <w:pPr>
        <w:pStyle w:val="BodyText"/>
        <w:spacing w:line="240" w:lineRule="auto" w:before="79"/>
        <w:ind w:left="501" w:right="0"/>
        <w:jc w:val="left"/>
      </w:pPr>
      <w:r>
        <w:rPr>
          <w:rFonts w:ascii="宋体" w:hAnsi="宋体" w:cs="宋体" w:eastAsia="宋体" w:hint="default"/>
        </w:rPr>
        <w:t>2</w:t>
      </w:r>
      <w:r>
        <w:rPr/>
        <w:t>）该组成部分是拟对一项独立的主要业务或一个单独的主要经营地区进行处置的一项相关联计划的一部分；</w:t>
      </w:r>
    </w:p>
    <w:p>
      <w:pPr>
        <w:pStyle w:val="BodyText"/>
        <w:spacing w:line="240" w:lineRule="auto" w:before="80"/>
        <w:ind w:left="501" w:right="0"/>
        <w:jc w:val="left"/>
      </w:pPr>
      <w:r>
        <w:rPr>
          <w:rFonts w:ascii="宋体" w:hAnsi="宋体" w:cs="宋体" w:eastAsia="宋体" w:hint="default"/>
        </w:rPr>
        <w:t>3</w:t>
      </w:r>
      <w:r>
        <w:rPr/>
        <w:t>）该组成部分是专为转售而取得的子公司。</w:t>
      </w:r>
    </w:p>
    <w:p>
      <w:pPr>
        <w:pStyle w:val="BodyText"/>
        <w:spacing w:line="304" w:lineRule="auto" w:before="80"/>
        <w:ind w:left="501" w:right="0"/>
        <w:jc w:val="left"/>
      </w:pPr>
      <w:r>
        <w:rPr/>
        <w:t>（</w:t>
      </w:r>
      <w:r>
        <w:rPr>
          <w:rFonts w:ascii="宋体" w:hAnsi="宋体" w:cs="宋体" w:eastAsia="宋体" w:hint="default"/>
        </w:rPr>
        <w:t>2</w:t>
      </w:r>
      <w:r>
        <w:rPr/>
        <w:t>）资产证券化业务 </w:t>
      </w:r>
      <w:r>
        <w:rPr>
          <w:spacing w:val="-2"/>
        </w:rPr>
        <w:t>本公司将部分应收款项(“信托财产”)证券化，将资产信托给特定目的实体，由该实体向投资者发行优先级资产支持证</w:t>
      </w:r>
    </w:p>
    <w:p>
      <w:pPr>
        <w:pStyle w:val="BodyText"/>
        <w:spacing w:line="319" w:lineRule="auto" w:before="31"/>
        <w:ind w:right="1029"/>
        <w:jc w:val="left"/>
      </w:pPr>
      <w:r>
        <w:rPr>
          <w:spacing w:val="-2"/>
        </w:rPr>
        <w:t>券，本公司持有次级资产支持证券，次级资产支持证券在优先级资产支持证券本息偿付完毕前不得转让。本公司作为资产服</w:t>
      </w:r>
      <w:r>
        <w:rPr>
          <w:spacing w:val="-75"/>
        </w:rPr>
        <w:t> </w:t>
      </w:r>
      <w:r>
        <w:rPr>
          <w:spacing w:val="-75"/>
        </w:rPr>
      </w:r>
      <w:r>
        <w:rPr>
          <w:spacing w:val="-2"/>
        </w:rPr>
        <w:t>务商，提供资产维护和日常管理、年度资产处置计划制定、制定和实施资产处置方案、签署相关资产处置协议和定期编制资</w:t>
      </w:r>
      <w:r>
        <w:rPr>
          <w:spacing w:val="-42"/>
        </w:rPr>
        <w:t> </w:t>
      </w:r>
      <w:r>
        <w:rPr>
          <w:spacing w:val="-42"/>
        </w:rPr>
      </w:r>
      <w:r>
        <w:rPr/>
        <w:t>产服务报告等服务；同时本公司作为流动性支持机构，在优先级资产支持证券的本金未能得到足额偿付时提供流动性支持， </w:t>
      </w:r>
      <w:r>
        <w:rPr>
          <w:spacing w:val="-2"/>
        </w:rPr>
        <w:t>以补足利息或本金的差额。信托财产在支付信托税负和相关费用之后，优先用于偿付优先级资产支持证券的本息，全部本息</w:t>
      </w:r>
      <w:r>
        <w:rPr>
          <w:spacing w:val="-75"/>
        </w:rPr>
        <w:t> </w:t>
      </w:r>
      <w:r>
        <w:rPr>
          <w:spacing w:val="-75"/>
        </w:rPr>
      </w:r>
      <w:r>
        <w:rPr>
          <w:spacing w:val="-2"/>
        </w:rPr>
        <w:t>偿付之后剩余的信托财产作为次级资产支持证券的收益，归本公司所有。本公司实际上保留了信托财产几乎所有的风险和报</w:t>
      </w:r>
      <w:r>
        <w:rPr>
          <w:spacing w:val="-72"/>
        </w:rPr>
        <w:t> </w:t>
      </w:r>
      <w:r>
        <w:rPr>
          <w:spacing w:val="-72"/>
        </w:rPr>
      </w:r>
      <w:r>
        <w:rPr/>
        <w:t>酬，故未对信托财产终止确认；同时，本公司对特定目的实体具有实际控制权，已经将其纳入合并财务报表范围。</w:t>
      </w:r>
    </w:p>
    <w:p>
      <w:pPr>
        <w:pStyle w:val="BodyText"/>
        <w:spacing w:line="240" w:lineRule="auto" w:before="20"/>
        <w:ind w:left="501" w:right="0"/>
        <w:jc w:val="left"/>
      </w:pPr>
      <w:r>
        <w:rPr/>
        <w:t>在运用证券化金融资产的会计政策时，本公司已考虑转移至其他实体的资产的风险和报酬转移程度，以及本公司对该实</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2919" w:hanging="361"/>
        <w:jc w:val="left"/>
      </w:pPr>
      <w:r>
        <w:rPr/>
        <w:t>体行使控制权的程度： </w:t>
      </w:r>
      <w:r>
        <w:rPr>
          <w:rFonts w:ascii="宋体" w:hAnsi="宋体" w:cs="宋体" w:eastAsia="宋体" w:hint="default"/>
        </w:rPr>
        <w:t>1</w:t>
      </w:r>
      <w:r>
        <w:rPr/>
        <w:t>）当本公司已转移该金融资产所有权上几乎全部风险和报酬时，本公司终止确认该金融资产；</w:t>
      </w:r>
    </w:p>
    <w:p>
      <w:pPr>
        <w:pStyle w:val="BodyText"/>
        <w:spacing w:line="240" w:lineRule="auto" w:before="18"/>
        <w:ind w:left="501" w:right="0"/>
        <w:jc w:val="left"/>
      </w:pPr>
      <w:r>
        <w:rPr>
          <w:rFonts w:ascii="宋体" w:hAnsi="宋体" w:cs="宋体" w:eastAsia="宋体" w:hint="default"/>
        </w:rPr>
        <w:t>2</w:t>
      </w:r>
      <w:r>
        <w:rPr/>
        <w:t>）当本公司保留该金融资产所有权上几乎全部风险和报酬时，本公司继续确认该金融资产；</w:t>
      </w:r>
    </w:p>
    <w:p>
      <w:pPr>
        <w:pStyle w:val="BodyText"/>
        <w:spacing w:line="321" w:lineRule="auto" w:before="65"/>
        <w:ind w:right="1134" w:firstLine="360"/>
        <w:jc w:val="both"/>
      </w:pPr>
      <w:r>
        <w:rPr>
          <w:rFonts w:ascii="宋体" w:hAnsi="宋体" w:cs="宋体" w:eastAsia="宋体" w:hint="default"/>
        </w:rPr>
        <w:t>3</w:t>
      </w:r>
      <w:r>
        <w:rPr/>
        <w:t>）如本公司并未转移或保留该金融资产所有权上几乎全部风险和报酬，本公司考虑对该金融资产是否存在控制。如果 </w:t>
      </w:r>
      <w:r>
        <w:rPr>
          <w:spacing w:val="-2"/>
        </w:rPr>
        <w:t>本公司并未保留控制权，本公司终止确认该金融资产，并把在转移中产生或保留的权利及义务分别确认为资产或负债。如本</w:t>
      </w:r>
      <w:r>
        <w:rPr>
          <w:spacing w:val="-75"/>
        </w:rPr>
        <w:t> </w:t>
      </w:r>
      <w:r>
        <w:rPr>
          <w:spacing w:val="-75"/>
        </w:rPr>
      </w:r>
      <w:r>
        <w:rPr/>
        <w:t>公司保留控制权，则根据对金融资产的继续涉入程度确认金融资产，并相应确认有关负债。</w:t>
      </w:r>
    </w:p>
    <w:p>
      <w:pPr>
        <w:pStyle w:val="BodyText"/>
        <w:spacing w:line="321" w:lineRule="auto" w:before="18"/>
        <w:ind w:left="501" w:right="5169"/>
        <w:jc w:val="left"/>
      </w:pPr>
      <w:r>
        <w:rPr/>
        <w:t>（</w:t>
      </w:r>
      <w:r>
        <w:rPr>
          <w:rFonts w:ascii="宋体" w:hAnsi="宋体" w:cs="宋体" w:eastAsia="宋体" w:hint="default"/>
        </w:rPr>
        <w:t>3</w:t>
      </w:r>
      <w:r>
        <w:rPr/>
        <w:t>）回购本公司股份 公司回购已发行的股票时，按所支付成本入账，借记“库存股”。</w:t>
      </w:r>
    </w:p>
    <w:p>
      <w:pPr>
        <w:pStyle w:val="BodyText"/>
        <w:spacing w:line="321" w:lineRule="auto" w:before="3"/>
        <w:ind w:right="1094" w:firstLine="360"/>
        <w:jc w:val="both"/>
      </w:pPr>
      <w:r>
        <w:rPr>
          <w:spacing w:val="-1"/>
        </w:rPr>
        <w:t>库存股再次出售时，贷记“库存股”。若出售价格高于其回购成本，其差额应贷记“资本公积――库存股交易”；若出</w:t>
      </w:r>
      <w:r>
        <w:rPr/>
        <w:t> 售价格低于其回购成本时，其差额应先冲减同类库存股交易所产生的资本公积，如有不足，再冲减留存收益。</w:t>
      </w:r>
    </w:p>
    <w:p>
      <w:pPr>
        <w:pStyle w:val="BodyText"/>
        <w:spacing w:line="321" w:lineRule="auto" w:before="18"/>
        <w:ind w:right="1106" w:firstLine="360"/>
        <w:jc w:val="both"/>
      </w:pPr>
      <w:r>
        <w:rPr>
          <w:spacing w:val="-2"/>
        </w:rPr>
        <w:t>注销库存股时，按注销的股权比例借记“股本”与“资本公积――股本溢价”，贷记“库存股”。如果库存股的回购成</w:t>
      </w:r>
      <w:r>
        <w:rPr/>
        <w:t> </w:t>
      </w:r>
      <w:r>
        <w:rPr>
          <w:spacing w:val="-2"/>
        </w:rPr>
        <w:t>本高于上述二者之和时，其差额应冲减同类库存股交易所产生的资本公积，如有不足，可再冲减留存收益；如果库存股的回</w:t>
      </w:r>
      <w:r>
        <w:rPr>
          <w:spacing w:val="-42"/>
        </w:rPr>
        <w:t> </w:t>
      </w:r>
      <w:r>
        <w:rPr>
          <w:spacing w:val="-42"/>
        </w:rPr>
      </w:r>
      <w:r>
        <w:rPr/>
        <w:t>购成本低于上述二者之和时，其差额应贷记“资本公积――库存股交易”。</w:t>
      </w:r>
    </w:p>
    <w:p>
      <w:pPr>
        <w:pStyle w:val="BodyText"/>
        <w:spacing w:line="321" w:lineRule="auto" w:before="3"/>
        <w:ind w:left="501" w:right="1133"/>
        <w:jc w:val="left"/>
      </w:pPr>
      <w:r>
        <w:rPr/>
        <w:t>（</w:t>
      </w:r>
      <w:r>
        <w:rPr>
          <w:rFonts w:ascii="宋体" w:hAnsi="宋体" w:cs="宋体" w:eastAsia="宋体" w:hint="default"/>
        </w:rPr>
        <w:t>4</w:t>
      </w:r>
      <w:r>
        <w:rPr/>
        <w:t>）分部报告 </w:t>
      </w:r>
      <w:r>
        <w:rPr>
          <w:spacing w:val="-2"/>
        </w:rPr>
        <w:t>本公司以内部组织结构、管理要求、内部报告制度为依据确定经营分部，以经营分部为基础确定报告分部并披露分部信</w:t>
      </w:r>
    </w:p>
    <w:p>
      <w:pPr>
        <w:pStyle w:val="BodyText"/>
        <w:spacing w:line="240" w:lineRule="auto" w:before="18"/>
        <w:ind w:right="0"/>
        <w:jc w:val="left"/>
      </w:pPr>
      <w:r>
        <w:rPr/>
        <w:t>息。</w:t>
      </w:r>
    </w:p>
    <w:p>
      <w:pPr>
        <w:pStyle w:val="BodyText"/>
        <w:spacing w:line="240" w:lineRule="auto" w:before="80"/>
        <w:ind w:left="501" w:right="0"/>
        <w:jc w:val="left"/>
      </w:pPr>
      <w:r>
        <w:rPr/>
        <w:t>经营分部是指本公司内同时满足下列条件的组成部分：</w:t>
      </w:r>
      <w:r>
        <w:rPr>
          <w:rFonts w:ascii="宋体" w:hAnsi="宋体" w:cs="宋体" w:eastAsia="宋体" w:hint="default"/>
        </w:rPr>
        <w:t>1</w:t>
      </w:r>
      <w:r>
        <w:rPr/>
        <w:t>）</w:t>
      </w:r>
      <w:r>
        <w:rPr>
          <w:spacing w:val="10"/>
        </w:rPr>
        <w:t> </w:t>
      </w:r>
      <w:r>
        <w:rPr/>
        <w:t>该组成部分能够在日常活动中产生收入、发生费用；</w:t>
      </w:r>
      <w:r>
        <w:rPr>
          <w:rFonts w:ascii="宋体" w:hAnsi="宋体" w:cs="宋体" w:eastAsia="宋体" w:hint="default"/>
        </w:rPr>
        <w:t>2</w:t>
      </w:r>
      <w:r>
        <w:rPr/>
        <w:t>）本</w:t>
      </w:r>
    </w:p>
    <w:p>
      <w:pPr>
        <w:pStyle w:val="BodyText"/>
        <w:spacing w:line="314" w:lineRule="auto" w:before="79"/>
        <w:ind w:right="1097"/>
        <w:jc w:val="both"/>
      </w:pPr>
      <w:r>
        <w:rPr/>
        <w:t>公司管理层能够定期评价该组成部分的经营成果，以决定向其配置资源、评价其业绩；</w:t>
      </w:r>
      <w:r>
        <w:rPr>
          <w:rFonts w:ascii="宋体" w:hAnsi="宋体" w:cs="宋体" w:eastAsia="宋体" w:hint="default"/>
        </w:rPr>
        <w:t>3</w:t>
      </w:r>
      <w:r>
        <w:rPr/>
        <w:t>）</w:t>
      </w:r>
      <w:r>
        <w:rPr>
          <w:spacing w:val="-51"/>
        </w:rPr>
        <w:t> </w:t>
      </w:r>
      <w:r>
        <w:rPr/>
        <w:t>本公司能够取得该组成部分的财</w:t>
      </w:r>
      <w:r>
        <w:rPr/>
        <w:t> </w:t>
      </w:r>
      <w:r>
        <w:rPr>
          <w:spacing w:val="-2"/>
        </w:rPr>
        <w:t>务状况、经营成果和现金流量等有关会计信息。两个或多个经营分部具有相似的经济特征，并且满足一定条件的，则可合并</w:t>
      </w:r>
      <w:r>
        <w:rPr>
          <w:spacing w:val="-42"/>
        </w:rPr>
        <w:t> </w:t>
      </w:r>
      <w:r>
        <w:rPr>
          <w:spacing w:val="-42"/>
        </w:rPr>
      </w:r>
      <w:r>
        <w:rPr/>
        <w:t>为一个经营分部。</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bookmarkStart w:name="44、重要会计政策和会计估计变更" w:id="241"/>
      <w:bookmarkEnd w:id="241"/>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42"/>
      <w:bookmarkEnd w:id="24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1246" w:lineRule="exact"/>
        <w:ind w:left="3340"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59.35pt;height:62.35pt;mso-position-horizontal-relative:char;mso-position-vertical-relative:line" coordorigin="0,0" coordsize="1187,1247">
            <v:group style="position:absolute;left:0;top:0;width:1187;height:1247" coordorigin="0,0" coordsize="1187,1247">
              <v:shape style="position:absolute;left:0;top:0;width:1187;height:1247" coordorigin="0,0" coordsize="1187,1247" path="m0,1247l1187,1247,1187,0,0,0,0,1247xe" filled="true" fillcolor="#ffffff" stroked="false">
                <v:path arrowok="t"/>
                <v:fill type="solid"/>
              </v:shape>
            </v:group>
          </v:group>
        </w:pict>
      </w:r>
      <w:r>
        <w:rPr>
          <w:rFonts w:ascii="宋体" w:hAnsi="宋体" w:cs="宋体" w:eastAsia="宋体" w:hint="default"/>
          <w:position w:val="-2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0"/>
        <w:ind w:left="0" w:right="1142"/>
        <w:jc w:val="right"/>
      </w:pPr>
      <w:r>
        <w:rPr/>
        <w:pict>
          <v:shape style="position:absolute;margin-left:56.325001pt;margin-top:-266.483276pt;width:480.25pt;height:282.2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9"/>
                    <w:gridCol w:w="1201"/>
                    <w:gridCol w:w="5181"/>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1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3"/>
                          <w:ind w:left="15" w:right="-43"/>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）资产负债表中</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应收票据及应收账款</w:t>
                        </w:r>
                        <w:r>
                          <w:rPr>
                            <w:rFonts w:ascii="宋体" w:hAnsi="宋体" w:cs="宋体" w:eastAsia="宋体" w:hint="default"/>
                            <w:spacing w:val="-82"/>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15" w:right="8"/>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合并报表：</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w:t>
                        </w:r>
                        <w:r>
                          <w:rPr>
                            <w:rFonts w:ascii="宋体" w:hAnsi="宋体" w:cs="宋体" w:eastAsia="宋体" w:hint="default"/>
                            <w:spacing w:val="-66"/>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w:t>
                        </w:r>
                        <w:r>
                          <w:rPr>
                            <w:rFonts w:ascii="宋体" w:hAnsi="宋体" w:cs="宋体" w:eastAsia="宋体" w:hint="default"/>
                            <w:spacing w:val="-88"/>
                            <w:sz w:val="18"/>
                            <w:szCs w:val="18"/>
                          </w:rPr>
                          <w:t> </w:t>
                        </w: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620,552,755.95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w:t>
                        </w:r>
                        <w:r>
                          <w:rPr>
                            <w:rFonts w:ascii="宋体" w:hAnsi="宋体" w:cs="宋体" w:eastAsia="宋体" w:hint="default"/>
                            <w:spacing w:val="-88"/>
                            <w:sz w:val="18"/>
                            <w:szCs w:val="18"/>
                          </w:rPr>
                          <w:t> </w:t>
                        </w:r>
                        <w:r>
                          <w:rPr>
                            <w:rFonts w:ascii="宋体" w:hAnsi="宋体" w:cs="宋体" w:eastAsia="宋体" w:hint="default"/>
                            <w:sz w:val="18"/>
                            <w:szCs w:val="18"/>
                          </w:rPr>
                          <w:t>年末余额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317,862,623.47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元。母公司报表：</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p>
                      <w:p>
                        <w:pPr>
                          <w:pStyle w:val="TableParagraph"/>
                          <w:spacing w:line="302" w:lineRule="auto" w:before="1"/>
                          <w:ind w:left="15" w:right="14"/>
                          <w:jc w:val="left"/>
                          <w:rPr>
                            <w:rFonts w:ascii="宋体" w:hAnsi="宋体" w:cs="宋体" w:eastAsia="宋体" w:hint="default"/>
                            <w:sz w:val="18"/>
                            <w:szCs w:val="18"/>
                          </w:rPr>
                        </w:pP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元，</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4,960,018.01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 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10,685,014.71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3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0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）在利润表中投资收益项下新增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w:t>
                        </w:r>
                        <w:r>
                          <w:rPr>
                            <w:rFonts w:ascii="宋体" w:hAnsi="宋体" w:cs="宋体" w:eastAsia="宋体" w:hint="default"/>
                            <w:spacing w:val="-87"/>
                            <w:sz w:val="18"/>
                            <w:szCs w:val="18"/>
                          </w:rPr>
                          <w:t> </w:t>
                        </w:r>
                        <w:r>
                          <w:rPr>
                            <w:rFonts w:ascii="宋体" w:hAnsi="宋体" w:cs="宋体" w:eastAsia="宋体" w:hint="default"/>
                            <w:sz w:val="18"/>
                            <w:szCs w:val="18"/>
                          </w:rPr>
                          <w:t>中：以摊余成本计量的金融资产终止确</w:t>
                        </w:r>
                      </w:p>
                      <w:p>
                        <w:pPr>
                          <w:pStyle w:val="TableParagraph"/>
                          <w:spacing w:line="240" w:lineRule="auto" w:before="67"/>
                          <w:ind w:left="15" w:right="0"/>
                          <w:jc w:val="left"/>
                          <w:rPr>
                            <w:rFonts w:ascii="宋体" w:hAnsi="宋体" w:cs="宋体" w:eastAsia="宋体" w:hint="default"/>
                            <w:sz w:val="18"/>
                            <w:szCs w:val="18"/>
                          </w:rPr>
                        </w:pPr>
                        <w:r>
                          <w:rPr>
                            <w:rFonts w:ascii="宋体" w:hAnsi="宋体" w:cs="宋体" w:eastAsia="宋体" w:hint="default"/>
                            <w:sz w:val="18"/>
                            <w:szCs w:val="18"/>
                          </w:rPr>
                          <w:t>认收益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项目。比较数据不调整。</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292"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2" w:lineRule="auto"/>
                          <w:ind w:left="15" w:right="10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）可供出售权益工具投资重分类为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合并报表：可供出售金融资产：减少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100,153,850.00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元；其他非流</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动金融资产：增加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109,041,334.15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元；递延所得税资产：减少</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1,241,998.12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元；留存收益：增加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7,645,486.03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元。母公司报表：</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可供出售金融资产：减少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87,500,000.00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元；其他非流动金融资产</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1201"/>
        <w:gridCol w:w="5181"/>
      </w:tblGrid>
      <w:tr>
        <w:trPr>
          <w:trHeight w:val="675" w:hRule="exact"/>
        </w:trPr>
        <w:tc>
          <w:tcPr>
            <w:tcW w:w="319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92,467,992.47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元；递延所得税资产：减少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1,241,998.12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留存收益：增加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3,725,994.35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96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97" w:lineRule="auto"/>
              <w:ind w:left="15" w:right="31"/>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）短期投资从其他流动资产重分类为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合并报表：交易性金融资产：增加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1,566,036,218.89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元；其他流动</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宋体" w:hAnsi="宋体" w:cs="宋体" w:eastAsia="宋体" w:hint="default"/>
                <w:spacing w:val="-90"/>
                <w:sz w:val="18"/>
                <w:szCs w:val="18"/>
              </w:rPr>
              <w:t>：</w:t>
            </w: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1,553,267,194</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44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递延所得税资产</w:t>
            </w:r>
            <w:r>
              <w:rPr>
                <w:rFonts w:ascii="宋体" w:hAnsi="宋体" w:cs="宋体" w:eastAsia="宋体" w:hint="default"/>
                <w:spacing w:val="-90"/>
                <w:sz w:val="18"/>
                <w:szCs w:val="18"/>
              </w:rPr>
              <w:t>：</w:t>
            </w:r>
            <w:r>
              <w:rPr>
                <w:rFonts w:ascii="宋体" w:hAnsi="宋体" w:cs="宋体" w:eastAsia="宋体" w:hint="default"/>
                <w:sz w:val="18"/>
                <w:szCs w:val="18"/>
              </w:rPr>
              <w:t>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1,720,448.18</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元；递延所得税负债：增加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482,038.64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元；留存收益：增加</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10,566,537.63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元。母公司报表：交易性金融资产：增加</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257,831,414.14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元；其他流动资产：减少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255,300,000.00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元；递延</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所得税资产：减少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632,853.53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元；留存收益：增加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1,898,560.61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15" w:right="30"/>
              <w:jc w:val="left"/>
              <w:rPr>
                <w:rFonts w:ascii="Times New Roman" w:hAnsi="Times New Roman" w:cs="Times New Roman" w:eastAsia="Times New Roman"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5</w:t>
            </w:r>
            <w:r>
              <w:rPr>
                <w:rFonts w:ascii="宋体" w:hAnsi="宋体" w:cs="宋体" w:eastAsia="宋体" w:hint="default"/>
                <w:spacing w:val="-5"/>
                <w:w w:val="99"/>
                <w:sz w:val="18"/>
                <w:szCs w:val="18"/>
              </w:rPr>
              <w:t>）其他非流动资产重分类为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以摊余成</w:t>
            </w:r>
            <w:r>
              <w:rPr>
                <w:rFonts w:ascii="宋体" w:hAnsi="宋体" w:cs="宋体" w:eastAsia="宋体" w:hint="default"/>
                <w:spacing w:val="-82"/>
                <w:w w:val="99"/>
                <w:sz w:val="18"/>
                <w:szCs w:val="18"/>
              </w:rPr>
              <w:t> </w:t>
            </w:r>
            <w:r>
              <w:rPr>
                <w:rFonts w:ascii="宋体" w:hAnsi="宋体" w:cs="宋体" w:eastAsia="宋体" w:hint="default"/>
                <w:sz w:val="18"/>
                <w:szCs w:val="18"/>
              </w:rPr>
              <w:t>本计量的金融资产</w:t>
            </w:r>
            <w:r>
              <w:rPr>
                <w:rFonts w:ascii="Times New Roman" w:hAnsi="Times New Roman" w:cs="Times New Roman" w:eastAsia="Times New Roman" w:hint="default"/>
                <w:sz w:val="18"/>
                <w:szCs w:val="18"/>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29"/>
              <w:jc w:val="left"/>
              <w:rPr>
                <w:rFonts w:ascii="宋体" w:hAnsi="宋体" w:cs="宋体" w:eastAsia="宋体" w:hint="default"/>
                <w:sz w:val="18"/>
                <w:szCs w:val="18"/>
              </w:rPr>
            </w:pPr>
            <w:r>
              <w:rPr>
                <w:rFonts w:ascii="宋体" w:hAnsi="宋体" w:cs="宋体" w:eastAsia="宋体" w:hint="default"/>
                <w:sz w:val="18"/>
                <w:szCs w:val="18"/>
              </w:rPr>
              <w:t>合并报表：其他非流动资产：减少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元；债权投资：</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100,000,000.00 </w:t>
            </w:r>
            <w:r>
              <w:rPr>
                <w:rFonts w:ascii="宋体" w:hAnsi="宋体" w:cs="宋体" w:eastAsia="宋体" w:hint="default"/>
                <w:sz w:val="18"/>
                <w:szCs w:val="18"/>
              </w:rPr>
              <w:t>元。母公司报表：其他非流动资产：减少</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元；债权投资：增加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96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88" w:lineRule="auto"/>
              <w:ind w:left="15"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计</w:t>
            </w:r>
            <w:r>
              <w:rPr>
                <w:rFonts w:ascii="宋体" w:hAnsi="宋体" w:cs="宋体" w:eastAsia="宋体" w:hint="default"/>
                <w:spacing w:val="-86"/>
                <w:sz w:val="18"/>
                <w:szCs w:val="18"/>
              </w:rPr>
              <w:t> </w:t>
            </w:r>
            <w:r>
              <w:rPr>
                <w:rFonts w:ascii="宋体" w:hAnsi="宋体" w:cs="宋体" w:eastAsia="宋体" w:hint="default"/>
                <w:sz w:val="18"/>
                <w:szCs w:val="18"/>
              </w:rPr>
              <w:t>提预期信用损失准备。</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合并报表：应收账款：减少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6,634,965.87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元；其他应收款：减少</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512,666.88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元；一年内到期的非流动资产：减少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1,037,244.13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长期应收款：减少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1,563,565.64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元；发放贷款与垫款：减少</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182,182.18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元；递延所得税资产：增加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1,411,001.76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元；递延所得</w:t>
            </w:r>
          </w:p>
          <w:p>
            <w:pPr>
              <w:pStyle w:val="TableParagraph"/>
              <w:spacing w:line="273" w:lineRule="auto" w:before="66"/>
              <w:ind w:left="15" w:right="14"/>
              <w:jc w:val="left"/>
              <w:rPr>
                <w:rFonts w:ascii="宋体" w:hAnsi="宋体" w:cs="宋体" w:eastAsia="宋体" w:hint="default"/>
                <w:sz w:val="18"/>
                <w:szCs w:val="18"/>
              </w:rPr>
            </w:pPr>
            <w:r>
              <w:rPr>
                <w:rFonts w:ascii="宋体" w:hAnsi="宋体" w:cs="宋体" w:eastAsia="宋体" w:hint="default"/>
                <w:sz w:val="18"/>
                <w:szCs w:val="18"/>
              </w:rPr>
              <w:t>税负债：减少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66.92 </w:t>
            </w:r>
            <w:r>
              <w:rPr>
                <w:rFonts w:ascii="宋体" w:hAnsi="宋体" w:cs="宋体" w:eastAsia="宋体" w:hint="default"/>
                <w:sz w:val="18"/>
                <w:szCs w:val="18"/>
              </w:rPr>
              <w:t>元；留存收益：减少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8,519,556.02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 报表：无影响。</w:t>
            </w:r>
          </w:p>
        </w:tc>
      </w:tr>
    </w:tbl>
    <w:p>
      <w:pPr>
        <w:pStyle w:val="BodyText"/>
        <w:spacing w:line="304" w:lineRule="auto" w:before="0"/>
        <w:ind w:right="1119" w:firstLine="360"/>
        <w:jc w:val="left"/>
      </w:pPr>
      <w:r>
        <w:rPr/>
        <w:t>（</w:t>
      </w:r>
      <w:r>
        <w:rPr>
          <w:rFonts w:ascii="宋体" w:hAnsi="宋体" w:cs="宋体" w:eastAsia="宋体" w:hint="default"/>
        </w:rPr>
        <w:t>1</w:t>
      </w:r>
      <w:r>
        <w:rPr/>
        <w:t>）执行《财政部关于修订印发</w:t>
      </w:r>
      <w:r>
        <w:rPr>
          <w:rFonts w:ascii="宋体" w:hAnsi="宋体" w:cs="宋体" w:eastAsia="宋体" w:hint="default"/>
        </w:rPr>
        <w:t>2019</w:t>
      </w:r>
      <w:r>
        <w:rPr/>
        <w:t>年度一般企业财务报表格式的通知》和《关于修订印发合并财务报表格式（</w:t>
      </w:r>
      <w:r>
        <w:rPr>
          <w:rFonts w:ascii="宋体" w:hAnsi="宋体" w:cs="宋体" w:eastAsia="宋体" w:hint="default"/>
        </w:rPr>
        <w:t>2019 </w:t>
      </w:r>
      <w:r>
        <w:rPr/>
        <w:t>版）的通知》</w:t>
      </w:r>
    </w:p>
    <w:p>
      <w:pPr>
        <w:pStyle w:val="BodyText"/>
        <w:spacing w:line="240" w:lineRule="auto" w:before="31"/>
        <w:ind w:left="501" w:right="0"/>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2"/>
        </w:rPr>
        <w:t> </w:t>
      </w:r>
      <w:r>
        <w:rPr/>
        <w:t>发布了《关于修订印发</w:t>
      </w:r>
      <w:r>
        <w:rPr>
          <w:rFonts w:ascii="宋体" w:hAnsi="宋体" w:cs="宋体" w:eastAsia="宋体" w:hint="default"/>
        </w:rPr>
        <w:t>2019</w:t>
      </w:r>
      <w:r>
        <w:rPr/>
        <w:t>年度一般企业财务报表格式的通知》（财会</w:t>
      </w:r>
    </w:p>
    <w:p>
      <w:pPr>
        <w:pStyle w:val="BodyText"/>
        <w:spacing w:line="321" w:lineRule="auto" w:before="79"/>
        <w:ind w:right="1127"/>
        <w:jc w:val="both"/>
      </w:pPr>
      <w:r>
        <w:rPr/>
        <w:t>（</w:t>
      </w:r>
      <w:r>
        <w:rPr>
          <w:rFonts w:ascii="宋体" w:hAnsi="宋体" w:cs="宋体" w:eastAsia="宋体" w:hint="default"/>
        </w:rPr>
        <w:t>2019</w:t>
      </w:r>
      <w:r>
        <w:rPr/>
        <w:t>）</w:t>
      </w:r>
      <w:r>
        <w:rPr>
          <w:rFonts w:ascii="宋体" w:hAnsi="宋体" w:cs="宋体" w:eastAsia="宋体" w:hint="default"/>
        </w:rPr>
        <w:t>6</w:t>
      </w:r>
      <w:r>
        <w:rPr/>
        <w:t>号）和《关于修订印发合并财务报表格式（</w:t>
      </w:r>
      <w:r>
        <w:rPr>
          <w:rFonts w:ascii="宋体" w:hAnsi="宋体" w:cs="宋体" w:eastAsia="宋体" w:hint="default"/>
        </w:rPr>
        <w:t>2019</w:t>
      </w:r>
      <w:r>
        <w:rPr/>
        <w:t>版）的通知》（财会（</w:t>
      </w:r>
      <w:r>
        <w:rPr>
          <w:rFonts w:ascii="宋体" w:hAnsi="宋体" w:cs="宋体" w:eastAsia="宋体" w:hint="default"/>
        </w:rPr>
        <w:t>2019</w:t>
      </w:r>
      <w:r>
        <w:rPr/>
        <w:t>）</w:t>
      </w:r>
      <w:r>
        <w:rPr>
          <w:rFonts w:ascii="宋体" w:hAnsi="宋体" w:cs="宋体" w:eastAsia="宋体" w:hint="default"/>
        </w:rPr>
        <w:t>16</w:t>
      </w:r>
      <w:r>
        <w:rPr/>
        <w:t>号），对一般企业财务报表格式</w:t>
      </w:r>
      <w:r>
        <w:rPr>
          <w:spacing w:val="-85"/>
        </w:rPr>
        <w:t> </w:t>
      </w:r>
      <w:r>
        <w:rPr/>
        <w:t>进行了修订。</w:t>
      </w:r>
    </w:p>
    <w:p>
      <w:pPr>
        <w:pStyle w:val="BodyText"/>
        <w:spacing w:line="304" w:lineRule="auto" w:before="19"/>
        <w:ind w:right="1119" w:firstLine="360"/>
        <w:jc w:val="left"/>
      </w:pPr>
      <w:r>
        <w:rPr/>
        <w:t>（</w:t>
      </w:r>
      <w:r>
        <w:rPr>
          <w:rFonts w:ascii="宋体" w:hAnsi="宋体" w:cs="宋体" w:eastAsia="宋体" w:hint="default"/>
        </w:rPr>
        <w:t>2</w:t>
      </w:r>
      <w:r>
        <w:rPr/>
        <w:t>）执行《企业会计准则第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号——金融资产转移》、《企业会 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p>
    <w:p>
      <w:pPr>
        <w:pStyle w:val="BodyText"/>
        <w:spacing w:line="240" w:lineRule="auto" w:before="31"/>
        <w:ind w:left="501" w:right="0"/>
        <w:jc w:val="left"/>
      </w:pPr>
      <w:r>
        <w:rPr/>
        <w:t>财政部</w:t>
      </w:r>
      <w:r>
        <w:rPr>
          <w:spacing w:val="1"/>
        </w:rPr>
        <w:t>于</w:t>
      </w:r>
      <w:r>
        <w:rPr>
          <w:rFonts w:ascii="宋体" w:hAnsi="宋体" w:cs="宋体" w:eastAsia="宋体" w:hint="default"/>
        </w:rPr>
        <w:t>2017</w:t>
      </w:r>
      <w:r>
        <w:rPr/>
        <w:t>年度修订</w:t>
      </w:r>
      <w:r>
        <w:rPr>
          <w:spacing w:val="-90"/>
        </w:rPr>
        <w:t>了</w:t>
      </w:r>
      <w:r>
        <w:rPr/>
        <w:t>《企业会计准则</w:t>
      </w:r>
      <w:r>
        <w:rPr>
          <w:spacing w:val="3"/>
        </w:rPr>
        <w:t>第</w:t>
      </w:r>
      <w:r>
        <w:rPr>
          <w:rFonts w:ascii="宋体" w:hAnsi="宋体" w:cs="宋体" w:eastAsia="宋体" w:hint="default"/>
        </w:rPr>
        <w:t>22</w:t>
      </w:r>
      <w:r>
        <w:rPr/>
        <w:t>号——金融工具确认和计量</w:t>
      </w:r>
      <w:r>
        <w:rPr>
          <w:spacing w:val="-90"/>
        </w:rPr>
        <w:t>》</w:t>
      </w:r>
      <w:r>
        <w:rPr>
          <w:spacing w:val="-180"/>
        </w:rPr>
        <w:t>、</w:t>
      </w:r>
      <w:r>
        <w:rPr/>
        <w:t>《企业会计准则</w:t>
      </w:r>
      <w:r>
        <w:rPr>
          <w:spacing w:val="4"/>
        </w:rPr>
        <w:t>第</w:t>
      </w:r>
      <w:r>
        <w:rPr>
          <w:rFonts w:ascii="宋体" w:hAnsi="宋体" w:cs="宋体" w:eastAsia="宋体" w:hint="default"/>
        </w:rPr>
        <w:t>23</w:t>
      </w:r>
      <w:r>
        <w:rPr/>
        <w:t>号——金融资产转移</w:t>
      </w:r>
      <w:r>
        <w:rPr>
          <w:spacing w:val="-90"/>
        </w:rPr>
        <w:t>》</w:t>
      </w:r>
      <w:r>
        <w:rPr/>
        <w:t>、</w:t>
      </w:r>
    </w:p>
    <w:p>
      <w:pPr>
        <w:pStyle w:val="BodyText"/>
        <w:spacing w:line="321" w:lineRule="auto" w:before="79"/>
        <w:ind w:right="1114"/>
        <w:jc w:val="both"/>
      </w:pPr>
      <w:r>
        <w:rPr>
          <w:spacing w:val="-2"/>
        </w:rPr>
        <w:t>《企业会计准则第</w:t>
      </w:r>
      <w:r>
        <w:rPr>
          <w:rFonts w:ascii="宋体" w:hAnsi="宋体" w:cs="宋体" w:eastAsia="宋体" w:hint="default"/>
          <w:spacing w:val="-2"/>
        </w:rPr>
        <w:t>24</w:t>
      </w:r>
      <w:r>
        <w:rPr>
          <w:spacing w:val="-2"/>
        </w:rPr>
        <w:t>号——套期会计》和《企业会计准则第</w:t>
      </w:r>
      <w:r>
        <w:rPr>
          <w:rFonts w:ascii="宋体" w:hAnsi="宋体" w:cs="宋体" w:eastAsia="宋体" w:hint="default"/>
          <w:spacing w:val="-2"/>
        </w:rPr>
        <w:t>37</w:t>
      </w:r>
      <w:r>
        <w:rPr>
          <w:spacing w:val="-2"/>
        </w:rPr>
        <w:t>号——金融工具列报》。修订后的准则规定，对于首次执行日</w:t>
      </w:r>
      <w:r>
        <w:rPr>
          <w:spacing w:val="-50"/>
        </w:rPr>
        <w:t> </w:t>
      </w:r>
      <w:r>
        <w:rPr>
          <w:spacing w:val="-50"/>
        </w:rPr>
      </w:r>
      <w:r>
        <w:rPr>
          <w:spacing w:val="-2"/>
        </w:rPr>
        <w:t>尚未终止确认的金融工具，之前的确认和计量与修订后的准则要求不一致的，应当追溯调整。涉及前期比较财务报表数据与</w:t>
      </w:r>
      <w:r>
        <w:rPr>
          <w:spacing w:val="-75"/>
        </w:rPr>
        <w:t> </w:t>
      </w:r>
      <w:r>
        <w:rPr>
          <w:spacing w:val="-75"/>
        </w:rPr>
      </w:r>
      <w:r>
        <w:rPr/>
        <w:t>修订后的准则要求不一致的，无需调整。本公司将因追溯调整产生的累积影响数调整当年年初留存收益和其他综合收益。</w:t>
      </w:r>
    </w:p>
    <w:p>
      <w:pPr>
        <w:pStyle w:val="BodyText"/>
        <w:spacing w:line="321" w:lineRule="auto" w:before="3"/>
        <w:ind w:right="1119" w:firstLine="360"/>
        <w:jc w:val="left"/>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号的规定调整后的上年年末余额为基础，各项金融资产和金融负债按照修订 前后金融工具确认计量准则的规定进行分类和计量结果对比如下：</w:t>
      </w:r>
    </w:p>
    <w:p>
      <w:pPr>
        <w:pStyle w:val="BodyText"/>
        <w:spacing w:line="240" w:lineRule="auto" w:before="19"/>
        <w:ind w:left="501" w:right="0"/>
        <w:jc w:val="left"/>
      </w:pPr>
      <w:r>
        <w:rPr>
          <w:rFonts w:ascii="宋体" w:hAnsi="宋体" w:cs="宋体" w:eastAsia="宋体" w:hint="default"/>
        </w:rPr>
        <w:t>1</w:t>
      </w:r>
      <w:r>
        <w:rPr/>
        <w:t>）合并财务报表：</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502"/>
        <w:gridCol w:w="1366"/>
        <w:gridCol w:w="1637"/>
        <w:gridCol w:w="1637"/>
        <w:gridCol w:w="1908"/>
        <w:gridCol w:w="1622"/>
      </w:tblGrid>
      <w:tr>
        <w:trPr>
          <w:trHeight w:val="346" w:hRule="exact"/>
        </w:trPr>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3,482,843,345.27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3,482,843,345.27</w:t>
            </w:r>
          </w:p>
        </w:tc>
      </w:tr>
      <w:tr>
        <w:trPr>
          <w:trHeight w:val="36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620,552,755.95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613,917,790.08</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91,333,486.67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90,820,819.79</w:t>
            </w:r>
          </w:p>
        </w:tc>
      </w:tr>
      <w:tr>
        <w:trPr>
          <w:trHeight w:val="6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1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661,299,806.95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5"/>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内</w:t>
            </w:r>
            <w:r>
              <w:rPr>
                <w:rFonts w:ascii="宋体" w:hAnsi="宋体" w:cs="宋体" w:eastAsia="宋体" w:hint="default"/>
                <w:spacing w:val="-60"/>
                <w:sz w:val="18"/>
                <w:szCs w:val="18"/>
              </w:rPr>
              <w:t> </w:t>
            </w:r>
            <w:r>
              <w:rPr>
                <w:rFonts w:ascii="宋体" w:hAnsi="宋体" w:cs="宋体" w:eastAsia="宋体" w:hint="default"/>
                <w:spacing w:val="7"/>
                <w:sz w:val="18"/>
                <w:szCs w:val="18"/>
              </w:rPr>
              <w:t>到期</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z w:val="18"/>
                <w:szCs w:val="18"/>
              </w:rPr>
              <w:t> 动资产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660,262,562.82</w:t>
            </w:r>
          </w:p>
        </w:tc>
      </w:tr>
      <w:tr>
        <w:trPr>
          <w:trHeight w:val="676"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72"/>
              <w:ind w:left="345" w:right="0"/>
              <w:jc w:val="left"/>
              <w:rPr>
                <w:rFonts w:ascii="Times New Roman" w:hAnsi="Times New Roman" w:cs="Times New Roman" w:eastAsia="Times New Roman" w:hint="default"/>
                <w:sz w:val="18"/>
                <w:szCs w:val="18"/>
              </w:rPr>
            </w:pPr>
            <w:r>
              <w:rPr>
                <w:rFonts w:ascii="Times New Roman"/>
                <w:sz w:val="18"/>
              </w:rPr>
              <w:t>2,802,310,074.38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1"/>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1,566,036,218.89</w:t>
            </w:r>
          </w:p>
        </w:tc>
      </w:tr>
      <w:tr>
        <w:trPr>
          <w:trHeight w:val="345" w:hRule="exact"/>
        </w:trPr>
        <w:tc>
          <w:tcPr>
            <w:tcW w:w="1502"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1,249,042,879.94</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198,921,338.75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198,739,156.57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502"/>
        <w:gridCol w:w="1366"/>
        <w:gridCol w:w="1637"/>
        <w:gridCol w:w="1637"/>
        <w:gridCol w:w="1908"/>
        <w:gridCol w:w="1622"/>
      </w:tblGrid>
      <w:tr>
        <w:trPr>
          <w:trHeight w:val="6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w:t>
            </w:r>
            <w:r>
              <w:rPr>
                <w:rFonts w:ascii="宋体" w:hAnsi="宋体" w:cs="宋体" w:eastAsia="宋体" w:hint="default"/>
                <w:spacing w:val="-74"/>
                <w:sz w:val="18"/>
                <w:szCs w:val="18"/>
              </w:rPr>
              <w:t> </w:t>
            </w:r>
            <w:r>
              <w:rPr>
                <w:rFonts w:ascii="宋体" w:hAnsi="宋体" w:cs="宋体" w:eastAsia="宋体" w:hint="default"/>
                <w:sz w:val="18"/>
                <w:szCs w:val="18"/>
              </w:rPr>
              <w:t>工具</w:t>
            </w:r>
            <w:r>
              <w:rPr>
                <w:rFonts w:ascii="Times New Roman" w:hAnsi="Times New Roman" w:cs="Times New Roman" w:eastAsia="Times New Roman" w:hint="default"/>
                <w:sz w:val="18"/>
                <w:szCs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100,153,850.00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5"/>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pacing w:val="7"/>
                <w:sz w:val="18"/>
                <w:szCs w:val="18"/>
              </w:rPr>
              <w:t>流动</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1"/>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109,041,334.15</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741,734,448.95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740,170,883.31</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100,000,000.00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235" w:lineRule="exact" w:before="0"/>
        <w:ind w:left="501" w:right="0"/>
        <w:jc w:val="left"/>
      </w:pPr>
      <w:r>
        <w:rPr>
          <w:rFonts w:ascii="宋体" w:hAnsi="宋体" w:cs="宋体" w:eastAsia="宋体" w:hint="default"/>
        </w:rPr>
        <w:t>2</w:t>
      </w:r>
      <w:r>
        <w:rPr/>
        <w:t>）母公司财务报表：</w:t>
      </w:r>
    </w:p>
    <w:p>
      <w:pPr>
        <w:spacing w:line="240" w:lineRule="auto" w:before="1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502"/>
        <w:gridCol w:w="1366"/>
        <w:gridCol w:w="1637"/>
        <w:gridCol w:w="1637"/>
        <w:gridCol w:w="1908"/>
        <w:gridCol w:w="1622"/>
      </w:tblGrid>
      <w:tr>
        <w:trPr>
          <w:trHeight w:val="360" w:hRule="exact"/>
        </w:trPr>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8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364,293,103.00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364,293,103.00</w:t>
            </w:r>
          </w:p>
        </w:tc>
      </w:tr>
      <w:tr>
        <w:trPr>
          <w:trHeight w:val="34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4,960,018.01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4,960,018.01</w:t>
            </w:r>
          </w:p>
        </w:tc>
      </w:tr>
      <w:tr>
        <w:trPr>
          <w:trHeight w:val="3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20,238,524.36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20,238,524.36</w:t>
            </w:r>
          </w:p>
        </w:tc>
      </w:tr>
      <w:tr>
        <w:trPr>
          <w:trHeight w:val="661"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72"/>
              <w:ind w:left="480" w:right="0"/>
              <w:jc w:val="left"/>
              <w:rPr>
                <w:rFonts w:ascii="Times New Roman" w:hAnsi="Times New Roman" w:cs="Times New Roman" w:eastAsia="Times New Roman" w:hint="default"/>
                <w:sz w:val="18"/>
                <w:szCs w:val="18"/>
              </w:rPr>
            </w:pPr>
            <w:r>
              <w:rPr>
                <w:rFonts w:ascii="Times New Roman"/>
                <w:sz w:val="18"/>
              </w:rPr>
              <w:t>357,834,745.10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1"/>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257,831,414.14</w:t>
            </w:r>
          </w:p>
        </w:tc>
      </w:tr>
      <w:tr>
        <w:trPr>
          <w:trHeight w:val="345" w:hRule="exact"/>
        </w:trPr>
        <w:tc>
          <w:tcPr>
            <w:tcW w:w="1502"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102,534,745.10</w:t>
            </w:r>
          </w:p>
        </w:tc>
      </w:tr>
      <w:tr>
        <w:trPr>
          <w:trHeight w:val="67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30"/>
              <w:ind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w:t>
            </w:r>
            <w:r>
              <w:rPr>
                <w:rFonts w:ascii="宋体" w:hAnsi="宋体" w:cs="宋体" w:eastAsia="宋体" w:hint="default"/>
                <w:spacing w:val="-74"/>
                <w:sz w:val="18"/>
                <w:szCs w:val="18"/>
              </w:rPr>
              <w:t> </w:t>
            </w:r>
            <w:r>
              <w:rPr>
                <w:rFonts w:ascii="宋体" w:hAnsi="宋体" w:cs="宋体" w:eastAsia="宋体" w:hint="default"/>
                <w:sz w:val="18"/>
                <w:szCs w:val="18"/>
              </w:rPr>
              <w:t>工具</w:t>
            </w:r>
            <w:r>
              <w:rPr>
                <w:rFonts w:ascii="Times New Roman" w:hAnsi="Times New Roman" w:cs="Times New Roman" w:eastAsia="Times New Roman" w:hint="default"/>
                <w:sz w:val="18"/>
                <w:szCs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87,500,000.00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5"/>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pacing w:val="7"/>
                <w:sz w:val="18"/>
                <w:szCs w:val="18"/>
              </w:rPr>
              <w:t>流动</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1"/>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动计入当期损益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92,467,992.47</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100,000,000.00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321" w:lineRule="auto" w:before="0"/>
        <w:ind w:left="501" w:right="0"/>
        <w:jc w:val="left"/>
      </w:pPr>
      <w:r>
        <w:rPr/>
        <w:t>（</w:t>
      </w:r>
      <w:r>
        <w:rPr>
          <w:rFonts w:ascii="宋体" w:hAnsi="宋体" w:cs="宋体" w:eastAsia="宋体" w:hint="default"/>
        </w:rPr>
        <w:t>3</w:t>
      </w:r>
      <w:r>
        <w:rPr/>
        <w:t>）执行《企业会计准则第</w:t>
      </w:r>
      <w:r>
        <w:rPr>
          <w:rFonts w:ascii="宋体" w:hAnsi="宋体" w:cs="宋体" w:eastAsia="宋体" w:hint="default"/>
        </w:rPr>
        <w:t>7</w:t>
      </w:r>
      <w:r>
        <w:rPr/>
        <w:t>号——非货币性资产交换》（</w:t>
      </w:r>
      <w:r>
        <w:rPr>
          <w:rFonts w:ascii="宋体" w:hAnsi="宋体" w:cs="宋体" w:eastAsia="宋体" w:hint="default"/>
        </w:rPr>
        <w:t>2019</w:t>
      </w:r>
      <w:r>
        <w:rPr/>
        <w:t>修订）</w:t>
      </w:r>
      <w:r>
        <w:rPr>
          <w:spacing w:val="-86"/>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日发布了《企业会计准则第</w:t>
      </w:r>
      <w:r>
        <w:rPr>
          <w:rFonts w:ascii="宋体" w:hAnsi="宋体" w:cs="宋体" w:eastAsia="宋体" w:hint="default"/>
          <w:spacing w:val="-2"/>
        </w:rPr>
        <w:t>7</w:t>
      </w:r>
      <w:r>
        <w:rPr>
          <w:spacing w:val="-2"/>
        </w:rPr>
        <w:t>号——非货币性资产交换》（</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8</w:t>
      </w:r>
      <w:r>
        <w:rPr>
          <w:spacing w:val="-2"/>
        </w:rPr>
        <w:t>号），修订</w:t>
      </w:r>
    </w:p>
    <w:p>
      <w:pPr>
        <w:pStyle w:val="BodyText"/>
        <w:spacing w:line="321" w:lineRule="auto" w:before="18"/>
        <w:ind w:right="1133"/>
        <w:jc w:val="both"/>
      </w:pPr>
      <w:r>
        <w:rPr>
          <w:spacing w:val="-3"/>
        </w:rPr>
        <w:t>后的准则自</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10</w:t>
      </w:r>
      <w:r>
        <w:rPr>
          <w:spacing w:val="-3"/>
        </w:rPr>
        <w:t>日起施行，对</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日至本准则施行日之间发生的非货币性资产交换，应根据本准则进行调整。</w:t>
      </w:r>
      <w:r>
        <w:rPr>
          <w:spacing w:val="-86"/>
        </w:rPr>
        <w:t> </w:t>
      </w:r>
      <w:r>
        <w:rPr>
          <w:spacing w:val="-86"/>
        </w:rPr>
      </w:r>
      <w:r>
        <w:rPr>
          <w:spacing w:val="-2"/>
        </w:rPr>
        <w:t>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日之前发生的非货币性资产交换，不需要按照本准则的规定进行追溯调整。本公司执行上述准则在本报告期内</w:t>
      </w:r>
      <w:r>
        <w:rPr>
          <w:spacing w:val="-67"/>
        </w:rPr>
        <w:t> </w:t>
      </w:r>
      <w:r>
        <w:rPr>
          <w:spacing w:val="-67"/>
        </w:rPr>
      </w:r>
      <w:r>
        <w:rPr/>
        <w:t>无重大影响。</w:t>
      </w:r>
    </w:p>
    <w:p>
      <w:pPr>
        <w:pStyle w:val="BodyText"/>
        <w:spacing w:line="321" w:lineRule="auto" w:before="3"/>
        <w:ind w:left="501" w:right="0"/>
        <w:jc w:val="left"/>
      </w:pPr>
      <w:r>
        <w:rPr/>
        <w:t>（</w:t>
      </w:r>
      <w:r>
        <w:rPr>
          <w:rFonts w:ascii="宋体" w:hAnsi="宋体" w:cs="宋体" w:eastAsia="宋体" w:hint="default"/>
        </w:rPr>
        <w:t>4</w:t>
      </w:r>
      <w:r>
        <w:rPr/>
        <w:t>）执行《企业会计准则第</w:t>
      </w:r>
      <w:r>
        <w:rPr>
          <w:rFonts w:ascii="宋体" w:hAnsi="宋体" w:cs="宋体" w:eastAsia="宋体" w:hint="default"/>
        </w:rPr>
        <w:t>12</w:t>
      </w:r>
      <w:r>
        <w:rPr/>
        <w:t>号——债务重组》（</w:t>
      </w:r>
      <w:r>
        <w:rPr>
          <w:rFonts w:ascii="宋体" w:hAnsi="宋体" w:cs="宋体" w:eastAsia="宋体" w:hint="default"/>
        </w:rPr>
        <w:t>2019</w:t>
      </w:r>
      <w:r>
        <w:rPr/>
        <w:t>修订）</w:t>
      </w:r>
      <w:r>
        <w:rPr>
          <w:spacing w:val="-87"/>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日发布了《企业会计准则第</w:t>
      </w:r>
      <w:r>
        <w:rPr>
          <w:rFonts w:ascii="宋体" w:hAnsi="宋体" w:cs="宋体" w:eastAsia="宋体" w:hint="default"/>
          <w:spacing w:val="-2"/>
        </w:rPr>
        <w:t>12</w:t>
      </w:r>
      <w:r>
        <w:rPr>
          <w:spacing w:val="-2"/>
        </w:rPr>
        <w:t>号——债务重组》（</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9</w:t>
      </w:r>
      <w:r>
        <w:rPr>
          <w:spacing w:val="-2"/>
        </w:rPr>
        <w:t>号），修订后的准</w:t>
      </w:r>
    </w:p>
    <w:p>
      <w:pPr>
        <w:pStyle w:val="BodyText"/>
        <w:spacing w:line="321" w:lineRule="auto" w:before="18"/>
        <w:ind w:right="1124"/>
        <w:jc w:val="both"/>
      </w:pPr>
      <w:r>
        <w:rPr/>
        <w:t>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rFonts w:ascii="宋体" w:hAnsi="宋体" w:cs="宋体" w:eastAsia="宋体" w:hint="default"/>
          <w:spacing w:val="-83"/>
        </w:rPr>
        <w:t> </w:t>
      </w:r>
      <w:r>
        <w:rPr/>
        <w:t>日之前发生的债务重组，不需要按照本准则的规定进行追溯调整。本公司执行上述准则在本报告期内无重大影响。</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2）重要会计估计变更" w:id="243"/>
      <w:bookmarkEnd w:id="24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3）2019年起执行新金融工具准则、新收入准则或新租赁准则调整执行当年年初财务" w:id="244"/>
      <w:bookmarkEnd w:id="24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333"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1538" w:space="7398"/>
            <w:col w:w="197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171" w:right="0"/>
              <w:jc w:val="left"/>
              <w:rPr>
                <w:rFonts w:ascii="Times New Roman" w:hAnsi="Times New Roman" w:cs="Times New Roman" w:eastAsia="Times New Roman" w:hint="default"/>
                <w:sz w:val="18"/>
                <w:szCs w:val="18"/>
              </w:rPr>
            </w:pPr>
            <w:r>
              <w:rPr>
                <w:rFonts w:ascii="Times New Roman"/>
                <w:sz w:val="18"/>
              </w:rPr>
              <w:t>3,482,843,345.27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3,482,843,345.27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1,566,036,218.89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71" w:right="0"/>
              <w:jc w:val="left"/>
              <w:rPr>
                <w:rFonts w:ascii="Times New Roman" w:hAnsi="Times New Roman" w:cs="Times New Roman" w:eastAsia="Times New Roman" w:hint="default"/>
                <w:sz w:val="18"/>
                <w:szCs w:val="18"/>
              </w:rPr>
            </w:pPr>
            <w:r>
              <w:rPr>
                <w:rFonts w:ascii="Times New Roman"/>
                <w:sz w:val="18"/>
              </w:rPr>
              <w:t>1,566,036,218.89</w:t>
            </w:r>
          </w:p>
        </w:tc>
      </w:tr>
    </w:tbl>
    <w:p>
      <w:pPr>
        <w:spacing w:after="0" w:line="240" w:lineRule="auto"/>
        <w:jc w:val="lef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10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620,552,755.95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613,917,790.08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-6,634,965.87</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72,496,312.70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72,496,312.70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91,333,486.67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90,820,819.79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-512,666.88</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6,602,091.07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6,602,091.07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661,299,806.95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660,262,562.82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-1,037,244.13</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2,802,310,074.38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1,249,042,879.94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-1,553,267,194.44</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7,730,835,781.92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7,735,419,929.49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4,584,147.57</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198,921,338.75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198,739,156.57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-182,182.18</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100,153,850.00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-100,153,850.00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741,734,448.95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740,170,883.31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-1,563,565.64</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293,150,213.53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293,150,213.53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109,041,334.15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109,041,334.15</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71,811,802.47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71,811,802.47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2,350,607.36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2,350,607.36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2,408,185,626.08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2,408,185,626.08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35,360,220.37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35,360,220.37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93,248,987.84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91,697,543.30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-1,551,444.54</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-100,000,000.00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4,044,917,095.35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4,050,507,387.14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5,590,291.79</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11,775,752,877.27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11,785,927,316.63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10,174,439.36</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516,800,000.00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516,800,000.00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317,862,623.47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317,862,623.47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94,772,922.04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94,772,922.04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89,817,190.49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89,817,190.49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116,584,866.35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116,584,866.35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198,181,883.66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198,181,883.66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20,266,058.32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20,266,058.32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2,555,430.00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2,555,430.00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476,977,620.00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476,977,620.00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24,259,043.99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24,259,043.99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1,835,256,150.00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1,835,256,150.00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108,242,300.00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108,242,300.00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2,077,997.32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2,077,997.32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481,971.72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481,971.72</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610,320,297.32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610,802,269.04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481,971.72</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2,445,576,447.32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2,446,058,419.04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481,971.72</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4,442,964,822.00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4,442,964,822.00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1,784,399,149.32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1,784,399,149.32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318,332,502.59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318,332,502.59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90,504.27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90,504.27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130,641,715.90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131,204,171.40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562,455.50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3,275,910,090.23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3,285,040,102.37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9,130,012.14</w:t>
            </w:r>
          </w:p>
        </w:tc>
      </w:tr>
      <w:tr>
        <w:trPr>
          <w:trHeight w:val="7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9,315,673,779.13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9,325,366,246.77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9,692,467.64</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14,502,650.82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14,502,650.82</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9,330,176,429.95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9,339,868,897.59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9,692,467.64</w:t>
            </w: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11,775,752,877.27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11,785,927,316.63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10,174,439.36</w:t>
            </w:r>
          </w:p>
        </w:tc>
      </w:tr>
    </w:tbl>
    <w:p>
      <w:pPr>
        <w:pStyle w:val="BodyText"/>
        <w:spacing w:line="352" w:lineRule="auto"/>
        <w:ind w:right="9309"/>
        <w:jc w:val="left"/>
      </w:pPr>
      <w:r>
        <w:rPr/>
        <w:t>调整情况说明 母公司资产负债表</w:t>
      </w:r>
    </w:p>
    <w:p>
      <w:pPr>
        <w:pStyle w:val="BodyText"/>
        <w:spacing w:line="240" w:lineRule="auto" w:before="4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364,293,103.00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364,293,103.00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257,831,414.14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257,831,414.14</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4,960,018.01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4,960,018.01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6,149,644.56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6,149,644.56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20,238,524.36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20,238,524.36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6"/>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357,834,745.10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102,534,745.10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-255,300,000.00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753,476,035.03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756,007,449.17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2,531,414.14</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7"/>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87,500,000.00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-87,500,000.00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6,783,633,036.53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6,783,633,036.53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92,467,992.47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92,467,992.47</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9,449,225.37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9,449,225.37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35,360,220.37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35,360,220.37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8,341,466.60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6,466,614.95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-1,874,851.65</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100,000,000.00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7,024,283,948.87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7,027,377,089.69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3,093,140.82</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7,777,759,983.90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7,783,384,538.86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5,624,554.96</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10,685,014.71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10,685,014.71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2,050,919.81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2,050,919.81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1,493,080.79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1,493,080.79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284,967.16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284,967.16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147,009,405.15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147,009,405.15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18,750,000.00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18,750,000.00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2,555,430.00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2,555,430.00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209,977,620.00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209,977,620.00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1,262,631.41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1,262,631.41</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372,763,639.03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372,763,639.03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108,242,300.00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108,242,300.00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608,242,300.00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608,242,300.00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981,005,939.03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981,005,939.03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4,442,964,822.00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4,442,964,822.00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1,801,136,030.35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1,801,136,030.35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318,332,502.59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318,332,502.59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130,641,715.90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131,204,171.40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562,455.50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740,343,979.21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745,406,078.67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5,062,099.46</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6,796,754,044.87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6,802,378,599.83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5,624,554.96</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7,777,759,983.90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7,783,384,538.86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5,624,554.96</w:t>
            </w:r>
          </w:p>
        </w:tc>
      </w:tr>
    </w:tbl>
    <w:p>
      <w:pPr>
        <w:pStyle w:val="BodyText"/>
        <w:spacing w:line="240" w:lineRule="auto" w:before="45"/>
        <w:ind w:right="0"/>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2019年起执行新金融工具准则或新租赁准则追溯调整前期比较数据说明" w:id="245"/>
      <w:bookmarkEnd w:id="245"/>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spacing w:line="482" w:lineRule="auto" w:before="35"/>
        <w:ind w:left="141" w:right="8977" w:firstLine="0"/>
        <w:jc w:val="left"/>
        <w:rPr>
          <w:rFonts w:ascii="宋体" w:hAnsi="宋体" w:cs="宋体" w:eastAsia="宋体" w:hint="default"/>
          <w:sz w:val="21"/>
          <w:szCs w:val="21"/>
        </w:rPr>
      </w:pPr>
      <w:bookmarkStart w:name="45、其他" w:id="246"/>
      <w:bookmarkEnd w:id="246"/>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47"/>
      <w:bookmarkEnd w:id="24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48"/>
      <w:bookmarkEnd w:id="248"/>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税种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3" w:hRule="exact"/>
        </w:trPr>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9" w:type="dxa"/>
            <w:vMerge w:val="restart"/>
            <w:tcBorders>
              <w:top w:val="single" w:sz="6" w:space="0" w:color="000000"/>
              <w:left w:val="single" w:sz="12" w:space="0" w:color="D2D2D2"/>
              <w:right w:val="single" w:sz="6" w:space="0" w:color="000000"/>
            </w:tcBorders>
          </w:tcPr>
          <w:p>
            <w:pPr>
              <w:pStyle w:val="TableParagraph"/>
              <w:spacing w:line="316" w:lineRule="auto" w:before="45"/>
              <w:ind w:left="22" w:right="92"/>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90" w:hRule="exact"/>
        </w:trPr>
        <w:tc>
          <w:tcPr>
            <w:tcW w:w="318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vMerge/>
            <w:tcBorders>
              <w:left w:val="single" w:sz="12"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488" w:hRule="exact"/>
        </w:trPr>
        <w:tc>
          <w:tcPr>
            <w:tcW w:w="3184" w:type="dxa"/>
            <w:tcBorders>
              <w:top w:val="nil" w:sz="6" w:space="0" w:color="auto"/>
              <w:left w:val="single" w:sz="6" w:space="0" w:color="000000"/>
              <w:bottom w:val="single" w:sz="6" w:space="0" w:color="000000"/>
              <w:right w:val="single" w:sz="6" w:space="0" w:color="000000"/>
            </w:tcBorders>
            <w:shd w:val="clear" w:color="auto" w:fill="D2D2D2"/>
          </w:tcPr>
          <w:p>
            <w:pPr/>
          </w:p>
        </w:tc>
        <w:tc>
          <w:tcPr>
            <w:tcW w:w="3199" w:type="dxa"/>
            <w:vMerge/>
            <w:tcBorders>
              <w:left w:val="single" w:sz="12"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5"/>
        <w:ind w:right="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上海二三四五移动科技公司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二三四五（香港）有限公司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根据当地税法规定计缴企业所得税</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Ruifeng </w:t>
            </w:r>
            <w:r>
              <w:rPr>
                <w:rFonts w:ascii="Times New Roman"/>
                <w:spacing w:val="-3"/>
                <w:sz w:val="18"/>
              </w:rPr>
              <w:t>Technology  </w:t>
            </w:r>
            <w:r>
              <w:rPr>
                <w:rFonts w:ascii="Times New Roman"/>
                <w:sz w:val="18"/>
              </w:rPr>
              <w:t>Pte.</w:t>
            </w:r>
            <w:r>
              <w:rPr>
                <w:rFonts w:ascii="Times New Roman"/>
                <w:spacing w:val="-16"/>
                <w:sz w:val="18"/>
              </w:rPr>
              <w:t> </w:t>
            </w:r>
            <w:r>
              <w:rPr>
                <w:rFonts w:ascii="Times New Roman"/>
                <w:sz w:val="18"/>
              </w:rPr>
              <w:t>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根据当地税法规定计缴企业所得税</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Ruifeng </w:t>
            </w:r>
            <w:r>
              <w:rPr>
                <w:rFonts w:ascii="Times New Roman"/>
                <w:spacing w:val="-2"/>
                <w:sz w:val="18"/>
              </w:rPr>
              <w:t>Wealth </w:t>
            </w:r>
            <w:r>
              <w:rPr>
                <w:rFonts w:ascii="Times New Roman"/>
                <w:sz w:val="18"/>
              </w:rPr>
              <w:t>Management Pte.</w:t>
            </w:r>
            <w:r>
              <w:rPr>
                <w:rFonts w:ascii="Times New Roman"/>
                <w:spacing w:val="4"/>
                <w:sz w:val="18"/>
              </w:rPr>
              <w:t> </w:t>
            </w:r>
            <w:r>
              <w:rPr>
                <w:rFonts w:ascii="Times New Roman"/>
                <w:sz w:val="18"/>
              </w:rPr>
              <w:t>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根据当地税法规定计缴企业所得税</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z w:val="18"/>
              </w:rPr>
              <w:t>Ruifeng </w:t>
            </w:r>
            <w:r>
              <w:rPr>
                <w:rFonts w:ascii="Times New Roman"/>
                <w:spacing w:val="-3"/>
                <w:sz w:val="18"/>
              </w:rPr>
              <w:t>Technology  USA  </w:t>
            </w:r>
            <w:r>
              <w:rPr>
                <w:rFonts w:ascii="Times New Roman"/>
                <w:spacing w:val="18"/>
                <w:sz w:val="18"/>
              </w:rPr>
              <w:t> </w:t>
            </w:r>
            <w:r>
              <w:rPr>
                <w:rFonts w:ascii="Times New Roman"/>
                <w:sz w:val="18"/>
              </w:rPr>
              <w:t>INC</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根据当地税法规定计缴企业所得税</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上海二三四五大数据科技有限公司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集乐（上海）资产管理有限公司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曲水好融车网络科技有限公司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9%</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曲水惠车网络科技有限公司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曲水汇通信息服务有限公司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9%</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上海洪昇智能科技有限公司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芜湖畅想小额贷款有限公司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贵州融海融资担保有限公司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49"/>
      <w:bookmarkEnd w:id="24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37" w:firstLine="360"/>
        <w:jc w:val="both"/>
      </w:pPr>
      <w:r>
        <w:rPr>
          <w:rFonts w:ascii="宋体" w:hAnsi="宋体" w:cs="宋体" w:eastAsia="宋体" w:hint="default"/>
        </w:rPr>
        <w:t>1</w:t>
      </w:r>
      <w:r>
        <w:rPr/>
        <w:t>、本公司之子公司上海二三四五网络科技有限公司、上海二三四五移动科技有限公司、上海洪昇智能科技有限公司根 据国家重点软件企业税收优惠政策，</w:t>
      </w:r>
      <w:r>
        <w:rPr>
          <w:rFonts w:ascii="宋体" w:hAnsi="宋体" w:cs="宋体" w:eastAsia="宋体" w:hint="default"/>
        </w:rPr>
        <w:t>2019</w:t>
      </w:r>
      <w:r>
        <w:rPr/>
        <w:t>年度减按</w:t>
      </w:r>
      <w:r>
        <w:rPr>
          <w:rFonts w:ascii="宋体" w:hAnsi="宋体" w:cs="宋体" w:eastAsia="宋体" w:hint="default"/>
        </w:rPr>
        <w:t>10.00%</w:t>
      </w:r>
      <w:r>
        <w:rPr/>
        <w:t>税率征收企业所得税。</w:t>
      </w:r>
    </w:p>
    <w:p>
      <w:pPr>
        <w:pStyle w:val="BodyText"/>
        <w:spacing w:line="314" w:lineRule="auto" w:before="18"/>
        <w:ind w:right="1127" w:firstLine="360"/>
        <w:jc w:val="both"/>
      </w:pPr>
      <w:r>
        <w:rPr>
          <w:rFonts w:ascii="宋体" w:hAnsi="宋体" w:cs="宋体" w:eastAsia="宋体" w:hint="default"/>
        </w:rPr>
        <w:t>2</w:t>
      </w:r>
      <w:r>
        <w:rPr/>
        <w:t>、根据西藏自治区人民政府《西藏自治区企业所得税政策实施办法》（藏政发</w:t>
      </w:r>
      <w:r>
        <w:rPr>
          <w:rFonts w:ascii="宋体" w:hAnsi="宋体" w:cs="宋体" w:eastAsia="宋体" w:hint="default"/>
        </w:rPr>
        <w:t>[2014]51</w:t>
      </w:r>
      <w:r>
        <w:rPr/>
        <w:t>号）的规定：对设在西藏自治 区的各类企业（含西藏驻区外企业），在</w:t>
      </w:r>
      <w:r>
        <w:rPr>
          <w:rFonts w:ascii="宋体" w:hAnsi="宋体" w:cs="宋体" w:eastAsia="宋体" w:hint="default"/>
        </w:rPr>
        <w:t>2011</w:t>
      </w:r>
      <w:r>
        <w:rPr/>
        <w:t>年至</w:t>
      </w:r>
      <w:r>
        <w:rPr>
          <w:rFonts w:ascii="宋体" w:hAnsi="宋体" w:cs="宋体" w:eastAsia="宋体" w:hint="default"/>
        </w:rPr>
        <w:t>2020</w:t>
      </w:r>
      <w:r>
        <w:rPr/>
        <w:t>年期间，继续按</w:t>
      </w:r>
      <w:r>
        <w:rPr>
          <w:rFonts w:ascii="宋体" w:hAnsi="宋体" w:cs="宋体" w:eastAsia="宋体" w:hint="default"/>
        </w:rPr>
        <w:t>15%</w:t>
      </w:r>
      <w:r>
        <w:rPr/>
        <w:t>的税率征收企业所得税，本公司控股孙公司曲水</w:t>
      </w:r>
      <w:r>
        <w:rPr>
          <w:spacing w:val="-86"/>
        </w:rPr>
        <w:t> </w:t>
      </w:r>
      <w:r>
        <w:rPr/>
        <w:t>好融车网络科技有限公司和曲水汇通信息服务有限公司符合西藏自治区人民政府《西藏自治区招商引资优惠政策若干规定</w:t>
      </w:r>
    </w:p>
    <w:p>
      <w:pPr>
        <w:pStyle w:val="BodyText"/>
        <w:spacing w:line="321" w:lineRule="auto" w:before="24"/>
        <w:ind w:right="1209"/>
        <w:jc w:val="left"/>
      </w:pPr>
      <w:r>
        <w:rPr/>
        <w:t>（试行）》（藏政发〔</w:t>
      </w:r>
      <w:r>
        <w:rPr>
          <w:rFonts w:ascii="宋体" w:hAnsi="宋体" w:cs="宋体" w:eastAsia="宋体" w:hint="default"/>
        </w:rPr>
        <w:t>2018</w:t>
      </w:r>
      <w:r>
        <w:rPr/>
        <w:t>〕</w:t>
      </w:r>
      <w:r>
        <w:rPr>
          <w:rFonts w:ascii="宋体" w:hAnsi="宋体" w:cs="宋体" w:eastAsia="宋体" w:hint="default"/>
        </w:rPr>
        <w:t>25</w:t>
      </w:r>
      <w:r>
        <w:rPr/>
        <w:t>号）相关规定，自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12</w:t>
      </w:r>
      <w:r>
        <w:rPr/>
        <w:t>月</w:t>
      </w:r>
      <w:r>
        <w:rPr>
          <w:rFonts w:ascii="宋体" w:hAnsi="宋体" w:cs="宋体" w:eastAsia="宋体" w:hint="default"/>
        </w:rPr>
        <w:t>31</w:t>
      </w:r>
      <w:r>
        <w:rPr/>
        <w:t>日，免征企业所得税地方分享部分，</w:t>
      </w:r>
      <w:r>
        <w:rPr>
          <w:rFonts w:ascii="宋体" w:hAnsi="宋体" w:cs="宋体" w:eastAsia="宋体" w:hint="default"/>
        </w:rPr>
        <w:t>2019</w:t>
      </w:r>
      <w:r>
        <w:rPr>
          <w:rFonts w:ascii="宋体" w:hAnsi="宋体" w:cs="宋体" w:eastAsia="宋体" w:hint="default"/>
          <w:spacing w:val="-84"/>
        </w:rPr>
        <w:t> </w:t>
      </w:r>
      <w:r>
        <w:rPr/>
        <w:t>年度实际减按</w:t>
      </w:r>
      <w:r>
        <w:rPr>
          <w:rFonts w:ascii="宋体" w:hAnsi="宋体" w:cs="宋体" w:eastAsia="宋体" w:hint="default"/>
        </w:rPr>
        <w:t>9%</w:t>
      </w:r>
      <w:r>
        <w:rPr/>
        <w:t>税率征收企业所得税。</w:t>
      </w:r>
    </w:p>
    <w:p>
      <w:pPr>
        <w:pStyle w:val="BodyText"/>
        <w:spacing w:line="319" w:lineRule="auto" w:before="19"/>
        <w:ind w:right="1100" w:firstLine="360"/>
        <w:jc w:val="both"/>
      </w:pPr>
      <w:r>
        <w:rPr>
          <w:rFonts w:ascii="宋体" w:hAnsi="宋体" w:cs="宋体" w:eastAsia="宋体" w:hint="default"/>
          <w:spacing w:val="-4"/>
        </w:rPr>
        <w:t>3</w:t>
      </w:r>
      <w:r>
        <w:rPr>
          <w:spacing w:val="-4"/>
        </w:rPr>
        <w:t>、本公司控股孙公司广西快收信息科技有限公司经南宁市发展和改革委员会以《西部地区鼓励类产业项目书》（编号：</w:t>
      </w:r>
      <w:r>
        <w:rPr/>
        <w:t> 南发函</w:t>
      </w:r>
      <w:r>
        <w:rPr>
          <w:rFonts w:ascii="宋体" w:hAnsi="宋体" w:cs="宋体" w:eastAsia="宋体" w:hint="default"/>
        </w:rPr>
        <w:t>[2019]373</w:t>
      </w:r>
      <w:r>
        <w:rPr/>
        <w:t>号）认定为从事国家鼓励类产品的内资企业。根据财政部、海关总署、国家税务总局《关于深入实施西部</w:t>
      </w:r>
      <w:r>
        <w:rPr>
          <w:spacing w:val="-82"/>
        </w:rPr>
        <w:t> </w:t>
      </w:r>
      <w:r>
        <w:rPr>
          <w:spacing w:val="-82"/>
        </w:rPr>
      </w:r>
      <w:r>
        <w:rPr>
          <w:spacing w:val="-1"/>
        </w:rPr>
        <w:t>大开发战略有关税收政策问题的通知》（财税</w:t>
      </w:r>
      <w:r>
        <w:rPr>
          <w:rFonts w:ascii="宋体" w:hAnsi="宋体" w:cs="宋体" w:eastAsia="宋体" w:hint="default"/>
          <w:spacing w:val="-1"/>
        </w:rPr>
        <w:t>[2011]58</w:t>
      </w:r>
      <w:r>
        <w:rPr>
          <w:spacing w:val="-1"/>
        </w:rPr>
        <w:t>号）和《广西壮族自治区人民政府关于延续和修订促进广西北部湾经</w:t>
      </w:r>
      <w:r>
        <w:rPr/>
        <w:t> 济区开放开放若干政策规定的通知》（桂政发〔</w:t>
      </w:r>
      <w:r>
        <w:rPr>
          <w:rFonts w:ascii="宋体" w:hAnsi="宋体" w:cs="宋体" w:eastAsia="宋体" w:hint="default"/>
        </w:rPr>
        <w:t>2014</w:t>
      </w:r>
      <w:r>
        <w:rPr/>
        <w:t>〕</w:t>
      </w:r>
      <w:r>
        <w:rPr>
          <w:rFonts w:ascii="宋体" w:hAnsi="宋体" w:cs="宋体" w:eastAsia="宋体" w:hint="default"/>
        </w:rPr>
        <w:t>5</w:t>
      </w:r>
      <w:r>
        <w:rPr/>
        <w:t>号）规定，广西快收信息科技有限公司属于新办的享受国家西部大</w:t>
      </w:r>
      <w:r>
        <w:rPr>
          <w:spacing w:val="-86"/>
        </w:rPr>
        <w:t> </w:t>
      </w:r>
      <w:r>
        <w:rPr/>
        <w:t>开发减按</w:t>
      </w:r>
      <w:r>
        <w:rPr>
          <w:rFonts w:ascii="宋体" w:hAnsi="宋体" w:cs="宋体" w:eastAsia="宋体" w:hint="default"/>
        </w:rPr>
        <w:t>15%</w:t>
      </w:r>
      <w:r>
        <w:rPr/>
        <w:t>税率征收企业所得税的企业，享受免征属于地方分享部分的企业所得税的优惠，</w:t>
      </w:r>
      <w:r>
        <w:rPr>
          <w:rFonts w:ascii="宋体" w:hAnsi="宋体" w:cs="宋体" w:eastAsia="宋体" w:hint="default"/>
        </w:rPr>
        <w:t>2019</w:t>
      </w:r>
      <w:r>
        <w:rPr/>
        <w:t>年度实际减按</w:t>
      </w:r>
      <w:r>
        <w:rPr>
          <w:rFonts w:ascii="宋体" w:hAnsi="宋体" w:cs="宋体" w:eastAsia="宋体" w:hint="default"/>
        </w:rPr>
        <w:t>9%</w:t>
      </w:r>
      <w:r>
        <w:rPr/>
        <w:t>税率征收</w:t>
      </w:r>
      <w:r>
        <w:rPr>
          <w:spacing w:val="-81"/>
        </w:rPr>
        <w:t> </w:t>
      </w:r>
      <w:r>
        <w:rPr/>
        <w:t>企业所得税。</w:t>
      </w:r>
    </w:p>
    <w:p>
      <w:pPr>
        <w:pStyle w:val="BodyText"/>
        <w:spacing w:line="240" w:lineRule="auto" w:before="80"/>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26"/>
          <w:szCs w:val="26"/>
        </w:rPr>
      </w:pPr>
    </w:p>
    <w:p>
      <w:pPr>
        <w:spacing w:line="482" w:lineRule="auto" w:before="0"/>
        <w:ind w:left="141" w:right="7857" w:firstLine="0"/>
        <w:jc w:val="left"/>
        <w:rPr>
          <w:rFonts w:ascii="宋体" w:hAnsi="宋体" w:cs="宋体" w:eastAsia="宋体" w:hint="default"/>
          <w:sz w:val="21"/>
          <w:szCs w:val="21"/>
        </w:rPr>
      </w:pPr>
      <w:bookmarkStart w:name="3、其他" w:id="250"/>
      <w:bookmarkEnd w:id="2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51"/>
      <w:bookmarkEnd w:id="251"/>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bookmarkStart w:name="1、货币资金" w:id="252"/>
      <w:bookmarkEnd w:id="252"/>
      <w:r>
        <w:rPr>
          <w:rFonts w:ascii="宋体" w:hAnsi="宋体" w:cs="宋体" w:eastAsia="宋体" w:hint="default"/>
          <w:b/>
          <w:bCs/>
          <w:spacing w:val="-11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51,823.39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51,612.67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2,991,508,950.30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3,456,882,953.72</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1,111,042.01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25,908,778.88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2,992,671,815.70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3,482,843,345.27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933,402,636.88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216,332,880.32</w:t>
            </w:r>
          </w:p>
        </w:tc>
      </w:tr>
    </w:tbl>
    <w:p>
      <w:pPr>
        <w:pStyle w:val="BodyText"/>
        <w:spacing w:line="352" w:lineRule="auto"/>
        <w:ind w:right="2829"/>
        <w:jc w:val="left"/>
      </w:pPr>
      <w:r>
        <w:rPr/>
        <w:t>其他说明 其中因抵押、质押或冻结等对使用有限制，以及放在境外且资金汇回受到限制的货币资金明细如下：</w:t>
      </w:r>
    </w:p>
    <w:tbl>
      <w:tblPr>
        <w:tblW w:w="0" w:type="auto"/>
        <w:jc w:val="left"/>
        <w:tblInd w:w="111" w:type="dxa"/>
        <w:tblLayout w:type="fixed"/>
        <w:tblCellMar>
          <w:top w:w="0" w:type="dxa"/>
          <w:left w:w="0" w:type="dxa"/>
          <w:bottom w:w="0" w:type="dxa"/>
          <w:right w:w="0" w:type="dxa"/>
        </w:tblCellMar>
        <w:tblLook w:val="01E0"/>
      </w:tblPr>
      <w:tblGrid>
        <w:gridCol w:w="4130"/>
        <w:gridCol w:w="2778"/>
        <w:gridCol w:w="2763"/>
      </w:tblGrid>
      <w:tr>
        <w:trPr>
          <w:trHeight w:val="345"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60"/>
              <w:jc w:val="right"/>
              <w:rPr>
                <w:rFonts w:ascii="宋体" w:hAnsi="宋体" w:cs="宋体" w:eastAsia="宋体" w:hint="default"/>
                <w:sz w:val="18"/>
                <w:szCs w:val="18"/>
              </w:rPr>
            </w:pPr>
            <w:r>
              <w:rPr>
                <w:rFonts w:ascii="宋体" w:hAnsi="宋体" w:cs="宋体" w:eastAsia="宋体" w:hint="default"/>
                <w:sz w:val="18"/>
                <w:szCs w:val="18"/>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2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5"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信用卡保证金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z w:val="18"/>
              </w:rPr>
              <w:t>1,109,053.68</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z w:val="18"/>
              </w:rPr>
              <w:t>1,105,686.70</w:t>
            </w:r>
          </w:p>
        </w:tc>
      </w:tr>
      <w:tr>
        <w:trPr>
          <w:trHeight w:val="360"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z w:val="18"/>
              </w:rPr>
              <w:t>1,987.21</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24,790,972.71</w:t>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z w:val="18"/>
              </w:rPr>
              <w:t>1,000,000.00</w:t>
            </w:r>
          </w:p>
        </w:tc>
        <w:tc>
          <w:tcPr>
            <w:tcW w:w="2763"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60"/>
              <w:jc w:val="right"/>
              <w:rPr>
                <w:rFonts w:ascii="宋体" w:hAnsi="宋体" w:cs="宋体" w:eastAsia="宋体" w:hint="default"/>
                <w:sz w:val="18"/>
                <w:szCs w:val="18"/>
              </w:rPr>
            </w:pPr>
            <w:r>
              <w:rPr>
                <w:rFonts w:ascii="宋体" w:hAnsi="宋体" w:cs="宋体" w:eastAsia="宋体" w:hint="default"/>
                <w:sz w:val="18"/>
                <w:szCs w:val="18"/>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z w:val="18"/>
              </w:rPr>
              <w:t>2,111,040.89</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25,896,659.41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交易性金融资产" w:id="253"/>
      <w:bookmarkEnd w:id="25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2,311,641,578.54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1,566,036,218.89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995,048,001.16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1,362,423,731.39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资产管理计划及资产管理计划收益权</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465,925,804.88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信托计划及信托收益权</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339,131,175.93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167,970,174.18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资产证券化资产支持证券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268,625,918.81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242,910,677.76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35,642,313.32</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2,311,641,578.54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1,566,036,218.89</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衍生金融资产" w:id="254"/>
      <w:bookmarkEnd w:id="25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应收票据" w:id="255"/>
      <w:bookmarkEnd w:id="25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收票据分类列示" w:id="256"/>
      <w:bookmarkEnd w:id="25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1"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按单项计提坏账准备：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7659"/>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0"/>
        <w:jc w:val="left"/>
      </w:pPr>
      <w:r>
        <w:rPr/>
        <w:t>按组合计提坏账准备：</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57"/>
      <w:bookmarkEnd w:id="25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本期计提坏账准备情况：</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其中本期坏账准备收回或转回金额重要的：</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期末公司已质押的应收票据" w:id="258"/>
      <w:bookmarkEnd w:id="258"/>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已背书或贴现且在资产负债表日尚未到期的应收票据" w:id="259"/>
      <w:bookmarkEnd w:id="259"/>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期末公司因出票人未履约而将其转应收账款的票据" w:id="260"/>
      <w:bookmarkEnd w:id="260"/>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本期实际核销的应收票据情况" w:id="261"/>
      <w:bookmarkEnd w:id="261"/>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0"/>
        <w:jc w:val="left"/>
      </w:pPr>
      <w:r>
        <w:rPr/>
        <w:t>其中重要的应收票据核销情况：</w:t>
      </w:r>
    </w:p>
    <w:p>
      <w:pPr>
        <w:pStyle w:val="BodyText"/>
        <w:spacing w:line="240" w:lineRule="auto" w:before="125"/>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应收账款" w:id="262"/>
      <w:bookmarkEnd w:id="26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63"/>
      <w:bookmarkEnd w:id="26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81"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210"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494,044,</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517.93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45,595,5</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67.19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9.23%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448,448,9</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50.74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621,080,4</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35.65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7,162,645</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613,917,79</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0.08</w:t>
            </w:r>
          </w:p>
        </w:tc>
      </w:tr>
      <w:tr>
        <w:trPr>
          <w:trHeight w:val="39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494,044,</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517.93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45,595,5</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67.19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9.23%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448,448,9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50.74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621,080,4</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35.65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7,162,645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613,917,79</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0.08</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0"/>
        <w:jc w:val="left"/>
      </w:pPr>
      <w:r>
        <w:rPr/>
        <w:t>按组合计提坏账准备：</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4"/>
              <w:jc w:val="left"/>
              <w:rPr>
                <w:rFonts w:ascii="宋体" w:hAnsi="宋体" w:cs="宋体" w:eastAsia="宋体" w:hint="default"/>
                <w:sz w:val="18"/>
                <w:szCs w:val="18"/>
              </w:rPr>
            </w:pPr>
            <w:r>
              <w:rPr>
                <w:rFonts w:ascii="宋体" w:hAnsi="宋体" w:cs="宋体" w:eastAsia="宋体" w:hint="default"/>
                <w:sz w:val="18"/>
                <w:szCs w:val="18"/>
              </w:rPr>
              <w:t>互联网信息服务优质客户组 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164,678,557.70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4,940,356.74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4"/>
              <w:jc w:val="left"/>
              <w:rPr>
                <w:rFonts w:ascii="宋体" w:hAnsi="宋体" w:cs="宋体" w:eastAsia="宋体" w:hint="default"/>
                <w:sz w:val="18"/>
                <w:szCs w:val="18"/>
              </w:rPr>
            </w:pPr>
            <w:r>
              <w:rPr>
                <w:rFonts w:ascii="宋体" w:hAnsi="宋体" w:cs="宋体" w:eastAsia="宋体" w:hint="default"/>
                <w:sz w:val="18"/>
                <w:szCs w:val="18"/>
              </w:rPr>
              <w:t>互联网信息服务普通客户组 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75,617,960.23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3,033,433.16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4.01%</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商业金融组合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253,748,000.00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37,621,777.29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14.83%</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494,044,517.93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45,595,567.19</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ind w:right="8769"/>
        <w:jc w:val="left"/>
      </w:pPr>
      <w:r>
        <w:rPr/>
        <w:t>确定该组合依据的说明： 按组合计提坏账准备：</w:t>
      </w:r>
    </w:p>
    <w:p>
      <w:pPr>
        <w:pStyle w:val="BodyText"/>
        <w:spacing w:line="240" w:lineRule="auto" w:before="4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7194"/>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7" w:lineRule="auto" w:before="45"/>
        <w:ind w:right="1749"/>
        <w:jc w:val="left"/>
      </w:pPr>
      <w:r>
        <w:rPr/>
        <w:t>确定该组合依据的说明： 如是按照预期信用损失一般模型计提应收账款坏账准备，请参照其他应收款的披露方式披露坏账准备的相关信息：</w:t>
      </w:r>
    </w:p>
    <w:p>
      <w:pPr>
        <w:pStyle w:val="BodyText"/>
        <w:spacing w:line="333" w:lineRule="auto" w:before="29"/>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3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363,146,241.31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130,877,732.08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14,945.31</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5,599.23</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5,599.23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494,044,517.93</w:t>
            </w:r>
          </w:p>
        </w:tc>
      </w:tr>
    </w:tbl>
    <w:p>
      <w:pPr>
        <w:pStyle w:val="BodyText"/>
        <w:spacing w:line="240" w:lineRule="auto" w:before="60"/>
        <w:ind w:right="0"/>
        <w:jc w:val="left"/>
      </w:pPr>
      <w:r>
        <w:rPr/>
        <w:t>公司需要遵守《深圳证券交易所行业信息披露指引第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64"/>
      <w:bookmarkEnd w:id="26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互联网信息服务 优质客户组合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4,497,910.53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442,446.21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4,940,356.74</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互联网信息服务 普通客户组合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2,664,735.04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368,698.12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3,033,433.16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商业金融组合</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37,621,777.29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37,621,777.29</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7,162,645.57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38,432,921.62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45,595,567.19</w:t>
            </w:r>
          </w:p>
        </w:tc>
      </w:tr>
    </w:tbl>
    <w:p>
      <w:pPr>
        <w:pStyle w:val="BodyText"/>
        <w:spacing w:line="240" w:lineRule="auto" w:before="45"/>
        <w:ind w:right="0"/>
        <w:jc w:val="left"/>
      </w:pPr>
      <w:r>
        <w:rPr/>
        <w:t>其中本期坏账准备收回或转回金额重要的：</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65"/>
      <w:bookmarkEnd w:id="26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其中重要的应收账款核销情况：</w:t>
      </w:r>
    </w:p>
    <w:p>
      <w:pPr>
        <w:pStyle w:val="BodyText"/>
        <w:spacing w:line="240" w:lineRule="auto" w:before="109"/>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按欠款方归集的期末余额前五名的应收账款情况" w:id="266"/>
      <w:bookmarkEnd w:id="26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120,000,000.00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24.29%</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25,679,777.29</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24.29%</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1,164,000.00</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67,882,721.57</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13.74%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2,036,481.65</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43,803,395.06</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8.87%</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1,314,101.86</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22,746,810.80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4.60%</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682,479.75</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374,432,927.43</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75.79%</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因金融资产转移而终止确认的应收账款" w:id="267"/>
      <w:bookmarkEnd w:id="26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68"/>
      <w:bookmarkEnd w:id="26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应收款项融资" w:id="269"/>
      <w:bookmarkEnd w:id="269"/>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应收款项融资本期增减变动及公允价值变动情况</w:t>
      </w:r>
    </w:p>
    <w:p>
      <w:pPr>
        <w:pStyle w:val="BodyText"/>
        <w:spacing w:line="319" w:lineRule="auto" w:before="124"/>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如是按照预期信用损失一般模型计提应收款项融资减值准备，请参照其他应收款的披露方式披露减值准备的相关信息：</w:t>
      </w:r>
    </w:p>
    <w:p>
      <w:pPr>
        <w:pStyle w:val="BodyText"/>
        <w:spacing w:line="316" w:lineRule="auto" w:before="80"/>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7、预付款项" w:id="270"/>
      <w:bookmarkEnd w:id="270"/>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预付款项按账龄列示" w:id="271"/>
      <w:bookmarkEnd w:id="27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08"/>
        <w:gridCol w:w="1922"/>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2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3822" w:type="dxa"/>
            <w:gridSpan w:val="2"/>
            <w:vMerge/>
            <w:tcBorders>
              <w:left w:val="single" w:sz="6" w:space="0" w:color="000000"/>
              <w:bottom w:val="single" w:sz="6" w:space="0" w:color="000000"/>
              <w:right w:val="single" w:sz="6" w:space="0" w:color="000000"/>
            </w:tcBorders>
            <w:shd w:val="clear" w:color="auto" w:fill="D2D2D2"/>
          </w:tcPr>
          <w:p>
            <w:pPr/>
          </w:p>
        </w:tc>
        <w:tc>
          <w:tcPr>
            <w:tcW w:w="3845"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08"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841" w:right="0"/>
              <w:jc w:val="left"/>
              <w:rPr>
                <w:rFonts w:ascii="Times New Roman" w:hAnsi="Times New Roman" w:cs="Times New Roman" w:eastAsia="Times New Roman" w:hint="default"/>
                <w:sz w:val="18"/>
                <w:szCs w:val="18"/>
              </w:rPr>
            </w:pPr>
            <w:r>
              <w:rPr>
                <w:rFonts w:ascii="Times New Roman"/>
                <w:sz w:val="18"/>
              </w:rPr>
              <w:t>27,265,199.17</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98.15%</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6" w:right="0"/>
              <w:jc w:val="left"/>
              <w:rPr>
                <w:rFonts w:ascii="Times New Roman" w:hAnsi="Times New Roman" w:cs="Times New Roman" w:eastAsia="Times New Roman" w:hint="default"/>
                <w:sz w:val="18"/>
                <w:szCs w:val="18"/>
              </w:rPr>
            </w:pPr>
            <w:r>
              <w:rPr>
                <w:rFonts w:ascii="Times New Roman"/>
                <w:sz w:val="18"/>
              </w:rPr>
              <w:t>72,349,372.32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99.80%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514,651.11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1.85%</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146,940.38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27,779,850.28</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72,496,312.70</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2）按预付对象归集的期末余额前五名的预付款情况" w:id="272"/>
      <w:bookmarkEnd w:id="27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4371"/>
        <w:gridCol w:w="2178"/>
        <w:gridCol w:w="3124"/>
      </w:tblGrid>
      <w:tr>
        <w:trPr>
          <w:trHeight w:val="345" w:hRule="exact"/>
        </w:trPr>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p>
        </w:tc>
      </w:tr>
      <w:tr>
        <w:trPr>
          <w:trHeight w:val="421" w:hRule="exact"/>
        </w:trPr>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8,298,879.39</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29.87</w:t>
            </w:r>
          </w:p>
        </w:tc>
      </w:tr>
      <w:tr>
        <w:trPr>
          <w:trHeight w:val="435" w:hRule="exact"/>
        </w:trPr>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6,706,121.12</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24.14</w:t>
            </w:r>
          </w:p>
        </w:tc>
      </w:tr>
      <w:tr>
        <w:trPr>
          <w:trHeight w:val="420" w:hRule="exact"/>
        </w:trPr>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4,740,272.60</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17.06</w:t>
            </w:r>
          </w:p>
        </w:tc>
      </w:tr>
      <w:tr>
        <w:trPr>
          <w:trHeight w:val="436" w:hRule="exact"/>
        </w:trPr>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3,455,018.89</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12.44</w:t>
            </w:r>
          </w:p>
        </w:tc>
      </w:tr>
      <w:tr>
        <w:trPr>
          <w:trHeight w:val="421" w:hRule="exact"/>
        </w:trPr>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1,238,207.57</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4.46</w:t>
            </w:r>
          </w:p>
        </w:tc>
      </w:tr>
      <w:tr>
        <w:trPr>
          <w:trHeight w:val="345" w:hRule="exact"/>
        </w:trPr>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24,438,499.57</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87.97</w:t>
            </w:r>
          </w:p>
        </w:tc>
      </w:tr>
    </w:tbl>
    <w:p>
      <w:pPr>
        <w:spacing w:line="240" w:lineRule="auto" w:before="2"/>
        <w:rPr>
          <w:rFonts w:ascii="宋体" w:hAnsi="宋体" w:cs="宋体" w:eastAsia="宋体" w:hint="default"/>
          <w:b/>
          <w:bCs/>
          <w:sz w:val="24"/>
          <w:szCs w:val="24"/>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其他应收款" w:id="273"/>
      <w:bookmarkEnd w:id="273"/>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3,174,716.02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6,602,091.07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8,178,951.33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84,218,728.72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11,353,667.35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90,820,819.79</w:t>
            </w:r>
          </w:p>
        </w:tc>
      </w:tr>
    </w:tbl>
    <w:p>
      <w:pPr>
        <w:spacing w:line="240" w:lineRule="auto" w:before="11"/>
        <w:rPr>
          <w:rFonts w:ascii="宋体" w:hAnsi="宋体" w:cs="宋体" w:eastAsia="宋体" w:hint="default"/>
          <w:sz w:val="19"/>
          <w:szCs w:val="19"/>
        </w:rPr>
      </w:pPr>
    </w:p>
    <w:p>
      <w:pPr>
        <w:pStyle w:val="Heading3"/>
        <w:spacing w:line="508" w:lineRule="auto" w:before="35"/>
        <w:ind w:right="8409"/>
        <w:jc w:val="left"/>
        <w:rPr>
          <w:b w:val="0"/>
          <w:bCs w:val="0"/>
        </w:rPr>
      </w:pPr>
      <w:bookmarkStart w:name="（1）应收利息" w:id="274"/>
      <w:bookmarkEnd w:id="274"/>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275"/>
      <w:bookmarkEnd w:id="275"/>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55"/>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应收保理款利息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2,675,000.00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1,233,359.74</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发放贷款利息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499,716.02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5,368,731.33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3,174,716.02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6,602,091.07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76"/>
      <w:bookmarkEnd w:id="27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坏账准备计提情况" w:id="277"/>
      <w:bookmarkEnd w:id="27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496" w:lineRule="auto"/>
        <w:ind w:right="8409"/>
        <w:jc w:val="left"/>
        <w:rPr>
          <w:b w:val="0"/>
          <w:bCs w:val="0"/>
        </w:rPr>
      </w:pPr>
      <w:bookmarkStart w:name="（2）应收股利" w:id="278"/>
      <w:bookmarkEnd w:id="278"/>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279"/>
      <w:bookmarkEnd w:id="279"/>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80"/>
      <w:bookmarkEnd w:id="280"/>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坏账准备计提情况" w:id="281"/>
      <w:bookmarkEnd w:id="28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6"/>
        <w:rPr>
          <w:rFonts w:ascii="宋体" w:hAnsi="宋体" w:cs="宋体" w:eastAsia="宋体" w:hint="default"/>
          <w:sz w:val="25"/>
          <w:szCs w:val="25"/>
        </w:rPr>
      </w:pPr>
    </w:p>
    <w:p>
      <w:pPr>
        <w:pStyle w:val="Heading3"/>
        <w:spacing w:line="496" w:lineRule="auto"/>
        <w:ind w:right="7481"/>
        <w:jc w:val="left"/>
        <w:rPr>
          <w:b w:val="0"/>
          <w:bCs w:val="0"/>
        </w:rPr>
      </w:pPr>
      <w:bookmarkStart w:name="（3）其他应收款" w:id="282"/>
      <w:bookmarkEnd w:id="282"/>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83"/>
      <w:bookmarkEnd w:id="283"/>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5,895,664.95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5,781,320.49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第三方支付平台及其备付金组合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205,612.30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70,298,627.68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集团内部备用金、垫款组合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52,401.50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330,174.24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其他往来组合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14,476,975.77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12,586,318.38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20,630,654.52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88,996,440.79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坏账准备计提情况" w:id="284"/>
      <w:bookmarkEnd w:id="28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2118"/>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1802"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36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3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4,777,712.07</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4,777,712.07</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6" w:lineRule="auto" w:before="5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-4,400,000.00</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4,400,000.00</w:t>
            </w: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13,740,956.01</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13,740,956.01</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76,764.89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76,764.89</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5,990,200.00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5,990,200.00</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300,947.18</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12,150,756.01</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12,451,703.19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ind w:right="-20"/>
        <w:jc w:val="left"/>
      </w:pPr>
      <w:r>
        <w:rPr/>
        <w:t>损失准备本期变动金额重大的账面余额变动情况</w:t>
      </w:r>
    </w:p>
    <w:p>
      <w:pPr>
        <w:pStyle w:val="BodyText"/>
        <w:spacing w:line="331"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14,939,090.27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146,565.10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5,258,929.43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286,069.72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286,069.72</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20,630,654.52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收回或转回的坏账准备情况" w:id="285"/>
      <w:bookmarkEnd w:id="28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186"/>
        <w:gridCol w:w="1307"/>
        <w:gridCol w:w="1096"/>
        <w:gridCol w:w="1742"/>
        <w:gridCol w:w="1727"/>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往来款组合</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4,777,712.07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13,740,956.01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76,764.89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5,990,200.00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12,451,703.19</w:t>
            </w: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4,777,712.07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13,740,956.01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76,764.89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5,990,200.00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12,451,703.19</w:t>
            </w:r>
          </w:p>
        </w:tc>
      </w:tr>
    </w:tbl>
    <w:p>
      <w:pPr>
        <w:pStyle w:val="BodyText"/>
        <w:spacing w:line="240" w:lineRule="auto"/>
        <w:ind w:right="0"/>
        <w:jc w:val="left"/>
      </w:pPr>
      <w:r>
        <w:rPr/>
        <w:t>其中本期坏账准备转回或收回金额重要的：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本期实际核销的其他应收款情况" w:id="286"/>
      <w:bookmarkEnd w:id="28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5,990,200.00</w:t>
            </w:r>
          </w:p>
        </w:tc>
      </w:tr>
    </w:tbl>
    <w:p>
      <w:pPr>
        <w:pStyle w:val="BodyText"/>
        <w:spacing w:line="240" w:lineRule="auto" w:before="45"/>
        <w:ind w:right="0"/>
        <w:jc w:val="left"/>
      </w:pPr>
      <w:r>
        <w:rPr/>
        <w:t>其中重要的其他应收款核销情况：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华商云信用保险股 份有限公司（筹）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5,990,200.00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总经理办公会决议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5,990,200.00</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按欠款方归集的期末余额前五名的其他应收款情况" w:id="287"/>
      <w:bookmarkEnd w:id="28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重庆市华森心时代 实业有限公司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7,150,756.01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34.66%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7,150,756.01</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left"/>
              <w:rPr>
                <w:rFonts w:ascii="宋体" w:hAnsi="宋体" w:cs="宋体" w:eastAsia="宋体" w:hint="default"/>
                <w:sz w:val="18"/>
                <w:szCs w:val="18"/>
              </w:rPr>
            </w:pPr>
            <w:r>
              <w:rPr>
                <w:rFonts w:ascii="宋体" w:hAnsi="宋体" w:cs="宋体" w:eastAsia="宋体" w:hint="default"/>
                <w:sz w:val="18"/>
                <w:szCs w:val="18"/>
              </w:rPr>
              <w:t>浙江嘉霖文化传媒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24.24%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pacing w:val="-10"/>
                <w:sz w:val="18"/>
                <w:szCs w:val="18"/>
              </w:rPr>
              <w:t>上海张江（集团）有</w:t>
            </w:r>
            <w:r>
              <w:rPr>
                <w:rFonts w:ascii="宋体" w:hAnsi="宋体" w:cs="宋体" w:eastAsia="宋体" w:hint="default"/>
                <w:sz w:val="18"/>
                <w:szCs w:val="18"/>
              </w:rPr>
              <w:t> 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4,945,739.00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23.97%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中金支付有限公司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19"/>
              <w:jc w:val="left"/>
              <w:rPr>
                <w:rFonts w:ascii="宋体" w:hAnsi="宋体" w:cs="宋体" w:eastAsia="宋体" w:hint="default"/>
                <w:sz w:val="18"/>
                <w:szCs w:val="18"/>
              </w:rPr>
            </w:pPr>
            <w:r>
              <w:rPr>
                <w:rFonts w:ascii="宋体" w:hAnsi="宋体" w:cs="宋体" w:eastAsia="宋体" w:hint="default"/>
                <w:sz w:val="18"/>
                <w:szCs w:val="18"/>
              </w:rPr>
              <w:t>第三方支付平台及 备付金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166,047.78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0.80%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中金支付有限公司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959,611.69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w w:val="95"/>
                <w:sz w:val="18"/>
              </w:rPr>
              <w:t>4.65%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47,980.58</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通联支付网络服务 股份有限公司辽宁 分公司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19"/>
              <w:jc w:val="left"/>
              <w:rPr>
                <w:rFonts w:ascii="宋体" w:hAnsi="宋体" w:cs="宋体" w:eastAsia="宋体" w:hint="default"/>
                <w:sz w:val="18"/>
                <w:szCs w:val="18"/>
              </w:rPr>
            </w:pPr>
            <w:r>
              <w:rPr>
                <w:rFonts w:ascii="宋体" w:hAnsi="宋体" w:cs="宋体" w:eastAsia="宋体" w:hint="default"/>
                <w:sz w:val="18"/>
                <w:szCs w:val="18"/>
              </w:rPr>
              <w:t>第三方支付平台及 备付金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39,564.52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both"/>
              <w:rPr>
                <w:rFonts w:ascii="宋体" w:hAnsi="宋体" w:cs="宋体" w:eastAsia="宋体" w:hint="default"/>
                <w:sz w:val="18"/>
                <w:szCs w:val="18"/>
              </w:rPr>
            </w:pPr>
            <w:r>
              <w:rPr>
                <w:rFonts w:ascii="宋体" w:hAnsi="宋体" w:cs="宋体" w:eastAsia="宋体" w:hint="default"/>
                <w:sz w:val="18"/>
                <w:szCs w:val="18"/>
              </w:rPr>
              <w:t>通联支付网络服务 股份有限公司辽宁 分公司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366,562.99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1.78%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18,328.15</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18,628,281.99</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90.29%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12,217,064.74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88"/>
      <w:bookmarkEnd w:id="28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7）因金融资产转移而终止确认的其他应收款" w:id="289"/>
      <w:bookmarkEnd w:id="28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90"/>
      <w:bookmarkEnd w:id="29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9、存货" w:id="291"/>
      <w:bookmarkEnd w:id="291"/>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存货分类" w:id="292"/>
      <w:bookmarkEnd w:id="29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93"/>
      <w:bookmarkEnd w:id="29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94"/>
      <w:bookmarkEnd w:id="29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95"/>
      <w:bookmarkEnd w:id="29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0、合同资产" w:id="296"/>
      <w:bookmarkEnd w:id="296"/>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406"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ind w:right="0"/>
        <w:jc w:val="left"/>
      </w:pPr>
      <w:r>
        <w:rPr/>
        <w:t>合同资产的账面价值在本期内发生的重大变动金额和原因：</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6"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ind w:right="0"/>
        <w:jc w:val="left"/>
      </w:pPr>
      <w:r>
        <w:rPr/>
        <w:t>如是按照预期信用损失一般模型计提合同资产坏账准备，请参照其他应收款的披露方式披露坏账准备的相关信息：</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本期合同资产计提减值准备情况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11、持有待售资产" w:id="297"/>
      <w:bookmarkEnd w:id="297"/>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2、一年内到期的非流动资产" w:id="298"/>
      <w:bookmarkEnd w:id="29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汽车金融组合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720,608,600.22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460,907,375.06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商业金融组合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166,135,115.98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199,355,187.76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886,743,716.20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660,262,562.82</w:t>
            </w:r>
          </w:p>
        </w:tc>
      </w:tr>
    </w:tbl>
    <w:p>
      <w:pPr>
        <w:pStyle w:val="BodyText"/>
        <w:spacing w:line="240" w:lineRule="auto" w:before="59"/>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3、其他流动资产" w:id="299"/>
      <w:bookmarkEnd w:id="29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待退及预缴税金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53,604,030.46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24,895,718.02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第三方支付平台及其备付金组合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36,928,879.05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152,784,428.57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消费金融组合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6,834,048.52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971,362,733.35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商业金融组合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12,805,000.00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110,171,958.03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1,249,042,879.94</w:t>
            </w:r>
          </w:p>
        </w:tc>
      </w:tr>
    </w:tbl>
    <w:p>
      <w:pPr>
        <w:pStyle w:val="BodyText"/>
        <w:spacing w:line="240" w:lineRule="auto"/>
        <w:ind w:right="0"/>
        <w:jc w:val="left"/>
      </w:pPr>
      <w:r>
        <w:rPr/>
        <w:t>其他说明：</w:t>
      </w:r>
    </w:p>
    <w:p>
      <w:pPr>
        <w:pStyle w:val="BodyText"/>
        <w:spacing w:line="240" w:lineRule="auto" w:before="125"/>
        <w:ind w:right="0"/>
        <w:jc w:val="left"/>
      </w:pPr>
      <w:r>
        <w:rPr/>
        <w:t>根据公司与广西广投资产管理有限公司（以下简称</w:t>
      </w:r>
      <w:r>
        <w:rPr>
          <w:rFonts w:ascii="Times New Roman" w:hAnsi="Times New Roman" w:cs="Times New Roman" w:eastAsia="Times New Roman" w:hint="default"/>
        </w:rPr>
        <w:t>“</w:t>
      </w:r>
      <w:r>
        <w:rPr/>
        <w:t>广西广投</w:t>
      </w:r>
      <w:r>
        <w:rPr>
          <w:rFonts w:ascii="Times New Roman" w:hAnsi="Times New Roman" w:cs="Times New Roman" w:eastAsia="Times New Roman" w:hint="default"/>
        </w:rPr>
        <w:t>”</w:t>
      </w:r>
      <w:r>
        <w:rPr/>
        <w:t>）签订的债权转让合同，公司将截止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日短期消费</w:t>
      </w:r>
    </w:p>
    <w:p>
      <w:pPr>
        <w:spacing w:after="0" w:line="240" w:lineRule="auto"/>
        <w:jc w:val="left"/>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t>贷款余额</w:t>
      </w:r>
      <w:r>
        <w:rPr>
          <w:rFonts w:ascii="Times New Roman" w:hAnsi="Times New Roman" w:cs="Times New Roman" w:eastAsia="Times New Roman" w:hint="default"/>
        </w:rPr>
        <w:t>854,256,064.93</w:t>
      </w:r>
      <w:r>
        <w:rPr/>
        <w:t>元作价</w:t>
      </w:r>
      <w:r>
        <w:rPr>
          <w:rFonts w:ascii="Times New Roman" w:hAnsi="Times New Roman" w:cs="Times New Roman" w:eastAsia="Times New Roman" w:hint="default"/>
        </w:rPr>
        <w:t>6,834,048.52</w:t>
      </w:r>
      <w:r>
        <w:rPr/>
        <w:t>元转让给广西广投，公司已于期后收到上述债权转让款项。</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4、 发放贷款与垫款" w:id="300"/>
      <w:bookmarkEnd w:id="300"/>
      <w:r>
        <w:rPr>
          <w:b w:val="0"/>
          <w:bCs w:val="0"/>
        </w:rPr>
      </w:r>
      <w:r>
        <w:rPr>
          <w:rFonts w:ascii="Times New Roman" w:hAnsi="Times New Roman" w:cs="Times New Roman" w:eastAsia="Times New Roman" w:hint="default"/>
        </w:rPr>
        <w:t>14</w:t>
      </w:r>
      <w:r>
        <w:rPr/>
        <w:t>、</w:t>
      </w:r>
      <w:r>
        <w:rPr>
          <w:spacing w:val="-7"/>
        </w:rPr>
        <w:t> </w:t>
      </w:r>
      <w:r>
        <w:rPr>
          <w:spacing w:val="2"/>
        </w:rPr>
        <w:t>发放贷款与垫款</w:t>
      </w:r>
      <w:r>
        <w:rPr>
          <w:b w:val="0"/>
          <w:bCs w:val="0"/>
          <w:spacing w:val="2"/>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w:t>
      </w:r>
      <w:r>
        <w:rPr>
          <w:rFonts w:ascii="Times New Roman" w:hAnsi="Times New Roman" w:cs="Times New Roman" w:eastAsia="Times New Roman" w:hint="default"/>
        </w:rPr>
        <w:t>1</w:t>
      </w:r>
      <w:r>
        <w:rPr/>
        <w:t>）发放贷款与垫款分类</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42"/>
        <w:gridCol w:w="1277"/>
        <w:gridCol w:w="1277"/>
        <w:gridCol w:w="1411"/>
        <w:gridCol w:w="1427"/>
        <w:gridCol w:w="1412"/>
        <w:gridCol w:w="1427"/>
      </w:tblGrid>
      <w:tr>
        <w:trPr>
          <w:trHeight w:val="361" w:hRule="exact"/>
        </w:trPr>
        <w:tc>
          <w:tcPr>
            <w:tcW w:w="1442" w:type="dxa"/>
            <w:vMerge w:val="restart"/>
            <w:tcBorders>
              <w:top w:val="single" w:sz="6" w:space="0" w:color="000000"/>
              <w:left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期末余额（元）</w:t>
            </w:r>
          </w:p>
        </w:tc>
        <w:tc>
          <w:tcPr>
            <w:tcW w:w="42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期初余额（元）</w:t>
            </w:r>
          </w:p>
        </w:tc>
      </w:tr>
      <w:tr>
        <w:trPr>
          <w:trHeight w:val="345" w:hRule="exact"/>
        </w:trPr>
        <w:tc>
          <w:tcPr>
            <w:tcW w:w="1442"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0" w:hRule="exact"/>
        </w:trPr>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汽车金融组合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35" w:right="0"/>
              <w:jc w:val="left"/>
              <w:rPr>
                <w:rFonts w:ascii="Times New Roman" w:hAnsi="Times New Roman" w:cs="Times New Roman" w:eastAsia="Times New Roman" w:hint="default"/>
                <w:sz w:val="18"/>
                <w:szCs w:val="18"/>
              </w:rPr>
            </w:pPr>
            <w:r>
              <w:rPr>
                <w:rFonts w:ascii="Times New Roman"/>
                <w:sz w:val="18"/>
              </w:rPr>
              <w:t>111,226,520.48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15" w:right="0"/>
              <w:jc w:val="left"/>
              <w:rPr>
                <w:rFonts w:ascii="Times New Roman" w:hAnsi="Times New Roman" w:cs="Times New Roman" w:eastAsia="Times New Roman" w:hint="default"/>
                <w:sz w:val="18"/>
                <w:szCs w:val="18"/>
              </w:rPr>
            </w:pPr>
            <w:r>
              <w:rPr>
                <w:rFonts w:ascii="Times New Roman"/>
                <w:sz w:val="18"/>
              </w:rPr>
              <w:t>9,592,293.39</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69" w:right="0"/>
              <w:jc w:val="left"/>
              <w:rPr>
                <w:rFonts w:ascii="Times New Roman" w:hAnsi="Times New Roman" w:cs="Times New Roman" w:eastAsia="Times New Roman" w:hint="default"/>
                <w:sz w:val="18"/>
                <w:szCs w:val="18"/>
              </w:rPr>
            </w:pPr>
            <w:r>
              <w:rPr>
                <w:rFonts w:ascii="Times New Roman"/>
                <w:sz w:val="18"/>
              </w:rPr>
              <w:t>101,634,227.09</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0" w:right="0"/>
              <w:jc w:val="left"/>
              <w:rPr>
                <w:rFonts w:ascii="Times New Roman" w:hAnsi="Times New Roman" w:cs="Times New Roman" w:eastAsia="Times New Roman" w:hint="default"/>
                <w:sz w:val="18"/>
                <w:szCs w:val="18"/>
              </w:rPr>
            </w:pPr>
            <w:r>
              <w:rPr>
                <w:rFonts w:ascii="Times New Roman"/>
                <w:sz w:val="18"/>
              </w:rPr>
              <w:t>202,060,728.32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50" w:right="0"/>
              <w:jc w:val="left"/>
              <w:rPr>
                <w:rFonts w:ascii="Times New Roman" w:hAnsi="Times New Roman" w:cs="Times New Roman" w:eastAsia="Times New Roman" w:hint="default"/>
                <w:sz w:val="18"/>
                <w:szCs w:val="18"/>
              </w:rPr>
            </w:pPr>
            <w:r>
              <w:rPr>
                <w:rFonts w:ascii="Times New Roman"/>
                <w:sz w:val="18"/>
              </w:rPr>
              <w:t>3,321,571.75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5" w:right="0"/>
              <w:jc w:val="left"/>
              <w:rPr>
                <w:rFonts w:ascii="Times New Roman" w:hAnsi="Times New Roman" w:cs="Times New Roman" w:eastAsia="Times New Roman" w:hint="default"/>
                <w:sz w:val="18"/>
                <w:szCs w:val="18"/>
              </w:rPr>
            </w:pPr>
            <w:r>
              <w:rPr>
                <w:rFonts w:ascii="Times New Roman"/>
                <w:sz w:val="18"/>
              </w:rPr>
              <w:t>198,739,156.57</w:t>
            </w:r>
          </w:p>
        </w:tc>
      </w:tr>
    </w:tbl>
    <w:p>
      <w:pPr>
        <w:pStyle w:val="BodyText"/>
        <w:spacing w:line="240" w:lineRule="auto" w:before="15"/>
        <w:ind w:right="0"/>
        <w:jc w:val="left"/>
      </w:pPr>
      <w:r>
        <w:rPr/>
        <w:t>（</w:t>
      </w:r>
      <w:r>
        <w:rPr>
          <w:rFonts w:ascii="Times New Roman" w:hAnsi="Times New Roman" w:cs="Times New Roman" w:eastAsia="Times New Roman" w:hint="default"/>
        </w:rPr>
        <w:t>2</w:t>
      </w:r>
      <w:r>
        <w:rPr/>
        <w:t>）发放贷款与垫款坏账准备</w:t>
      </w:r>
    </w:p>
    <w:p>
      <w:pPr>
        <w:spacing w:line="240" w:lineRule="auto" w:before="1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637"/>
        <w:gridCol w:w="1411"/>
        <w:gridCol w:w="1397"/>
        <w:gridCol w:w="1412"/>
        <w:gridCol w:w="1232"/>
        <w:gridCol w:w="1186"/>
        <w:gridCol w:w="1397"/>
      </w:tblGrid>
      <w:tr>
        <w:trPr>
          <w:trHeight w:val="345" w:hRule="exact"/>
        </w:trPr>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411" w:type="dxa"/>
            <w:vMerge w:val="restart"/>
            <w:tcBorders>
              <w:top w:val="single" w:sz="6" w:space="0" w:color="000000"/>
              <w:left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上年年末余额</w:t>
            </w:r>
          </w:p>
          <w:p>
            <w:pPr>
              <w:pStyle w:val="TableParagraph"/>
              <w:spacing w:line="240" w:lineRule="auto" w:before="80"/>
              <w:ind w:right="13"/>
              <w:jc w:val="center"/>
              <w:rPr>
                <w:rFonts w:ascii="宋体" w:hAnsi="宋体" w:cs="宋体" w:eastAsia="宋体" w:hint="default"/>
                <w:sz w:val="18"/>
                <w:szCs w:val="18"/>
              </w:rPr>
            </w:pPr>
            <w:r>
              <w:rPr>
                <w:rFonts w:ascii="宋体" w:hAnsi="宋体" w:cs="宋体" w:eastAsia="宋体" w:hint="default"/>
                <w:sz w:val="18"/>
                <w:szCs w:val="18"/>
              </w:rPr>
              <w:t>（元）</w:t>
            </w:r>
          </w:p>
        </w:tc>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14"/>
              <w:ind w:left="60" w:right="0"/>
              <w:jc w:val="left"/>
              <w:rPr>
                <w:rFonts w:ascii="宋体" w:hAnsi="宋体" w:cs="宋体" w:eastAsia="宋体" w:hint="default"/>
                <w:sz w:val="18"/>
                <w:szCs w:val="18"/>
              </w:rPr>
            </w:pPr>
            <w:r>
              <w:rPr>
                <w:rFonts w:ascii="宋体" w:hAnsi="宋体" w:cs="宋体" w:eastAsia="宋体" w:hint="default"/>
                <w:sz w:val="18"/>
                <w:szCs w:val="18"/>
              </w:rPr>
              <w:t>年初余额（元）</w:t>
            </w:r>
          </w:p>
        </w:tc>
        <w:tc>
          <w:tcPr>
            <w:tcW w:w="383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96" w:right="0"/>
              <w:jc w:val="left"/>
              <w:rPr>
                <w:rFonts w:ascii="宋体" w:hAnsi="宋体" w:cs="宋体" w:eastAsia="宋体" w:hint="default"/>
                <w:sz w:val="18"/>
                <w:szCs w:val="18"/>
              </w:rPr>
            </w:pPr>
            <w:r>
              <w:rPr>
                <w:rFonts w:ascii="宋体" w:hAnsi="宋体" w:cs="宋体" w:eastAsia="宋体" w:hint="default"/>
                <w:sz w:val="18"/>
                <w:szCs w:val="18"/>
              </w:rPr>
              <w:t>本期变动金额（元）</w:t>
            </w:r>
          </w:p>
        </w:tc>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14"/>
              <w:ind w:left="60" w:right="0"/>
              <w:jc w:val="left"/>
              <w:rPr>
                <w:rFonts w:ascii="宋体" w:hAnsi="宋体" w:cs="宋体" w:eastAsia="宋体" w:hint="default"/>
                <w:sz w:val="18"/>
                <w:szCs w:val="18"/>
              </w:rPr>
            </w:pPr>
            <w:r>
              <w:rPr>
                <w:rFonts w:ascii="宋体" w:hAnsi="宋体" w:cs="宋体" w:eastAsia="宋体" w:hint="default"/>
                <w:sz w:val="18"/>
                <w:szCs w:val="18"/>
              </w:rPr>
              <w:t>期末余额（元）</w:t>
            </w:r>
          </w:p>
        </w:tc>
      </w:tr>
      <w:tr>
        <w:trPr>
          <w:trHeight w:val="360" w:hRule="exact"/>
        </w:trPr>
        <w:tc>
          <w:tcPr>
            <w:tcW w:w="1637" w:type="dxa"/>
            <w:vMerge/>
            <w:tcBorders>
              <w:left w:val="single" w:sz="6" w:space="0" w:color="000000"/>
              <w:bottom w:val="single" w:sz="6" w:space="0" w:color="000000"/>
              <w:right w:val="single" w:sz="6" w:space="0" w:color="000000"/>
            </w:tcBorders>
          </w:tcPr>
          <w:p>
            <w:pPr/>
          </w:p>
        </w:tc>
        <w:tc>
          <w:tcPr>
            <w:tcW w:w="1411" w:type="dxa"/>
            <w:vMerge/>
            <w:tcBorders>
              <w:left w:val="single" w:sz="6" w:space="0" w:color="000000"/>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4"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397" w:type="dxa"/>
            <w:vMerge/>
            <w:tcBorders>
              <w:left w:val="single" w:sz="6" w:space="0" w:color="000000"/>
              <w:bottom w:val="single" w:sz="6" w:space="0" w:color="000000"/>
              <w:right w:val="single" w:sz="6" w:space="0" w:color="000000"/>
            </w:tcBorders>
          </w:tcPr>
          <w:p>
            <w:pPr/>
          </w:p>
        </w:tc>
      </w:tr>
      <w:tr>
        <w:trPr>
          <w:trHeight w:val="36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0" w:right="0"/>
              <w:jc w:val="left"/>
              <w:rPr>
                <w:rFonts w:ascii="宋体" w:hAnsi="宋体" w:cs="宋体" w:eastAsia="宋体" w:hint="default"/>
                <w:sz w:val="18"/>
                <w:szCs w:val="18"/>
              </w:rPr>
            </w:pPr>
            <w:r>
              <w:rPr>
                <w:rFonts w:ascii="宋体" w:hAnsi="宋体" w:cs="宋体" w:eastAsia="宋体" w:hint="default"/>
                <w:sz w:val="18"/>
                <w:szCs w:val="18"/>
              </w:rPr>
              <w:t>汽车金融组合</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35" w:right="0"/>
              <w:jc w:val="left"/>
              <w:rPr>
                <w:rFonts w:ascii="Times New Roman" w:hAnsi="Times New Roman" w:cs="Times New Roman" w:eastAsia="Times New Roman" w:hint="default"/>
                <w:sz w:val="18"/>
                <w:szCs w:val="18"/>
              </w:rPr>
            </w:pPr>
            <w:r>
              <w:rPr>
                <w:rFonts w:ascii="Times New Roman"/>
                <w:sz w:val="18"/>
              </w:rPr>
              <w:t>3,139,389.57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36" w:right="0"/>
              <w:jc w:val="left"/>
              <w:rPr>
                <w:rFonts w:ascii="Times New Roman" w:hAnsi="Times New Roman" w:cs="Times New Roman" w:eastAsia="Times New Roman" w:hint="default"/>
                <w:sz w:val="18"/>
                <w:szCs w:val="18"/>
              </w:rPr>
            </w:pPr>
            <w:r>
              <w:rPr>
                <w:rFonts w:ascii="Times New Roman"/>
                <w:sz w:val="18"/>
              </w:rPr>
              <w:t>3,321,571.75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50" w:right="0"/>
              <w:jc w:val="left"/>
              <w:rPr>
                <w:rFonts w:ascii="Times New Roman" w:hAnsi="Times New Roman" w:cs="Times New Roman" w:eastAsia="Times New Roman" w:hint="default"/>
                <w:sz w:val="18"/>
                <w:szCs w:val="18"/>
              </w:rPr>
            </w:pPr>
            <w:r>
              <w:rPr>
                <w:rFonts w:ascii="Times New Roman"/>
                <w:sz w:val="18"/>
              </w:rPr>
              <w:t>6,270,721.64</w:t>
            </w:r>
          </w:p>
        </w:tc>
        <w:tc>
          <w:tcPr>
            <w:tcW w:w="123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36" w:right="0"/>
              <w:jc w:val="left"/>
              <w:rPr>
                <w:rFonts w:ascii="Times New Roman" w:hAnsi="Times New Roman" w:cs="Times New Roman" w:eastAsia="Times New Roman" w:hint="default"/>
                <w:sz w:val="18"/>
                <w:szCs w:val="18"/>
              </w:rPr>
            </w:pPr>
            <w:r>
              <w:rPr>
                <w:rFonts w:ascii="Times New Roman"/>
                <w:sz w:val="18"/>
              </w:rPr>
              <w:t>9,592,293.39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240" w:lineRule="auto" w:before="35"/>
        <w:ind w:right="0"/>
        <w:jc w:val="left"/>
        <w:rPr>
          <w:b w:val="0"/>
          <w:bCs w:val="0"/>
        </w:rPr>
      </w:pPr>
      <w:bookmarkStart w:name="15、债权投资" w:id="301"/>
      <w:bookmarkEnd w:id="301"/>
      <w:r>
        <w:rPr>
          <w:b w:val="0"/>
          <w:bCs w:val="0"/>
        </w:rPr>
      </w:r>
      <w:r>
        <w:rPr>
          <w:rFonts w:ascii="Times New Roman" w:hAnsi="Times New Roman" w:cs="Times New Roman" w:eastAsia="Times New Roman" w:hint="default"/>
        </w:rPr>
        <w:t>15</w:t>
      </w:r>
      <w:r>
        <w:rPr/>
        <w:t>、债权投资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香樟花园项目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459,958,636.86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4,508,000.00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455,450,636.86</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left"/>
              <w:rPr>
                <w:rFonts w:ascii="宋体" w:hAnsi="宋体" w:cs="宋体" w:eastAsia="宋体" w:hint="default"/>
                <w:sz w:val="18"/>
                <w:szCs w:val="18"/>
              </w:rPr>
            </w:pPr>
            <w:r>
              <w:rPr>
                <w:rFonts w:ascii="宋体" w:hAnsi="宋体" w:cs="宋体" w:eastAsia="宋体" w:hint="default"/>
                <w:sz w:val="18"/>
                <w:szCs w:val="18"/>
              </w:rPr>
              <w:t>渤海信托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开心 米奇单一资金信 托资产</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100,000,000.00</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459,958,636.86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4,508,000.00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455,450,636.86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240" w:lineRule="auto"/>
        <w:ind w:right="0"/>
        <w:jc w:val="left"/>
      </w:pPr>
      <w:r>
        <w:rPr/>
        <w:t>重要的债权投资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香樟花园项目</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450,800,000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9.00%</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9.95%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450,800,000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0"/>
        <w:jc w:val="left"/>
      </w:pPr>
      <w:r>
        <w:rPr/>
        <w:t>减值准备计提情况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4,508,000.00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4,508,000.00</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4,508,000.00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4,508,000.00</w:t>
            </w:r>
          </w:p>
        </w:tc>
      </w:tr>
    </w:tbl>
    <w:p>
      <w:pPr>
        <w:pStyle w:val="BodyText"/>
        <w:spacing w:line="240" w:lineRule="auto"/>
        <w:ind w:right="0"/>
        <w:jc w:val="left"/>
      </w:pPr>
      <w:r>
        <w:rPr/>
        <w:t>损失准备本期变动金额重大的账面余额变动情况</w:t>
      </w:r>
    </w:p>
    <w:p>
      <w:pPr>
        <w:pStyle w:val="BodyText"/>
        <w:spacing w:line="333" w:lineRule="auto" w:before="125"/>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16、其他债权投资" w:id="302"/>
      <w:bookmarkEnd w:id="302"/>
      <w:r>
        <w:rPr>
          <w:b w:val="0"/>
          <w:bCs w:val="0"/>
        </w:rPr>
      </w:r>
      <w:r>
        <w:rPr>
          <w:rFonts w:ascii="Times New Roman" w:hAnsi="Times New Roman" w:cs="Times New Roman" w:eastAsia="Times New Roman" w:hint="default"/>
        </w:rPr>
        <w:t>16</w:t>
      </w:r>
      <w:r>
        <w:rPr/>
        <w:t>、其他债权投资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60"/>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5"/>
        <w:ind w:right="0"/>
        <w:jc w:val="left"/>
      </w:pPr>
      <w:r>
        <w:rPr/>
        <w:t>重要的其他债权投资</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0"/>
        <w:jc w:val="left"/>
      </w:pPr>
      <w:r>
        <w:rPr/>
        <w:t>减值准备计提情况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ind w:right="0"/>
        <w:jc w:val="left"/>
      </w:pPr>
      <w:r>
        <w:rPr/>
        <w:t>损失准备本期变动金额重大的账面余额变动情况</w:t>
      </w:r>
    </w:p>
    <w:p>
      <w:pPr>
        <w:pStyle w:val="BodyText"/>
        <w:spacing w:line="331" w:lineRule="auto" w:before="125"/>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7、长期应收款" w:id="303"/>
      <w:bookmarkEnd w:id="303"/>
      <w:r>
        <w:rPr>
          <w:b w:val="0"/>
          <w:bCs w:val="0"/>
        </w:rPr>
      </w:r>
      <w:r>
        <w:rPr>
          <w:rFonts w:ascii="Times New Roman" w:hAnsi="Times New Roman" w:cs="Times New Roman" w:eastAsia="Times New Roman" w:hint="default"/>
        </w:rPr>
        <w:t>17</w:t>
      </w:r>
      <w:r>
        <w:rPr/>
        <w:t>、长期应收款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长期应收款情况" w:id="304"/>
      <w:bookmarkEnd w:id="30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390"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5"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汽车金融组合</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596,086,181.5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44,500,365.47</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551,585,816.0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691,005,985.1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2,608,007.14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688,397,978.0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5%-15%</w:t>
            </w:r>
          </w:p>
        </w:tc>
      </w:tr>
      <w:tr>
        <w:trPr>
          <w:trHeight w:val="70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商业金融组合</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200,000,000.0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1,970,000.00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198,030,000.0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51,772,905.26</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51,772,905.26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5%-15%</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50"/>
          <w:pgMar w:footer="981" w:header="731" w:top="1040" w:bottom="1180" w:left="1000" w:right="0"/>
          <w:pgNumType w:start="15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7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796,086,181.5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46,470,365.47</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749,615,816.0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742,778,890.4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2,608,007.14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740,170,883.3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坏账准备减值情况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0"/>
        <w:jc w:val="left"/>
      </w:pPr>
      <w:r>
        <w:rPr/>
        <w:t>损失准备本期变动金额重大的账面余额变动情况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2）因金融资产转移而终止确认的长期应收款" w:id="305"/>
      <w:bookmarkEnd w:id="30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3）转移长期应收款且继续涉入形成的资产、负债金额" w:id="306"/>
      <w:bookmarkEnd w:id="30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18、长期股权投资" w:id="307"/>
      <w:bookmarkEnd w:id="307"/>
      <w:r>
        <w:rPr>
          <w:b w:val="0"/>
          <w:bCs w:val="0"/>
        </w:rPr>
      </w:r>
      <w:r>
        <w:rPr>
          <w:rFonts w:ascii="Times New Roman" w:hAnsi="Times New Roman" w:cs="Times New Roman" w:eastAsia="Times New Roman" w:hint="default"/>
        </w:rPr>
        <w:t>18</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6"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7" w:lineRule="auto"/>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7"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宁波盛盈 信息服务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43,832,22</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7.29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-10,552,9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20.34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56,220,69</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3.05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-89,500,0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43,832,22</w:t>
            </w:r>
          </w:p>
          <w:p>
            <w:pPr>
              <w:pStyle w:val="TableParagraph"/>
              <w:spacing w:line="240" w:lineRule="auto" w:before="108"/>
              <w:ind w:left="443" w:right="0"/>
              <w:jc w:val="left"/>
              <w:rPr>
                <w:rFonts w:ascii="Times New Roman" w:hAnsi="Times New Roman" w:cs="Times New Roman" w:eastAsia="Times New Roman" w:hint="default"/>
                <w:sz w:val="18"/>
                <w:szCs w:val="18"/>
              </w:rPr>
            </w:pPr>
            <w:r>
              <w:rPr>
                <w:rFonts w:ascii="Times New Roman"/>
                <w:sz w:val="18"/>
              </w:rPr>
              <w:t>7.29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-10,552,9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20.34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56,220,69</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3.05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-89,500,0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昆山汇岭 互联网投 资企业</w:t>
            </w:r>
          </w:p>
          <w:p>
            <w:pPr>
              <w:pStyle w:val="TableParagraph"/>
              <w:spacing w:line="321" w:lineRule="auto" w:before="23"/>
              <w:ind w:left="15" w:right="45"/>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214,297,2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06.63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-211,612,</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681.99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-2,684,52</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4.64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99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上海杨浦 杨科小额 贷款股份</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35,020,77</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9.61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-1,520,29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4.84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-1,152,00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32,348,48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4.77</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6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众成融资 租赁（上 海）有限 公司</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863,720.3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30,863,72</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0.36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249,317,9</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86.24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-211,612,</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681.99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-3,341,09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9.12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-1,152,00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63,212,20</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5.13</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293,150,2</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13.53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-222,165,</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602.33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52,879,59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3.93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-90,652,0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63,212,20</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5.13</w:t>
            </w:r>
          </w:p>
        </w:tc>
        <w:tc>
          <w:tcPr>
            <w:tcW w:w="7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9、其他权益工具投资" w:id="308"/>
      <w:bookmarkEnd w:id="308"/>
      <w:r>
        <w:rPr>
          <w:b w:val="0"/>
          <w:bCs w:val="0"/>
        </w:rPr>
      </w:r>
      <w:r>
        <w:rPr>
          <w:rFonts w:ascii="Times New Roman" w:hAnsi="Times New Roman" w:cs="Times New Roman" w:eastAsia="Times New Roman" w:hint="default"/>
        </w:rPr>
        <w:t>19</w:t>
      </w:r>
      <w:r>
        <w:rPr/>
        <w:t>、其他权益工具投资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分项披露本期非交易性权益工具投资</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0、其他非流动金融资产" w:id="309"/>
      <w:bookmarkEnd w:id="309"/>
      <w:r>
        <w:rPr>
          <w:b w:val="0"/>
          <w:bCs w:val="0"/>
        </w:rPr>
      </w:r>
      <w:r>
        <w:rPr>
          <w:rFonts w:ascii="Times New Roman" w:hAnsi="Times New Roman" w:cs="Times New Roman" w:eastAsia="Times New Roman" w:hint="default"/>
        </w:rPr>
        <w:t>20</w:t>
      </w:r>
      <w:r>
        <w:rPr/>
        <w:t>、其他非流动金融资产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上海国方母基金一期股权投资合伙企业</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52,217,555.29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52,167,213.24</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2"/>
              <w:jc w:val="left"/>
              <w:rPr>
                <w:rFonts w:ascii="宋体" w:hAnsi="宋体" w:cs="宋体" w:eastAsia="宋体" w:hint="default"/>
                <w:sz w:val="18"/>
                <w:szCs w:val="18"/>
              </w:rPr>
            </w:pPr>
            <w:r>
              <w:rPr>
                <w:rFonts w:ascii="宋体" w:hAnsi="宋体" w:cs="宋体" w:eastAsia="宋体" w:hint="default"/>
                <w:sz w:val="18"/>
                <w:szCs w:val="18"/>
              </w:rPr>
              <w:t>南通蓝三古月创业投资合伙企业（有限 合伙）</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37,566,335.16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25,007,434.53</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谦翌德闰股权投资基金（上海）有限公 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16,379,823.63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15,293,344.70</w:t>
            </w:r>
          </w:p>
        </w:tc>
      </w:tr>
      <w:tr>
        <w:trPr>
          <w:trHeight w:val="72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91"/>
              <w:jc w:val="left"/>
              <w:rPr>
                <w:rFonts w:ascii="宋体" w:hAnsi="宋体" w:cs="宋体" w:eastAsia="宋体" w:hint="default"/>
                <w:sz w:val="18"/>
                <w:szCs w:val="18"/>
              </w:rPr>
            </w:pPr>
            <w:r>
              <w:rPr>
                <w:rFonts w:ascii="宋体" w:hAnsi="宋体" w:cs="宋体" w:eastAsia="宋体" w:hint="default"/>
                <w:sz w:val="18"/>
                <w:szCs w:val="18"/>
              </w:rPr>
              <w:t>平潭沣石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号投资管理合伙企业（有限 合伙）</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211,553,784.24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上海芯翌智能科技有限公司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53,282,947.41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pacing w:val="-3"/>
                <w:sz w:val="18"/>
              </w:rPr>
              <w:t>01VC </w:t>
            </w:r>
            <w:r>
              <w:rPr>
                <w:rFonts w:ascii="Times New Roman"/>
                <w:sz w:val="18"/>
              </w:rPr>
              <w:t>Fund I,</w:t>
            </w:r>
            <w:r>
              <w:rPr>
                <w:rFonts w:ascii="Times New Roman"/>
                <w:spacing w:val="8"/>
                <w:sz w:val="18"/>
              </w:rPr>
              <w:t> </w:t>
            </w:r>
            <w:r>
              <w:rPr>
                <w:rFonts w:ascii="Times New Roman"/>
                <w:spacing w:val="-4"/>
                <w:sz w:val="18"/>
              </w:rPr>
              <w:t>L.P.</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17,964,157.60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16,573,341.68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曲水净缘实业发展有限公司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992,996.18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上海信公企业管理咨询有限公司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上海掌亭网络科技有限公司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235,547.36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391,693,146.87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42" w:right="0"/>
              <w:jc w:val="left"/>
              <w:rPr>
                <w:rFonts w:ascii="Times New Roman" w:hAnsi="Times New Roman" w:cs="Times New Roman" w:eastAsia="Times New Roman" w:hint="default"/>
                <w:sz w:val="18"/>
                <w:szCs w:val="18"/>
              </w:rPr>
            </w:pPr>
            <w:r>
              <w:rPr>
                <w:rFonts w:ascii="Times New Roman"/>
                <w:sz w:val="18"/>
              </w:rPr>
              <w:t>109,041,334.15</w:t>
            </w:r>
          </w:p>
        </w:tc>
      </w:tr>
    </w:tbl>
    <w:p>
      <w:pPr>
        <w:pStyle w:val="BodyText"/>
        <w:spacing w:line="240" w:lineRule="auto"/>
        <w:ind w:right="0"/>
        <w:jc w:val="both"/>
      </w:pPr>
      <w:r>
        <w:rPr/>
        <w:t>其他说明：</w:t>
      </w:r>
    </w:p>
    <w:p>
      <w:pPr>
        <w:pStyle w:val="BodyText"/>
        <w:spacing w:line="297" w:lineRule="auto" w:before="125"/>
        <w:ind w:right="1097"/>
        <w:jc w:val="both"/>
      </w:pPr>
      <w:r>
        <w:rPr/>
        <w:t>（</w:t>
      </w:r>
      <w:r>
        <w:rPr>
          <w:rFonts w:ascii="Times New Roman" w:hAnsi="Times New Roman" w:cs="Times New Roman" w:eastAsia="Times New Roman" w:hint="default"/>
        </w:rPr>
        <w:t>1</w:t>
      </w:r>
      <w:r>
        <w:rPr/>
        <w:t>）公司对上海国方母基金一期股权投资合伙企业（有限合伙）（以下简称</w:t>
      </w:r>
      <w:r>
        <w:rPr>
          <w:rFonts w:ascii="Times New Roman" w:hAnsi="Times New Roman" w:cs="Times New Roman" w:eastAsia="Times New Roman" w:hint="default"/>
        </w:rPr>
        <w:t>“</w:t>
      </w:r>
      <w:r>
        <w:rPr/>
        <w:t>上海国方母基金</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5,000</w:t>
      </w:r>
      <w:r>
        <w:rPr/>
        <w:t>万元，持股比例</w:t>
      </w:r>
      <w:r>
        <w:rPr>
          <w:spacing w:val="-77"/>
        </w:rPr>
        <w:t> </w:t>
      </w:r>
      <w:r>
        <w:rPr>
          <w:rFonts w:ascii="Times New Roman" w:hAnsi="Times New Roman" w:cs="Times New Roman" w:eastAsia="Times New Roman" w:hint="default"/>
        </w:rPr>
        <w:t>2.22%</w:t>
      </w:r>
      <w:r>
        <w:rPr/>
        <w:t>，由于公司对上海国方母基金的投资无控制、共同控制及重大影响，公司将该项投资分类为以公允价值计量且其变动 计入当期损益的金融资产，并根据其流动性计入其他非流动金融资产。</w:t>
      </w:r>
    </w:p>
    <w:p>
      <w:pPr>
        <w:pStyle w:val="BodyText"/>
        <w:spacing w:line="297" w:lineRule="auto" w:before="51"/>
        <w:ind w:right="1096"/>
        <w:jc w:val="both"/>
      </w:pPr>
      <w:r>
        <w:rPr/>
        <w:t>（</w:t>
      </w:r>
      <w:r>
        <w:rPr>
          <w:rFonts w:ascii="Times New Roman" w:hAnsi="Times New Roman" w:cs="Times New Roman" w:eastAsia="Times New Roman" w:hint="default"/>
        </w:rPr>
        <w:t>2</w:t>
      </w:r>
      <w:r>
        <w:rPr/>
        <w:t>）公司对南通蓝三古月创业投资合伙企业（有限合伙）（以下简称</w:t>
      </w:r>
      <w:r>
        <w:rPr>
          <w:rFonts w:ascii="Times New Roman" w:hAnsi="Times New Roman" w:cs="Times New Roman" w:eastAsia="Times New Roman" w:hint="default"/>
        </w:rPr>
        <w:t>“</w:t>
      </w:r>
      <w:r>
        <w:rPr/>
        <w:t>蓝三古月</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3,000</w:t>
      </w:r>
      <w:r>
        <w:rPr/>
        <w:t>万元，持股比例</w:t>
      </w:r>
      <w:r>
        <w:rPr>
          <w:rFonts w:ascii="Times New Roman" w:hAnsi="Times New Roman" w:cs="Times New Roman" w:eastAsia="Times New Roman" w:hint="default"/>
        </w:rPr>
        <w:t>39.99%</w:t>
      </w:r>
      <w:r>
        <w:rPr/>
        <w:t>，由于 </w:t>
      </w:r>
      <w:r>
        <w:rPr>
          <w:spacing w:val="-2"/>
        </w:rPr>
        <w:t>公司对蓝三古月的投资无控制、共同控制及重大影响，公司将该项投资分类为以公允价值计量且其变动计入当期损益的金融</w:t>
      </w:r>
      <w:r>
        <w:rPr>
          <w:spacing w:val="-72"/>
        </w:rPr>
        <w:t> </w:t>
      </w:r>
      <w:r>
        <w:rPr>
          <w:spacing w:val="-72"/>
        </w:rPr>
      </w:r>
      <w:r>
        <w:rPr/>
        <w:t>资产，并根据其流动性计入其他非流动金融资产。</w:t>
      </w:r>
    </w:p>
    <w:p>
      <w:pPr>
        <w:pStyle w:val="BodyText"/>
        <w:spacing w:line="295" w:lineRule="auto" w:before="51"/>
        <w:ind w:right="1095"/>
        <w:jc w:val="both"/>
      </w:pPr>
      <w:r>
        <w:rPr/>
        <w:t>（</w:t>
      </w:r>
      <w:r>
        <w:rPr>
          <w:rFonts w:ascii="Times New Roman" w:hAnsi="Times New Roman" w:cs="Times New Roman" w:eastAsia="Times New Roman" w:hint="default"/>
        </w:rPr>
        <w:t>3</w:t>
      </w:r>
      <w:r>
        <w:rPr/>
        <w:t>）公司对谦翌德闰股权投资基金（上海）有限公司（以下简称</w:t>
      </w:r>
      <w:r>
        <w:rPr>
          <w:rFonts w:ascii="Times New Roman" w:hAnsi="Times New Roman" w:cs="Times New Roman" w:eastAsia="Times New Roman" w:hint="default"/>
        </w:rPr>
        <w:t>“</w:t>
      </w:r>
      <w:r>
        <w:rPr/>
        <w:t>谦翌德闰</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1,500</w:t>
      </w:r>
      <w:r>
        <w:rPr/>
        <w:t>万元，持股比例</w:t>
      </w:r>
      <w:r>
        <w:rPr>
          <w:rFonts w:ascii="Times New Roman" w:hAnsi="Times New Roman" w:cs="Times New Roman" w:eastAsia="Times New Roman" w:hint="default"/>
        </w:rPr>
        <w:t>15.00%</w:t>
      </w:r>
      <w:r>
        <w:rPr/>
        <w:t>，协议约定 公司可自实缴出资</w:t>
      </w:r>
      <w:r>
        <w:rPr>
          <w:rFonts w:ascii="Times New Roman" w:hAnsi="Times New Roman" w:cs="Times New Roman" w:eastAsia="Times New Roman" w:hint="default"/>
        </w:rPr>
        <w:t>3</w:t>
      </w:r>
      <w:r>
        <w:rPr/>
        <w:t>年后要求杨海宁回购本公司的投资，公司将该项投资及回购协议分类为以公允价值计量且其变动计入当 期损益的金融资产，并根据其流动性计入其他非流动金融资产。</w:t>
      </w:r>
    </w:p>
    <w:p>
      <w:pPr>
        <w:pStyle w:val="BodyText"/>
        <w:spacing w:line="297" w:lineRule="auto" w:before="53"/>
        <w:ind w:right="1094"/>
        <w:jc w:val="both"/>
      </w:pPr>
      <w:r>
        <w:rPr>
          <w:spacing w:val="-2"/>
        </w:rPr>
        <w:t>（</w:t>
      </w:r>
      <w:r>
        <w:rPr>
          <w:rFonts w:ascii="Times New Roman" w:hAnsi="Times New Roman" w:cs="Times New Roman" w:eastAsia="Times New Roman" w:hint="default"/>
          <w:spacing w:val="-2"/>
        </w:rPr>
        <w:t>4</w:t>
      </w:r>
      <w:r>
        <w:rPr>
          <w:spacing w:val="-2"/>
        </w:rPr>
        <w:t>）公司对平潭沣石</w:t>
      </w:r>
      <w:r>
        <w:rPr>
          <w:rFonts w:ascii="Times New Roman" w:hAnsi="Times New Roman" w:cs="Times New Roman" w:eastAsia="Times New Roman" w:hint="default"/>
          <w:spacing w:val="-2"/>
        </w:rPr>
        <w:t>1</w:t>
      </w:r>
      <w:r>
        <w:rPr>
          <w:spacing w:val="-2"/>
        </w:rPr>
        <w:t>号投资管理合伙企业（有限合伙）（以下简称</w:t>
      </w:r>
      <w:r>
        <w:rPr>
          <w:rFonts w:ascii="Times New Roman" w:hAnsi="Times New Roman" w:cs="Times New Roman" w:eastAsia="Times New Roman" w:hint="default"/>
          <w:spacing w:val="-2"/>
        </w:rPr>
        <w:t>“</w:t>
      </w:r>
      <w:r>
        <w:rPr>
          <w:spacing w:val="-2"/>
        </w:rPr>
        <w:t>平潭沣石</w:t>
      </w:r>
      <w:r>
        <w:rPr>
          <w:rFonts w:ascii="Times New Roman" w:hAnsi="Times New Roman" w:cs="Times New Roman" w:eastAsia="Times New Roman" w:hint="default"/>
          <w:spacing w:val="-2"/>
        </w:rPr>
        <w:t>”</w:t>
      </w:r>
      <w:r>
        <w:rPr>
          <w:spacing w:val="-2"/>
        </w:rPr>
        <w:t>）投资</w:t>
      </w:r>
      <w:r>
        <w:rPr>
          <w:rFonts w:ascii="Times New Roman" w:hAnsi="Times New Roman" w:cs="Times New Roman" w:eastAsia="Times New Roman" w:hint="default"/>
          <w:spacing w:val="-2"/>
        </w:rPr>
        <w:t>209,163,346.61</w:t>
      </w:r>
      <w:r>
        <w:rPr>
          <w:spacing w:val="-2"/>
        </w:rPr>
        <w:t>元，持股比例</w:t>
      </w:r>
      <w:r>
        <w:rPr>
          <w:rFonts w:ascii="Times New Roman" w:hAnsi="Times New Roman" w:cs="Times New Roman" w:eastAsia="Times New Roman" w:hint="default"/>
          <w:spacing w:val="-2"/>
        </w:rPr>
        <w:t>24.85%</w:t>
      </w:r>
      <w:r>
        <w:rPr>
          <w:spacing w:val="-2"/>
        </w:rPr>
        <w:t>，</w:t>
      </w:r>
      <w:r>
        <w:rPr>
          <w:spacing w:val="-50"/>
        </w:rPr>
        <w:t> </w:t>
      </w:r>
      <w:r>
        <w:rPr>
          <w:spacing w:val="-2"/>
        </w:rPr>
        <w:t>由于公司对平潭沣石的投资无控制、共同控制及重大影响，公司将该项投资分类为以公允价值计量且其变动计入当期损益的</w:t>
      </w:r>
      <w:r>
        <w:rPr>
          <w:spacing w:val="-72"/>
        </w:rPr>
        <w:t> </w:t>
      </w:r>
      <w:r>
        <w:rPr>
          <w:spacing w:val="-72"/>
        </w:rPr>
      </w:r>
      <w:r>
        <w:rPr/>
        <w:t>金融资产，并根据其流动性计入其他非流动金融资产。</w:t>
      </w:r>
    </w:p>
    <w:p>
      <w:pPr>
        <w:pStyle w:val="BodyText"/>
        <w:spacing w:line="292" w:lineRule="auto" w:before="51"/>
        <w:ind w:right="1103"/>
        <w:jc w:val="both"/>
      </w:pPr>
      <w:r>
        <w:rPr>
          <w:spacing w:val="-2"/>
        </w:rPr>
        <w:t>（</w:t>
      </w:r>
      <w:r>
        <w:rPr>
          <w:rFonts w:ascii="Times New Roman" w:hAnsi="Times New Roman" w:cs="Times New Roman" w:eastAsia="Times New Roman" w:hint="default"/>
          <w:spacing w:val="-2"/>
        </w:rPr>
        <w:t>5</w:t>
      </w:r>
      <w:r>
        <w:rPr>
          <w:spacing w:val="-2"/>
        </w:rPr>
        <w:t>）公司对上海芯翌智能科技有限公司（以下简称</w:t>
      </w:r>
      <w:r>
        <w:rPr>
          <w:rFonts w:ascii="Times New Roman" w:hAnsi="Times New Roman" w:cs="Times New Roman" w:eastAsia="Times New Roman" w:hint="default"/>
          <w:spacing w:val="-2"/>
        </w:rPr>
        <w:t>“</w:t>
      </w:r>
      <w:r>
        <w:rPr>
          <w:spacing w:val="-2"/>
        </w:rPr>
        <w:t>芯翌智能</w:t>
      </w:r>
      <w:r>
        <w:rPr>
          <w:rFonts w:ascii="Times New Roman" w:hAnsi="Times New Roman" w:cs="Times New Roman" w:eastAsia="Times New Roman" w:hint="default"/>
          <w:spacing w:val="-2"/>
        </w:rPr>
        <w:t>”</w:t>
      </w:r>
      <w:r>
        <w:rPr>
          <w:spacing w:val="-2"/>
        </w:rPr>
        <w:t>）投资</w:t>
      </w:r>
      <w:r>
        <w:rPr>
          <w:rFonts w:ascii="Times New Roman" w:hAnsi="Times New Roman" w:cs="Times New Roman" w:eastAsia="Times New Roman" w:hint="default"/>
          <w:spacing w:val="-2"/>
        </w:rPr>
        <w:t>5,000</w:t>
      </w:r>
      <w:r>
        <w:rPr>
          <w:spacing w:val="-2"/>
        </w:rPr>
        <w:t>万元，持股比例</w:t>
      </w:r>
      <w:r>
        <w:rPr>
          <w:rFonts w:ascii="Times New Roman" w:hAnsi="Times New Roman" w:cs="Times New Roman" w:eastAsia="Times New Roman" w:hint="default"/>
          <w:spacing w:val="-2"/>
        </w:rPr>
        <w:t>5%</w:t>
      </w:r>
      <w:r>
        <w:rPr>
          <w:spacing w:val="-2"/>
        </w:rPr>
        <w:t>，协议约定，自增资完成之日</w:t>
      </w:r>
      <w:r>
        <w:rPr>
          <w:spacing w:val="-51"/>
        </w:rPr>
        <w:t> </w:t>
      </w:r>
      <w:r>
        <w:rPr>
          <w:spacing w:val="-51"/>
        </w:rPr>
      </w:r>
      <w:r>
        <w:rPr>
          <w:spacing w:val="-2"/>
        </w:rPr>
        <w:t>起的</w:t>
      </w:r>
      <w:r>
        <w:rPr>
          <w:rFonts w:ascii="Times New Roman" w:hAnsi="Times New Roman" w:cs="Times New Roman" w:eastAsia="Times New Roman" w:hint="default"/>
          <w:spacing w:val="-2"/>
        </w:rPr>
        <w:t>1</w:t>
      </w:r>
      <w:r>
        <w:rPr>
          <w:spacing w:val="-2"/>
        </w:rPr>
        <w:t>年内，谦翌德闰或谦翌德闰指定的第三方可在任意时间回购本公司的投资；自增资完成之日起满</w:t>
      </w:r>
      <w:r>
        <w:rPr>
          <w:rFonts w:ascii="Times New Roman" w:hAnsi="Times New Roman" w:cs="Times New Roman" w:eastAsia="Times New Roman" w:hint="default"/>
          <w:spacing w:val="-2"/>
        </w:rPr>
        <w:t>2</w:t>
      </w:r>
      <w:r>
        <w:rPr>
          <w:spacing w:val="-2"/>
        </w:rPr>
        <w:t>年，如果芯翌智能未</w:t>
      </w:r>
      <w:r>
        <w:rPr>
          <w:spacing w:val="-64"/>
        </w:rPr>
        <w:t> </w:t>
      </w:r>
      <w:r>
        <w:rPr>
          <w:spacing w:val="-64"/>
        </w:rPr>
      </w:r>
      <w:r>
        <w:rPr/>
        <w:t>实现证券化（包括但不限于通过境内外独立</w:t>
      </w:r>
      <w:r>
        <w:rPr>
          <w:rFonts w:ascii="Times New Roman" w:hAnsi="Times New Roman" w:cs="Times New Roman" w:eastAsia="Times New Roman" w:hint="default"/>
        </w:rPr>
        <w:t>IPO</w:t>
      </w:r>
      <w:r>
        <w:rPr/>
        <w:t>、资产重组、资产并购、借壳上市等各种方式）的，公司可要求谦翌德闰或</w:t>
      </w:r>
      <w:r>
        <w:rPr>
          <w:spacing w:val="-79"/>
        </w:rPr>
        <w:t> </w:t>
      </w:r>
      <w:r>
        <w:rPr>
          <w:spacing w:val="-2"/>
        </w:rPr>
        <w:t>谦翌德闰指定的第三方回购本公司的投资；本公司将该项投资及相关回购协议分类为以公允价值计量且其变动计入当期损益</w:t>
      </w:r>
    </w:p>
    <w:p>
      <w:pPr>
        <w:pStyle w:val="BodyText"/>
        <w:spacing w:line="240" w:lineRule="auto" w:before="40"/>
        <w:ind w:right="0"/>
        <w:jc w:val="both"/>
      </w:pPr>
      <w:r>
        <w:rPr/>
        <w:t>的金融资产，并根据其流动性计入其他非流动金融资产。</w:t>
      </w:r>
    </w:p>
    <w:p>
      <w:pPr>
        <w:pStyle w:val="BodyText"/>
        <w:spacing w:line="304" w:lineRule="auto" w:before="94"/>
        <w:ind w:right="0"/>
        <w:jc w:val="left"/>
      </w:pPr>
      <w:r>
        <w:rPr/>
        <w:t>（</w:t>
      </w:r>
      <w:r>
        <w:rPr>
          <w:rFonts w:ascii="Times New Roman" w:hAnsi="Times New Roman" w:cs="Times New Roman" w:eastAsia="Times New Roman" w:hint="default"/>
        </w:rPr>
        <w:t>6</w:t>
      </w:r>
      <w:r>
        <w:rPr/>
        <w:t>）公司对</w:t>
      </w:r>
      <w:r>
        <w:rPr>
          <w:rFonts w:ascii="Times New Roman" w:hAnsi="Times New Roman" w:cs="Times New Roman" w:eastAsia="Times New Roman" w:hint="default"/>
        </w:rPr>
        <w:t>01VC Fund I</w:t>
      </w:r>
      <w:r>
        <w:rPr>
          <w:rFonts w:ascii="Times New Roman" w:hAnsi="Times New Roman" w:cs="Times New Roman" w:eastAsia="Times New Roman" w:hint="default"/>
          <w:spacing w:val="-1"/>
        </w:rPr>
        <w:t> </w:t>
      </w:r>
      <w:r>
        <w:rPr>
          <w:rFonts w:ascii="Times New Roman" w:hAnsi="Times New Roman" w:cs="Times New Roman" w:eastAsia="Times New Roman" w:hint="default"/>
        </w:rPr>
        <w:t>,L.P.</w:t>
      </w:r>
      <w:r>
        <w:rPr/>
        <w:t>（以下简称</w:t>
      </w:r>
      <w:r>
        <w:rPr>
          <w:rFonts w:ascii="Times New Roman" w:hAnsi="Times New Roman" w:cs="Times New Roman" w:eastAsia="Times New Roman" w:hint="default"/>
        </w:rPr>
        <w:t>“01VC</w:t>
      </w:r>
      <w:r>
        <w:rPr/>
        <w:t>基金</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200</w:t>
      </w:r>
      <w:r>
        <w:rPr/>
        <w:t>万美元，补充协议约定，公司可在任何时间要求</w:t>
      </w:r>
      <w:r>
        <w:rPr>
          <w:rFonts w:ascii="Times New Roman" w:hAnsi="Times New Roman" w:cs="Times New Roman" w:eastAsia="Times New Roman" w:hint="default"/>
        </w:rPr>
        <w:t>01VC</w:t>
      </w:r>
      <w:r>
        <w:rPr/>
        <w:t>基金 </w:t>
      </w:r>
      <w:r>
        <w:rPr>
          <w:spacing w:val="-2"/>
        </w:rPr>
        <w:t>或第三方承接本公司的全部或部分基金份额。公司将该项投资及回购协议分类为以公允价值计量且其变动计入当期损益的金</w:t>
      </w:r>
      <w:r>
        <w:rPr>
          <w:spacing w:val="-58"/>
        </w:rPr>
        <w:t> </w:t>
      </w:r>
      <w:r>
        <w:rPr>
          <w:spacing w:val="-58"/>
        </w:rPr>
      </w:r>
      <w:r>
        <w:rPr/>
        <w:t>融资产，并根据其流动性计入其他非流动金融资产。</w:t>
      </w:r>
    </w:p>
    <w:p>
      <w:pPr>
        <w:pStyle w:val="BodyText"/>
        <w:spacing w:line="304" w:lineRule="auto" w:before="31"/>
        <w:ind w:right="1126"/>
        <w:jc w:val="both"/>
      </w:pPr>
      <w:r>
        <w:rPr/>
        <w:t>（</w:t>
      </w:r>
      <w:r>
        <w:rPr>
          <w:rFonts w:ascii="Times New Roman" w:hAnsi="Times New Roman" w:cs="Times New Roman" w:eastAsia="Times New Roman" w:hint="default"/>
        </w:rPr>
        <w:t>7</w:t>
      </w:r>
      <w:r>
        <w:rPr/>
        <w:t>）公司对曲水净缘实业发展有限公司（以下简称</w:t>
      </w:r>
      <w:r>
        <w:rPr>
          <w:rFonts w:ascii="Times New Roman" w:hAnsi="Times New Roman" w:cs="Times New Roman" w:eastAsia="Times New Roman" w:hint="default"/>
        </w:rPr>
        <w:t>“</w:t>
      </w:r>
      <w:r>
        <w:rPr/>
        <w:t>曲水净缘</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100</w:t>
      </w:r>
      <w:r>
        <w:rPr/>
        <w:t>万元，持股比例</w:t>
      </w:r>
      <w:r>
        <w:rPr>
          <w:rFonts w:ascii="Times New Roman" w:hAnsi="Times New Roman" w:cs="Times New Roman" w:eastAsia="Times New Roman" w:hint="default"/>
        </w:rPr>
        <w:t>3.33%</w:t>
      </w:r>
      <w:r>
        <w:rPr/>
        <w:t>，由于公司对曲水净缘的投</w:t>
      </w:r>
      <w:r>
        <w:rPr>
          <w:spacing w:val="-78"/>
        </w:rPr>
        <w:t> </w:t>
      </w:r>
      <w:r>
        <w:rPr>
          <w:spacing w:val="-2"/>
        </w:rPr>
        <w:t>资无控制、共同控制及重大影响，公司将该项投资分类为以公允价值计量且其变动计入当期损益的金融资产，并根据其流动</w:t>
      </w:r>
      <w:r>
        <w:rPr>
          <w:spacing w:val="-64"/>
        </w:rPr>
        <w:t> </w:t>
      </w:r>
      <w:r>
        <w:rPr>
          <w:spacing w:val="-64"/>
        </w:rPr>
      </w:r>
      <w:r>
        <w:rPr/>
        <w:t>性计入其他非流动金融资产。</w:t>
      </w:r>
    </w:p>
    <w:p>
      <w:pPr>
        <w:pStyle w:val="BodyText"/>
        <w:spacing w:line="297" w:lineRule="auto" w:before="46"/>
        <w:ind w:right="1111"/>
        <w:jc w:val="both"/>
      </w:pPr>
      <w:r>
        <w:rPr>
          <w:spacing w:val="-2"/>
        </w:rPr>
        <w:t>（</w:t>
      </w:r>
      <w:r>
        <w:rPr>
          <w:rFonts w:ascii="Times New Roman" w:hAnsi="Times New Roman" w:cs="Times New Roman" w:eastAsia="Times New Roman" w:hint="default"/>
          <w:spacing w:val="-2"/>
        </w:rPr>
        <w:t>8</w:t>
      </w:r>
      <w:r>
        <w:rPr>
          <w:spacing w:val="-2"/>
        </w:rPr>
        <w:t>）公司对上海信公企业管理咨询有限公司（以下简称</w:t>
      </w:r>
      <w:r>
        <w:rPr>
          <w:rFonts w:ascii="Times New Roman" w:hAnsi="Times New Roman" w:cs="Times New Roman" w:eastAsia="Times New Roman" w:hint="default"/>
          <w:spacing w:val="-2"/>
        </w:rPr>
        <w:t>“</w:t>
      </w:r>
      <w:r>
        <w:rPr>
          <w:spacing w:val="-2"/>
        </w:rPr>
        <w:t>信公咨询</w:t>
      </w:r>
      <w:r>
        <w:rPr>
          <w:rFonts w:ascii="Times New Roman" w:hAnsi="Times New Roman" w:cs="Times New Roman" w:eastAsia="Times New Roman" w:hint="default"/>
          <w:spacing w:val="-2"/>
        </w:rPr>
        <w:t>”</w:t>
      </w:r>
      <w:r>
        <w:rPr>
          <w:spacing w:val="-2"/>
        </w:rPr>
        <w:t>）投资</w:t>
      </w:r>
      <w:r>
        <w:rPr>
          <w:rFonts w:ascii="Times New Roman" w:hAnsi="Times New Roman" w:cs="Times New Roman" w:eastAsia="Times New Roman" w:hint="default"/>
          <w:spacing w:val="-2"/>
        </w:rPr>
        <w:t>150</w:t>
      </w:r>
      <w:r>
        <w:rPr>
          <w:spacing w:val="-2"/>
        </w:rPr>
        <w:t>万元，持股比例</w:t>
      </w:r>
      <w:r>
        <w:rPr>
          <w:rFonts w:ascii="Times New Roman" w:hAnsi="Times New Roman" w:cs="Times New Roman" w:eastAsia="Times New Roman" w:hint="default"/>
          <w:spacing w:val="-2"/>
        </w:rPr>
        <w:t>0.325%</w:t>
      </w:r>
      <w:r>
        <w:rPr>
          <w:spacing w:val="-2"/>
        </w:rPr>
        <w:t>，由于公司对信公咨询</w:t>
      </w:r>
      <w:r>
        <w:rPr>
          <w:spacing w:val="-33"/>
        </w:rPr>
        <w:t> </w:t>
      </w:r>
      <w:r>
        <w:rPr>
          <w:spacing w:val="-33"/>
        </w:rPr>
      </w:r>
      <w:r>
        <w:rPr>
          <w:spacing w:val="-2"/>
        </w:rPr>
        <w:t>的投资无控制、共同控制及重大影响，公司将该项投资分类为以公允价值计量且其变动计入当期损益的金融资产，并根据其</w:t>
      </w:r>
      <w:r>
        <w:rPr>
          <w:spacing w:val="-75"/>
        </w:rPr>
        <w:t> </w:t>
      </w:r>
      <w:r>
        <w:rPr>
          <w:spacing w:val="-75"/>
        </w:rPr>
      </w:r>
      <w:r>
        <w:rPr/>
        <w:t>流动性计入其他非流动金融资产。</w:t>
      </w:r>
    </w:p>
    <w:p>
      <w:pPr>
        <w:pStyle w:val="BodyText"/>
        <w:spacing w:line="304" w:lineRule="auto" w:before="51"/>
        <w:ind w:right="1096"/>
        <w:jc w:val="both"/>
      </w:pPr>
      <w:r>
        <w:rPr/>
        <w:t>（</w:t>
      </w:r>
      <w:r>
        <w:rPr>
          <w:rFonts w:ascii="Times New Roman" w:hAnsi="Times New Roman" w:cs="Times New Roman" w:eastAsia="Times New Roman" w:hint="default"/>
        </w:rPr>
        <w:t>9</w:t>
      </w:r>
      <w:r>
        <w:rPr/>
        <w:t>）公司对上海掌亭网络科技有限公司（以下简称</w:t>
      </w:r>
      <w:r>
        <w:rPr>
          <w:rFonts w:ascii="Times New Roman" w:hAnsi="Times New Roman" w:cs="Times New Roman" w:eastAsia="Times New Roman" w:hint="default"/>
        </w:rPr>
        <w:t>“</w:t>
      </w:r>
      <w:r>
        <w:rPr/>
        <w:t>掌亭网络</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100</w:t>
      </w:r>
      <w:r>
        <w:rPr/>
        <w:t>万元，持股比例</w:t>
      </w:r>
      <w:r>
        <w:rPr>
          <w:rFonts w:ascii="Times New Roman" w:hAnsi="Times New Roman" w:cs="Times New Roman" w:eastAsia="Times New Roman" w:hint="default"/>
        </w:rPr>
        <w:t>10%</w:t>
      </w:r>
      <w:r>
        <w:rPr/>
        <w:t>，由于公司对掌亭网络的投资 </w:t>
      </w:r>
      <w:r>
        <w:rPr>
          <w:spacing w:val="-2"/>
        </w:rPr>
        <w:t>无控制、共同控制及重大影响，公司将该项投资分类为以公允价值计量且其变动计入当期损益的金融资产，并根据其流动性</w:t>
      </w:r>
      <w:r>
        <w:rPr>
          <w:spacing w:val="-75"/>
        </w:rPr>
        <w:t> </w:t>
      </w:r>
      <w:r>
        <w:rPr>
          <w:spacing w:val="-75"/>
        </w:rPr>
      </w:r>
      <w:r>
        <w:rPr/>
        <w:t>计入其他非流动金融资产。</w:t>
      </w:r>
    </w:p>
    <w:p>
      <w:pPr>
        <w:spacing w:line="240" w:lineRule="auto" w:before="13"/>
        <w:rPr>
          <w:rFonts w:ascii="宋体" w:hAnsi="宋体" w:cs="宋体" w:eastAsia="宋体" w:hint="default"/>
          <w:sz w:val="24"/>
          <w:szCs w:val="24"/>
        </w:rPr>
      </w:pPr>
    </w:p>
    <w:p>
      <w:pPr>
        <w:pStyle w:val="Heading3"/>
        <w:spacing w:line="240" w:lineRule="auto"/>
        <w:ind w:right="0"/>
        <w:jc w:val="both"/>
        <w:rPr>
          <w:b w:val="0"/>
          <w:bCs w:val="0"/>
        </w:rPr>
      </w:pPr>
      <w:bookmarkStart w:name="21、投资性房地产" w:id="310"/>
      <w:bookmarkEnd w:id="310"/>
      <w:r>
        <w:rPr>
          <w:b w:val="0"/>
          <w:bCs w:val="0"/>
        </w:rPr>
      </w:r>
      <w:r>
        <w:rPr>
          <w:rFonts w:ascii="Times New Roman" w:hAnsi="Times New Roman" w:cs="Times New Roman" w:eastAsia="Times New Roman" w:hint="default"/>
        </w:rPr>
        <w:t>21</w:t>
      </w:r>
      <w:r>
        <w:rPr/>
        <w:t>、投资性房地产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both"/>
        <w:rPr>
          <w:b w:val="0"/>
          <w:bCs w:val="0"/>
        </w:rPr>
      </w:pPr>
      <w:bookmarkStart w:name="（1）采用成本计量模式的投资性房地产" w:id="311"/>
      <w:bookmarkEnd w:id="31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98,985,647.50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98,985,647.50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98,985,647.50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98,985,647.50</w:t>
            </w:r>
          </w:p>
        </w:tc>
      </w:tr>
      <w:tr>
        <w:trPr>
          <w:trHeight w:val="7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98,985,647.50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98,985,647.50</w:t>
            </w: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313,454.52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313,454.52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313,454.52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313,454.52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313,454.52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313,454.52</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98,672,192.98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98,672,192.98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0"/>
        <w:ind w:right="0"/>
        <w:jc w:val="left"/>
        <w:rPr>
          <w:b w:val="0"/>
          <w:bCs w:val="0"/>
        </w:rPr>
      </w:pPr>
      <w:bookmarkStart w:name="（2）采用公允价值计量模式的投资性房地产" w:id="312"/>
      <w:bookmarkEnd w:id="31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313"/>
      <w:bookmarkEnd w:id="31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98,672,192.98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2、固定资产" w:id="314"/>
      <w:bookmarkEnd w:id="314"/>
      <w:r>
        <w:rPr>
          <w:b w:val="0"/>
          <w:bCs w:val="0"/>
        </w:rPr>
      </w:r>
      <w:r>
        <w:rPr>
          <w:rFonts w:ascii="Times New Roman" w:hAnsi="Times New Roman" w:cs="Times New Roman" w:eastAsia="Times New Roman" w:hint="default"/>
        </w:rPr>
        <w:t>22</w:t>
      </w:r>
      <w:r>
        <w:rPr/>
        <w:t>、固定资产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137,487,021.64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71,811,802.47</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137,487,021.64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71,811,802.47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315"/>
      <w:bookmarkEnd w:id="31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60,113,350.00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14,993,967.98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32,688,059.06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107,795,377.04</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71,647,235.90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2,476,043.05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6,908,138.97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81,031,417.92</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71,647,235.90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2,476,043.05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6,908,138.97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81,031,417.92</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631,173.81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631,173.81</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631,173.81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631,173.81</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131,760,585.90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17,470,011.03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38,965,024.22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188,195,621.15</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13,801,023.29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5,450,616.81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16,731,934.47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35,983,574.57</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3,082,267.12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4,587,169.90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7,604,123.11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15,273,560.13</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3,082,267.12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4,587,169.90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7,604,123.11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15,273,560.13</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548,535.19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548,535.19</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548,535.19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548,535.19</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16,883,290.41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10,037,786.71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23,787,522.39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50,708,599.51</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8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114,877,295.49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7,432,224.32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15,177,501.83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137,487,021.64</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46,312,326.71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9,543,351.17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15,956,124.59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71,811,802.47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316"/>
      <w:bookmarkEnd w:id="31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317"/>
      <w:bookmarkEnd w:id="31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318"/>
      <w:bookmarkEnd w:id="31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319"/>
      <w:bookmarkEnd w:id="31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71,420,352.94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6）固定资产清理" w:id="320"/>
      <w:bookmarkEnd w:id="32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23、在建工程" w:id="321"/>
      <w:bookmarkEnd w:id="321"/>
      <w:r>
        <w:rPr>
          <w:b w:val="0"/>
          <w:bCs w:val="0"/>
        </w:rPr>
      </w:r>
      <w:r>
        <w:rPr>
          <w:rFonts w:ascii="Times New Roman" w:hAnsi="Times New Roman" w:cs="Times New Roman" w:eastAsia="Times New Roman" w:hint="default"/>
        </w:rPr>
        <w:t>23</w:t>
      </w:r>
      <w:r>
        <w:rPr/>
        <w:t>、在建工程</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322"/>
      <w:bookmarkEnd w:id="32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323"/>
      <w:bookmarkEnd w:id="32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37"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324"/>
      <w:bookmarkEnd w:id="32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工程物资" w:id="325"/>
      <w:bookmarkEnd w:id="32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5"/>
      </w:tblGrid>
      <w:tr>
        <w:trPr>
          <w:trHeight w:val="390"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9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4、生产性生物资产" w:id="326"/>
      <w:bookmarkEnd w:id="326"/>
      <w:r>
        <w:rPr>
          <w:b w:val="0"/>
          <w:bCs w:val="0"/>
        </w:rPr>
      </w:r>
      <w:r>
        <w:rPr>
          <w:rFonts w:ascii="Times New Roman" w:hAnsi="Times New Roman" w:cs="Times New Roman" w:eastAsia="Times New Roman" w:hint="default"/>
        </w:rPr>
        <w:t>24</w:t>
      </w:r>
      <w:r>
        <w:rPr/>
        <w:t>、生产性生物资产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采用成本计量模式的生产性生物资产" w:id="327"/>
      <w:bookmarkEnd w:id="32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328"/>
      <w:bookmarkEnd w:id="32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5、油气资产" w:id="329"/>
      <w:bookmarkEnd w:id="329"/>
      <w:r>
        <w:rPr>
          <w:b w:val="0"/>
          <w:bCs w:val="0"/>
        </w:rPr>
      </w:r>
      <w:r>
        <w:rPr>
          <w:rFonts w:ascii="Times New Roman" w:hAnsi="Times New Roman" w:cs="Times New Roman" w:eastAsia="Times New Roman" w:hint="default"/>
        </w:rPr>
        <w:t>25</w:t>
      </w:r>
      <w:r>
        <w:rPr/>
        <w:t>、油气资产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6、使用权资产" w:id="330"/>
      <w:bookmarkEnd w:id="330"/>
      <w:r>
        <w:rPr>
          <w:b w:val="0"/>
          <w:bCs w:val="0"/>
        </w:rPr>
      </w:r>
      <w:r>
        <w:rPr>
          <w:rFonts w:ascii="Times New Roman" w:hAnsi="Times New Roman" w:cs="Times New Roman" w:eastAsia="Times New Roman" w:hint="default"/>
        </w:rPr>
        <w:t>26</w:t>
      </w:r>
      <w:r>
        <w:rPr/>
        <w:t>、使用权资产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7、无形资产" w:id="331"/>
      <w:bookmarkEnd w:id="331"/>
      <w:r>
        <w:rPr>
          <w:b w:val="0"/>
          <w:bCs w:val="0"/>
        </w:rPr>
      </w:r>
      <w:r>
        <w:rPr>
          <w:rFonts w:ascii="Times New Roman" w:hAnsi="Times New Roman" w:cs="Times New Roman" w:eastAsia="Times New Roman" w:hint="default"/>
        </w:rPr>
        <w:t>27</w:t>
      </w:r>
      <w:r>
        <w:rPr/>
        <w:t>、无形资产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无形资产情况" w:id="332"/>
      <w:bookmarkEnd w:id="33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3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1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10,142,768.10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10,990,671.03</w:t>
            </w: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4,483,135.10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4,483,135.10</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5"/>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4,483,135.10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4,483,135.10</w:t>
            </w: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3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5" w:firstLine="52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5"/>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14,625,903.20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15,473,806.13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7,792,160.74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8,640,063.67</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2,119,729.60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2,119,729.60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2,119,729.60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2,119,729.60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9,911,890.34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10,759,793.27</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4,714,012.86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4,714,012.86</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2,350,607.36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2,350,607.36</w:t>
            </w:r>
          </w:p>
        </w:tc>
      </w:tr>
    </w:tbl>
    <w:p>
      <w:pPr>
        <w:pStyle w:val="BodyText"/>
        <w:spacing w:line="240" w:lineRule="auto" w:before="45"/>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未办妥产权证书的土地使用权情况" w:id="333"/>
      <w:bookmarkEnd w:id="33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8、开发支出" w:id="334"/>
      <w:bookmarkEnd w:id="334"/>
      <w:r>
        <w:rPr>
          <w:b w:val="0"/>
          <w:bCs w:val="0"/>
        </w:rPr>
      </w:r>
      <w:r>
        <w:rPr>
          <w:rFonts w:ascii="Times New Roman" w:hAnsi="Times New Roman" w:cs="Times New Roman" w:eastAsia="Times New Roman" w:hint="default"/>
        </w:rPr>
        <w:t>28</w:t>
      </w:r>
      <w:r>
        <w:rPr/>
        <w:t>、开发支出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390" w:hRule="exact"/>
        </w:trPr>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3" w:hRule="exact"/>
        </w:trPr>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59"/>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59"/>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59"/>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6" w:hRule="exact"/>
        </w:trPr>
        <w:tc>
          <w:tcPr>
            <w:tcW w:w="106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5" w:hRule="exact"/>
        </w:trPr>
        <w:tc>
          <w:tcPr>
            <w:tcW w:w="1066" w:type="dxa"/>
            <w:vMerge/>
            <w:tcBorders>
              <w:left w:val="single" w:sz="6" w:space="0" w:color="000000"/>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72"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9、商誉" w:id="335"/>
      <w:bookmarkEnd w:id="335"/>
      <w:r>
        <w:rPr>
          <w:b w:val="0"/>
          <w:bCs w:val="0"/>
        </w:rPr>
      </w:r>
      <w:r>
        <w:rPr>
          <w:rFonts w:ascii="Times New Roman" w:hAnsi="Times New Roman" w:cs="Times New Roman" w:eastAsia="Times New Roman" w:hint="default"/>
        </w:rPr>
        <w:t>29</w:t>
      </w:r>
      <w:r>
        <w:rPr/>
        <w:t>、商誉</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商誉账面原值" w:id="336"/>
      <w:bookmarkEnd w:id="33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41"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165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68"/>
              <w:jc w:val="both"/>
              <w:rPr>
                <w:rFonts w:ascii="宋体" w:hAnsi="宋体" w:cs="宋体" w:eastAsia="宋体" w:hint="default"/>
                <w:sz w:val="18"/>
                <w:szCs w:val="18"/>
              </w:rPr>
            </w:pPr>
            <w:r>
              <w:rPr>
                <w:rFonts w:ascii="宋体" w:hAnsi="宋体" w:cs="宋体" w:eastAsia="宋体" w:hint="default"/>
                <w:sz w:val="18"/>
                <w:szCs w:val="18"/>
              </w:rPr>
              <w:t>发行股份通过直 接和间接方式收 购上海二三四五 网络科技有限公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2,400,347,559.04</w:t>
            </w: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2,400,347,559.04</w:t>
            </w:r>
          </w:p>
        </w:tc>
      </w:tr>
      <w:tr>
        <w:trPr>
          <w:trHeight w:val="103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68"/>
              <w:jc w:val="both"/>
              <w:rPr>
                <w:rFonts w:ascii="宋体" w:hAnsi="宋体" w:cs="宋体" w:eastAsia="宋体" w:hint="default"/>
                <w:sz w:val="18"/>
                <w:szCs w:val="18"/>
              </w:rPr>
            </w:pPr>
            <w:r>
              <w:rPr>
                <w:rFonts w:ascii="宋体" w:hAnsi="宋体" w:cs="宋体" w:eastAsia="宋体" w:hint="default"/>
                <w:sz w:val="18"/>
                <w:szCs w:val="18"/>
              </w:rPr>
              <w:t>收购广东鑫锘影 视文化传播有限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7,838,067.04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7,838,067.04</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2,408,185,626.08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2,408,185,626.08</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37"/>
      <w:bookmarkEnd w:id="33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54" w:space="0" w:color="D2D2D2"/>
              <w:left w:val="single" w:sz="6" w:space="0" w:color="000000"/>
              <w:bottom w:val="single" w:sz="6" w:space="0" w:color="000000"/>
              <w:right w:val="single" w:sz="6" w:space="0" w:color="000000"/>
            </w:tcBorders>
          </w:tcPr>
          <w:p>
            <w:pP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0"/>
        <w:ind w:left="501" w:right="0"/>
        <w:jc w:val="left"/>
      </w:pPr>
      <w:r>
        <w:rPr/>
        <w:t>商誉所在资产组或资产组组合的相关信息</w:t>
      </w:r>
    </w:p>
    <w:p>
      <w:pPr>
        <w:pStyle w:val="BodyText"/>
        <w:spacing w:line="314" w:lineRule="auto" w:before="79"/>
        <w:ind w:right="1131" w:firstLine="360"/>
        <w:jc w:val="both"/>
      </w:pPr>
      <w:r>
        <w:rPr/>
        <w:t>（</w:t>
      </w:r>
      <w:r>
        <w:rPr>
          <w:rFonts w:ascii="宋体" w:hAnsi="宋体" w:cs="宋体" w:eastAsia="宋体" w:hint="default"/>
        </w:rPr>
        <w:t>1</w:t>
      </w:r>
      <w:r>
        <w:rPr/>
        <w:t>）二三四五互联网业务商誉系公司于</w:t>
      </w:r>
      <w:r>
        <w:rPr>
          <w:rFonts w:ascii="宋体" w:hAnsi="宋体" w:cs="宋体" w:eastAsia="宋体" w:hint="default"/>
        </w:rPr>
        <w:t>2014</w:t>
      </w:r>
      <w:r>
        <w:rPr/>
        <w:t>年非同一控制下发行股份通过直接和间接方式收购上海二三四五网络科技 </w:t>
      </w:r>
      <w:r>
        <w:rPr>
          <w:spacing w:val="-2"/>
        </w:rPr>
        <w:t>有限公司</w:t>
      </w:r>
      <w:r>
        <w:rPr>
          <w:rFonts w:ascii="宋体" w:hAnsi="宋体" w:cs="宋体" w:eastAsia="宋体" w:hint="default"/>
          <w:spacing w:val="-2"/>
        </w:rPr>
        <w:t>100%</w:t>
      </w:r>
      <w:r>
        <w:rPr>
          <w:spacing w:val="-2"/>
        </w:rPr>
        <w:t>股权形成，收购时包含的业务为由上海二三四五网络科技有限公司及其子公司运营的互联网信息业务。该业务</w:t>
      </w:r>
      <w:r>
        <w:rPr>
          <w:spacing w:val="-67"/>
        </w:rPr>
        <w:t> </w:t>
      </w:r>
      <w:r>
        <w:rPr>
          <w:spacing w:val="-67"/>
        </w:rPr>
      </w:r>
      <w:r>
        <w:rPr/>
        <w:t>产生的主要现金流独立于其他业务，公司将该业务相关的非流动资产作为二三四五互联网信息业务商誉对应的资产组。</w:t>
      </w:r>
    </w:p>
    <w:p>
      <w:pPr>
        <w:pStyle w:val="BodyText"/>
        <w:spacing w:line="240" w:lineRule="auto" w:before="24"/>
        <w:ind w:left="501" w:right="0"/>
        <w:jc w:val="left"/>
      </w:pPr>
      <w:r>
        <w:rPr/>
        <w:t>（</w:t>
      </w:r>
      <w:r>
        <w:rPr>
          <w:rFonts w:ascii="宋体" w:hAnsi="宋体" w:cs="宋体" w:eastAsia="宋体" w:hint="default"/>
        </w:rPr>
        <w:t>2</w:t>
      </w:r>
      <w:r>
        <w:rPr/>
        <w:t>）广东鑫锘互联网影视业务商誉系公司于</w:t>
      </w:r>
      <w:r>
        <w:rPr>
          <w:rFonts w:ascii="宋体" w:hAnsi="宋体" w:cs="宋体" w:eastAsia="宋体" w:hint="default"/>
        </w:rPr>
        <w:t>2017</w:t>
      </w:r>
      <w:r>
        <w:rPr/>
        <w:t>年非同一控制下收购广东鑫锘影视文化传播有限公司</w:t>
      </w:r>
      <w:r>
        <w:rPr>
          <w:rFonts w:ascii="宋体" w:hAnsi="宋体" w:cs="宋体" w:eastAsia="宋体" w:hint="default"/>
        </w:rPr>
        <w:t>100%</w:t>
      </w:r>
      <w:r>
        <w:rPr/>
        <w:t>股权形成，</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029"/>
        <w:jc w:val="left"/>
      </w:pPr>
      <w:r>
        <w:rPr/>
        <w:t>收购时包含的业务为由广东鑫锘影视文化传播有限公司运营的互联网影视业务。该业务产生的主要现金流独立于其他业务，</w:t>
      </w:r>
      <w:r>
        <w:rPr>
          <w:spacing w:val="-87"/>
        </w:rPr>
        <w:t> </w:t>
      </w:r>
      <w:r>
        <w:rPr>
          <w:spacing w:val="-87"/>
        </w:rPr>
      </w:r>
      <w:r>
        <w:rPr/>
        <w:t>公司将该业务相关的非流动资产作为广东鑫锘互联网影视业务商誉对应的资产组。</w:t>
      </w:r>
    </w:p>
    <w:p>
      <w:pPr>
        <w:pStyle w:val="BodyText"/>
        <w:spacing w:line="307" w:lineRule="auto" w:before="18"/>
        <w:ind w:right="1135" w:firstLine="360"/>
        <w:jc w:val="both"/>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316" w:lineRule="auto" w:before="29"/>
        <w:ind w:right="1105" w:firstLine="360"/>
        <w:jc w:val="both"/>
      </w:pPr>
      <w:r>
        <w:rPr/>
        <w:t>（</w:t>
      </w:r>
      <w:r>
        <w:rPr>
          <w:rFonts w:ascii="宋体" w:hAnsi="宋体" w:cs="宋体" w:eastAsia="宋体" w:hint="default"/>
        </w:rPr>
        <w:t>1</w:t>
      </w:r>
      <w:r>
        <w:rPr/>
        <w:t>）公司期末对商誉相关的资产组进行了减值测试，在对包含商誉的相关资产组或者资产组组合进行减值测试时，如 </w:t>
      </w:r>
      <w:r>
        <w:rPr>
          <w:spacing w:val="-2"/>
        </w:rPr>
        <w:t>与商誉相关的资产组或者资产组组合存在减值迹象的，先对不包含商誉的资产组或者资产组组合进行减值测试，计算可收回</w:t>
      </w:r>
      <w:r>
        <w:rPr>
          <w:spacing w:val="-72"/>
        </w:rPr>
        <w:t> </w:t>
      </w:r>
      <w:r>
        <w:rPr>
          <w:spacing w:val="-72"/>
        </w:rPr>
      </w:r>
      <w:r>
        <w:rPr>
          <w:spacing w:val="-2"/>
        </w:rPr>
        <w:t>金额，并与相关账面价值相比较，确认相应的减值损失。再对包含商誉的资产组或者资产组组合进行减值测试，比较这些相</w:t>
      </w:r>
      <w:r>
        <w:rPr>
          <w:spacing w:val="-42"/>
        </w:rPr>
        <w:t> </w:t>
      </w:r>
      <w:r>
        <w:rPr>
          <w:spacing w:val="-42"/>
        </w:rPr>
      </w:r>
      <w:r>
        <w:rPr>
          <w:spacing w:val="-2"/>
        </w:rPr>
        <w:t>关资产组的账面价值（包括所分摊的商誉的账面价值部分）与其可收回金额，如相关资产组或者资产组组合的可收回金额低</w:t>
      </w:r>
      <w:r>
        <w:rPr>
          <w:spacing w:val="-75"/>
        </w:rPr>
        <w:t> </w:t>
      </w:r>
      <w:r>
        <w:rPr>
          <w:spacing w:val="-75"/>
        </w:rPr>
      </w:r>
      <w:r>
        <w:rPr/>
        <w:t>于其账面价值的，确认商誉的减值损失。经测试，本期商誉未发生减值，不计提商誉减值准备</w:t>
      </w:r>
    </w:p>
    <w:p>
      <w:pPr>
        <w:pStyle w:val="BodyText"/>
        <w:spacing w:line="321" w:lineRule="auto" w:before="22"/>
        <w:ind w:right="1096" w:firstLine="360"/>
        <w:jc w:val="both"/>
      </w:pPr>
      <w:r>
        <w:rPr/>
        <w:t>（</w:t>
      </w:r>
      <w:r>
        <w:rPr>
          <w:rFonts w:ascii="宋体" w:hAnsi="宋体" w:cs="宋体" w:eastAsia="宋体" w:hint="default"/>
        </w:rPr>
        <w:t>2</w:t>
      </w:r>
      <w:r>
        <w:rPr/>
        <w:t>）包含商誉的资产组可回收金额采用预计未来现金流量现值的方法计算，利用上海申威资产评估有限公司出具的沪 </w:t>
      </w:r>
      <w:r>
        <w:rPr>
          <w:spacing w:val="-2"/>
        </w:rPr>
        <w:t>申威评报字（</w:t>
      </w:r>
      <w:r>
        <w:rPr>
          <w:rFonts w:ascii="宋体" w:hAnsi="宋体" w:cs="宋体" w:eastAsia="宋体" w:hint="default"/>
          <w:spacing w:val="-2"/>
        </w:rPr>
        <w:t>2020</w:t>
      </w:r>
      <w:r>
        <w:rPr>
          <w:spacing w:val="-2"/>
        </w:rPr>
        <w:t>）第</w:t>
      </w:r>
      <w:r>
        <w:rPr>
          <w:rFonts w:ascii="宋体" w:hAnsi="宋体" w:cs="宋体" w:eastAsia="宋体" w:hint="default"/>
          <w:spacing w:val="-2"/>
        </w:rPr>
        <w:t>1019</w:t>
      </w:r>
      <w:r>
        <w:rPr>
          <w:spacing w:val="-2"/>
        </w:rPr>
        <w:t>号《上海二三四五网络控股集团股份有限公司拟对并购上海二三四五网络科技有限公司所形成的</w:t>
      </w:r>
      <w:r>
        <w:rPr>
          <w:spacing w:val="-57"/>
        </w:rPr>
        <w:t> </w:t>
      </w:r>
      <w:r>
        <w:rPr>
          <w:spacing w:val="-57"/>
        </w:rPr>
      </w:r>
      <w:r>
        <w:rPr>
          <w:spacing w:val="-1"/>
        </w:rPr>
        <w:t>商誉进行减值测试涉及的相关资产组组合可回收价值评估报告》和沪申威评报字（</w:t>
      </w:r>
      <w:r>
        <w:rPr>
          <w:rFonts w:ascii="宋体" w:hAnsi="宋体" w:cs="宋体" w:eastAsia="宋体" w:hint="default"/>
          <w:spacing w:val="-1"/>
        </w:rPr>
        <w:t>2020</w:t>
      </w:r>
      <w:r>
        <w:rPr>
          <w:spacing w:val="-1"/>
        </w:rPr>
        <w:t>）第</w:t>
      </w:r>
      <w:r>
        <w:rPr>
          <w:rFonts w:ascii="宋体" w:hAnsi="宋体" w:cs="宋体" w:eastAsia="宋体" w:hint="default"/>
          <w:spacing w:val="-1"/>
        </w:rPr>
        <w:t>1017</w:t>
      </w:r>
      <w:r>
        <w:rPr>
          <w:spacing w:val="-1"/>
        </w:rPr>
        <w:t>号《上海二三四五网络科技</w:t>
      </w:r>
      <w:r>
        <w:rPr>
          <w:spacing w:val="-85"/>
        </w:rPr>
        <w:t> </w:t>
      </w:r>
      <w:r>
        <w:rPr>
          <w:spacing w:val="-85"/>
        </w:rPr>
      </w:r>
      <w:r>
        <w:rPr/>
        <w:t>有限公司拟对并购广东鑫锘影视文化传播有限公司所形成的商誉进行减值测试涉及的相关资产组可回收价值评估报告》。</w:t>
      </w:r>
    </w:p>
    <w:p>
      <w:pPr>
        <w:pStyle w:val="BodyText"/>
        <w:spacing w:line="240" w:lineRule="auto" w:before="3"/>
        <w:ind w:left="501" w:right="0"/>
        <w:jc w:val="left"/>
      </w:pPr>
      <w:r>
        <w:rPr/>
        <w:t>（</w:t>
      </w:r>
      <w:r>
        <w:rPr>
          <w:rFonts w:ascii="宋体" w:hAnsi="宋体" w:cs="宋体" w:eastAsia="宋体" w:hint="default"/>
        </w:rPr>
        <w:t>3</w:t>
      </w:r>
      <w:r>
        <w:rPr/>
        <w:t>）关键参数</w:t>
      </w:r>
    </w:p>
    <w:p>
      <w:pPr>
        <w:pStyle w:val="BodyText"/>
        <w:spacing w:line="321" w:lineRule="auto" w:before="80"/>
        <w:ind w:right="1126" w:firstLine="360"/>
        <w:jc w:val="both"/>
      </w:pPr>
      <w:r>
        <w:rPr>
          <w:spacing w:val="-3"/>
        </w:rPr>
        <w:t>二三四五互联网信息业务商誉预测期为</w:t>
      </w:r>
      <w:r>
        <w:rPr>
          <w:rFonts w:ascii="宋体" w:hAnsi="宋体" w:cs="宋体" w:eastAsia="宋体" w:hint="default"/>
          <w:spacing w:val="-3"/>
        </w:rPr>
        <w:t>2020</w:t>
      </w:r>
      <w:r>
        <w:rPr>
          <w:spacing w:val="-3"/>
        </w:rPr>
        <w:t>年至</w:t>
      </w:r>
      <w:r>
        <w:rPr>
          <w:rFonts w:ascii="宋体" w:hAnsi="宋体" w:cs="宋体" w:eastAsia="宋体" w:hint="default"/>
          <w:spacing w:val="-3"/>
        </w:rPr>
        <w:t>2024</w:t>
      </w:r>
      <w:r>
        <w:rPr>
          <w:spacing w:val="-3"/>
        </w:rPr>
        <w:t>年，后续为永续期；预测期增长率分别为</w:t>
      </w:r>
      <w:r>
        <w:rPr>
          <w:rFonts w:ascii="宋体" w:hAnsi="宋体" w:cs="宋体" w:eastAsia="宋体" w:hint="default"/>
          <w:spacing w:val="-3"/>
        </w:rPr>
        <w:t>-11.80%</w:t>
      </w:r>
      <w:r>
        <w:rPr>
          <w:spacing w:val="-3"/>
        </w:rPr>
        <w:t>、</w:t>
      </w:r>
      <w:r>
        <w:rPr>
          <w:rFonts w:ascii="宋体" w:hAnsi="宋体" w:cs="宋体" w:eastAsia="宋体" w:hint="default"/>
          <w:spacing w:val="-3"/>
        </w:rPr>
        <w:t>3.97%</w:t>
      </w:r>
      <w:r>
        <w:rPr>
          <w:spacing w:val="-3"/>
        </w:rPr>
        <w:t>、</w:t>
      </w:r>
      <w:r>
        <w:rPr>
          <w:rFonts w:ascii="宋体" w:hAnsi="宋体" w:cs="宋体" w:eastAsia="宋体" w:hint="default"/>
          <w:spacing w:val="-3"/>
        </w:rPr>
        <w:t>3.01%</w:t>
      </w:r>
      <w:r>
        <w:rPr>
          <w:spacing w:val="-3"/>
        </w:rPr>
        <w:t>、</w:t>
      </w:r>
      <w:r>
        <w:rPr/>
        <w:t> </w:t>
      </w:r>
      <w:r>
        <w:rPr>
          <w:rFonts w:ascii="宋体" w:hAnsi="宋体" w:cs="宋体" w:eastAsia="宋体" w:hint="default"/>
          <w:spacing w:val="-5"/>
        </w:rPr>
        <w:t>1.95%</w:t>
      </w:r>
      <w:r>
        <w:rPr>
          <w:spacing w:val="-5"/>
        </w:rPr>
        <w:t>、</w:t>
      </w:r>
      <w:r>
        <w:rPr>
          <w:rFonts w:ascii="宋体" w:hAnsi="宋体" w:cs="宋体" w:eastAsia="宋体" w:hint="default"/>
          <w:spacing w:val="-5"/>
        </w:rPr>
        <w:t>0.81%</w:t>
      </w:r>
      <w:r>
        <w:rPr>
          <w:spacing w:val="-5"/>
        </w:rPr>
        <w:t>；永续期按照前一年预测期计算；利润率：根据预测的收入、成本、费用等计算；折现率（税前）为：</w:t>
      </w:r>
      <w:r>
        <w:rPr>
          <w:rFonts w:ascii="宋体" w:hAnsi="宋体" w:cs="宋体" w:eastAsia="宋体" w:hint="default"/>
          <w:spacing w:val="-5"/>
        </w:rPr>
        <w:t>17.10%</w:t>
      </w:r>
      <w:r>
        <w:rPr>
          <w:spacing w:val="-5"/>
        </w:rPr>
        <w:t>。</w:t>
      </w:r>
      <w:r>
        <w:rPr>
          <w:spacing w:val="-44"/>
        </w:rPr>
        <w:t> </w:t>
      </w:r>
      <w:r>
        <w:rPr>
          <w:spacing w:val="-2"/>
        </w:rPr>
        <w:t>广东鑫锘互联网影视业务商誉预测期为</w:t>
      </w:r>
      <w:r>
        <w:rPr>
          <w:rFonts w:ascii="宋体" w:hAnsi="宋体" w:cs="宋体" w:eastAsia="宋体" w:hint="default"/>
          <w:spacing w:val="-2"/>
        </w:rPr>
        <w:t>2020</w:t>
      </w:r>
      <w:r>
        <w:rPr>
          <w:spacing w:val="-2"/>
        </w:rPr>
        <w:t>年至</w:t>
      </w:r>
      <w:r>
        <w:rPr>
          <w:rFonts w:ascii="宋体" w:hAnsi="宋体" w:cs="宋体" w:eastAsia="宋体" w:hint="default"/>
          <w:spacing w:val="-2"/>
        </w:rPr>
        <w:t>2024</w:t>
      </w:r>
      <w:r>
        <w:rPr>
          <w:spacing w:val="-2"/>
        </w:rPr>
        <w:t>年，后续为永续期；预测期增长率分别为</w:t>
      </w:r>
      <w:r>
        <w:rPr>
          <w:rFonts w:ascii="宋体" w:hAnsi="宋体" w:cs="宋体" w:eastAsia="宋体" w:hint="default"/>
          <w:spacing w:val="-2"/>
        </w:rPr>
        <w:t>0%</w:t>
      </w:r>
      <w:r>
        <w:rPr>
          <w:spacing w:val="-2"/>
        </w:rPr>
        <w:t>；永续期按照前一年预测期</w:t>
      </w:r>
      <w:r>
        <w:rPr>
          <w:spacing w:val="-59"/>
        </w:rPr>
        <w:t> </w:t>
      </w:r>
      <w:r>
        <w:rPr>
          <w:spacing w:val="-59"/>
        </w:rPr>
      </w:r>
      <w:r>
        <w:rPr/>
        <w:t>计算；利润率：根据预测的收入、成本、费用等计算；折现率（税前）为：</w:t>
      </w:r>
      <w:r>
        <w:rPr>
          <w:rFonts w:ascii="宋体" w:hAnsi="宋体" w:cs="宋体" w:eastAsia="宋体" w:hint="default"/>
        </w:rPr>
        <w:t>25.18%</w:t>
      </w:r>
      <w:r>
        <w:rPr/>
        <w:t>。</w:t>
      </w:r>
    </w:p>
    <w:p>
      <w:pPr>
        <w:pStyle w:val="BodyText"/>
        <w:spacing w:line="367" w:lineRule="auto" w:before="49"/>
        <w:ind w:right="8949"/>
        <w:jc w:val="left"/>
      </w:pPr>
      <w:r>
        <w:rPr/>
        <w:t>商誉减值测试的影响 其他说明</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0、长期待摊费用" w:id="338"/>
      <w:bookmarkEnd w:id="338"/>
      <w:r>
        <w:rPr>
          <w:b w:val="0"/>
          <w:bCs w:val="0"/>
        </w:rPr>
      </w:r>
      <w:r>
        <w:rPr>
          <w:rFonts w:ascii="Times New Roman" w:hAnsi="Times New Roman" w:cs="Times New Roman" w:eastAsia="Times New Roman" w:hint="default"/>
        </w:rPr>
        <w:t>30</w:t>
      </w:r>
      <w:r>
        <w:rPr/>
        <w:t>、长期待摊费用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经营租入改良支出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35,360,220.37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9,028,141.32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26,332,079.05</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35,360,220.37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9,028,141.32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26,332,079.05</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1、递延所得税资产/递延所得税负债" w:id="339"/>
      <w:bookmarkEnd w:id="339"/>
      <w:r>
        <w:rPr>
          <w:b w:val="0"/>
          <w:bCs w:val="0"/>
        </w:rPr>
      </w:r>
      <w:r>
        <w:rPr>
          <w:rFonts w:ascii="Times New Roman" w:hAnsi="Times New Roman" w:cs="Times New Roman" w:eastAsia="Times New Roman" w:hint="default"/>
        </w:rPr>
        <w:t>31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未经抵销的递延所得税资产" w:id="340"/>
      <w:bookmarkEnd w:id="34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21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1,063,523,788.36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127,274,763.74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619,122,469.63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58,072,887.46</w:t>
            </w: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尚未取得发票的暂估成 本与费用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187,480,864.35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17,959,663.64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182,110,253.15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16,934,788.68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34,856,650.10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4,058,572.19</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交易性金融资产公允价</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771,456.46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77,075.60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6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尚未支付工资</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43,407,715.60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4,340,771.56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未决诉讼形成的预计负 债</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6,135,000.00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613,500.00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2,077,997.32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207,019.76</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可抵扣经营亏损</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68,502,092.01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16,564,178.08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88,287,215.59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15,386,788.43</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1,369,820,916.78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166,829,952.62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926,454,585.79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94,660,056.52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41"/>
      <w:bookmarkEnd w:id="34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24,152,280.78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4,740,356.19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12,769,024.45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2,202,486.82</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其他非流动资产公允价 值变动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16,837,099.12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4,209,274.78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8,887,484.15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1,241,998.12</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40,989,379.90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8,949,630.97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21,656,508.60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3,444,484.94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342"/>
      <w:bookmarkEnd w:id="34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15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8,723,526.59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158,106,426.03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2,962,513.22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91,697,543.30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8,723,526.59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226,104.38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2,962,513.22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481,971.72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43"/>
      <w:bookmarkEnd w:id="34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5,416,899.77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1,423,329.49</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5,416,899.77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1,423,329.49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44"/>
      <w:bookmarkEnd w:id="34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1,864,864.20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26" w:right="0"/>
              <w:jc w:val="left"/>
              <w:rPr>
                <w:rFonts w:ascii="Times New Roman" w:hAnsi="Times New Roman" w:cs="Times New Roman" w:eastAsia="Times New Roman" w:hint="default"/>
                <w:sz w:val="18"/>
                <w:szCs w:val="18"/>
              </w:rPr>
            </w:pPr>
            <w:r>
              <w:rPr>
                <w:rFonts w:ascii="Times New Roman"/>
                <w:sz w:val="18"/>
              </w:rPr>
              <w:t>5,598,338.48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1,513,994.49</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589,382.95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950,350.75</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13,742,249.74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1,364,108.50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1,737,627.89</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21,667,599.06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5,693,317.94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2、其他非流动资产" w:id="345"/>
      <w:bookmarkEnd w:id="345"/>
      <w:r>
        <w:rPr>
          <w:b w:val="0"/>
          <w:bCs w:val="0"/>
        </w:rPr>
      </w:r>
      <w:r>
        <w:rPr>
          <w:rFonts w:ascii="Times New Roman" w:hAnsi="Times New Roman" w:cs="Times New Roman" w:eastAsia="Times New Roman" w:hint="default"/>
        </w:rPr>
        <w:t>32</w:t>
      </w:r>
      <w:r>
        <w:rPr/>
        <w:t>、其他非流动资产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3、短期借款" w:id="346"/>
      <w:bookmarkEnd w:id="346"/>
      <w:r>
        <w:rPr>
          <w:b w:val="0"/>
          <w:bCs w:val="0"/>
        </w:rPr>
      </w:r>
      <w:r>
        <w:rPr>
          <w:rFonts w:ascii="Times New Roman" w:hAnsi="Times New Roman" w:cs="Times New Roman" w:eastAsia="Times New Roman" w:hint="default"/>
        </w:rPr>
        <w:t>33</w:t>
      </w:r>
      <w:r>
        <w:rPr/>
        <w:t>、短期借款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短期借款分类" w:id="347"/>
      <w:bookmarkEnd w:id="34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86,227,679.31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14,980,000.00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516,800,000.00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101,207,679.31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516,800,000.00</w:t>
            </w:r>
          </w:p>
        </w:tc>
      </w:tr>
    </w:tbl>
    <w:p>
      <w:pPr>
        <w:pStyle w:val="BodyText"/>
        <w:spacing w:line="240" w:lineRule="auto"/>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2）已逾期未偿还的短期借款情况" w:id="348"/>
      <w:bookmarkEnd w:id="34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本期末已逾期未偿还的短期借款总额为</w:t>
      </w:r>
      <w:r>
        <w:rPr>
          <w:spacing w:val="-42"/>
        </w:rPr>
        <w:t> </w:t>
      </w:r>
      <w:r>
        <w:rPr>
          <w:rFonts w:ascii="Times New Roman" w:hAnsi="Times New Roman" w:cs="Times New Roman" w:eastAsia="Times New Roman" w:hint="default"/>
        </w:rPr>
        <w:t>0.00 </w:t>
      </w:r>
      <w:r>
        <w:rPr/>
        <w:t>元，其中重要的已逾期未偿还的短期借款情况如下：</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4、交易性金融负债" w:id="349"/>
      <w:bookmarkEnd w:id="349"/>
      <w:r>
        <w:rPr>
          <w:b w:val="0"/>
          <w:bCs w:val="0"/>
        </w:rPr>
      </w:r>
      <w:r>
        <w:rPr>
          <w:rFonts w:ascii="Times New Roman" w:hAnsi="Times New Roman" w:cs="Times New Roman" w:eastAsia="Times New Roman" w:hint="default"/>
        </w:rPr>
        <w:t>34</w:t>
      </w:r>
      <w:r>
        <w:rPr/>
        <w:t>、交易性金融负债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5、衍生金融负债" w:id="350"/>
      <w:bookmarkEnd w:id="350"/>
      <w:r>
        <w:rPr>
          <w:b w:val="0"/>
          <w:bCs w:val="0"/>
        </w:rPr>
      </w:r>
      <w:r>
        <w:rPr>
          <w:rFonts w:ascii="Times New Roman" w:hAnsi="Times New Roman" w:cs="Times New Roman" w:eastAsia="Times New Roman" w:hint="default"/>
        </w:rPr>
        <w:t>35</w:t>
      </w:r>
      <w:r>
        <w:rPr/>
        <w:t>、衍生金融负债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6、应付票据" w:id="351"/>
      <w:bookmarkEnd w:id="351"/>
      <w:r>
        <w:rPr>
          <w:b w:val="0"/>
          <w:bCs w:val="0"/>
        </w:rPr>
      </w:r>
      <w:r>
        <w:rPr>
          <w:rFonts w:ascii="Times New Roman" w:hAnsi="Times New Roman" w:cs="Times New Roman" w:eastAsia="Times New Roman" w:hint="default"/>
        </w:rPr>
        <w:t>36</w:t>
      </w:r>
      <w:r>
        <w:rPr/>
        <w:t>、应付票据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7、应付账款" w:id="352"/>
      <w:bookmarkEnd w:id="352"/>
      <w:r>
        <w:rPr>
          <w:b w:val="0"/>
          <w:bCs w:val="0"/>
        </w:rPr>
      </w:r>
      <w:r>
        <w:rPr>
          <w:rFonts w:ascii="Times New Roman" w:hAnsi="Times New Roman" w:cs="Times New Roman" w:eastAsia="Times New Roman" w:hint="default"/>
        </w:rPr>
        <w:t>37</w:t>
      </w:r>
      <w:r>
        <w:rPr/>
        <w:t>、应付账款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付账款列示" w:id="353"/>
      <w:bookmarkEnd w:id="35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202,446,334.72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293,189,979.21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3,278,343.19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24,672,644.26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205,724,677.91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317,862,623.47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54"/>
      <w:bookmarkEnd w:id="354"/>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8、预收款项" w:id="355"/>
      <w:bookmarkEnd w:id="355"/>
      <w:r>
        <w:rPr>
          <w:b w:val="0"/>
          <w:bCs w:val="0"/>
        </w:rPr>
      </w:r>
      <w:r>
        <w:rPr>
          <w:rFonts w:ascii="Times New Roman" w:hAnsi="Times New Roman" w:cs="Times New Roman" w:eastAsia="Times New Roman" w:hint="default"/>
        </w:rPr>
        <w:t>38</w:t>
      </w:r>
      <w:r>
        <w:rPr/>
        <w:t>、预收款项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1）预收款项列示" w:id="356"/>
      <w:bookmarkEnd w:id="35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7,079,522.77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92,599,014.82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601,273.90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2,173,907.22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7,680,796.67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94,772,922.04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账龄超过1年的重要预收款项" w:id="357"/>
      <w:bookmarkEnd w:id="357"/>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58"/>
      <w:bookmarkEnd w:id="35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9、合同负债" w:id="359"/>
      <w:bookmarkEnd w:id="359"/>
      <w:r>
        <w:rPr>
          <w:b w:val="0"/>
          <w:bCs w:val="0"/>
        </w:rPr>
      </w:r>
      <w:r>
        <w:rPr>
          <w:rFonts w:ascii="Times New Roman" w:hAnsi="Times New Roman" w:cs="Times New Roman" w:eastAsia="Times New Roman" w:hint="default"/>
        </w:rPr>
        <w:t>39</w:t>
      </w:r>
      <w:r>
        <w:rPr/>
        <w:t>、合同负债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报告期内账面价值发生重大变动的金额和原因</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0、应付职工薪酬" w:id="360"/>
      <w:bookmarkEnd w:id="360"/>
      <w:r>
        <w:rPr>
          <w:b w:val="0"/>
          <w:bCs w:val="0"/>
        </w:rPr>
      </w:r>
      <w:r>
        <w:rPr>
          <w:rFonts w:ascii="Times New Roman" w:hAnsi="Times New Roman" w:cs="Times New Roman" w:eastAsia="Times New Roman" w:hint="default"/>
        </w:rPr>
        <w:t>40</w:t>
      </w:r>
      <w:r>
        <w:rPr/>
        <w:t>、应付职工薪酬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61"/>
      <w:bookmarkEnd w:id="36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86,237,938.63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335,341,637.97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324,512,369.57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97,067,207.03</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2,697,015.86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31,694,708.57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32,167,650.27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2,224,074.16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882,236.00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7,048,502.68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6,439,808.66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1,490,930.02</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89,817,190.49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374,084,849.22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363,119,828.50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100,782,211.21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62"/>
      <w:bookmarkEnd w:id="36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83,921,445.09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294,829,062.98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284,124,759.06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94,625,749.01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8,599,040.30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8,599,040.30</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1,394,299.08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18,914,670.22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18,872,298.72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1,436,670.58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1,249,836.00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16,871,645.95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16,840,955.25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1,280,526.70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13,196.65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267,005.48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258,555.18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21,646.95</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131,266.43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1,776,018.79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1,772,788.29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134,496.93</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922,194.46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12,821,669.80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12,739,076.82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1,004,787.44</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177,194.67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177,194.67</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86,237,938.63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335,341,637.97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324,512,369.57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97,067,207.03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63"/>
      <w:bookmarkEnd w:id="36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2,631,232.80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30,796,082.33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31,270,639.23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2,156,675.90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65,783.06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898,626.24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897,011.04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67,398.26</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2,697,015.86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31,694,708.57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32,167,650.27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2,224,074.16</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1、应交税费" w:id="364"/>
      <w:bookmarkEnd w:id="364"/>
      <w:r>
        <w:rPr>
          <w:b w:val="0"/>
          <w:bCs w:val="0"/>
        </w:rPr>
      </w:r>
      <w:r>
        <w:rPr>
          <w:rFonts w:ascii="Times New Roman" w:hAnsi="Times New Roman" w:cs="Times New Roman" w:eastAsia="Times New Roman" w:hint="default"/>
        </w:rPr>
        <w:t>41</w:t>
      </w:r>
      <w:r>
        <w:rPr/>
        <w:t>、应交税费</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7,304,843.25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30,794,417.93</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39,194,671.35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80,999,665.41</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98,580.47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502,823.73</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347,191.83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2,242,944.45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378,561.55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1,983,101.74</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264.83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5,157.70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61,913.09</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47,329,270.98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116,584,866.35</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2、其他应付款" w:id="365"/>
      <w:bookmarkEnd w:id="365"/>
      <w:r>
        <w:rPr>
          <w:b w:val="0"/>
          <w:bCs w:val="0"/>
        </w:rPr>
      </w:r>
      <w:r>
        <w:rPr>
          <w:rFonts w:ascii="Times New Roman" w:hAnsi="Times New Roman" w:cs="Times New Roman" w:eastAsia="Times New Roman" w:hint="default"/>
        </w:rPr>
        <w:t>42</w:t>
      </w:r>
      <w:r>
        <w:rPr/>
        <w:t>、其他应付款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18,991,870.84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20,266,058.32</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1,790,808.00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2,555,430.00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89,331,262.36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175,360,395.34</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110,113,941.20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198,181,883.66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66"/>
      <w:bookmarkEnd w:id="36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241,870.84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854,908.32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二三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债券利息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18,750,000.00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二三四五租赁一期利息</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661,150.00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18,991,870.84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20,266,058.32</w:t>
            </w:r>
          </w:p>
        </w:tc>
      </w:tr>
    </w:tbl>
    <w:p>
      <w:pPr>
        <w:pStyle w:val="BodyText"/>
        <w:spacing w:line="240" w:lineRule="auto"/>
        <w:ind w:right="0"/>
        <w:jc w:val="left"/>
      </w:pPr>
      <w:r>
        <w:rPr/>
        <w:t>重要的已逾期未支付的利息情况：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应付股利" w:id="367"/>
      <w:bookmarkEnd w:id="36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1,790,808.00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2,555,430.00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1,790,808.00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2,555,430.00</w:t>
            </w:r>
          </w:p>
        </w:tc>
      </w:tr>
    </w:tbl>
    <w:p>
      <w:pPr>
        <w:pStyle w:val="BodyText"/>
        <w:spacing w:line="240" w:lineRule="auto" w:before="59"/>
        <w:ind w:right="0"/>
        <w:jc w:val="left"/>
      </w:pPr>
      <w:r>
        <w:rPr/>
        <w:t>其他说明，包括重要的超过</w:t>
      </w:r>
      <w:r>
        <w:rPr>
          <w:spacing w:val="-43"/>
        </w:rPr>
        <w:t> </w:t>
      </w:r>
      <w:r>
        <w:rPr>
          <w:rFonts w:ascii="Times New Roman" w:hAnsi="Times New Roman" w:cs="Times New Roman" w:eastAsia="Times New Roman" w:hint="default"/>
        </w:rPr>
        <w:t>1 </w:t>
      </w:r>
      <w:r>
        <w:rPr/>
        <w:t>年未支付的应付股利，应披露未支付原因：</w:t>
      </w:r>
    </w:p>
    <w:p>
      <w:pPr>
        <w:spacing w:line="240" w:lineRule="auto" w:before="6"/>
        <w:rPr>
          <w:rFonts w:ascii="宋体" w:hAnsi="宋体" w:cs="宋体" w:eastAsia="宋体" w:hint="default"/>
          <w:sz w:val="26"/>
          <w:szCs w:val="26"/>
        </w:rPr>
      </w:pPr>
    </w:p>
    <w:p>
      <w:pPr>
        <w:pStyle w:val="Heading3"/>
        <w:spacing w:line="508" w:lineRule="auto"/>
        <w:ind w:right="7903"/>
        <w:jc w:val="left"/>
        <w:rPr>
          <w:b w:val="0"/>
          <w:bCs w:val="0"/>
        </w:rPr>
      </w:pPr>
      <w:bookmarkStart w:name="（3）其他应付款" w:id="368"/>
      <w:bookmarkEnd w:id="368"/>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369"/>
      <w:bookmarkEnd w:id="369"/>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5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18,630,635.04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160,715,956.18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70,700,627.32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14,644,439.16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89,331,262.36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175,360,395.34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70"/>
      <w:bookmarkEnd w:id="370"/>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公司期末无账龄超过一年的重要其他应付款项。</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3、持有待售负债" w:id="371"/>
      <w:bookmarkEnd w:id="371"/>
      <w:r>
        <w:rPr>
          <w:b w:val="0"/>
          <w:bCs w:val="0"/>
        </w:rPr>
      </w:r>
      <w:r>
        <w:rPr>
          <w:rFonts w:ascii="Times New Roman" w:hAnsi="Times New Roman" w:cs="Times New Roman" w:eastAsia="Times New Roman" w:hint="default"/>
        </w:rPr>
        <w:t>43</w:t>
      </w:r>
      <w:r>
        <w:rPr/>
        <w:t>、持有待售负债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4、一年内到期的非流动负债" w:id="372"/>
      <w:bookmarkEnd w:id="372"/>
      <w:r>
        <w:rPr>
          <w:b w:val="0"/>
          <w:bCs w:val="0"/>
        </w:rPr>
      </w:r>
      <w:r>
        <w:rPr>
          <w:rFonts w:ascii="Times New Roman" w:hAnsi="Times New Roman" w:cs="Times New Roman" w:eastAsia="Times New Roman" w:hint="default"/>
        </w:rPr>
        <w:t>44</w:t>
      </w:r>
      <w:r>
        <w:rPr/>
        <w:t>、一年内到期的非流动负债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108,237,992.00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209,977,620.00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ABS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债券</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267,000,000.00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二三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债券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536,237,992.00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476,977,620.00</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5、其他流动负债" w:id="373"/>
      <w:bookmarkEnd w:id="373"/>
      <w:r>
        <w:rPr>
          <w:b w:val="0"/>
          <w:bCs w:val="0"/>
        </w:rPr>
      </w:r>
      <w:r>
        <w:rPr>
          <w:rFonts w:ascii="Times New Roman" w:hAnsi="Times New Roman" w:cs="Times New Roman" w:eastAsia="Times New Roman" w:hint="default"/>
        </w:rPr>
        <w:t>45</w:t>
      </w:r>
      <w:r>
        <w:rPr/>
        <w:t>、其他流动负债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10,976,412.65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24,259,043.99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待缴税金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509,165.04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11,485,577.69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24,259,043.99</w:t>
            </w:r>
          </w:p>
        </w:tc>
      </w:tr>
    </w:tbl>
    <w:p>
      <w:pPr>
        <w:pStyle w:val="BodyText"/>
        <w:spacing w:line="240" w:lineRule="auto" w:before="45"/>
        <w:ind w:right="0"/>
        <w:jc w:val="left"/>
      </w:pPr>
      <w:r>
        <w:rPr/>
        <w:t>短期应付债券的增减变动：</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6、长期借款" w:id="374"/>
      <w:bookmarkEnd w:id="374"/>
      <w:r>
        <w:rPr>
          <w:b w:val="0"/>
          <w:bCs w:val="0"/>
        </w:rPr>
      </w:r>
      <w:r>
        <w:rPr>
          <w:rFonts w:ascii="Times New Roman" w:hAnsi="Times New Roman" w:cs="Times New Roman" w:eastAsia="Times New Roman" w:hint="default"/>
        </w:rPr>
        <w:t>46</w:t>
      </w:r>
      <w:r>
        <w:rPr/>
        <w:t>、长期借款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长期借款分类" w:id="375"/>
      <w:bookmarkEnd w:id="37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23"/>
          <w:pgSz w:w="11910" w:h="16850"/>
          <w:pgMar w:footer="981" w:header="731" w:top="1040" w:bottom="1180" w:left="1000" w:right="0"/>
          <w:pgNumType w:start="168"/>
        </w:sectPr>
      </w:pPr>
    </w:p>
    <w:p>
      <w:pPr>
        <w:spacing w:line="240" w:lineRule="auto" w:before="1"/>
        <w:rPr>
          <w:rFonts w:ascii="宋体" w:hAnsi="宋体" w:cs="宋体" w:eastAsia="宋体" w:hint="default"/>
          <w:sz w:val="26"/>
          <w:szCs w:val="26"/>
        </w:rPr>
      </w:pPr>
    </w:p>
    <w:p>
      <w:pPr>
        <w:pStyle w:val="BodyText"/>
        <w:spacing w:line="352" w:lineRule="auto"/>
        <w:ind w:right="8589"/>
        <w:jc w:val="left"/>
      </w:pPr>
      <w:r>
        <w:rPr/>
        <w:t>长期借款分类的说明： 其他说明，包括利率区间：</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47、应付债券" w:id="376"/>
      <w:bookmarkEnd w:id="376"/>
      <w:r>
        <w:rPr>
          <w:b w:val="0"/>
          <w:bCs w:val="0"/>
        </w:rPr>
      </w:r>
      <w:r>
        <w:rPr>
          <w:rFonts w:ascii="Times New Roman" w:hAnsi="Times New Roman" w:cs="Times New Roman" w:eastAsia="Times New Roman" w:hint="default"/>
        </w:rPr>
        <w:t>47</w:t>
      </w:r>
      <w:r>
        <w:rPr/>
        <w:t>、应付债券</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付债券" w:id="377"/>
      <w:bookmarkEnd w:id="37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二三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债券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78"/>
      <w:bookmarkEnd w:id="37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158" w:hRule="exact"/>
        </w:trPr>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73"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二三</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债券</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8"/>
              <w:ind w:left="353" w:right="0"/>
              <w:jc w:val="left"/>
              <w:rPr>
                <w:rFonts w:ascii="Times New Roman" w:hAnsi="Times New Roman" w:cs="Times New Roman" w:eastAsia="Times New Roman" w:hint="default"/>
                <w:sz w:val="18"/>
                <w:szCs w:val="18"/>
              </w:rPr>
            </w:pPr>
            <w:r>
              <w:rPr>
                <w:rFonts w:ascii="Times New Roman"/>
                <w:sz w:val="18"/>
              </w:rPr>
              <w:t>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2018/5/15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00.00</w:t>
            </w:r>
          </w:p>
        </w:tc>
      </w:tr>
      <w:tr>
        <w:trPr>
          <w:trHeight w:val="158" w:hRule="exact"/>
        </w:trPr>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12"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93"/>
              <w:ind w:left="337" w:right="0"/>
              <w:jc w:val="left"/>
              <w:rPr>
                <w:rFonts w:ascii="Times New Roman" w:hAnsi="Times New Roman" w:cs="Times New Roman" w:eastAsia="Times New Roman" w:hint="default"/>
                <w:sz w:val="18"/>
                <w:szCs w:val="18"/>
              </w:rPr>
            </w:pPr>
            <w:r>
              <w:rPr>
                <w:rFonts w:ascii="Times New Roman"/>
                <w:sz w:val="18"/>
              </w:rPr>
              <w:t>00.00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00.00</w:t>
            </w:r>
          </w:p>
        </w:tc>
        <w:tc>
          <w:tcPr>
            <w:tcW w:w="79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00.00</w:t>
            </w:r>
          </w:p>
        </w:tc>
      </w:tr>
      <w:tr>
        <w:trPr>
          <w:trHeight w:val="390" w:hRule="exact"/>
        </w:trPr>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vMerge/>
            <w:tcBorders>
              <w:left w:val="single" w:sz="12"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12"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79"/>
      <w:bookmarkEnd w:id="37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80"/>
      <w:bookmarkEnd w:id="38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期末发行在外的优先股、永续债等其他金融工具基本情况</w:t>
      </w:r>
    </w:p>
    <w:p>
      <w:pPr>
        <w:pStyle w:val="BodyText"/>
        <w:spacing w:line="240" w:lineRule="auto" w:before="125"/>
        <w:ind w:right="0"/>
        <w:jc w:val="left"/>
      </w:pPr>
      <w:r>
        <w:rPr/>
        <w:t>期末发行在外的优先股、永续债等金融工具变动情况表</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390"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6"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0" w:lineRule="auto" w:before="45"/>
        <w:ind w:right="7509"/>
        <w:jc w:val="left"/>
      </w:pPr>
      <w:r>
        <w:rPr/>
        <w:t>其他金融工具划分为金融负债的依据说明 其他说明</w:t>
      </w:r>
    </w:p>
    <w:p>
      <w:pPr>
        <w:pStyle w:val="BodyText"/>
        <w:spacing w:line="319" w:lineRule="auto" w:before="27"/>
        <w:ind w:right="1029" w:firstLine="360"/>
        <w:jc w:val="left"/>
      </w:pPr>
      <w:r>
        <w:rPr>
          <w:spacing w:val="-2"/>
        </w:rPr>
        <w:t>经中国证券监督管理委员会证监许可</w:t>
      </w:r>
      <w:r>
        <w:rPr>
          <w:rFonts w:ascii="宋体" w:hAnsi="宋体" w:cs="宋体" w:eastAsia="宋体" w:hint="default"/>
          <w:spacing w:val="-2"/>
        </w:rPr>
        <w:t>[2017]2140</w:t>
      </w:r>
      <w:r>
        <w:rPr>
          <w:spacing w:val="-2"/>
        </w:rPr>
        <w:t>号文核准，公司于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日面向合格投资者公开</w:t>
      </w:r>
      <w:r>
        <w:rPr/>
        <w:t> 发行了公司债券</w:t>
      </w:r>
      <w:r>
        <w:rPr>
          <w:rFonts w:ascii="宋体" w:hAnsi="宋体" w:cs="宋体" w:eastAsia="宋体" w:hint="default"/>
        </w:rPr>
        <w:t>5</w:t>
      </w:r>
      <w:r>
        <w:rPr/>
        <w:t>亿元，票面利率为</w:t>
      </w:r>
      <w:r>
        <w:rPr>
          <w:rFonts w:ascii="宋体" w:hAnsi="宋体" w:cs="宋体" w:eastAsia="宋体" w:hint="default"/>
        </w:rPr>
        <w:t>6.00%</w:t>
      </w:r>
      <w:r>
        <w:rPr/>
        <w:t>，期限为</w:t>
      </w:r>
      <w:r>
        <w:rPr>
          <w:rFonts w:ascii="宋体" w:hAnsi="宋体" w:cs="宋体" w:eastAsia="宋体" w:hint="default"/>
        </w:rPr>
        <w:t>3</w:t>
      </w:r>
      <w:r>
        <w:rPr/>
        <w:t>年。每年付息一次，到期一次还本，最后一期利息随本金的兑付一起支</w:t>
      </w:r>
      <w:r>
        <w:rPr>
          <w:spacing w:val="-86"/>
        </w:rPr>
        <w:t> </w:t>
      </w:r>
      <w:r>
        <w:rPr/>
        <w:t>付。公司有权决定是否在本期债券存续期的第</w:t>
      </w:r>
      <w:r>
        <w:rPr>
          <w:rFonts w:ascii="宋体" w:hAnsi="宋体" w:cs="宋体" w:eastAsia="宋体" w:hint="default"/>
        </w:rPr>
        <w:t>2</w:t>
      </w:r>
      <w:r>
        <w:rPr/>
        <w:t>年末上调本期债券第</w:t>
      </w:r>
      <w:r>
        <w:rPr>
          <w:rFonts w:ascii="宋体" w:hAnsi="宋体" w:cs="宋体" w:eastAsia="宋体" w:hint="default"/>
        </w:rPr>
        <w:t>3</w:t>
      </w:r>
      <w:r>
        <w:rPr/>
        <w:t>年的票面利率。公司将于本期债券存续期内第</w:t>
      </w:r>
      <w:r>
        <w:rPr>
          <w:rFonts w:ascii="宋体" w:hAnsi="宋体" w:cs="宋体" w:eastAsia="宋体" w:hint="default"/>
        </w:rPr>
        <w:t>2</w:t>
      </w:r>
      <w:r>
        <w:rPr/>
        <w:t>个计息</w:t>
      </w:r>
      <w:r>
        <w:rPr>
          <w:spacing w:val="-81"/>
        </w:rPr>
        <w:t> </w:t>
      </w:r>
      <w:r>
        <w:rPr/>
        <w:t>年度付息日前的第</w:t>
      </w:r>
      <w:r>
        <w:rPr>
          <w:rFonts w:ascii="宋体" w:hAnsi="宋体" w:cs="宋体" w:eastAsia="宋体" w:hint="default"/>
        </w:rPr>
        <w:t>30</w:t>
      </w:r>
      <w:r>
        <w:rPr/>
        <w:t>个交易日，在深交所指定的信息披露媒体上发布关于是否上调本期债券票面利率以及上调幅度的公告。 </w:t>
      </w:r>
      <w:r>
        <w:rPr>
          <w:spacing w:val="-2"/>
        </w:rPr>
        <w:t>若公司未行使利率上调权，则存续期第</w:t>
      </w:r>
      <w:r>
        <w:rPr>
          <w:rFonts w:ascii="宋体" w:hAnsi="宋体" w:cs="宋体" w:eastAsia="宋体" w:hint="default"/>
          <w:spacing w:val="-2"/>
        </w:rPr>
        <w:t>3</w:t>
      </w:r>
      <w:r>
        <w:rPr>
          <w:spacing w:val="-2"/>
        </w:rPr>
        <w:t>年的票面利率仍维持原有票面利率不变。公司发出关于是否上调本期债券第</w:t>
      </w:r>
      <w:r>
        <w:rPr>
          <w:rFonts w:ascii="宋体" w:hAnsi="宋体" w:cs="宋体" w:eastAsia="宋体" w:hint="default"/>
          <w:spacing w:val="-2"/>
        </w:rPr>
        <w:t>3</w:t>
      </w:r>
      <w:r>
        <w:rPr>
          <w:spacing w:val="-2"/>
        </w:rPr>
        <w:t>年票面</w:t>
      </w:r>
      <w:r>
        <w:rPr>
          <w:spacing w:val="-60"/>
        </w:rPr>
        <w:t> </w:t>
      </w:r>
      <w:r>
        <w:rPr/>
        <w:t>利率及上调幅度的公告后，投资者有权选择在本期债券存续期内第</w:t>
      </w:r>
      <w:r>
        <w:rPr>
          <w:rFonts w:ascii="宋体" w:hAnsi="宋体" w:cs="宋体" w:eastAsia="宋体" w:hint="default"/>
        </w:rPr>
        <w:t>2</w:t>
      </w:r>
      <w:r>
        <w:rPr/>
        <w:t>个计息年度的投资者回售登记期内进行登记，将持有的</w:t>
      </w:r>
      <w:r>
        <w:rPr>
          <w:spacing w:val="-84"/>
        </w:rPr>
        <w:t> </w:t>
      </w:r>
      <w:r>
        <w:rPr/>
        <w:t>本期债券按面值全部或部分回售给公司或选择继续持有本期债券。本期债券第</w:t>
      </w:r>
      <w:r>
        <w:rPr>
          <w:rFonts w:ascii="宋体" w:hAnsi="宋体" w:cs="宋体" w:eastAsia="宋体" w:hint="default"/>
        </w:rPr>
        <w:t>2</w:t>
      </w:r>
      <w:r>
        <w:rPr/>
        <w:t>个计息年度付息日即为回售支付日，公司将</w:t>
      </w:r>
      <w:r>
        <w:rPr>
          <w:spacing w:val="-83"/>
        </w:rPr>
        <w:t> </w:t>
      </w:r>
      <w:r>
        <w:rPr/>
        <w:t>按照深交所和债券登记机构相关业务规则完成回售支付工作。</w:t>
      </w:r>
    </w:p>
    <w:p>
      <w:pPr>
        <w:spacing w:after="0" w:line="319"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28" w:firstLine="360"/>
        <w:jc w:val="both"/>
      </w:pPr>
      <w:r>
        <w:rPr/>
        <w:t>根据相关规定，公司分别于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30</w:t>
      </w:r>
      <w:r>
        <w:rPr/>
        <w:t>日、</w:t>
      </w:r>
      <w:r>
        <w:rPr>
          <w:rFonts w:ascii="宋体" w:hAnsi="宋体" w:cs="宋体" w:eastAsia="宋体" w:hint="default"/>
        </w:rPr>
        <w:t>4</w:t>
      </w:r>
      <w:r>
        <w:rPr/>
        <w:t>月</w:t>
      </w:r>
      <w:r>
        <w:rPr>
          <w:rFonts w:ascii="宋体" w:hAnsi="宋体" w:cs="宋体" w:eastAsia="宋体" w:hint="default"/>
        </w:rPr>
        <w:t>1</w:t>
      </w:r>
      <w:r>
        <w:rPr/>
        <w:t>日、</w:t>
      </w:r>
      <w:r>
        <w:rPr>
          <w:rFonts w:ascii="宋体" w:hAnsi="宋体" w:cs="宋体" w:eastAsia="宋体" w:hint="default"/>
        </w:rPr>
        <w:t>4</w:t>
      </w:r>
      <w:r>
        <w:rPr/>
        <w:t>月</w:t>
      </w:r>
      <w:r>
        <w:rPr>
          <w:rFonts w:ascii="宋体" w:hAnsi="宋体" w:cs="宋体" w:eastAsia="宋体" w:hint="default"/>
        </w:rPr>
        <w:t>3</w:t>
      </w:r>
      <w:r>
        <w:rPr/>
        <w:t>日在巨潮资讯网披露了《关于</w:t>
      </w:r>
      <w:r>
        <w:rPr>
          <w:rFonts w:ascii="宋体" w:hAnsi="宋体" w:cs="宋体" w:eastAsia="宋体" w:hint="default"/>
        </w:rPr>
        <w:t>2018</w:t>
      </w:r>
      <w:r>
        <w:rPr/>
        <w:t>年面向合格投资者公开发 行公司债券不上调票面利率暨债券持有人回售实施办法的第一次提示性公告》、《关于</w:t>
      </w:r>
      <w:r>
        <w:rPr>
          <w:spacing w:val="8"/>
        </w:rPr>
        <w:t> </w:t>
      </w:r>
      <w:r>
        <w:rPr>
          <w:rFonts w:ascii="宋体" w:hAnsi="宋体" w:cs="宋体" w:eastAsia="宋体" w:hint="default"/>
        </w:rPr>
        <w:t>2018</w:t>
      </w:r>
      <w:r>
        <w:rPr/>
        <w:t>年面向合格投资者公开发行公 </w:t>
      </w:r>
      <w:r>
        <w:rPr>
          <w:spacing w:val="-3"/>
        </w:rPr>
        <w:t>司债券不上调票面利率暨债券持有人回售实施办法的第二次提示性公告》及《关于 </w:t>
      </w:r>
      <w:r>
        <w:rPr>
          <w:rFonts w:ascii="宋体" w:hAnsi="宋体" w:cs="宋体" w:eastAsia="宋体" w:hint="default"/>
        </w:rPr>
        <w:t>2018</w:t>
      </w:r>
      <w:r>
        <w:rPr>
          <w:rFonts w:ascii="宋体" w:hAnsi="宋体" w:cs="宋体" w:eastAsia="宋体" w:hint="default"/>
          <w:spacing w:val="28"/>
        </w:rPr>
        <w:t> </w:t>
      </w:r>
      <w:r>
        <w:rPr/>
        <w:t>年面向合格投资者公开发行公司债 券不上调票面利率暨债券持有人回售实施办法的第三次提示性公告》。</w:t>
      </w:r>
    </w:p>
    <w:p>
      <w:pPr>
        <w:pStyle w:val="BodyText"/>
        <w:spacing w:line="321" w:lineRule="auto" w:before="22"/>
        <w:ind w:right="1126" w:firstLine="360"/>
        <w:jc w:val="both"/>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8</w:t>
      </w:r>
      <w:r>
        <w:rPr/>
        <w:t>日根据中国证券登记结算有限责任公司深圳分公司提供的数据，“ 8二三</w:t>
      </w:r>
      <w:r>
        <w:rPr>
          <w:spacing w:val="6"/>
        </w:rPr>
        <w:t> </w:t>
      </w:r>
      <w:r>
        <w:rPr/>
        <w:t>”的回售数量为</w:t>
      </w:r>
      <w:r>
        <w:rPr>
          <w:rFonts w:ascii="宋体" w:hAnsi="宋体" w:cs="宋体" w:eastAsia="宋体" w:hint="default"/>
        </w:rPr>
        <w:t>4,280,000</w:t>
      </w:r>
      <w:r>
        <w:rPr/>
        <w:t>张， 回售金额为人民币</w:t>
      </w:r>
      <w:r>
        <w:rPr>
          <w:rFonts w:ascii="宋体" w:hAnsi="宋体" w:cs="宋体" w:eastAsia="宋体" w:hint="default"/>
        </w:rPr>
        <w:t>428,000,000</w:t>
      </w:r>
      <w:r>
        <w:rPr/>
        <w:t>元（不含利息），剩余托管数量为</w:t>
      </w:r>
      <w:r>
        <w:rPr>
          <w:rFonts w:ascii="宋体" w:hAnsi="宋体" w:cs="宋体" w:eastAsia="宋体" w:hint="default"/>
        </w:rPr>
        <w:t>720,000</w:t>
      </w:r>
      <w:r>
        <w:rPr/>
        <w:t>张。公司将于</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15</w:t>
      </w:r>
      <w:r>
        <w:rPr/>
        <w:t>日回售资金到账日对有</w:t>
      </w:r>
      <w:r>
        <w:rPr>
          <w:spacing w:val="-85"/>
        </w:rPr>
        <w:t> </w:t>
      </w:r>
      <w:r>
        <w:rPr/>
        <w:t>效申报回售的“ 8二三 </w:t>
      </w:r>
      <w:r>
        <w:rPr>
          <w:spacing w:val="1"/>
        </w:rPr>
        <w:t> </w:t>
      </w:r>
      <w:r>
        <w:rPr/>
        <w:t>”债券持有人支付回售本金及当期利息。</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48、租赁负债" w:id="381"/>
      <w:bookmarkEnd w:id="381"/>
      <w:r>
        <w:rPr>
          <w:b w:val="0"/>
          <w:bCs w:val="0"/>
        </w:rPr>
      </w:r>
      <w:r>
        <w:rPr>
          <w:rFonts w:ascii="Times New Roman" w:hAnsi="Times New Roman" w:cs="Times New Roman" w:eastAsia="Times New Roman" w:hint="default"/>
        </w:rPr>
        <w:t>48</w:t>
      </w:r>
      <w:r>
        <w:rPr/>
        <w:t>、租赁负债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1"/>
        <w:jc w:val="right"/>
      </w:pPr>
      <w:r>
        <w:rPr/>
        <w:t>单位：</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9、长期应付款" w:id="382"/>
      <w:bookmarkEnd w:id="382"/>
      <w:r>
        <w:rPr>
          <w:b w:val="0"/>
          <w:bCs w:val="0"/>
        </w:rPr>
      </w:r>
      <w:r>
        <w:rPr>
          <w:rFonts w:ascii="Times New Roman" w:hAnsi="Times New Roman" w:cs="Times New Roman" w:eastAsia="Times New Roman" w:hint="default"/>
        </w:rPr>
        <w:t>49</w:t>
      </w:r>
      <w:r>
        <w:rPr/>
        <w:t>、长期应付款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108,242,300.00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108,242,300.00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83"/>
      <w:bookmarkEnd w:id="38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108,242,300.00</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2）专项应付款" w:id="384"/>
      <w:bookmarkEnd w:id="38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0、长期应付职工薪酬" w:id="385"/>
      <w:bookmarkEnd w:id="385"/>
      <w:r>
        <w:rPr>
          <w:b w:val="0"/>
          <w:bCs w:val="0"/>
        </w:rPr>
      </w:r>
      <w:r>
        <w:rPr>
          <w:rFonts w:ascii="Times New Roman" w:hAnsi="Times New Roman" w:cs="Times New Roman" w:eastAsia="Times New Roman" w:hint="default"/>
        </w:rPr>
        <w:t>50</w:t>
      </w:r>
      <w:r>
        <w:rPr/>
        <w:t>、长期应付职工薪酬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86"/>
      <w:bookmarkEnd w:id="38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设定受益计划变动情况" w:id="387"/>
      <w:bookmarkEnd w:id="38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设定受益计划义务现值：</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0"/>
        <w:jc w:val="left"/>
      </w:pPr>
      <w:r>
        <w:rPr/>
        <w:t>计划资产：</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0"/>
        <w:jc w:val="left"/>
      </w:pPr>
      <w:r>
        <w:rPr/>
        <w:t>设定受益计划净负债（净资产）</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7" w:lineRule="auto"/>
        <w:ind w:right="3549"/>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1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1、预计负债" w:id="388"/>
      <w:bookmarkEnd w:id="388"/>
      <w:r>
        <w:rPr>
          <w:b w:val="0"/>
          <w:bCs w:val="0"/>
        </w:rPr>
      </w:r>
      <w:r>
        <w:rPr>
          <w:rFonts w:ascii="Times New Roman" w:hAnsi="Times New Roman" w:cs="Times New Roman" w:eastAsia="Times New Roman" w:hint="default"/>
        </w:rPr>
        <w:t>51</w:t>
      </w:r>
      <w:r>
        <w:rPr/>
        <w:t>、预计负债</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6,135,000.00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2,077,997.32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诉讼</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6,135,000.00</w:t>
            </w:r>
          </w:p>
        </w:tc>
        <w:tc>
          <w:tcPr>
            <w:tcW w:w="238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2,077,997.32</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2、递延收益" w:id="389"/>
      <w:bookmarkEnd w:id="389"/>
      <w:r>
        <w:rPr>
          <w:b w:val="0"/>
          <w:bCs w:val="0"/>
        </w:rPr>
      </w:r>
      <w:r>
        <w:rPr>
          <w:rFonts w:ascii="Times New Roman" w:hAnsi="Times New Roman" w:cs="Times New Roman" w:eastAsia="Times New Roman" w:hint="default"/>
        </w:rPr>
        <w:t>52</w:t>
      </w:r>
      <w:r>
        <w:rPr/>
        <w:t>、递延收益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ind w:right="0"/>
        <w:jc w:val="left"/>
      </w:pPr>
      <w:r>
        <w:rPr/>
        <w:t>涉及政府补助的项目：</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3、其他非流动负债" w:id="390"/>
      <w:bookmarkEnd w:id="390"/>
      <w:r>
        <w:rPr>
          <w:b w:val="0"/>
          <w:bCs w:val="0"/>
        </w:rPr>
      </w:r>
      <w:r>
        <w:rPr>
          <w:rFonts w:ascii="Times New Roman" w:hAnsi="Times New Roman" w:cs="Times New Roman" w:eastAsia="Times New Roman" w:hint="default"/>
        </w:rPr>
        <w:t>53</w:t>
      </w:r>
      <w:r>
        <w:rPr/>
        <w:t>、其他非流动负债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spacing w:after="0" w:line="240" w:lineRule="auto"/>
        <w:jc w:val="left"/>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54、股本" w:id="391"/>
      <w:bookmarkEnd w:id="391"/>
      <w:r>
        <w:rPr>
          <w:b w:val="0"/>
          <w:bCs w:val="0"/>
        </w:rPr>
      </w:r>
      <w:r>
        <w:rPr>
          <w:rFonts w:ascii="Times New Roman" w:hAnsi="Times New Roman" w:cs="Times New Roman" w:eastAsia="Times New Roman" w:hint="default"/>
        </w:rPr>
        <w:t>54</w:t>
      </w:r>
      <w:r>
        <w:rPr/>
        <w:t>、股本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87"/>
        <w:gridCol w:w="1201"/>
        <w:gridCol w:w="1202"/>
        <w:gridCol w:w="1201"/>
        <w:gridCol w:w="1186"/>
        <w:gridCol w:w="1202"/>
        <w:gridCol w:w="1201"/>
      </w:tblGrid>
      <w:tr>
        <w:trPr>
          <w:trHeight w:val="203"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5992"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92" w:type="dxa"/>
            <w:gridSpan w:val="5"/>
            <w:vMerge/>
            <w:tcBorders>
              <w:left w:val="single" w:sz="6" w:space="0" w:color="000000"/>
              <w:bottom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1"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vMerge w:val="restart"/>
            <w:tcBorders>
              <w:top w:val="single" w:sz="6" w:space="0" w:color="000000"/>
              <w:left w:val="single" w:sz="18" w:space="0" w:color="D2D2D2"/>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4,442,964,822.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201"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1,331,637,171.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-4,174,250.00</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1,327,462,921.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5,770,427,743.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87" w:type="dxa"/>
            <w:vMerge/>
            <w:tcBorders>
              <w:left w:val="single" w:sz="18" w:space="0" w:color="D2D2D2"/>
              <w:right w:val="single" w:sz="6" w:space="0" w:color="000000"/>
            </w:tcBorders>
          </w:tcPr>
          <w:p>
            <w:pPr/>
          </w:p>
        </w:tc>
        <w:tc>
          <w:tcPr>
            <w:tcW w:w="1201"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18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vMerge/>
            <w:tcBorders>
              <w:left w:val="single" w:sz="18" w:space="0" w:color="D2D2D2"/>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pStyle w:val="BodyText"/>
        <w:spacing w:line="321" w:lineRule="auto" w:before="110"/>
        <w:ind w:right="1126" w:firstLine="360"/>
        <w:jc w:val="both"/>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16</w:t>
      </w:r>
      <w:r>
        <w:rPr/>
        <w:t>日，公司对已离职激励对象代小虎、张莹等持有的</w:t>
      </w:r>
      <w:r>
        <w:rPr>
          <w:rFonts w:ascii="宋体" w:hAnsi="宋体" w:cs="宋体" w:eastAsia="宋体" w:hint="default"/>
        </w:rPr>
        <w:t>4,174,250</w:t>
      </w:r>
      <w:r>
        <w:rPr/>
        <w:t>股限制性股票进行回购注销处理，减少 </w:t>
      </w:r>
      <w:r>
        <w:rPr>
          <w:spacing w:val="-2"/>
        </w:rPr>
        <w:t>注册资本</w:t>
      </w:r>
      <w:r>
        <w:rPr>
          <w:rFonts w:ascii="宋体" w:hAnsi="宋体" w:cs="宋体" w:eastAsia="宋体" w:hint="default"/>
          <w:spacing w:val="-2"/>
        </w:rPr>
        <w:t>4,174,250.00</w:t>
      </w:r>
      <w:r>
        <w:rPr>
          <w:spacing w:val="-2"/>
        </w:rPr>
        <w:t>元，减少资本公积</w:t>
      </w:r>
      <w:r>
        <w:rPr>
          <w:rFonts w:ascii="宋体" w:hAnsi="宋体" w:cs="宋体" w:eastAsia="宋体" w:hint="default"/>
          <w:spacing w:val="-2"/>
        </w:rPr>
        <w:t>7,387,400.00</w:t>
      </w:r>
      <w:r>
        <w:rPr>
          <w:spacing w:val="-2"/>
        </w:rPr>
        <w:t>元，变更后的注册资本为人民币</w:t>
      </w:r>
      <w:r>
        <w:rPr>
          <w:rFonts w:ascii="宋体" w:hAnsi="宋体" w:cs="宋体" w:eastAsia="宋体" w:hint="default"/>
          <w:spacing w:val="-2"/>
        </w:rPr>
        <w:t>4,438,790,572.00</w:t>
      </w:r>
      <w:r>
        <w:rPr>
          <w:spacing w:val="-2"/>
        </w:rPr>
        <w:t>元。上述注册资本</w:t>
      </w:r>
      <w:r>
        <w:rPr>
          <w:spacing w:val="-27"/>
        </w:rPr>
        <w:t> </w:t>
      </w:r>
      <w:r>
        <w:rPr>
          <w:spacing w:val="-27"/>
        </w:rPr>
      </w:r>
      <w:r>
        <w:rPr/>
        <w:t>减少已经立信会计师事务所（特殊普通合伙）信会师报字</w:t>
      </w:r>
      <w:r>
        <w:rPr>
          <w:rFonts w:ascii="宋体" w:hAnsi="宋体" w:cs="宋体" w:eastAsia="宋体" w:hint="default"/>
        </w:rPr>
        <w:t>[2019]</w:t>
      </w:r>
      <w:r>
        <w:rPr/>
        <w:t>第</w:t>
      </w:r>
      <w:r>
        <w:rPr>
          <w:rFonts w:ascii="宋体" w:hAnsi="宋体" w:cs="宋体" w:eastAsia="宋体" w:hint="default"/>
        </w:rPr>
        <w:t>ZA14703</w:t>
      </w:r>
      <w:r>
        <w:rPr/>
        <w:t>号验资报告予以验证。</w:t>
      </w:r>
    </w:p>
    <w:p>
      <w:pPr>
        <w:pStyle w:val="BodyText"/>
        <w:spacing w:line="314" w:lineRule="auto" w:before="19"/>
        <w:ind w:right="0" w:firstLine="360"/>
        <w:jc w:val="left"/>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5</w:t>
      </w:r>
      <w:r>
        <w:rPr/>
        <w:t>月经股东大会决议通过以</w:t>
      </w:r>
      <w:r>
        <w:rPr>
          <w:rFonts w:ascii="宋体" w:hAnsi="宋体" w:cs="宋体" w:eastAsia="宋体" w:hint="default"/>
        </w:rPr>
        <w:t>2018</w:t>
      </w:r>
      <w:r>
        <w:rPr/>
        <w:t>年度利润分配股权登记日的总股本为基数，以资本公积金向全体股东每</w:t>
      </w:r>
      <w:r>
        <w:rPr>
          <w:rFonts w:ascii="宋体" w:hAnsi="宋体" w:cs="宋体" w:eastAsia="宋体" w:hint="default"/>
        </w:rPr>
        <w:t>10 </w:t>
      </w:r>
      <w:r>
        <w:rPr>
          <w:spacing w:val="-3"/>
        </w:rPr>
        <w:t>股转增</w:t>
      </w:r>
      <w:r>
        <w:rPr>
          <w:rFonts w:ascii="宋体" w:hAnsi="宋体" w:cs="宋体" w:eastAsia="宋体" w:hint="default"/>
          <w:spacing w:val="-3"/>
        </w:rPr>
        <w:t>3</w:t>
      </w:r>
      <w:r>
        <w:rPr>
          <w:spacing w:val="-3"/>
        </w:rPr>
        <w:t>股，实际转增送股数量为</w:t>
      </w:r>
      <w:r>
        <w:rPr>
          <w:rFonts w:ascii="宋体" w:hAnsi="宋体" w:cs="宋体" w:eastAsia="宋体" w:hint="default"/>
          <w:spacing w:val="-3"/>
        </w:rPr>
        <w:t>1,331,637,171</w:t>
      </w:r>
      <w:r>
        <w:rPr>
          <w:spacing w:val="-3"/>
        </w:rPr>
        <w:t>股，减少资本公积</w:t>
      </w:r>
      <w:r>
        <w:rPr>
          <w:rFonts w:ascii="宋体" w:hAnsi="宋体" w:cs="宋体" w:eastAsia="宋体" w:hint="default"/>
          <w:spacing w:val="-3"/>
        </w:rPr>
        <w:t>1,331,637,171</w:t>
      </w:r>
      <w:r>
        <w:rPr>
          <w:spacing w:val="-3"/>
        </w:rPr>
        <w:t>元，股本总额变更为</w:t>
      </w:r>
      <w:r>
        <w:rPr>
          <w:rFonts w:ascii="宋体" w:hAnsi="宋体" w:cs="宋体" w:eastAsia="宋体" w:hint="default"/>
          <w:spacing w:val="-3"/>
        </w:rPr>
        <w:t>5,770,427,743.00</w:t>
      </w:r>
      <w:r>
        <w:rPr>
          <w:spacing w:val="-3"/>
        </w:rPr>
        <w:t>元。</w:t>
      </w:r>
      <w:r>
        <w:rPr>
          <w:spacing w:val="-35"/>
        </w:rPr>
        <w:t> </w:t>
      </w:r>
      <w:r>
        <w:rPr/>
        <w:t>上述注册资本增加已经立信会计师事务所（特殊普通合伙）信会师报字</w:t>
      </w:r>
      <w:r>
        <w:rPr>
          <w:rFonts w:ascii="宋体" w:hAnsi="宋体" w:cs="宋体" w:eastAsia="宋体" w:hint="default"/>
        </w:rPr>
        <w:t>[2019]</w:t>
      </w:r>
      <w:r>
        <w:rPr/>
        <w:t>第</w:t>
      </w:r>
      <w:r>
        <w:rPr>
          <w:rFonts w:ascii="宋体" w:hAnsi="宋体" w:cs="宋体" w:eastAsia="宋体" w:hint="default"/>
        </w:rPr>
        <w:t>ZA15017</w:t>
      </w:r>
      <w:r>
        <w:rPr/>
        <w:t>号验资报告予以验证。</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55、其他权益工具" w:id="392"/>
      <w:bookmarkEnd w:id="392"/>
      <w:r>
        <w:rPr>
          <w:b w:val="0"/>
          <w:bCs w:val="0"/>
        </w:rPr>
      </w:r>
      <w:r>
        <w:rPr>
          <w:rFonts w:ascii="Times New Roman" w:hAnsi="Times New Roman" w:cs="Times New Roman" w:eastAsia="Times New Roman" w:hint="default"/>
        </w:rPr>
        <w:t>55</w:t>
      </w:r>
      <w:r>
        <w:rPr/>
        <w:t>、其他权益工具</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93"/>
      <w:bookmarkEnd w:id="39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94"/>
      <w:bookmarkEnd w:id="39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0"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7" w:lineRule="auto"/>
        <w:ind w:right="4629"/>
        <w:jc w:val="left"/>
      </w:pPr>
      <w:r>
        <w:rPr/>
        <w:t>其他权益工具本期增减变动情况、变动原因说明，以及相关会计处理的依据： 其他说明：</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6、资本公积" w:id="395"/>
      <w:bookmarkEnd w:id="395"/>
      <w:r>
        <w:rPr>
          <w:b w:val="0"/>
          <w:bCs w:val="0"/>
        </w:rPr>
      </w:r>
      <w:r>
        <w:rPr>
          <w:rFonts w:ascii="Times New Roman" w:hAnsi="Times New Roman" w:cs="Times New Roman" w:eastAsia="Times New Roman" w:hint="default"/>
        </w:rPr>
        <w:t>56</w:t>
      </w:r>
      <w:r>
        <w:rPr/>
        <w:t>、资本公积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1,552,518,641.30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1,341,937,419.04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210,581,222.26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231,880,508.02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14,659,734.72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868,702.08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245,671,540.66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1,784,399,149.32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14,659,734.72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1,342,806,121.12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456,252,762.92</w:t>
            </w:r>
          </w:p>
        </w:tc>
      </w:tr>
    </w:tbl>
    <w:p>
      <w:pPr>
        <w:pStyle w:val="BodyText"/>
        <w:spacing w:line="240" w:lineRule="auto" w:before="45"/>
        <w:ind w:right="0"/>
        <w:jc w:val="left"/>
      </w:pPr>
      <w:r>
        <w:rPr/>
        <w:t>其他说明，包括本期增减变动情况、变动原因说明：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096" w:firstLine="360"/>
        <w:jc w:val="both"/>
      </w:pPr>
      <w:r>
        <w:rPr/>
        <w:t>（</w:t>
      </w:r>
      <w:r>
        <w:rPr>
          <w:rFonts w:ascii="宋体" w:hAnsi="宋体" w:cs="宋体" w:eastAsia="宋体" w:hint="default"/>
        </w:rPr>
        <w:t>1</w:t>
      </w:r>
      <w:r>
        <w:rPr/>
        <w:t>）本期资本溢价（股本溢价）减少</w:t>
      </w:r>
      <w:r>
        <w:rPr>
          <w:rFonts w:ascii="宋体" w:hAnsi="宋体" w:cs="宋体" w:eastAsia="宋体" w:hint="default"/>
        </w:rPr>
        <w:t>1,341,937,419.04</w:t>
      </w:r>
      <w:r>
        <w:rPr/>
        <w:t>元，其中</w:t>
      </w:r>
      <w:r>
        <w:rPr>
          <w:rFonts w:ascii="宋体" w:hAnsi="宋体" w:cs="宋体" w:eastAsia="宋体" w:hint="default"/>
        </w:rPr>
        <w:t>2,912,848.04</w:t>
      </w:r>
      <w:r>
        <w:rPr/>
        <w:t>元系公司收购曲水好融车网络科技有限 </w:t>
      </w:r>
      <w:r>
        <w:rPr>
          <w:spacing w:val="-4"/>
        </w:rPr>
        <w:t>公司少数股权，收购价格与购买日账面净资产间差额冲减资本公积（股本溢价）；其中</w:t>
      </w:r>
      <w:r>
        <w:rPr>
          <w:rFonts w:ascii="宋体" w:hAnsi="宋体" w:cs="宋体" w:eastAsia="宋体" w:hint="default"/>
          <w:spacing w:val="-4"/>
        </w:rPr>
        <w:t>1,339,024,571.00</w:t>
      </w:r>
      <w:r>
        <w:rPr>
          <w:spacing w:val="-4"/>
        </w:rPr>
        <w:t>元原因详见附注七、</w:t>
      </w:r>
      <w:r>
        <w:rPr>
          <w:spacing w:val="-69"/>
        </w:rPr>
        <w:t> </w:t>
      </w:r>
      <w:r>
        <w:rPr>
          <w:rFonts w:ascii="宋体" w:hAnsi="宋体" w:cs="宋体" w:eastAsia="宋体" w:hint="default"/>
        </w:rPr>
        <w:t>54</w:t>
      </w:r>
      <w:r>
        <w:rPr/>
        <w:t>、股本变动说明（</w:t>
      </w:r>
      <w:r>
        <w:rPr>
          <w:rFonts w:ascii="宋体" w:hAnsi="宋体" w:cs="宋体" w:eastAsia="宋体" w:hint="default"/>
        </w:rPr>
        <w:t>1</w:t>
      </w:r>
      <w:r>
        <w:rPr/>
        <w:t>）（</w:t>
      </w:r>
      <w:r>
        <w:rPr>
          <w:rFonts w:ascii="宋体" w:hAnsi="宋体" w:cs="宋体" w:eastAsia="宋体" w:hint="default"/>
        </w:rPr>
        <w:t>2</w:t>
      </w:r>
      <w:r>
        <w:rPr/>
        <w:t>）；</w:t>
      </w:r>
    </w:p>
    <w:p>
      <w:pPr>
        <w:pStyle w:val="BodyText"/>
        <w:spacing w:line="321" w:lineRule="auto" w:before="3"/>
        <w:ind w:left="501" w:right="1119"/>
        <w:jc w:val="left"/>
      </w:pPr>
      <w:r>
        <w:rPr/>
        <w:t>（</w:t>
      </w:r>
      <w:r>
        <w:rPr>
          <w:rFonts w:ascii="宋体" w:hAnsi="宋体" w:cs="宋体" w:eastAsia="宋体" w:hint="default"/>
        </w:rPr>
        <w:t>2</w:t>
      </w:r>
      <w:r>
        <w:rPr/>
        <w:t>）本期其他资本公积增加</w:t>
      </w:r>
      <w:r>
        <w:rPr>
          <w:rFonts w:ascii="宋体" w:hAnsi="宋体" w:cs="宋体" w:eastAsia="宋体" w:hint="default"/>
        </w:rPr>
        <w:t>14,659,734.72</w:t>
      </w:r>
      <w:r>
        <w:rPr/>
        <w:t>元，</w:t>
      </w:r>
      <w:r>
        <w:rPr>
          <w:spacing w:val="-87"/>
        </w:rPr>
        <w:t> </w:t>
      </w:r>
      <w:r>
        <w:rPr>
          <w:rFonts w:ascii="宋体" w:hAnsi="宋体" w:cs="宋体" w:eastAsia="宋体" w:hint="default"/>
        </w:rPr>
        <w:t>i</w:t>
      </w:r>
      <w:r>
        <w:rPr/>
        <w:t>、其中</w:t>
      </w:r>
      <w:r>
        <w:rPr>
          <w:rFonts w:ascii="宋体" w:hAnsi="宋体" w:cs="宋体" w:eastAsia="宋体" w:hint="default"/>
        </w:rPr>
        <w:t>14,655,652.32</w:t>
      </w:r>
      <w:r>
        <w:rPr/>
        <w:t>元系根据公司</w:t>
      </w:r>
      <w:r>
        <w:rPr>
          <w:rFonts w:ascii="宋体" w:hAnsi="宋体" w:cs="宋体" w:eastAsia="宋体" w:hint="default"/>
        </w:rPr>
        <w:t>2019</w:t>
      </w:r>
      <w:r>
        <w:rPr/>
        <w:t>年度股权激励实施情况，本期应摊销股权激励费用</w:t>
      </w:r>
      <w:r>
        <w:rPr>
          <w:rFonts w:ascii="宋体" w:hAnsi="宋体" w:cs="宋体" w:eastAsia="宋体" w:hint="default"/>
        </w:rPr>
        <w:t>14,655,652.32</w:t>
      </w:r>
      <w:r>
        <w:rPr/>
        <w:t>元，计入其</w:t>
      </w:r>
    </w:p>
    <w:p>
      <w:pPr>
        <w:pStyle w:val="BodyText"/>
        <w:spacing w:line="240" w:lineRule="auto" w:before="19"/>
        <w:ind w:right="0"/>
        <w:jc w:val="left"/>
      </w:pPr>
      <w:r>
        <w:rPr/>
        <w:t>他资本公积。</w:t>
      </w:r>
    </w:p>
    <w:p>
      <w:pPr>
        <w:pStyle w:val="BodyText"/>
        <w:spacing w:line="321" w:lineRule="auto" w:before="79"/>
        <w:ind w:right="1119" w:firstLine="360"/>
        <w:jc w:val="both"/>
      </w:pPr>
      <w:r>
        <w:rPr>
          <w:rFonts w:ascii="宋体" w:hAnsi="宋体" w:cs="宋体" w:eastAsia="宋体" w:hint="default"/>
          <w:spacing w:val="-2"/>
        </w:rPr>
        <w:t>ii</w:t>
      </w:r>
      <w:r>
        <w:rPr>
          <w:spacing w:val="-2"/>
        </w:rPr>
        <w:t>、其中</w:t>
      </w:r>
      <w:r>
        <w:rPr>
          <w:rFonts w:ascii="宋体" w:hAnsi="宋体" w:cs="宋体" w:eastAsia="宋体" w:hint="default"/>
          <w:spacing w:val="-2"/>
        </w:rPr>
        <w:t>4,082.40</w:t>
      </w:r>
      <w:r>
        <w:rPr>
          <w:spacing w:val="-2"/>
        </w:rPr>
        <w:t>元系预计未来期间可税前扣除金额超过按会计准则规定确认的与股份支付相关的成本费用对应所得税</w:t>
      </w:r>
      <w:r>
        <w:rPr/>
        <w:t> 影响额计入其他资本公积；</w:t>
      </w:r>
    </w:p>
    <w:p>
      <w:pPr>
        <w:pStyle w:val="BodyText"/>
        <w:spacing w:line="321" w:lineRule="auto" w:before="3"/>
        <w:ind w:right="1133" w:firstLine="360"/>
        <w:jc w:val="both"/>
      </w:pPr>
      <w:r>
        <w:rPr/>
        <w:t>（</w:t>
      </w:r>
      <w:r>
        <w:rPr>
          <w:rFonts w:ascii="宋体" w:hAnsi="宋体" w:cs="宋体" w:eastAsia="宋体" w:hint="default"/>
        </w:rPr>
        <w:t>3</w:t>
      </w:r>
      <w:r>
        <w:rPr/>
        <w:t>）本期其他资本公积减少</w:t>
      </w:r>
      <w:r>
        <w:rPr>
          <w:rFonts w:ascii="宋体" w:hAnsi="宋体" w:cs="宋体" w:eastAsia="宋体" w:hint="default"/>
        </w:rPr>
        <w:t>868,702.08</w:t>
      </w:r>
      <w:r>
        <w:rPr/>
        <w:t>元系上年度预计未来期间可税前扣除金额超过按会计准则规定确认的与股份支 付相关的成本费用对应所得税影响额计入其他资本公积在本期转回。</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57、库存股" w:id="396"/>
      <w:bookmarkEnd w:id="396"/>
      <w:r>
        <w:rPr>
          <w:b w:val="0"/>
          <w:bCs w:val="0"/>
        </w:rPr>
      </w:r>
      <w:r>
        <w:rPr>
          <w:rFonts w:ascii="Times New Roman" w:hAnsi="Times New Roman" w:cs="Times New Roman" w:eastAsia="Times New Roman" w:hint="default"/>
        </w:rPr>
        <w:t>57</w:t>
      </w:r>
      <w:r>
        <w:rPr/>
        <w:t>、库存股</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318,332,502.59</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208,303,702.59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110,028,800.00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318,332,502.59</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208,303,702.59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110,028,800.00</w:t>
            </w:r>
          </w:p>
        </w:tc>
      </w:tr>
    </w:tbl>
    <w:p>
      <w:pPr>
        <w:pStyle w:val="BodyText"/>
        <w:spacing w:line="367" w:lineRule="auto" w:before="45"/>
        <w:ind w:left="501" w:right="6610" w:hanging="361"/>
        <w:jc w:val="left"/>
      </w:pPr>
      <w:r>
        <w:rPr/>
        <w:t>其他说明，包括本期增减变动情况、变动原因说明： 库存股本期减少</w:t>
      </w:r>
      <w:r>
        <w:rPr>
          <w:rFonts w:ascii="宋体" w:hAnsi="宋体" w:cs="宋体" w:eastAsia="宋体" w:hint="default"/>
        </w:rPr>
        <w:t>208,303,702.59</w:t>
      </w:r>
      <w:r>
        <w:rPr/>
        <w:t>元，</w:t>
      </w:r>
    </w:p>
    <w:p>
      <w:pPr>
        <w:pStyle w:val="BodyText"/>
        <w:spacing w:line="205" w:lineRule="exact" w:before="0"/>
        <w:ind w:left="501" w:right="0"/>
        <w:jc w:val="left"/>
      </w:pPr>
      <w:r>
        <w:rPr/>
        <w:t>（</w:t>
      </w:r>
      <w:r>
        <w:rPr>
          <w:rFonts w:ascii="宋体" w:hAnsi="宋体" w:cs="宋体" w:eastAsia="宋体" w:hint="default"/>
        </w:rPr>
        <w:t>1</w:t>
      </w:r>
      <w:r>
        <w:rPr/>
        <w:t>）其中</w:t>
      </w:r>
      <w:r>
        <w:rPr>
          <w:rFonts w:ascii="宋体" w:hAnsi="宋体" w:cs="宋体" w:eastAsia="宋体" w:hint="default"/>
        </w:rPr>
        <w:t>199,184,900.00</w:t>
      </w:r>
      <w:r>
        <w:rPr/>
        <w:t>元，系已授予股权激励限制性股票达到解锁条件而无需回购的股票的账面价值；</w:t>
      </w:r>
    </w:p>
    <w:p>
      <w:pPr>
        <w:pStyle w:val="BodyText"/>
        <w:spacing w:line="240" w:lineRule="auto" w:before="80"/>
        <w:ind w:left="501" w:right="0"/>
        <w:jc w:val="left"/>
      </w:pPr>
      <w:r>
        <w:rPr/>
        <w:t>（</w:t>
      </w:r>
      <w:r>
        <w:rPr>
          <w:rFonts w:ascii="宋体" w:hAnsi="宋体" w:cs="宋体" w:eastAsia="宋体" w:hint="default"/>
        </w:rPr>
        <w:t>2</w:t>
      </w:r>
      <w:r>
        <w:rPr/>
        <w:t>）其中</w:t>
      </w:r>
      <w:r>
        <w:rPr>
          <w:rFonts w:ascii="宋体" w:hAnsi="宋体" w:cs="宋体" w:eastAsia="宋体" w:hint="default"/>
        </w:rPr>
        <w:t>11,561,650.00</w:t>
      </w:r>
      <w:r>
        <w:rPr/>
        <w:t>元，系本年度实施回购的的股票的账面价值；</w:t>
      </w:r>
    </w:p>
    <w:p>
      <w:pPr>
        <w:pStyle w:val="BodyText"/>
        <w:spacing w:line="240" w:lineRule="auto" w:before="79"/>
        <w:ind w:left="501" w:right="0"/>
        <w:jc w:val="left"/>
      </w:pPr>
      <w:r>
        <w:rPr/>
        <w:t>（</w:t>
      </w:r>
      <w:r>
        <w:rPr>
          <w:rFonts w:ascii="宋体" w:hAnsi="宋体" w:cs="宋体" w:eastAsia="宋体" w:hint="default"/>
        </w:rPr>
        <w:t>3</w:t>
      </w:r>
      <w:r>
        <w:rPr/>
        <w:t>）其中</w:t>
      </w:r>
      <w:r>
        <w:rPr>
          <w:rFonts w:ascii="宋体" w:hAnsi="宋体" w:cs="宋体" w:eastAsia="宋体" w:hint="default"/>
        </w:rPr>
        <w:t>-2,442,847.41</w:t>
      </w:r>
      <w:r>
        <w:rPr/>
        <w:t>元系不可解锁限制性股票股利调整数。</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8、其他综合收益" w:id="397"/>
      <w:bookmarkEnd w:id="397"/>
      <w:r>
        <w:rPr>
          <w:b w:val="0"/>
          <w:bCs w:val="0"/>
        </w:rPr>
      </w:r>
      <w:r>
        <w:rPr>
          <w:rFonts w:ascii="Times New Roman" w:hAnsi="Times New Roman" w:cs="Times New Roman" w:eastAsia="Times New Roman" w:hint="default"/>
        </w:rPr>
        <w:t>58</w:t>
      </w:r>
      <w:r>
        <w:rPr/>
        <w:t>、其他综合收益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546"/>
        <w:gridCol w:w="976"/>
        <w:gridCol w:w="856"/>
        <w:gridCol w:w="1051"/>
        <w:gridCol w:w="857"/>
        <w:gridCol w:w="856"/>
        <w:gridCol w:w="856"/>
        <w:gridCol w:w="841"/>
        <w:gridCol w:w="736"/>
      </w:tblGrid>
      <w:tr>
        <w:trPr>
          <w:trHeight w:val="398" w:hRule="exact"/>
        </w:trPr>
        <w:tc>
          <w:tcPr>
            <w:tcW w:w="2546" w:type="dxa"/>
            <w:vMerge w:val="restart"/>
            <w:tcBorders>
              <w:top w:val="single" w:sz="6" w:space="0" w:color="000000"/>
              <w:left w:val="single" w:sz="6" w:space="0" w:color="000000"/>
              <w:right w:val="single" w:sz="6" w:space="0" w:color="000000"/>
            </w:tcBorders>
            <w:shd w:val="clear" w:color="auto" w:fill="D2D2D2"/>
          </w:tcPr>
          <w:p>
            <w:pPr/>
          </w:p>
        </w:tc>
        <w:tc>
          <w:tcPr>
            <w:tcW w:w="976" w:type="dxa"/>
            <w:vMerge w:val="restart"/>
            <w:tcBorders>
              <w:top w:val="single" w:sz="6" w:space="0" w:color="000000"/>
              <w:left w:val="single" w:sz="6" w:space="0" w:color="000000"/>
              <w:right w:val="single" w:sz="6" w:space="0" w:color="000000"/>
            </w:tcBorders>
            <w:shd w:val="clear" w:color="auto" w:fill="D2D2D2"/>
          </w:tcPr>
          <w:p>
            <w:pP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
        </w:tc>
      </w:tr>
      <w:tr>
        <w:trPr>
          <w:trHeight w:val="166"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85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39"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bottom w:val="single" w:sz="18" w:space="0" w:color="FFFFFF"/>
              <w:right w:val="single" w:sz="6" w:space="0" w:color="000000"/>
            </w:tcBorders>
            <w:shd w:val="clear" w:color="auto" w:fill="D2D2D2"/>
          </w:tcPr>
          <w:p>
            <w:pPr/>
          </w:p>
        </w:tc>
        <w:tc>
          <w:tcPr>
            <w:tcW w:w="736" w:type="dxa"/>
            <w:vMerge/>
            <w:tcBorders>
              <w:left w:val="single" w:sz="6" w:space="0" w:color="000000"/>
              <w:bottom w:val="single" w:sz="18" w:space="0" w:color="FFFFFF"/>
              <w:right w:val="single" w:sz="6" w:space="0" w:color="000000"/>
            </w:tcBorders>
            <w:shd w:val="clear" w:color="auto" w:fill="D2D2D2"/>
          </w:tcPr>
          <w:p>
            <w:pPr/>
          </w:p>
        </w:tc>
      </w:tr>
      <w:tr>
        <w:trPr>
          <w:trHeight w:val="154" w:hRule="exact"/>
        </w:trPr>
        <w:tc>
          <w:tcPr>
            <w:tcW w:w="2546" w:type="dxa"/>
            <w:vMerge/>
            <w:tcBorders>
              <w:left w:val="single" w:sz="6" w:space="0" w:color="000000"/>
              <w:bottom w:val="nil" w:sz="6" w:space="0" w:color="auto"/>
              <w:right w:val="single" w:sz="6" w:space="0" w:color="000000"/>
            </w:tcBorders>
            <w:shd w:val="clear" w:color="auto" w:fill="D2D2D2"/>
          </w:tcPr>
          <w:p>
            <w:pPr/>
          </w:p>
        </w:tc>
        <w:tc>
          <w:tcPr>
            <w:tcW w:w="976"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6"/>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val="restart"/>
            <w:tcBorders>
              <w:top w:val="single" w:sz="18" w:space="0" w:color="FFFFFF"/>
              <w:left w:val="single" w:sz="6" w:space="0" w:color="000000"/>
              <w:right w:val="single" w:sz="6" w:space="0" w:color="000000"/>
            </w:tcBorders>
            <w:shd w:val="clear" w:color="auto" w:fill="D2D2D2"/>
          </w:tcPr>
          <w:p>
            <w:pPr>
              <w:pStyle w:val="TableParagraph"/>
              <w:spacing w:line="321" w:lineRule="auto" w:before="33"/>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val="restart"/>
            <w:tcBorders>
              <w:top w:val="single" w:sz="18" w:space="0" w:color="FFFFFF"/>
              <w:left w:val="single" w:sz="6" w:space="0" w:color="000000"/>
              <w:right w:val="single" w:sz="6" w:space="0" w:color="000000"/>
            </w:tcBorders>
            <w:shd w:val="clear" w:color="auto" w:fill="D2D2D2"/>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68"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9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7"/>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7"/>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0" w:hRule="exact"/>
        </w:trPr>
        <w:tc>
          <w:tcPr>
            <w:tcW w:w="2546" w:type="dxa"/>
            <w:vMerge w:val="restart"/>
            <w:tcBorders>
              <w:top w:val="nil" w:sz="6" w:space="0" w:color="auto"/>
              <w:left w:val="single" w:sz="6" w:space="0" w:color="000000"/>
              <w:right w:val="single" w:sz="6" w:space="0" w:color="000000"/>
            </w:tcBorders>
            <w:shd w:val="clear" w:color="auto" w:fill="D2D2D2"/>
          </w:tcPr>
          <w:p>
            <w:pPr/>
          </w:p>
        </w:tc>
        <w:tc>
          <w:tcPr>
            <w:tcW w:w="976"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bottom w:val="nil" w:sz="6" w:space="0" w:color="auto"/>
              <w:right w:val="single" w:sz="6" w:space="0" w:color="000000"/>
            </w:tcBorders>
            <w:shd w:val="clear" w:color="auto" w:fill="D2D2D2"/>
          </w:tcPr>
          <w:p>
            <w:pPr/>
          </w:p>
        </w:tc>
      </w:tr>
      <w:tr>
        <w:trPr>
          <w:trHeight w:val="21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val="restart"/>
            <w:tcBorders>
              <w:top w:val="nil" w:sz="6" w:space="0" w:color="auto"/>
              <w:left w:val="single" w:sz="6" w:space="0" w:color="000000"/>
              <w:right w:val="single" w:sz="6" w:space="0" w:color="000000"/>
            </w:tcBorders>
            <w:shd w:val="clear" w:color="auto" w:fill="D2D2D2"/>
          </w:tcPr>
          <w:p>
            <w:pPr/>
          </w:p>
        </w:tc>
      </w:tr>
      <w:tr>
        <w:trPr>
          <w:trHeight w:val="151"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1" w:type="dxa"/>
            <w:vMerge/>
            <w:tcBorders>
              <w:left w:val="single" w:sz="6" w:space="0" w:color="000000"/>
              <w:bottom w:val="nil" w:sz="6" w:space="0" w:color="auto"/>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val="restart"/>
            <w:tcBorders>
              <w:top w:val="nil" w:sz="6" w:space="0" w:color="auto"/>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8" w:hRule="exact"/>
        </w:trPr>
        <w:tc>
          <w:tcPr>
            <w:tcW w:w="2546"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85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90,504.27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-1,504,312</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.47</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-1,504,312</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.47</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-1,413,8</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08.20</w:t>
            </w:r>
          </w:p>
        </w:tc>
      </w:tr>
      <w:tr>
        <w:trPr>
          <w:trHeight w:val="158"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90,504.27</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-1,504,312</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.47</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-1,504,312</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.47</w:t>
            </w:r>
          </w:p>
        </w:tc>
        <w:tc>
          <w:tcPr>
            <w:tcW w:w="841" w:type="dxa"/>
            <w:vMerge w:val="restart"/>
            <w:tcBorders>
              <w:top w:val="single" w:sz="6" w:space="0" w:color="000000"/>
              <w:left w:val="single" w:sz="6" w:space="0" w:color="000000"/>
              <w:right w:val="single" w:sz="6" w:space="0" w:color="000000"/>
            </w:tcBorders>
          </w:tcPr>
          <w:p>
            <w:pP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-1,413,8</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08.20</w:t>
            </w:r>
          </w:p>
        </w:tc>
      </w:tr>
      <w:tr>
        <w:trPr>
          <w:trHeight w:val="390"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r>
        <w:trPr>
          <w:trHeight w:val="157"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90,504.27</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-1,504,312</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.47</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-1,504,312</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.47</w:t>
            </w:r>
          </w:p>
        </w:tc>
        <w:tc>
          <w:tcPr>
            <w:tcW w:w="841" w:type="dxa"/>
            <w:vMerge w:val="restart"/>
            <w:tcBorders>
              <w:top w:val="single" w:sz="6" w:space="0" w:color="000000"/>
              <w:left w:val="single" w:sz="6" w:space="0" w:color="000000"/>
              <w:right w:val="single" w:sz="6" w:space="0" w:color="000000"/>
            </w:tcBorders>
          </w:tcPr>
          <w:p>
            <w:pP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-1,413,8</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08.20</w:t>
            </w:r>
          </w:p>
        </w:tc>
      </w:tr>
      <w:tr>
        <w:trPr>
          <w:trHeight w:val="390"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其他说明，包括对现金流量套期损益的有效部分转为被套期项目初始确认金额调整：</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59、专项储备" w:id="398"/>
      <w:bookmarkEnd w:id="398"/>
      <w:r>
        <w:rPr>
          <w:b w:val="0"/>
          <w:bCs w:val="0"/>
        </w:rPr>
      </w:r>
      <w:r>
        <w:rPr>
          <w:rFonts w:ascii="Times New Roman" w:hAnsi="Times New Roman" w:cs="Times New Roman" w:eastAsia="Times New Roman" w:hint="default"/>
        </w:rPr>
        <w:t>59</w:t>
      </w:r>
      <w:r>
        <w:rPr/>
        <w:t>、专项储备</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60、盈余公积" w:id="399"/>
      <w:bookmarkEnd w:id="399"/>
      <w:r>
        <w:rPr>
          <w:b w:val="0"/>
          <w:bCs w:val="0"/>
        </w:rPr>
      </w:r>
      <w:r>
        <w:rPr>
          <w:rFonts w:ascii="Times New Roman" w:hAnsi="Times New Roman" w:cs="Times New Roman" w:eastAsia="Times New Roman" w:hint="default"/>
        </w:rPr>
        <w:t>60</w:t>
      </w:r>
      <w:r>
        <w:rPr/>
        <w:t>、盈余公积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131,204,171.40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101,068,754.05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232,272,925.45</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131,204,171.40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101,068,754.05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232,272,925.45</w:t>
            </w:r>
          </w:p>
        </w:tc>
      </w:tr>
    </w:tbl>
    <w:p>
      <w:pPr>
        <w:pStyle w:val="BodyText"/>
        <w:spacing w:line="352" w:lineRule="auto"/>
        <w:ind w:left="501" w:right="1029" w:hanging="361"/>
        <w:jc w:val="left"/>
      </w:pPr>
      <w:r>
        <w:rPr/>
        <w:t>盈余公积说明，包括本期增减变动情况、变动原因说明： 由于会计政策变更，影响年初留存收益</w:t>
      </w:r>
      <w:r>
        <w:rPr>
          <w:rFonts w:ascii="宋体" w:hAnsi="宋体" w:cs="宋体" w:eastAsia="宋体" w:hint="default"/>
        </w:rPr>
        <w:t>9,692,467.64</w:t>
      </w:r>
      <w:r>
        <w:rPr/>
        <w:t>元，其中：盈余公积</w:t>
      </w:r>
      <w:r>
        <w:rPr>
          <w:rFonts w:ascii="宋体" w:hAnsi="宋体" w:cs="宋体" w:eastAsia="宋体" w:hint="default"/>
        </w:rPr>
        <w:t>562,455.50</w:t>
      </w:r>
      <w:r>
        <w:rPr/>
        <w:t>元，未分配利润</w:t>
      </w:r>
      <w:r>
        <w:rPr>
          <w:rFonts w:ascii="宋体" w:hAnsi="宋体" w:cs="宋体" w:eastAsia="宋体" w:hint="default"/>
        </w:rPr>
        <w:t>9,130,012.14</w:t>
      </w:r>
      <w:r>
        <w:rPr/>
        <w:t>元，</w:t>
      </w:r>
    </w:p>
    <w:p>
      <w:pPr>
        <w:pStyle w:val="BodyText"/>
        <w:spacing w:line="231" w:lineRule="exact" w:before="0"/>
        <w:ind w:right="0"/>
        <w:jc w:val="left"/>
      </w:pPr>
      <w:r>
        <w:rPr/>
        <w:t>明细详见附注五、</w:t>
      </w:r>
      <w:r>
        <w:rPr>
          <w:rFonts w:ascii="宋体" w:hAnsi="宋体" w:cs="宋体" w:eastAsia="宋体" w:hint="default"/>
        </w:rPr>
        <w:t>44</w:t>
      </w:r>
      <w:r>
        <w:rPr/>
        <w:t>、（</w:t>
      </w:r>
      <w:r>
        <w:rPr>
          <w:rFonts w:ascii="宋体" w:hAnsi="宋体" w:cs="宋体" w:eastAsia="宋体" w:hint="default"/>
        </w:rPr>
        <w:t>3</w:t>
      </w:r>
      <w:r>
        <w:rPr/>
        <w:t>）。</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1、未分配利润" w:id="400"/>
      <w:bookmarkEnd w:id="400"/>
      <w:r>
        <w:rPr>
          <w:b w:val="0"/>
          <w:bCs w:val="0"/>
        </w:rPr>
      </w:r>
      <w:r>
        <w:rPr>
          <w:rFonts w:ascii="Times New Roman" w:hAnsi="Times New Roman" w:cs="Times New Roman" w:eastAsia="Times New Roman" w:hint="default"/>
        </w:rPr>
        <w:t>61</w:t>
      </w:r>
      <w:r>
        <w:rPr/>
        <w:t>、未分配利润</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3,275,910,090.23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2,065,690,566.29</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9,130,012.14</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3,285,040,102.37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2,065,690,566.29</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759,120,256.35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1,367,355,675.26</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101,068,754.05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54,867,667.77</w:t>
            </w:r>
          </w:p>
        </w:tc>
      </w:tr>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131,388,066.75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102,268,483.55</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3,811,703,537.92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3,275,910,090.23</w:t>
            </w:r>
          </w:p>
        </w:tc>
      </w:tr>
    </w:tbl>
    <w:p>
      <w:pPr>
        <w:pStyle w:val="BodyText"/>
        <w:spacing w:line="240" w:lineRule="auto"/>
        <w:ind w:right="0"/>
        <w:jc w:val="left"/>
      </w:pPr>
      <w:r>
        <w:rPr/>
        <w:t>调整期初未分配利润明细：</w:t>
      </w:r>
    </w:p>
    <w:p>
      <w:pPr>
        <w:pStyle w:val="BodyText"/>
        <w:spacing w:line="240" w:lineRule="auto" w:before="125"/>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96"/>
        <w:ind w:right="0"/>
        <w:jc w:val="left"/>
      </w:pPr>
      <w:r>
        <w:rPr>
          <w:rFonts w:ascii="Times New Roman" w:hAnsi="Times New Roman" w:cs="Times New Roman" w:eastAsia="Times New Roman" w:hint="default"/>
        </w:rPr>
        <w:t>2)</w:t>
      </w:r>
      <w:r>
        <w:rPr/>
        <w:t>、由于会计政策变更，影响期初未分配利润</w:t>
      </w:r>
      <w:r>
        <w:rPr>
          <w:spacing w:val="-42"/>
        </w:rPr>
        <w:t> </w:t>
      </w:r>
      <w:r>
        <w:rPr>
          <w:rFonts w:ascii="Times New Roman" w:hAnsi="Times New Roman" w:cs="Times New Roman" w:eastAsia="Times New Roman" w:hint="default"/>
        </w:rPr>
        <w:t>9,130,012.14 </w:t>
      </w:r>
      <w:r>
        <w:rPr/>
        <w:t>元。</w:t>
      </w:r>
    </w:p>
    <w:p>
      <w:pPr>
        <w:pStyle w:val="BodyText"/>
        <w:spacing w:line="240" w:lineRule="auto" w:before="111"/>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96"/>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11"/>
        <w:ind w:right="0"/>
        <w:jc w:val="left"/>
      </w:pPr>
      <w:r>
        <w:rPr>
          <w:rFonts w:ascii="Times New Roman" w:hAnsi="Times New Roman" w:cs="Times New Roman" w:eastAsia="Times New Roman" w:hint="default"/>
        </w:rPr>
        <w:t>5)</w:t>
      </w:r>
      <w:r>
        <w:rPr/>
        <w:t>、其他调整合计影响期初未分配利润元。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62、营业收入和营业成本" w:id="401"/>
      <w:bookmarkEnd w:id="401"/>
      <w:r>
        <w:rPr>
          <w:b w:val="0"/>
          <w:bCs w:val="0"/>
        </w:rPr>
      </w:r>
      <w:r>
        <w:rPr>
          <w:rFonts w:ascii="Times New Roman" w:hAnsi="Times New Roman" w:cs="Times New Roman" w:eastAsia="Times New Roman" w:hint="default"/>
        </w:rPr>
        <w:t>62</w:t>
      </w:r>
      <w:r>
        <w:rPr/>
        <w:t>、营业收入和营业成本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2,440,227,582.95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231,362,489.94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3,732,724,819.66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398,975,014.85</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533,848.38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41,193,568.51</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2,440,761,431.33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231,362,489.94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3,773,918,388.17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398,975,014.85</w:t>
            </w:r>
          </w:p>
        </w:tc>
      </w:tr>
    </w:tbl>
    <w:p>
      <w:pPr>
        <w:pStyle w:val="BodyText"/>
        <w:spacing w:line="240" w:lineRule="auto"/>
        <w:ind w:right="0"/>
        <w:jc w:val="left"/>
      </w:pPr>
      <w:r>
        <w:rPr/>
        <w:t>是否已执行新收入准则</w:t>
      </w:r>
    </w:p>
    <w:p>
      <w:pPr>
        <w:pStyle w:val="BodyText"/>
        <w:spacing w:line="331" w:lineRule="auto" w:before="125"/>
        <w:ind w:right="94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63、税金及附加" w:id="402"/>
      <w:bookmarkEnd w:id="402"/>
      <w:r>
        <w:rPr>
          <w:b w:val="0"/>
          <w:bCs w:val="0"/>
        </w:rPr>
      </w:r>
      <w:r>
        <w:rPr>
          <w:rFonts w:ascii="Times New Roman" w:hAnsi="Times New Roman" w:cs="Times New Roman" w:eastAsia="Times New Roman" w:hint="default"/>
        </w:rPr>
        <w:t>63</w:t>
      </w:r>
      <w:r>
        <w:rPr/>
        <w:t>、税金及附加</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4,352,830.01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7,643,597.18</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4,123,336.15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8,106,905.89</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82,900.82</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1,585.20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3,170.40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12,741.00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21,615.00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171,063.55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1,309,414.02</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990.38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文化事业费</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61,937.01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608,627.78</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8,807,384.12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17,693,330.27</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64、销售费用" w:id="403"/>
      <w:bookmarkEnd w:id="403"/>
      <w:r>
        <w:rPr>
          <w:b w:val="0"/>
          <w:bCs w:val="0"/>
        </w:rPr>
      </w:r>
      <w:r>
        <w:rPr>
          <w:rFonts w:ascii="Times New Roman" w:hAnsi="Times New Roman" w:cs="Times New Roman" w:eastAsia="Times New Roman" w:hint="default"/>
        </w:rPr>
        <w:t>64</w:t>
      </w:r>
      <w:r>
        <w:rPr/>
        <w:t>、销售费用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50,332,069.76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39,122,975.40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418,374.12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28,742.50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2,679,460.83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3,020,939.93</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560,915.98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1,070,853.83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850,440.37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388,686.10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704,602,220.51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737,772,166.49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媒体宣传费</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410,912.35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1,332,642.12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1,025,636.70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51,600.00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1,875,985.44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22,487,507.47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2027" w:right="0"/>
              <w:jc w:val="left"/>
              <w:rPr>
                <w:rFonts w:ascii="Times New Roman" w:hAnsi="Times New Roman" w:cs="Times New Roman" w:eastAsia="Times New Roman" w:hint="default"/>
                <w:sz w:val="18"/>
                <w:szCs w:val="18"/>
              </w:rPr>
            </w:pPr>
            <w:r>
              <w:rPr>
                <w:rFonts w:ascii="Times New Roman"/>
                <w:sz w:val="18"/>
              </w:rPr>
              <w:t>762,652,109.13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805,380,020.77</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65、管理费用" w:id="404"/>
      <w:bookmarkEnd w:id="404"/>
      <w:r>
        <w:rPr>
          <w:b w:val="0"/>
          <w:bCs w:val="0"/>
        </w:rPr>
      </w:r>
      <w:r>
        <w:rPr>
          <w:rFonts w:ascii="Times New Roman" w:hAnsi="Times New Roman" w:cs="Times New Roman" w:eastAsia="Times New Roman" w:hint="default"/>
        </w:rPr>
        <w:t>65</w:t>
      </w:r>
      <w:r>
        <w:rPr/>
        <w:t>、管理费用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107,779,888.17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56,845,443.87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7,400,131.94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99,409,650.97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10,429,918.50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6,842,157.70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5,465,654.13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3,778,911.79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11,110,033.81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6,374,196.87</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9,016,189.66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6,557,939.93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8,906,739.88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5,230,534.11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18,574,989.72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11,788,167.95</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21,508,540.49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19,770,364.74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200,192,086.30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216,597,367.93</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66、研发费用" w:id="405"/>
      <w:bookmarkEnd w:id="405"/>
      <w:r>
        <w:rPr>
          <w:b w:val="0"/>
          <w:bCs w:val="0"/>
        </w:rPr>
      </w:r>
      <w:r>
        <w:rPr>
          <w:rFonts w:ascii="Times New Roman" w:hAnsi="Times New Roman" w:cs="Times New Roman" w:eastAsia="Times New Roman" w:hint="default"/>
        </w:rPr>
        <w:t>66</w:t>
      </w:r>
      <w:r>
        <w:rPr/>
        <w:t>、研发费用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202,391,371.15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224,109,892.73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5,122,678.70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3,805,158.38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5,210,904.24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2,311,679.40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服务器租赁</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12,936,911.15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16,592,951.80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764,880.04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1,060,042.64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103,536.66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624,211.35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12,567,009.85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18,740,449.71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33,138.12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7,255,520.38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30,040,089.56</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738,698.54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544,363.35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247,091,510.71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297,861,977.04</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67、财务费用" w:id="406"/>
      <w:bookmarkEnd w:id="406"/>
      <w:r>
        <w:rPr>
          <w:b w:val="0"/>
          <w:bCs w:val="0"/>
        </w:rPr>
      </w:r>
      <w:r>
        <w:rPr>
          <w:rFonts w:ascii="Times New Roman" w:hAnsi="Times New Roman" w:cs="Times New Roman" w:eastAsia="Times New Roman" w:hint="default"/>
        </w:rPr>
        <w:t>67</w:t>
      </w:r>
      <w:r>
        <w:rPr/>
        <w:t>、财务费用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63,180,117.06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58,427,273.01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77,611,667.86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76,888,060.20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15,367,193.55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-9,799,812.97</w:t>
            </w:r>
            <w:r>
              <w:rPr>
                <w:rFonts w:ascii="Times New Roman"/>
                <w:sz w:val="18"/>
              </w:rPr>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1,067,346.66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4,136,328.55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2,002,989.41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-24,124,271.61</w:t>
            </w:r>
            <w:r>
              <w:rPr>
                <w:rFonts w:ascii="Times New Roman"/>
                <w:sz w:val="18"/>
              </w:rPr>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8、其他收益" w:id="407"/>
      <w:bookmarkEnd w:id="407"/>
      <w:r>
        <w:rPr>
          <w:b w:val="0"/>
          <w:bCs w:val="0"/>
        </w:rPr>
      </w:r>
      <w:r>
        <w:rPr>
          <w:rFonts w:ascii="Times New Roman" w:hAnsi="Times New Roman" w:cs="Times New Roman" w:eastAsia="Times New Roman" w:hint="default"/>
        </w:rPr>
        <w:t>68</w:t>
      </w:r>
      <w:r>
        <w:rPr/>
        <w:t>、其他收益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73,449,760.37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46,770,350.08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147,443.51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695,739.83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73,597,203.88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47,466,089.91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9、投资收益" w:id="408"/>
      <w:bookmarkEnd w:id="408"/>
      <w:r>
        <w:rPr>
          <w:b w:val="0"/>
          <w:bCs w:val="0"/>
        </w:rPr>
      </w:r>
      <w:r>
        <w:rPr>
          <w:rFonts w:ascii="Times New Roman" w:hAnsi="Times New Roman" w:cs="Times New Roman" w:eastAsia="Times New Roman" w:hint="default"/>
        </w:rPr>
        <w:t>69</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55,567,950.32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5,238,951.88</w:t>
            </w: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-2,688,356.39</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-11,411,935.30</w:t>
            </w:r>
            <w:r>
              <w:rPr>
                <w:rFonts w:ascii="Times New Roman"/>
                <w:sz w:val="18"/>
              </w:rPr>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104,848,348.78</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84" w:type="dxa"/>
            <w:tcBorders>
              <w:top w:val="single" w:sz="6" w:space="0" w:color="000000"/>
              <w:left w:val="single" w:sz="18"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21,002.95</w:t>
            </w: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债权投资在持有期间取得的利息收入</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24,519,570.73</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7"/>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 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1,782,968.12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-10,598,820.21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4"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71,606,958.56</w:t>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173,431,661.35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65,454,978.09</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0、净敞口套期收益" w:id="409"/>
      <w:bookmarkEnd w:id="409"/>
      <w:r>
        <w:rPr>
          <w:b w:val="0"/>
          <w:bCs w:val="0"/>
        </w:rPr>
      </w:r>
      <w:r>
        <w:rPr>
          <w:rFonts w:ascii="Times New Roman" w:hAnsi="Times New Roman" w:cs="Times New Roman" w:eastAsia="Times New Roman" w:hint="default"/>
        </w:rPr>
        <w:t>70</w:t>
      </w:r>
      <w:r>
        <w:rPr/>
        <w:t>、净敞口套期收益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71、公允价值变动收益" w:id="410"/>
      <w:bookmarkEnd w:id="410"/>
      <w:r>
        <w:rPr>
          <w:b w:val="0"/>
          <w:bCs w:val="0"/>
        </w:rPr>
      </w:r>
      <w:r>
        <w:rPr>
          <w:rFonts w:ascii="Times New Roman" w:hAnsi="Times New Roman" w:cs="Times New Roman" w:eastAsia="Times New Roman" w:hint="default"/>
        </w:rPr>
        <w:t>71</w:t>
      </w:r>
      <w:r>
        <w:rPr/>
        <w:t>、公允价值变动收益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10,824,554.09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12,488,466.11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23,313,020.20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72、信用减值损失" w:id="411"/>
      <w:bookmarkEnd w:id="411"/>
      <w:r>
        <w:rPr>
          <w:b w:val="0"/>
          <w:bCs w:val="0"/>
        </w:rPr>
      </w:r>
      <w:r>
        <w:rPr>
          <w:rFonts w:ascii="Times New Roman" w:hAnsi="Times New Roman" w:cs="Times New Roman" w:eastAsia="Times New Roman" w:hint="default"/>
        </w:rPr>
        <w:t>72</w:t>
      </w:r>
      <w:r>
        <w:rPr/>
        <w:t>、信用减值损失</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-13,664,191.12</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-4,508,000.00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-43,862,358.33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其他流动资产坏账损失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-236,736,381.63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-38,432,921.62</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一年到期的非流动资产坏账损失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-94,701,661.14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发放贷款及垫款坏账损失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-6,270,721.64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-438,176,235.48</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3、资产减值损失" w:id="412"/>
      <w:bookmarkEnd w:id="412"/>
      <w:r>
        <w:rPr>
          <w:b w:val="0"/>
          <w:bCs w:val="0"/>
        </w:rPr>
      </w:r>
      <w:r>
        <w:rPr>
          <w:rFonts w:ascii="Times New Roman" w:hAnsi="Times New Roman" w:cs="Times New Roman" w:eastAsia="Times New Roman" w:hint="default"/>
        </w:rPr>
        <w:t>73</w:t>
      </w:r>
      <w:r>
        <w:rPr/>
        <w:t>、资产减值损失</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-578,446,758.80</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-578,446,758.80</w:t>
            </w:r>
            <w:r>
              <w:rPr>
                <w:rFonts w:ascii="Times New Roman"/>
                <w:sz w:val="18"/>
              </w:rPr>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74、资产处置收益" w:id="413"/>
      <w:bookmarkEnd w:id="413"/>
      <w:r>
        <w:rPr>
          <w:b w:val="0"/>
          <w:bCs w:val="0"/>
        </w:rPr>
      </w:r>
      <w:r>
        <w:rPr>
          <w:rFonts w:ascii="Times New Roman" w:hAnsi="Times New Roman" w:cs="Times New Roman" w:eastAsia="Times New Roman" w:hint="default"/>
        </w:rPr>
        <w:t>74</w:t>
      </w:r>
      <w:r>
        <w:rPr/>
        <w:t>、资产处置收益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车贷资产包处置收益</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-1,705,889.73</w:t>
            </w:r>
            <w:r>
              <w:rPr>
                <w:rFonts w:ascii="Times New Roman"/>
                <w:sz w:val="18"/>
              </w:rPr>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处置未划分为持有待售的固定资产产生 的处置利得或损失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-3,876.29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32,741.28</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7"/>
              <w:jc w:val="left"/>
              <w:rPr>
                <w:rFonts w:ascii="宋体" w:hAnsi="宋体" w:cs="宋体" w:eastAsia="宋体" w:hint="default"/>
                <w:sz w:val="18"/>
                <w:szCs w:val="18"/>
              </w:rPr>
            </w:pPr>
            <w:r>
              <w:rPr>
                <w:rFonts w:ascii="宋体" w:hAnsi="宋体" w:cs="宋体" w:eastAsia="宋体" w:hint="default"/>
                <w:sz w:val="18"/>
                <w:szCs w:val="18"/>
              </w:rPr>
              <w:t>处置未划分为持有待售的无形资产产生 的处置利得或损失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25,736.00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21,859.71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-1,673,148.45</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5、营业外收入" w:id="414"/>
      <w:bookmarkEnd w:id="414"/>
      <w:r>
        <w:rPr>
          <w:b w:val="0"/>
          <w:bCs w:val="0"/>
        </w:rPr>
      </w:r>
      <w:r>
        <w:rPr>
          <w:rFonts w:ascii="Times New Roman" w:hAnsi="Times New Roman" w:cs="Times New Roman" w:eastAsia="Times New Roman" w:hint="default"/>
        </w:rPr>
        <w:t>75</w:t>
      </w:r>
      <w:r>
        <w:rPr/>
        <w:t>、营业外收入</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非流动资产损毁报废利得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1,843.85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1,512.99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1,843.85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其中：固定资产损毁报废利得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1,843.85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1,512.99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1,843.85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134,400.00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3,610,160.00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134,400.00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136,243.85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3,611,672.99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136,243.85</w:t>
            </w:r>
          </w:p>
        </w:tc>
      </w:tr>
    </w:tbl>
    <w:p>
      <w:pPr>
        <w:pStyle w:val="BodyText"/>
        <w:spacing w:line="240" w:lineRule="auto" w:before="45"/>
        <w:ind w:right="0"/>
        <w:jc w:val="left"/>
      </w:pPr>
      <w:r>
        <w:rPr/>
        <w:t>计入当期损益的政府补助：</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上海市浦东 新区世博地 区开发管理 委员会开发 扶持资金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14,690,000.0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left"/>
              <w:rPr>
                <w:rFonts w:ascii="宋体" w:hAnsi="宋体" w:cs="宋体" w:eastAsia="宋体" w:hint="default"/>
                <w:sz w:val="18"/>
                <w:szCs w:val="18"/>
              </w:rPr>
            </w:pPr>
            <w:r>
              <w:rPr>
                <w:rFonts w:ascii="宋体" w:hAnsi="宋体" w:cs="宋体" w:eastAsia="宋体" w:hint="default"/>
                <w:sz w:val="18"/>
                <w:szCs w:val="18"/>
              </w:rPr>
              <w:t>产业扶持补 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19,956,920.0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7,991,777.69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浦东新区大 企业总部财 政扶持</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5,629,000.00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left"/>
              <w:rPr>
                <w:rFonts w:ascii="宋体" w:hAnsi="宋体" w:cs="宋体" w:eastAsia="宋体" w:hint="default"/>
                <w:sz w:val="18"/>
                <w:szCs w:val="18"/>
              </w:rPr>
            </w:pPr>
            <w:r>
              <w:rPr>
                <w:rFonts w:ascii="宋体" w:hAnsi="宋体" w:cs="宋体" w:eastAsia="宋体" w:hint="default"/>
                <w:sz w:val="18"/>
                <w:szCs w:val="18"/>
              </w:rPr>
              <w:t>浦东新区财 政扶持资金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38,370,100.0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5,188,413.30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企业发展专 项资金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3,210,000.00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3"/>
              <w:jc w:val="right"/>
              <w:rPr>
                <w:rFonts w:ascii="宋体" w:hAnsi="宋体" w:cs="宋体" w:eastAsia="宋体" w:hint="default"/>
                <w:sz w:val="18"/>
                <w:szCs w:val="18"/>
              </w:rPr>
            </w:pPr>
            <w:r>
              <w:rPr>
                <w:rFonts w:ascii="宋体" w:hAnsi="宋体" w:cs="宋体" w:eastAsia="宋体" w:hint="default"/>
                <w:sz w:val="18"/>
                <w:szCs w:val="18"/>
              </w:rPr>
              <w:t>浦东新区管</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3,207,830.49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67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33"/>
              <w:jc w:val="left"/>
              <w:rPr>
                <w:rFonts w:ascii="宋体" w:hAnsi="宋体" w:cs="宋体" w:eastAsia="宋体" w:hint="default"/>
                <w:sz w:val="18"/>
                <w:szCs w:val="18"/>
              </w:rPr>
            </w:pPr>
            <w:r>
              <w:rPr>
                <w:rFonts w:ascii="宋体" w:hAnsi="宋体" w:cs="宋体" w:eastAsia="宋体" w:hint="default"/>
                <w:sz w:val="18"/>
                <w:szCs w:val="18"/>
              </w:rPr>
              <w:t>委会专项补 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基于大数据 风控技术的 互联网供应 链金融服务 平台</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浦东新区科 技发展基金 重点企业研 发机构补贴 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基于大数据 分析的互联 网金融征信 评分模型建 设</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1,160,000.00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基于大数据 分析的上网 入口个性化 定制解决方 案项目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年广州 市金融发展 专项资金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556,705.75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上海市产业 技术创新专 项支持</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年广州 市金融发展 专项资金小 贷公司风险 补偿补贴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上海市软件 和集成电路 产业发展专 项资金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400,000.00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459,151.00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274,252.00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3"/>
              <w:jc w:val="both"/>
              <w:rPr>
                <w:rFonts w:ascii="宋体" w:hAnsi="宋体" w:cs="宋体" w:eastAsia="宋体" w:hint="default"/>
                <w:sz w:val="18"/>
                <w:szCs w:val="18"/>
              </w:rPr>
            </w:pPr>
            <w:r>
              <w:rPr>
                <w:rFonts w:ascii="宋体" w:hAnsi="宋体" w:cs="宋体" w:eastAsia="宋体" w:hint="default"/>
                <w:sz w:val="18"/>
                <w:szCs w:val="18"/>
              </w:rPr>
              <w:t>浦东新区科 技发展基金 知识产权资</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上海市首席 技师资助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3"/>
              <w:jc w:val="both"/>
              <w:rPr>
                <w:rFonts w:ascii="宋体" w:hAnsi="宋体" w:cs="宋体" w:eastAsia="宋体" w:hint="default"/>
                <w:sz w:val="18"/>
                <w:szCs w:val="18"/>
              </w:rPr>
            </w:pPr>
            <w:r>
              <w:rPr>
                <w:rFonts w:ascii="宋体" w:hAnsi="宋体" w:cs="宋体" w:eastAsia="宋体" w:hint="default"/>
                <w:sz w:val="18"/>
                <w:szCs w:val="18"/>
              </w:rPr>
              <w:t>大学生实习 基地优秀企 业奖励</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员工补贴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84,870.28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370.85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浦东新区质 量发展专项 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上海市软件 和集成电路 产业发展专 项资金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8,000.00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3"/>
              <w:jc w:val="left"/>
              <w:rPr>
                <w:rFonts w:ascii="宋体" w:hAnsi="宋体" w:cs="宋体" w:eastAsia="宋体" w:hint="default"/>
                <w:sz w:val="18"/>
                <w:szCs w:val="18"/>
              </w:rPr>
            </w:pPr>
            <w:r>
              <w:rPr>
                <w:rFonts w:ascii="宋体" w:hAnsi="宋体" w:cs="宋体" w:eastAsia="宋体" w:hint="default"/>
                <w:sz w:val="18"/>
                <w:szCs w:val="18"/>
              </w:rPr>
              <w:t>企业扶持资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412,717.84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徐汇财政补 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left"/>
              <w:rPr>
                <w:rFonts w:ascii="宋体" w:hAnsi="宋体" w:cs="宋体" w:eastAsia="宋体" w:hint="default"/>
                <w:sz w:val="18"/>
                <w:szCs w:val="18"/>
              </w:rPr>
            </w:pPr>
            <w:r>
              <w:rPr>
                <w:rFonts w:ascii="宋体" w:hAnsi="宋体" w:cs="宋体" w:eastAsia="宋体" w:hint="default"/>
                <w:sz w:val="18"/>
                <w:szCs w:val="18"/>
              </w:rPr>
              <w:t>广州市越秀 区房租补助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285,419.50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广州市越秀 区总部企业 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91,460.00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第一批 产业转型升 级发展专项 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500,000.00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进项税额加 计抵减</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7,854,594.12</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3"/>
              <w:jc w:val="left"/>
              <w:rPr>
                <w:rFonts w:ascii="宋体" w:hAnsi="宋体" w:cs="宋体" w:eastAsia="宋体" w:hint="default"/>
                <w:sz w:val="18"/>
                <w:szCs w:val="18"/>
              </w:rPr>
            </w:pPr>
            <w:r>
              <w:rPr>
                <w:rFonts w:ascii="宋体" w:hAnsi="宋体" w:cs="宋体" w:eastAsia="宋体" w:hint="default"/>
                <w:sz w:val="18"/>
                <w:szCs w:val="18"/>
              </w:rPr>
              <w:t>教育费附加 减免</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527.55</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73,449,760.3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46,770,350.0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76、营业外支出" w:id="415"/>
      <w:bookmarkEnd w:id="415"/>
      <w:r>
        <w:rPr>
          <w:b w:val="0"/>
          <w:bCs w:val="0"/>
        </w:rPr>
      </w:r>
      <w:r>
        <w:rPr>
          <w:rFonts w:ascii="Times New Roman" w:hAnsi="Times New Roman" w:cs="Times New Roman" w:eastAsia="Times New Roman" w:hint="default"/>
        </w:rPr>
        <w:t>76</w:t>
      </w:r>
      <w:r>
        <w:rPr/>
        <w:t>、营业外支出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404,169.27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4,057,002.68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2,477,997.32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4,057,002.68</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5,586.81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1,455,000.00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5,632,002.68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2,887,753.40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5,632,002.68</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7、所得税费用" w:id="416"/>
      <w:bookmarkEnd w:id="416"/>
      <w:r>
        <w:rPr>
          <w:b w:val="0"/>
          <w:bCs w:val="0"/>
        </w:rPr>
      </w:r>
      <w:r>
        <w:rPr>
          <w:rFonts w:ascii="Times New Roman" w:hAnsi="Times New Roman" w:cs="Times New Roman" w:eastAsia="Times New Roman" w:hint="default"/>
        </w:rPr>
        <w:t>77</w:t>
      </w:r>
      <w:r>
        <w:rPr/>
        <w:t>、所得税费用</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所得税费用表" w:id="417"/>
      <w:bookmarkEnd w:id="41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113,003,909.74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157,414,588.38</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-67,529,369.75</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65,464,246.74</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45,474,539.99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222,878,835.12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418"/>
      <w:bookmarkEnd w:id="41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815,344,612.55</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203,836,153.14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-385,055,019.60</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1,406,411.97</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244,844,188.75</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51,749,702.34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-3,777,526.86</w:t>
            </w:r>
            <w:r>
              <w:rPr>
                <w:rFonts w:ascii="Times New Roman"/>
                <w:sz w:val="18"/>
              </w:rPr>
            </w:r>
          </w:p>
        </w:tc>
      </w:tr>
      <w:tr>
        <w:trPr>
          <w:trHeight w:val="721"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4"/>
              <w:jc w:val="left"/>
              <w:rPr>
                <w:rFonts w:ascii="宋体" w:hAnsi="宋体" w:cs="宋体" w:eastAsia="宋体" w:hint="default"/>
                <w:sz w:val="18"/>
                <w:szCs w:val="18"/>
              </w:rPr>
            </w:pPr>
            <w:r>
              <w:rPr>
                <w:rFonts w:ascii="宋体" w:hAnsi="宋体" w:cs="宋体" w:eastAsia="宋体" w:hint="default"/>
                <w:sz w:val="18"/>
                <w:szCs w:val="18"/>
              </w:rPr>
              <w:t>本期已确认递延所得税资产的可抵扣暂时性差异或可抵扣亏 损的影响</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-67,529,369.75</w:t>
            </w:r>
            <w:r>
              <w:rPr>
                <w:rFonts w:ascii="Times New Roman"/>
                <w:sz w:val="18"/>
              </w:rPr>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45,474,539.99</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78、其他综合收益" w:id="419"/>
      <w:bookmarkEnd w:id="419"/>
      <w:r>
        <w:rPr>
          <w:b w:val="0"/>
          <w:bCs w:val="0"/>
        </w:rPr>
      </w:r>
      <w:r>
        <w:rPr>
          <w:rFonts w:ascii="Times New Roman" w:hAnsi="Times New Roman" w:cs="Times New Roman" w:eastAsia="Times New Roman" w:hint="default"/>
        </w:rPr>
        <w:t>78</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详见附注七、</w:t>
      </w:r>
      <w:r>
        <w:rPr>
          <w:rFonts w:ascii="Times New Roman" w:hAnsi="Times New Roman" w:cs="Times New Roman" w:eastAsia="Times New Roman" w:hint="default"/>
        </w:rPr>
        <w:t>58</w:t>
      </w:r>
      <w:r>
        <w:rPr/>
        <w:t>。</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79、现金流量表项目" w:id="420"/>
      <w:bookmarkEnd w:id="420"/>
      <w:r>
        <w:rPr>
          <w:b w:val="0"/>
          <w:bCs w:val="0"/>
        </w:rPr>
      </w:r>
      <w:r>
        <w:rPr>
          <w:rFonts w:ascii="Times New Roman" w:hAnsi="Times New Roman" w:cs="Times New Roman" w:eastAsia="Times New Roman" w:hint="default"/>
        </w:rPr>
        <w:t>79</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收到的其他与经营活动有关的现金" w:id="421"/>
      <w:bookmarkEnd w:id="42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77,642,897.01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143,430,588.50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134,400.00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3,610,160.00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66,027,011.00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46,306,089.91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139,325,913.99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71,137,106.58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24,799,079.27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9,526,464.40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收到前期多缴纳税金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10,537.37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6,065,380.64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第三方平台备付金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149,861,064.79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457,800,903.43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280,075,790.03</w:t>
            </w:r>
          </w:p>
        </w:tc>
      </w:tr>
    </w:tbl>
    <w:p>
      <w:pPr>
        <w:pStyle w:val="BodyText"/>
        <w:spacing w:line="240" w:lineRule="auto"/>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支付的其他与经营活动有关的现金" w:id="422"/>
      <w:bookmarkEnd w:id="42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11,602,168.47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12,525,107.61</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销售、管理费用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977,358,539.99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800,895,496.94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1,067,339.52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551,422.89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1,455,000.00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1,430,586.81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24,794,329.45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120,000.00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404,169.27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第三方平台备付金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115,712,952.61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991,603,047.98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956,314,065.58</w:t>
            </w:r>
          </w:p>
        </w:tc>
      </w:tr>
    </w:tbl>
    <w:p>
      <w:pPr>
        <w:pStyle w:val="BodyText"/>
        <w:spacing w:line="240" w:lineRule="auto"/>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收到的其他与投资活动有关的现金" w:id="423"/>
      <w:bookmarkEnd w:id="42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定期存款、理财产品、基金及理财收益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5,827,016,604.75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444,451,303.20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信托和资管计划本金及到期收益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455,135,546.72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8,968,369.46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资产证券化支持证券本金及到期收益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861,304.00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1907" w:right="0"/>
              <w:jc w:val="left"/>
              <w:rPr>
                <w:rFonts w:ascii="Times New Roman" w:hAnsi="Times New Roman" w:cs="Times New Roman" w:eastAsia="Times New Roman" w:hint="default"/>
                <w:sz w:val="18"/>
                <w:szCs w:val="18"/>
              </w:rPr>
            </w:pPr>
            <w:r>
              <w:rPr>
                <w:rFonts w:ascii="Times New Roman"/>
                <w:sz w:val="18"/>
              </w:rPr>
              <w:t>6,283,013,455.47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453,419,672.66</w:t>
            </w:r>
          </w:p>
        </w:tc>
      </w:tr>
    </w:tbl>
    <w:p>
      <w:pPr>
        <w:pStyle w:val="BodyText"/>
        <w:spacing w:line="240" w:lineRule="auto" w:before="45"/>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支付的其他与投资活动有关的现金" w:id="424"/>
      <w:bookmarkEnd w:id="42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定期存款、理财产品、基金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5,612,064,912.25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605,300,000.00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信托和资管计划</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1,034,881,000.00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资产证券化支持证券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6,912,945,912.25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805,300,000.00</w:t>
            </w:r>
          </w:p>
        </w:tc>
      </w:tr>
    </w:tbl>
    <w:p>
      <w:pPr>
        <w:pStyle w:val="BodyText"/>
        <w:spacing w:line="240" w:lineRule="auto"/>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收到的其他与筹资活动有关的现金" w:id="425"/>
      <w:bookmarkEnd w:id="42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支付的其他与筹资活动有关的现金" w:id="426"/>
      <w:bookmarkEnd w:id="42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股权激励回购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11,561,650.00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15,420,800.00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发行债券承销费</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3,584,905.66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11,561,650.00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19,005,705.66</w:t>
            </w:r>
          </w:p>
        </w:tc>
      </w:tr>
    </w:tbl>
    <w:p>
      <w:pPr>
        <w:pStyle w:val="BodyText"/>
        <w:spacing w:line="240" w:lineRule="auto"/>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80、现金流量表补充资料" w:id="427"/>
      <w:bookmarkEnd w:id="427"/>
      <w:r>
        <w:rPr>
          <w:b w:val="0"/>
          <w:bCs w:val="0"/>
        </w:rPr>
      </w:r>
      <w:r>
        <w:rPr>
          <w:rFonts w:ascii="Times New Roman" w:hAnsi="Times New Roman" w:cs="Times New Roman" w:eastAsia="Times New Roman" w:hint="default"/>
        </w:rPr>
        <w:t>80</w:t>
      </w:r>
      <w:r>
        <w:rPr/>
        <w:t>、现金流量表补充资料</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现金流量表补充资料" w:id="428"/>
      <w:bookmarkEnd w:id="42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769,870,072.56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1,372,181,194.14</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438,176,235.48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578,446,758.80</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15,587,014.65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10,974,775.53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2,119,729.60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2,542,799.80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9,028,141.32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9,028,141.42</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-23,703.56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1,671,635.46</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-23,313,020.20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78,547,310.61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48,627,460.04</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-173,431,661.35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-65,454,978.09</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-67,277,584.81</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65,464,246.74</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-255,867.34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4,073,120,427.45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-2,451,478,373.24</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-3,465,572,122.79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249,436,481.19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1,656,574,971.62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-178,559,858.21</w:t>
            </w:r>
            <w:r>
              <w:rPr>
                <w:rFonts w:ascii="Times New Roman"/>
                <w:sz w:val="18"/>
              </w:rPr>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2,991,560,774.81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3,456,946,685.86</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3,456,946,685.86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3,383,752,332.87</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5"/>
                <w:sz w:val="18"/>
              </w:rPr>
              <w:t>-465,385,911.05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73,194,352.99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429"/>
      <w:bookmarkEnd w:id="42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本期收到的处置子公司的现金净额" w:id="430"/>
      <w:bookmarkEnd w:id="43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现金和现金等价物的构成" w:id="431"/>
      <w:bookmarkEnd w:id="43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2,991,560,774.81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3,456,946,685.86</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51,823.39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51,612.67</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2,991,508,950.30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3,456,882,953.72</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12,119.47</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2,991,560,774.81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3,456,946,685.86</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2,111,040.89</w:t>
            </w:r>
          </w:p>
        </w:tc>
        <w:tc>
          <w:tcPr>
            <w:tcW w:w="31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1、所有者权益变动表项目注释" w:id="432"/>
      <w:bookmarkEnd w:id="432"/>
      <w:r>
        <w:rPr>
          <w:b w:val="0"/>
          <w:bCs w:val="0"/>
        </w:rPr>
      </w:r>
      <w:r>
        <w:rPr>
          <w:rFonts w:ascii="Times New Roman" w:hAnsi="Times New Roman" w:cs="Times New Roman" w:eastAsia="Times New Roman" w:hint="default"/>
        </w:rPr>
        <w:t>81</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4199"/>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r>
        <w:rPr>
          <w:spacing w:val="-82"/>
        </w:rPr>
        <w:t> </w:t>
      </w:r>
      <w:r>
        <w:rPr/>
        <w:t>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项目的性质及调整金额详见附注五、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3</w:t>
      </w:r>
      <w:r>
        <w:rPr/>
        <w:t>）。</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82、所有权或使用权受到限制的资产" w:id="433"/>
      <w:bookmarkEnd w:id="433"/>
      <w:r>
        <w:rPr>
          <w:b w:val="0"/>
          <w:bCs w:val="0"/>
        </w:rPr>
      </w:r>
      <w:r>
        <w:rPr>
          <w:rFonts w:ascii="Times New Roman" w:hAnsi="Times New Roman" w:cs="Times New Roman" w:eastAsia="Times New Roman" w:hint="default"/>
        </w:rPr>
        <w:t>82</w:t>
      </w:r>
      <w:r>
        <w:rPr/>
        <w:t>、所有权或使用权受到限制的资产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2,111,040.89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信用卡保证金、履约保证金</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71,420,352.94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抵押未到期</w:t>
            </w:r>
          </w:p>
        </w:tc>
      </w:tr>
      <w:tr>
        <w:trPr>
          <w:trHeight w:val="391"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98,672,192.98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抵押未到期</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172,203,586.81</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pStyle w:val="BodyText"/>
        <w:spacing w:line="316" w:lineRule="auto" w:before="110"/>
        <w:ind w:right="1113" w:firstLine="360"/>
        <w:jc w:val="left"/>
      </w:pPr>
      <w:r>
        <w:rPr/>
        <w:t>公司孙公司</w:t>
      </w:r>
      <w:r>
        <w:rPr>
          <w:rFonts w:ascii="宋体" w:hAnsi="宋体" w:cs="宋体" w:eastAsia="宋体" w:hint="default"/>
        </w:rPr>
        <w:t>Ruifeng</w:t>
      </w:r>
      <w:r>
        <w:rPr>
          <w:rFonts w:ascii="宋体" w:hAnsi="宋体" w:cs="宋体" w:eastAsia="宋体" w:hint="default"/>
          <w:spacing w:val="-42"/>
        </w:rPr>
        <w:t> </w:t>
      </w:r>
      <w:r>
        <w:rPr>
          <w:rFonts w:ascii="宋体" w:hAnsi="宋体" w:cs="宋体" w:eastAsia="宋体" w:hint="default"/>
        </w:rPr>
        <w:t>Technology</w:t>
      </w:r>
      <w:r>
        <w:rPr>
          <w:rFonts w:ascii="宋体" w:hAnsi="宋体" w:cs="宋体" w:eastAsia="宋体" w:hint="default"/>
          <w:spacing w:val="-42"/>
        </w:rPr>
        <w:t> </w:t>
      </w:r>
      <w:r>
        <w:rPr>
          <w:rFonts w:ascii="宋体" w:hAnsi="宋体" w:cs="宋体" w:eastAsia="宋体" w:hint="default"/>
        </w:rPr>
        <w:t>Pte.Ltd</w:t>
      </w:r>
      <w:r>
        <w:rPr/>
        <w:t>与大华银行于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w:t>
      </w:r>
      <w:r>
        <w:rPr/>
        <w:t>日签订了编号为</w:t>
      </w:r>
      <w:r>
        <w:rPr>
          <w:rFonts w:ascii="宋体" w:hAnsi="宋体" w:cs="宋体" w:eastAsia="宋体" w:hint="default"/>
        </w:rPr>
        <w:t>PB/6189344(RSTL2)</w:t>
      </w:r>
      <w:r>
        <w:rPr/>
        <w:t>的贷款合同和主 抵押担保合同，约定</w:t>
      </w:r>
      <w:r>
        <w:rPr>
          <w:rFonts w:ascii="宋体" w:hAnsi="宋体" w:cs="宋体" w:eastAsia="宋体" w:hint="default"/>
        </w:rPr>
        <w:t>Ruifeng Technology Pte.Ltd</w:t>
      </w:r>
      <w:r>
        <w:rPr/>
        <w:t>以其自有房产作为财产抵押，为其与大华银行发生期间自</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20</w:t>
      </w:r>
      <w:r>
        <w:rPr>
          <w:rFonts w:ascii="宋体" w:hAnsi="宋体" w:cs="宋体" w:eastAsia="宋体" w:hint="default"/>
          <w:spacing w:val="-83"/>
        </w:rPr>
        <w:t> </w:t>
      </w:r>
      <w:r>
        <w:rPr>
          <w:spacing w:val="-2"/>
        </w:rPr>
        <w:t>日至</w:t>
      </w:r>
      <w:r>
        <w:rPr>
          <w:rFonts w:ascii="宋体" w:hAnsi="宋体" w:cs="宋体" w:eastAsia="宋体" w:hint="default"/>
          <w:spacing w:val="-2"/>
        </w:rPr>
        <w:t>2024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日止的债务提供主债权最高不超过</w:t>
      </w:r>
      <w:r>
        <w:rPr>
          <w:rFonts w:ascii="宋体" w:hAnsi="宋体" w:cs="宋体" w:eastAsia="宋体" w:hint="default"/>
          <w:spacing w:val="-2"/>
        </w:rPr>
        <w:t>172,808,260.00</w:t>
      </w:r>
      <w:r>
        <w:rPr>
          <w:spacing w:val="-2"/>
        </w:rPr>
        <w:t>元的最高额抵押担保。本报告期期末用于抵押的房屋建</w:t>
      </w:r>
      <w:r>
        <w:rPr>
          <w:spacing w:val="-33"/>
        </w:rPr>
        <w:t> </w:t>
      </w:r>
      <w:r>
        <w:rPr>
          <w:spacing w:val="-33"/>
        </w:rPr>
      </w:r>
      <w:r>
        <w:rPr/>
        <w:t>筑物原值为</w:t>
      </w:r>
      <w:r>
        <w:rPr>
          <w:rFonts w:ascii="宋体" w:hAnsi="宋体" w:cs="宋体" w:eastAsia="宋体" w:hint="default"/>
        </w:rPr>
        <w:t>170,632,883.40</w:t>
      </w:r>
      <w:r>
        <w:rPr/>
        <w:t>元，账面价值为</w:t>
      </w:r>
      <w:r>
        <w:rPr>
          <w:rFonts w:ascii="宋体" w:hAnsi="宋体" w:cs="宋体" w:eastAsia="宋体" w:hint="default"/>
        </w:rPr>
        <w:t>170,092,545.92</w:t>
      </w:r>
      <w:r>
        <w:rPr/>
        <w:t>元。</w:t>
      </w:r>
    </w:p>
    <w:p>
      <w:pPr>
        <w:pStyle w:val="BodyText"/>
        <w:spacing w:line="240" w:lineRule="auto" w:before="22"/>
        <w:ind w:left="501" w:right="0"/>
        <w:jc w:val="left"/>
      </w:pPr>
      <w:r>
        <w:rPr/>
        <w:t>抵押物账面明细如下：</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493"/>
        <w:gridCol w:w="3965"/>
        <w:gridCol w:w="3214"/>
      </w:tblGrid>
      <w:tr>
        <w:trPr>
          <w:trHeight w:val="34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资产名称</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 w:right="0"/>
              <w:jc w:val="center"/>
              <w:rPr>
                <w:rFonts w:ascii="宋体" w:hAnsi="宋体" w:cs="宋体" w:eastAsia="宋体" w:hint="default"/>
                <w:sz w:val="18"/>
                <w:szCs w:val="18"/>
              </w:rPr>
            </w:pPr>
            <w:r>
              <w:rPr>
                <w:rFonts w:ascii="宋体" w:hAnsi="宋体" w:cs="宋体" w:eastAsia="宋体" w:hint="default"/>
                <w:sz w:val="18"/>
                <w:szCs w:val="18"/>
              </w:rPr>
              <w:t>资产原值（元）</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41" w:right="0"/>
              <w:jc w:val="left"/>
              <w:rPr>
                <w:rFonts w:ascii="宋体" w:hAnsi="宋体" w:cs="宋体" w:eastAsia="宋体" w:hint="default"/>
                <w:sz w:val="18"/>
                <w:szCs w:val="18"/>
              </w:rPr>
            </w:pPr>
            <w:r>
              <w:rPr>
                <w:rFonts w:ascii="宋体" w:hAnsi="宋体" w:cs="宋体" w:eastAsia="宋体" w:hint="default"/>
                <w:sz w:val="18"/>
                <w:szCs w:val="18"/>
              </w:rPr>
              <w:t>房屋产权证</w:t>
            </w:r>
          </w:p>
        </w:tc>
      </w:tr>
      <w:tr>
        <w:trPr>
          <w:trHeight w:val="36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办公楼</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170,632,883.40</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41"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83、外币货币性项目" w:id="434"/>
      <w:bookmarkEnd w:id="434"/>
      <w:r>
        <w:rPr>
          <w:b w:val="0"/>
          <w:bCs w:val="0"/>
        </w:rPr>
      </w:r>
      <w:r>
        <w:rPr>
          <w:rFonts w:ascii="Times New Roman" w:hAnsi="Times New Roman" w:cs="Times New Roman" w:eastAsia="Times New Roman" w:hint="default"/>
        </w:rPr>
        <w:t>83</w:t>
      </w:r>
      <w:r>
        <w:rPr/>
        <w:t>、外币货币性项目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35"/>
      <w:bookmarkEnd w:id="43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93"/>
        <w:gridCol w:w="2291"/>
        <w:gridCol w:w="2403"/>
        <w:gridCol w:w="2388"/>
      </w:tblGrid>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9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830,320,937.74</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117,488,078.61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819,620,334.00</w:t>
            </w: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547.90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490.80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2,068,094.27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10,700,112.94</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1,767,119.83</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341,545.03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1,767,119.83</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282,133.80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其中：新加坡元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54,530.20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282,133.80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249,381.98</w:t>
            </w: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其中：新加坡元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48,200.00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249,381.98</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86,227,679.31</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其中：新加坡元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16,665,896.00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86,227,679.31</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17,431,314.37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17,440.50</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3,365,715.20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17,413,873.87</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42,456.27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30.30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211.38</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8,165.00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42,244.89</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86" w:lineRule="exact" w:before="51"/>
        <w:ind w:right="0"/>
        <w:jc w:val="left"/>
        <w:rPr>
          <w:b w:val="0"/>
          <w:bCs w:val="0"/>
        </w:rPr>
      </w:pPr>
      <w:bookmarkStart w:name="（2）境外经营实体说明，包括对于重要的境外经营实体，应披露其境外主要经营地、记账" w:id="436"/>
      <w:bookmarkEnd w:id="43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21" w:lineRule="auto" w:before="81"/>
        <w:ind w:right="1110" w:firstLine="360"/>
        <w:jc w:val="left"/>
      </w:pPr>
      <w:r>
        <w:rPr/>
        <w:t>公司的境外经营实体主要包括</w:t>
      </w:r>
      <w:r>
        <w:rPr>
          <w:rFonts w:ascii="宋体" w:hAnsi="宋体" w:cs="宋体" w:eastAsia="宋体" w:hint="default"/>
        </w:rPr>
        <w:t>Ruifeng Technology Pte.Ltd.</w:t>
      </w:r>
      <w:r>
        <w:rPr/>
        <w:t>、</w:t>
      </w:r>
      <w:r>
        <w:rPr>
          <w:rFonts w:ascii="宋体" w:hAnsi="宋体" w:cs="宋体" w:eastAsia="宋体" w:hint="default"/>
        </w:rPr>
        <w:t>Ruifeng Wealth Management</w:t>
      </w:r>
      <w:r>
        <w:rPr>
          <w:rFonts w:ascii="宋体" w:hAnsi="宋体" w:cs="宋体" w:eastAsia="宋体" w:hint="default"/>
          <w:spacing w:val="9"/>
        </w:rPr>
        <w:t> </w:t>
      </w:r>
      <w:r>
        <w:rPr>
          <w:rFonts w:ascii="宋体" w:hAnsi="宋体" w:cs="宋体" w:eastAsia="宋体" w:hint="default"/>
        </w:rPr>
        <w:t>Pte.Ltd.</w:t>
      </w:r>
      <w:r>
        <w:rPr/>
        <w:t>、二三四五香港 有限公司和</w:t>
      </w:r>
      <w:r>
        <w:rPr>
          <w:rFonts w:ascii="宋体" w:hAnsi="宋体" w:cs="宋体" w:eastAsia="宋体" w:hint="default"/>
        </w:rPr>
        <w:t>Ruifeng Technology USA</w:t>
      </w:r>
      <w:r>
        <w:rPr>
          <w:rFonts w:ascii="宋体" w:hAnsi="宋体" w:cs="宋体" w:eastAsia="宋体" w:hint="default"/>
          <w:spacing w:val="8"/>
        </w:rPr>
        <w:t> </w:t>
      </w:r>
      <w:r>
        <w:rPr>
          <w:rFonts w:ascii="宋体" w:hAnsi="宋体" w:cs="宋体" w:eastAsia="宋体" w:hint="default"/>
        </w:rPr>
        <w:t>INC</w:t>
      </w:r>
      <w:r>
        <w:rPr/>
        <w:t>，其经营地为新加坡、香港和美国，记账本位币为新加坡元、人民币和美元。</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84、套期" w:id="437"/>
      <w:bookmarkEnd w:id="437"/>
      <w:r>
        <w:rPr>
          <w:b w:val="0"/>
          <w:bCs w:val="0"/>
        </w:rPr>
      </w:r>
      <w:r>
        <w:rPr>
          <w:rFonts w:ascii="Times New Roman" w:hAnsi="Times New Roman" w:cs="Times New Roman" w:eastAsia="Times New Roman" w:hint="default"/>
        </w:rPr>
        <w:t>84</w:t>
      </w:r>
      <w:r>
        <w:rPr/>
        <w:t>、套期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5、政府补助" w:id="438"/>
      <w:bookmarkEnd w:id="438"/>
      <w:r>
        <w:rPr>
          <w:b w:val="0"/>
          <w:bCs w:val="0"/>
        </w:rPr>
      </w:r>
      <w:r>
        <w:rPr>
          <w:rFonts w:ascii="Times New Roman" w:hAnsi="Times New Roman" w:cs="Times New Roman" w:eastAsia="Times New Roman" w:hint="default"/>
        </w:rPr>
        <w:t>85</w:t>
      </w:r>
      <w:r>
        <w:rPr/>
        <w:t>、政府补助</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政府补助基本情况" w:id="439"/>
      <w:bookmarkEnd w:id="43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浦东新区质量发展专项资金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产业扶持补贴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19,956,920.08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19,956,920.08</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大学生实习基地优秀企业奖 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浦东新区财政扶持资金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38,370,100.00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38,370,100.00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上海市软件和集成电路产业 发展专项资金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459,151.00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459,151.00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浦东新区科技发展基金重点 企业研发机构补贴资金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员工补贴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84,870.28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84,870.28</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412,717.84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412,717.84</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徐汇财政补助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年广州市金融发展专项 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广州市越秀区房租补助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285,419.50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285,419.50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广州市越秀区总部企业补助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91,460.00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91,460.00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基于大数据分析的互联网金 融征信评分模型建设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5"/>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第一批产业转型升级发 展专项资金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进项税额加计抵减</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7,854,594.12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7,854,594.12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教育费附加减免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527.55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527.55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440"/>
      <w:bookmarkEnd w:id="44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3"/>
          <w:szCs w:val="23"/>
        </w:rPr>
      </w:pPr>
    </w:p>
    <w:p>
      <w:pPr>
        <w:spacing w:line="482" w:lineRule="auto" w:before="0"/>
        <w:ind w:left="141" w:right="8324" w:firstLine="0"/>
        <w:jc w:val="left"/>
        <w:rPr>
          <w:rFonts w:ascii="宋体" w:hAnsi="宋体" w:cs="宋体" w:eastAsia="宋体" w:hint="default"/>
          <w:sz w:val="21"/>
          <w:szCs w:val="21"/>
        </w:rPr>
      </w:pPr>
      <w:bookmarkStart w:name="86、其他" w:id="441"/>
      <w:bookmarkEnd w:id="441"/>
      <w:r>
        <w:rPr/>
      </w:r>
      <w:r>
        <w:rPr>
          <w:rFonts w:ascii="Times New Roman" w:hAnsi="Times New Roman" w:cs="Times New Roman" w:eastAsia="Times New Roman" w:hint="default"/>
          <w:b/>
          <w:bCs/>
          <w:sz w:val="21"/>
          <w:szCs w:val="21"/>
        </w:rPr>
        <w:t>86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42"/>
      <w:bookmarkEnd w:id="44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443"/>
      <w:bookmarkEnd w:id="443"/>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90"/>
        <w:ind w:right="0"/>
        <w:jc w:val="left"/>
        <w:rPr>
          <w:b w:val="0"/>
          <w:bCs w:val="0"/>
        </w:rPr>
      </w:pPr>
      <w:bookmarkStart w:name="（1）本期发生的非同一控制下企业合并" w:id="444"/>
      <w:bookmarkEnd w:id="44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合并成本及商誉" w:id="445"/>
      <w:bookmarkEnd w:id="44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13"/>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391" coordorigin="23,8" coordsize="2,391">
              <v:shape style="position:absolute;left:23;top:8;width:2;height:391" coordorigin="23,8" coordsize="0,391" path="m23,8l23,398e" filled="false" stroked="true" strokeweight=".75pt" strokecolor="#d2d2d2">
                <v:path arrowok="t"/>
              </v:shape>
            </v:group>
            <v:group style="position:absolute;left:4784;top:8;width:2;height:391" coordorigin="4784,8" coordsize="2,391">
              <v:shape style="position:absolute;left:4784;top:8;width:2;height:391" coordorigin="4784,8" coordsize="0,391" path="m4784,8l4784,398e" filled="false" stroked="true" strokeweight=".75pt" strokecolor="#d2d2d2">
                <v:path arrowok="t"/>
              </v:shape>
            </v:group>
            <v:group style="position:absolute;left:30;top:8;width:4746;height:391" coordorigin="30,8" coordsize="4746,391">
              <v:shape style="position:absolute;left:30;top:8;width:4746;height:391" coordorigin="30,8" coordsize="4746,391" path="m30,398l4776,398,4776,8,30,8,30,398xe" filled="true" fillcolor="#d2d2d2" stroked="false">
                <v:path arrowok="t"/>
                <v:fill type="solid"/>
              </v:shape>
            </v:group>
            <v:group style="position:absolute;left:4814;top:8;width:2;height:391" coordorigin="4814,8" coordsize="2,391">
              <v:shape style="position:absolute;left:4814;top:8;width:2;height:391" coordorigin="4814,8" coordsize="0,391" path="m4814,8l4814,398e" filled="false" stroked="true" strokeweight=".75pt" strokecolor="#d2d2d2">
                <v:path arrowok="t"/>
              </v:shape>
            </v:group>
            <v:group style="position:absolute;left:9574;top:8;width:2;height:391" coordorigin="9574,8" coordsize="2,391">
              <v:shape style="position:absolute;left:9574;top:8;width:2;height:391" coordorigin="9574,8" coordsize="0,391" path="m9574,8l9574,398e" filled="false" stroked="true" strokeweight=".75pt" strokecolor="#d2d2d2">
                <v:path arrowok="t"/>
              </v:shape>
            </v:group>
            <v:group style="position:absolute;left:4821;top:8;width:4746;height:391" coordorigin="4821,8" coordsize="4746,391">
              <v:shape style="position:absolute;left:4821;top:8;width:4746;height:391" coordorigin="4821,8" coordsize="4746,391" path="m4821,398l9567,398,9567,8,4821,8,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6;width:4776;height:2" coordorigin="15,406" coordsize="4776,2">
              <v:shape style="position:absolute;left:15;top:406;width:4776;height:2" coordorigin="15,406" coordsize="4776,0" path="m15,406l4791,406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6;width:4776;height:2" coordorigin="4806,406" coordsize="4776,2">
              <v:shape style="position:absolute;left:4806;top:406;width:4776;height:2" coordorigin="4806,406" coordsize="4776,0" path="m4806,406l9582,406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92;height:391" type="#_x0000_t202" filled="false" stroked="false">
                <v:textbox inset="0,0,0,0">
                  <w:txbxContent>
                    <w:p>
                      <w:pPr>
                        <w:spacing w:before="37"/>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2" w:lineRule="auto" w:before="37"/>
        <w:ind w:right="6069"/>
        <w:jc w:val="left"/>
      </w:pPr>
      <w:r>
        <w:rPr/>
        <w:t>合并成本公允价值的确定方法、或有对价及其变动的说明： 大额商誉形成的主要原因：</w:t>
      </w:r>
    </w:p>
    <w:p>
      <w:pPr>
        <w:pStyle w:val="BodyText"/>
        <w:spacing w:line="240" w:lineRule="auto" w:before="4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被购买方于购买日可辨认资产、负债" w:id="446"/>
      <w:bookmarkEnd w:id="44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45"/>
        <w:ind w:right="7526"/>
        <w:jc w:val="both"/>
      </w:pPr>
      <w:r>
        <w:rPr/>
        <w:t>可辨认资产、负债公允价值的确定方法： 企业合并中承担的被购买方的或有负债： 其他说明：</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bookmarkStart w:name="（4）购买日之前持有的股权按照公允价值重新计量产生的利得或损失" w:id="447"/>
      <w:bookmarkEnd w:id="44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4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both"/>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5）购买日或合并当期期末无法合理确定合并对价或被购买方可辨认资产、负债公允价值" w:id="448"/>
      <w:bookmarkEnd w:id="44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3"/>
          <w:szCs w:val="23"/>
        </w:rPr>
      </w:pPr>
    </w:p>
    <w:p>
      <w:pPr>
        <w:pStyle w:val="Heading3"/>
        <w:spacing w:line="508" w:lineRule="auto"/>
        <w:ind w:right="8535"/>
        <w:jc w:val="left"/>
        <w:rPr>
          <w:b w:val="0"/>
          <w:bCs w:val="0"/>
        </w:rPr>
      </w:pPr>
      <w:bookmarkStart w:name="（6）其他说明" w:id="449"/>
      <w:bookmarkEnd w:id="449"/>
      <w:r>
        <w:rPr>
          <w:b w:val="0"/>
          <w:bCs w:val="0"/>
        </w:rPr>
      </w:r>
      <w:r>
        <w:rPr/>
        <w:t>（</w:t>
      </w:r>
      <w:r>
        <w:rPr>
          <w:rFonts w:ascii="Times New Roman" w:hAnsi="Times New Roman" w:cs="Times New Roman" w:eastAsia="Times New Roman" w:hint="default"/>
        </w:rPr>
        <w:t>6</w:t>
      </w:r>
      <w:r>
        <w:rPr/>
        <w:t>）其他说明</w:t>
      </w:r>
      <w:r>
        <w:rPr>
          <w:w w:val="99"/>
        </w:rPr>
        <w:t> </w:t>
      </w:r>
      <w:bookmarkStart w:name="2、同一控制下企业合并" w:id="450"/>
      <w:bookmarkEnd w:id="450"/>
      <w:r>
        <w:rPr>
          <w:w w:val="99"/>
        </w:rPr>
      </w:r>
      <w:r>
        <w:rPr>
          <w:rFonts w:ascii="Times New Roman" w:hAnsi="Times New Roman" w:cs="Times New Roman" w:eastAsia="Times New Roman" w:hint="default"/>
        </w:rPr>
        <w:t>2</w:t>
      </w:r>
      <w:r>
        <w:rPr/>
        <w:t>、同一控制下企业合并</w:t>
      </w:r>
      <w:r>
        <w:rPr>
          <w:b w:val="0"/>
          <w:bCs w:val="0"/>
        </w:rPr>
      </w:r>
    </w:p>
    <w:p>
      <w:pPr>
        <w:pStyle w:val="Heading3"/>
        <w:spacing w:line="240" w:lineRule="auto" w:before="64"/>
        <w:ind w:right="0"/>
        <w:jc w:val="left"/>
        <w:rPr>
          <w:b w:val="0"/>
          <w:bCs w:val="0"/>
        </w:rPr>
      </w:pPr>
      <w:bookmarkStart w:name="（1）本期发生的同一控制下企业合并" w:id="451"/>
      <w:bookmarkEnd w:id="45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合并成本" w:id="452"/>
      <w:bookmarkEnd w:id="45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0"/>
        <w:rPr>
          <w:rFonts w:ascii="宋体" w:hAnsi="宋体" w:cs="宋体" w:eastAsia="宋体" w:hint="default"/>
          <w:sz w:val="9"/>
          <w:szCs w:val="9"/>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pt;mso-position-horizontal-relative:char;mso-position-vertical-relative:line" coordorigin="0,0" coordsize="9597,420">
            <v:group style="position:absolute;left:23;top:8;width:2;height:390" coordorigin="23,8" coordsize="2,390">
              <v:shape style="position:absolute;left:23;top:8;width:2;height:390" coordorigin="23,8" coordsize="0,390" path="m23,8l23,398e" filled="false" stroked="true" strokeweight=".75pt" strokecolor="#d2d2d2">
                <v:path arrowok="t"/>
              </v:shape>
            </v:group>
            <v:group style="position:absolute;left:4784;top:8;width:2;height:390" coordorigin="4784,8" coordsize="2,390">
              <v:shape style="position:absolute;left:4784;top:8;width:2;height:390" coordorigin="4784,8" coordsize="0,390" path="m4784,8l4784,398e" filled="false" stroked="true" strokeweight=".75pt" strokecolor="#d2d2d2">
                <v:path arrowok="t"/>
              </v:shape>
            </v:group>
            <v:group style="position:absolute;left:30;top:8;width:4746;height:390" coordorigin="30,8" coordsize="4746,390">
              <v:shape style="position:absolute;left:30;top:8;width:4746;height:390" coordorigin="30,8" coordsize="4746,390" path="m30,398l4776,398,4776,8,30,8,30,398xe" filled="true" fillcolor="#d2d2d2" stroked="false">
                <v:path arrowok="t"/>
                <v:fill type="solid"/>
              </v:shape>
            </v:group>
            <v:group style="position:absolute;left:4814;top:8;width:2;height:390" coordorigin="4814,8" coordsize="2,390">
              <v:shape style="position:absolute;left:4814;top:8;width:2;height:390" coordorigin="4814,8" coordsize="0,390" path="m4814,8l4814,398e" filled="false" stroked="true" strokeweight=".75pt" strokecolor="#d2d2d2">
                <v:path arrowok="t"/>
              </v:shape>
            </v:group>
            <v:group style="position:absolute;left:9574;top:8;width:2;height:390" coordorigin="9574,8" coordsize="2,390">
              <v:shape style="position:absolute;left:9574;top:8;width:2;height:390" coordorigin="9574,8" coordsize="0,390" path="m9574,8l9574,398e" filled="false" stroked="true" strokeweight=".75pt" strokecolor="#d2d2d2">
                <v:path arrowok="t"/>
              </v:shape>
            </v:group>
            <v:group style="position:absolute;left:4821;top:8;width:4746;height:390" coordorigin="4821,8" coordsize="4746,390">
              <v:shape style="position:absolute;left:4821;top:8;width:4746;height:390" coordorigin="4821,8" coordsize="4746,390" path="m4821,398l9567,398,9567,8,4821,8,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5" coordorigin="8,8" coordsize="2,405">
              <v:shape style="position:absolute;left:8;top:8;width:2;height:405" coordorigin="8,8" coordsize="0,405"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5" coordorigin="4799,8" coordsize="2,405">
              <v:shape style="position:absolute;left:4799;top:8;width:2;height:405" coordorigin="4799,8" coordsize="0,405"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5" coordorigin="9589,8" coordsize="2,405">
              <v:shape style="position:absolute;left:9589;top:8;width:2;height:405" coordorigin="9589,8" coordsize="0,405" path="m9589,8l9589,413e" filled="false" stroked="true" strokeweight=".75pt" strokecolor="#000000">
                <v:path arrowok="t"/>
              </v:shape>
              <v:shape style="position:absolute;left:8;top:15;width:4792;height:390" type="#_x0000_t202" filled="false" stroked="false">
                <v:textbox inset="0,0,0,0">
                  <w:txbxContent>
                    <w:p>
                      <w:pPr>
                        <w:spacing w:before="37"/>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0" w:lineRule="auto" w:before="37"/>
        <w:ind w:right="8589"/>
        <w:jc w:val="left"/>
      </w:pPr>
      <w:r>
        <w:rPr/>
        <w:t>或有对价及其变动的说明： 其他说明：</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3）合并日被合并方资产、负债的账面价值" w:id="453"/>
      <w:bookmarkEnd w:id="45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11"/>
        <w:rPr>
          <w:rFonts w:ascii="宋体" w:hAnsi="宋体" w:cs="宋体" w:eastAsia="宋体" w:hint="default"/>
          <w:sz w:val="7"/>
          <w:szCs w:val="7"/>
        </w:rPr>
      </w:pPr>
    </w:p>
    <w:p>
      <w:pPr>
        <w:spacing w:line="840" w:lineRule="exact"/>
        <w:ind w:left="126"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85pt;height:42.05pt;mso-position-horizontal-relative:char;mso-position-vertical-relative:line" coordorigin="0,0" coordsize="9597,841">
            <v:group style="position:absolute;left:23;top:22;width:2;height:391" coordorigin="23,22" coordsize="2,391">
              <v:shape style="position:absolute;left:23;top:22;width:2;height:391" coordorigin="23,22" coordsize="0,391" path="m23,22l23,413e" filled="false" stroked="true" strokeweight=".75pt" strokecolor="#d2d2d2">
                <v:path arrowok="t"/>
              </v:shape>
            </v:group>
            <v:group style="position:absolute;left:3184;top:22;width:2;height:391" coordorigin="3184,22" coordsize="2,391">
              <v:shape style="position:absolute;left:3184;top:22;width:2;height:391" coordorigin="3184,22" coordsize="0,391" path="m3184,22l3184,413e" filled="false" stroked="true" strokeweight="1.5pt" strokecolor="#d2d2d2">
                <v:path arrowok="t"/>
              </v:shape>
            </v:group>
            <v:group style="position:absolute;left:30;top:22;width:3139;height:391" coordorigin="30,22" coordsize="3139,391">
              <v:shape style="position:absolute;left:30;top:22;width:3139;height:391" coordorigin="30,22" coordsize="3139,391" path="m30,413l3169,413,3169,22,30,22,30,413xe" filled="true" fillcolor="#d2d2d2" stroked="false">
                <v:path arrowok="t"/>
                <v:fill type="solid"/>
              </v:shape>
            </v:group>
            <v:group style="position:absolute;left:3222;top:22;width:2;height:391" coordorigin="3222,22" coordsize="2,391">
              <v:shape style="position:absolute;left:3222;top:22;width:2;height:391" coordorigin="3222,22" coordsize="0,391" path="m3222,22l3222,413e" filled="false" stroked="true" strokeweight=".75pt" strokecolor="#d2d2d2">
                <v:path arrowok="t"/>
              </v:shape>
            </v:group>
            <v:group style="position:absolute;left:9574;top:22;width:2;height:391" coordorigin="9574,22" coordsize="2,391">
              <v:shape style="position:absolute;left:9574;top:22;width:2;height:391" coordorigin="9574,22" coordsize="0,391" path="m9574,22l9574,413e" filled="false" stroked="true" strokeweight=".75pt" strokecolor="#d2d2d2">
                <v:path arrowok="t"/>
              </v:shape>
            </v:group>
            <v:group style="position:absolute;left:3229;top:22;width:6338;height:391" coordorigin="3229,22" coordsize="6338,391">
              <v:shape style="position:absolute;left:3229;top:22;width:6338;height:391" coordorigin="3229,22" coordsize="6338,391" path="m3229,413l9567,413,9567,22,3229,22,3229,413xe" filled="true" fillcolor="#d2d2d2" stroked="false">
                <v:path arrowok="t"/>
                <v:fill type="solid"/>
              </v:shape>
            </v:group>
            <v:group style="position:absolute;left:15;top:15;width:3184;height:2" coordorigin="15,15" coordsize="3184,2">
              <v:shape style="position:absolute;left:15;top:15;width:3184;height:2" coordorigin="15,15" coordsize="3184,0" path="m15,15l3199,15e" filled="false" stroked="true" strokeweight=".75pt" strokecolor="#000000">
                <v:path arrowok="t"/>
              </v:shape>
            </v:group>
            <v:group style="position:absolute;left:3214;top:15;width:6368;height:2" coordorigin="3214,15" coordsize="6368,2">
              <v:shape style="position:absolute;left:3214;top:15;width:6368;height:2" coordorigin="3214,15" coordsize="6368,0" path="m3214,15l9582,15e" filled="false" stroked="true" strokeweight=".75pt" strokecolor="#000000">
                <v:path arrowok="t"/>
              </v:shape>
            </v:group>
            <v:group style="position:absolute;left:23;top:428;width:2;height:390" coordorigin="23,428" coordsize="2,390">
              <v:shape style="position:absolute;left:23;top:428;width:2;height:390" coordorigin="23,428" coordsize="0,390" path="m23,428l23,818e" filled="false" stroked="true" strokeweight=".75pt" strokecolor="#d2d2d2">
                <v:path arrowok="t"/>
              </v:shape>
            </v:group>
            <v:group style="position:absolute;left:3184;top:428;width:2;height:390" coordorigin="3184,428" coordsize="2,390">
              <v:shape style="position:absolute;left:3184;top:428;width:2;height:390" coordorigin="3184,428" coordsize="0,390" path="m3184,428l3184,818e" filled="false" stroked="true" strokeweight="1.5pt" strokecolor="#d2d2d2">
                <v:path arrowok="t"/>
              </v:shape>
            </v:group>
            <v:group style="position:absolute;left:30;top:428;width:3139;height:390" coordorigin="30,428" coordsize="3139,390">
              <v:shape style="position:absolute;left:30;top:428;width:3139;height:390" coordorigin="30,428" coordsize="3139,390" path="m30,818l3169,818,3169,428,30,428,30,818xe" filled="true" fillcolor="#d2d2d2" stroked="false">
                <v:path arrowok="t"/>
                <v:fill type="solid"/>
              </v:shape>
            </v:group>
            <v:group style="position:absolute;left:3222;top:428;width:2;height:390" coordorigin="3222,428" coordsize="2,390">
              <v:shape style="position:absolute;left:3222;top:428;width:2;height:390" coordorigin="3222,428" coordsize="0,390" path="m3222,428l3222,818e" filled="false" stroked="true" strokeweight=".75pt" strokecolor="#d2d2d2">
                <v:path arrowok="t"/>
              </v:shape>
            </v:group>
            <v:group style="position:absolute;left:6368;top:428;width:30;height:390" coordorigin="6368,428" coordsize="30,390">
              <v:shape style="position:absolute;left:6368;top:428;width:30;height:390" coordorigin="6368,428" coordsize="30,390" path="m6368,818l6398,818,6398,428,6368,428,6368,818xe" filled="true" fillcolor="#d2d2d2" stroked="false">
                <v:path arrowok="t"/>
                <v:fill type="solid"/>
              </v:shape>
            </v:group>
            <v:group style="position:absolute;left:3229;top:428;width:3139;height:390" coordorigin="3229,428" coordsize="3139,390">
              <v:shape style="position:absolute;left:3229;top:428;width:3139;height:390" coordorigin="3229,428" coordsize="3139,390" path="m3229,818l6368,818,6368,428,3229,428,3229,818xe" filled="true" fillcolor="#d2d2d2" stroked="false">
                <v:path arrowok="t"/>
                <v:fill type="solid"/>
              </v:shape>
            </v:group>
            <v:group style="position:absolute;left:6398;top:428;width:30;height:390" coordorigin="6398,428" coordsize="30,390">
              <v:shape style="position:absolute;left:6398;top:428;width:30;height:390" coordorigin="6398,428" coordsize="30,390" path="m6398,818l6428,818,6428,428,6398,428,6398,818xe" filled="true" fillcolor="#d2d2d2" stroked="false">
                <v:path arrowok="t"/>
                <v:fill type="solid"/>
              </v:shape>
            </v:group>
            <v:group style="position:absolute;left:9574;top:428;width:2;height:390" coordorigin="9574,428" coordsize="2,390">
              <v:shape style="position:absolute;left:9574;top:428;width:2;height:390" coordorigin="9574,428" coordsize="0,390" path="m9574,428l9574,818e" filled="false" stroked="true" strokeweight=".75pt" strokecolor="#d2d2d2">
                <v:path arrowok="t"/>
              </v:shape>
            </v:group>
            <v:group style="position:absolute;left:6428;top:428;width:3139;height:390" coordorigin="6428,428" coordsize="3139,390">
              <v:shape style="position:absolute;left:6428;top:428;width:3139;height:390" coordorigin="6428,428" coordsize="3139,390" path="m6428,818l9567,818,9567,428,6428,428,6428,818xe" filled="true" fillcolor="#d2d2d2" stroked="false">
                <v:path arrowok="t"/>
                <v:fill type="solid"/>
              </v:shape>
            </v:group>
            <v:group style="position:absolute;left:15;top:420;width:3184;height:2" coordorigin="15,420" coordsize="3184,2">
              <v:shape style="position:absolute;left:15;top:420;width:3184;height:2" coordorigin="15,420" coordsize="3184,0" path="m15,420l3199,420e" filled="false" stroked="true" strokeweight=".75pt" strokecolor="#000000">
                <v:path arrowok="t"/>
              </v:shape>
            </v:group>
            <v:group style="position:absolute;left:3214;top:420;width:3169;height:2" coordorigin="3214,420" coordsize="3169,2">
              <v:shape style="position:absolute;left:3214;top:420;width:3169;height:2" coordorigin="3214,420" coordsize="3169,0" path="m3214,420l6383,420e" filled="false" stroked="true" strokeweight=".75pt" strokecolor="#000000">
                <v:path arrowok="t"/>
              </v:shape>
            </v:group>
            <v:group style="position:absolute;left:6398;top:420;width:3184;height:2" coordorigin="6398,420" coordsize="3184,2">
              <v:shape style="position:absolute;left:6398;top:420;width:3184;height:2" coordorigin="6398,420" coordsize="3184,0" path="m6398,420l9582,420e" filled="false" stroked="true" strokeweight=".75pt" strokecolor="#000000">
                <v:path arrowok="t"/>
              </v:shape>
            </v:group>
            <v:group style="position:absolute;left:8;top:8;width:2;height:826" coordorigin="8,8" coordsize="2,826">
              <v:shape style="position:absolute;left:8;top:8;width:2;height:826" coordorigin="8,8" coordsize="0,826" path="m8,8l8,833e" filled="false" stroked="true" strokeweight=".75pt" strokecolor="#000000">
                <v:path arrowok="t"/>
              </v:shape>
            </v:group>
            <v:group style="position:absolute;left:15;top:825;width:3184;height:2" coordorigin="15,825" coordsize="3184,2">
              <v:shape style="position:absolute;left:15;top:825;width:3184;height:2" coordorigin="15,825" coordsize="3184,0" path="m15,825l3199,825e" filled="false" stroked="true" strokeweight=".75pt" strokecolor="#000000">
                <v:path arrowok="t"/>
              </v:shape>
            </v:group>
            <v:group style="position:absolute;left:3207;top:8;width:2;height:826" coordorigin="3207,8" coordsize="2,826">
              <v:shape style="position:absolute;left:3207;top:8;width:2;height:826" coordorigin="3207,8" coordsize="0,826" path="m3207,8l3207,833e" filled="false" stroked="true" strokeweight=".75pt" strokecolor="#000000">
                <v:path arrowok="t"/>
              </v:shape>
            </v:group>
            <v:group style="position:absolute;left:3214;top:825;width:3169;height:2" coordorigin="3214,825" coordsize="3169,2">
              <v:shape style="position:absolute;left:3214;top:825;width:3169;height:2" coordorigin="3214,825" coordsize="3169,0" path="m3214,825l6383,825e" filled="false" stroked="true" strokeweight=".75pt" strokecolor="#000000">
                <v:path arrowok="t"/>
              </v:shape>
            </v:group>
            <v:group style="position:absolute;left:6391;top:413;width:2;height:420" coordorigin="6391,413" coordsize="2,420">
              <v:shape style="position:absolute;left:6391;top:413;width:2;height:420" coordorigin="6391,413" coordsize="0,420" path="m6391,413l6391,833e" filled="false" stroked="true" strokeweight=".75pt" strokecolor="#000000">
                <v:path arrowok="t"/>
              </v:shape>
            </v:group>
            <v:group style="position:absolute;left:6398;top:825;width:3184;height:2" coordorigin="6398,825" coordsize="3184,2">
              <v:shape style="position:absolute;left:6398;top:825;width:3184;height:2" coordorigin="6398,825" coordsize="3184,0" path="m6398,825l9582,825e" filled="false" stroked="true" strokeweight=".75pt" strokecolor="#000000">
                <v:path arrowok="t"/>
              </v:shape>
            </v:group>
            <v:group style="position:absolute;left:9589;top:8;width:2;height:826" coordorigin="9589,8" coordsize="2,826">
              <v:shape style="position:absolute;left:9589;top:8;width:2;height:826" coordorigin="9589,8" coordsize="0,826" path="m9589,8l9589,833e" filled="false" stroked="true" strokeweight=".75pt" strokecolor="#000000">
                <v:path arrowok="t"/>
              </v:shape>
              <v:shape style="position:absolute;left:3192;top:420;width:3200;height:405" type="#_x0000_t202" filled="false" stroked="false">
                <v:textbox inset="0,0,0,0">
                  <w:txbxContent>
                    <w:p>
                      <w:pPr>
                        <w:spacing w:before="52"/>
                        <w:ind w:left="0" w:right="1"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1;top:420;width:3199;height:405"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pStyle w:val="BodyText"/>
        <w:spacing w:line="350" w:lineRule="auto" w:before="38"/>
        <w:ind w:right="7509"/>
        <w:jc w:val="left"/>
      </w:pPr>
      <w:r>
        <w:rPr/>
        <w:t>企业合并中承担的被合并方的或有负债： 其他说明：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反向购买" w:id="454"/>
      <w:bookmarkEnd w:id="45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3"/>
        <w:rPr>
          <w:rFonts w:ascii="宋体" w:hAnsi="宋体" w:cs="宋体" w:eastAsia="宋体" w:hint="default"/>
          <w:b/>
          <w:bCs/>
          <w:sz w:val="25"/>
          <w:szCs w:val="25"/>
        </w:rPr>
      </w:pPr>
    </w:p>
    <w:p>
      <w:pPr>
        <w:pStyle w:val="BodyText"/>
        <w:spacing w:line="304" w:lineRule="auto" w:before="0"/>
        <w:ind w:right="0"/>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4、处置子公司" w:id="455"/>
      <w:bookmarkEnd w:id="45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是否存在单次处置对子公司投资即丧失控制权的情形</w:t>
      </w:r>
    </w:p>
    <w:p>
      <w:pPr>
        <w:pStyle w:val="BodyText"/>
        <w:spacing w:line="333" w:lineRule="auto" w:before="125"/>
        <w:ind w:right="4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是否存在通过多次交易分步处置对子公司投资且在本期丧失控制权的情形</w:t>
      </w:r>
    </w:p>
    <w:p>
      <w:pPr>
        <w:pStyle w:val="BodyText"/>
        <w:spacing w:line="240" w:lineRule="auto" w:before="5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5、其他原因的合并范围变动" w:id="456"/>
      <w:bookmarkEnd w:id="45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说明其他原因导致的合并范围变动（如，新设子公司、清算子公司等）及其相关情况：</w:t>
      </w:r>
    </w:p>
    <w:p>
      <w:pPr>
        <w:pStyle w:val="BodyText"/>
        <w:spacing w:line="240" w:lineRule="auto" w:before="110"/>
        <w:ind w:left="501" w:right="0"/>
        <w:jc w:val="left"/>
      </w:pPr>
      <w:r>
        <w:rPr/>
        <w:t>（</w:t>
      </w:r>
      <w:r>
        <w:rPr>
          <w:rFonts w:ascii="宋体" w:hAnsi="宋体" w:cs="宋体" w:eastAsia="宋体" w:hint="default"/>
        </w:rPr>
        <w:t>1</w:t>
      </w:r>
      <w:r>
        <w:rPr/>
        <w:t>）本年新设孙、子公司情况：</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283"/>
        <w:gridCol w:w="1367"/>
        <w:gridCol w:w="1397"/>
        <w:gridCol w:w="2073"/>
        <w:gridCol w:w="901"/>
        <w:gridCol w:w="1652"/>
      </w:tblGrid>
      <w:tr>
        <w:trPr>
          <w:trHeight w:val="661"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宋体" w:hAnsi="宋体" w:cs="宋体" w:eastAsia="宋体" w:hint="default"/>
                <w:sz w:val="18"/>
                <w:szCs w:val="18"/>
              </w:rPr>
              <w:t>设立日期</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95"/>
              <w:ind w:left="1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left="555" w:right="0" w:hanging="541"/>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出资额</w:t>
            </w:r>
          </w:p>
        </w:tc>
      </w:tr>
      <w:tr>
        <w:trPr>
          <w:trHeight w:val="36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Ruifeng Technology </w:t>
            </w:r>
            <w:r>
              <w:rPr>
                <w:rFonts w:ascii="Times New Roman"/>
                <w:spacing w:val="-3"/>
                <w:sz w:val="18"/>
              </w:rPr>
              <w:t>USA</w:t>
            </w:r>
            <w:r>
              <w:rPr>
                <w:rFonts w:ascii="Times New Roman"/>
                <w:spacing w:val="5"/>
                <w:sz w:val="18"/>
              </w:rPr>
              <w:t> </w:t>
            </w:r>
            <w:r>
              <w:rPr>
                <w:rFonts w:ascii="Times New Roman"/>
                <w:sz w:val="18"/>
              </w:rPr>
              <w:t>INC</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2019-08-28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美国</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江苏趣看网络科技有限公司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2019-12-27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95.00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center"/>
              <w:rPr>
                <w:rFonts w:ascii="Times New Roman" w:hAnsi="Times New Roman" w:cs="Times New Roman" w:eastAsia="Times New Roman" w:hint="default"/>
                <w:sz w:val="18"/>
                <w:szCs w:val="18"/>
              </w:rPr>
            </w:pPr>
            <w:r>
              <w:rPr>
                <w:rFonts w:ascii="Times New Roman"/>
                <w:sz w:val="18"/>
              </w:rPr>
              <w:t>0</w:t>
            </w:r>
          </w:p>
        </w:tc>
      </w:tr>
      <w:tr>
        <w:trPr>
          <w:trHeight w:val="361"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曲水惠车网络科技有限公司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2019-03-22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西藏拉萨</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60</w:t>
            </w:r>
            <w:r>
              <w:rPr>
                <w:rFonts w:ascii="宋体" w:hAnsi="宋体" w:cs="宋体" w:eastAsia="宋体" w:hint="default"/>
                <w:sz w:val="18"/>
                <w:szCs w:val="18"/>
              </w:rPr>
              <w:t>万元</w:t>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芜湖畅想小额贷款有限公司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2019-02-22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安徽芜湖</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90.00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9,000</w:t>
            </w:r>
            <w:r>
              <w:rPr>
                <w:rFonts w:ascii="宋体" w:hAnsi="宋体" w:cs="宋体" w:eastAsia="宋体" w:hint="default"/>
                <w:sz w:val="18"/>
                <w:szCs w:val="18"/>
              </w:rPr>
              <w:t>万元</w:t>
            </w:r>
          </w:p>
        </w:tc>
      </w:tr>
      <w:tr>
        <w:trPr>
          <w:trHeight w:val="36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曲水顺吉网络科技有限公司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2019-01-24</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西藏拉萨</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已注销</w:t>
            </w:r>
          </w:p>
        </w:tc>
      </w:tr>
      <w:tr>
        <w:trPr>
          <w:trHeight w:val="361"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贵州融海融资担保有限公司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5" w:right="0"/>
              <w:jc w:val="left"/>
              <w:rPr>
                <w:rFonts w:ascii="Times New Roman" w:hAnsi="Times New Roman" w:cs="Times New Roman" w:eastAsia="Times New Roman" w:hint="default"/>
                <w:sz w:val="18"/>
                <w:szCs w:val="18"/>
              </w:rPr>
            </w:pPr>
            <w:r>
              <w:rPr>
                <w:rFonts w:ascii="Times New Roman"/>
                <w:sz w:val="18"/>
              </w:rPr>
              <w:t>2019-6-19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贵州遵义</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20,000</w:t>
            </w:r>
            <w:r>
              <w:rPr>
                <w:rFonts w:ascii="宋体" w:hAnsi="宋体" w:cs="宋体" w:eastAsia="宋体" w:hint="default"/>
                <w:sz w:val="18"/>
                <w:szCs w:val="18"/>
              </w:rPr>
              <w:t>万元</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8" w:right="0"/>
              <w:jc w:val="center"/>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20,000</w:t>
            </w:r>
            <w:r>
              <w:rPr>
                <w:rFonts w:ascii="宋体" w:hAnsi="宋体" w:cs="宋体" w:eastAsia="宋体" w:hint="default"/>
                <w:sz w:val="18"/>
                <w:szCs w:val="18"/>
              </w:rPr>
              <w:t>万元</w:t>
            </w:r>
          </w:p>
        </w:tc>
      </w:tr>
    </w:tbl>
    <w:p>
      <w:pPr>
        <w:pStyle w:val="BodyText"/>
        <w:spacing w:line="235" w:lineRule="exact" w:before="0"/>
        <w:ind w:left="501" w:right="0"/>
        <w:jc w:val="left"/>
      </w:pPr>
      <w:r>
        <w:rPr/>
        <w:t>（</w:t>
      </w:r>
      <w:r>
        <w:rPr>
          <w:rFonts w:ascii="宋体" w:hAnsi="宋体" w:cs="宋体" w:eastAsia="宋体" w:hint="default"/>
        </w:rPr>
        <w:t>2</w:t>
      </w:r>
      <w:r>
        <w:rPr/>
        <w:t>）本年购买结构化主体情况：</w:t>
      </w:r>
    </w:p>
    <w:p>
      <w:pPr>
        <w:pStyle w:val="BodyText"/>
        <w:spacing w:line="321" w:lineRule="auto" w:before="65"/>
        <w:ind w:right="1126" w:firstLine="360"/>
        <w:jc w:val="left"/>
      </w:pPr>
      <w:r>
        <w:rPr/>
        <w:t>公司于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31</w:t>
      </w:r>
      <w:r>
        <w:rPr/>
        <w:t>日，向初始持有人购买了众邦银行</w:t>
      </w:r>
      <w:r>
        <w:rPr>
          <w:rFonts w:ascii="宋体" w:hAnsi="宋体" w:cs="宋体" w:eastAsia="宋体" w:hint="default"/>
        </w:rPr>
        <w:t>-</w:t>
      </w:r>
      <w:r>
        <w:rPr/>
        <w:t>天风</w:t>
      </w:r>
      <w:r>
        <w:rPr>
          <w:rFonts w:ascii="宋体" w:hAnsi="宋体" w:cs="宋体" w:eastAsia="宋体" w:hint="default"/>
        </w:rPr>
        <w:t>2019</w:t>
      </w:r>
      <w:r>
        <w:rPr/>
        <w:t>年第一期财产权信托优先</w:t>
      </w:r>
      <w:r>
        <w:rPr>
          <w:rFonts w:ascii="宋体" w:hAnsi="宋体" w:cs="宋体" w:eastAsia="宋体" w:hint="default"/>
        </w:rPr>
        <w:t>C</w:t>
      </w:r>
      <w:r>
        <w:rPr/>
        <w:t>、次级</w:t>
      </w:r>
      <w:r>
        <w:rPr>
          <w:rFonts w:ascii="宋体" w:hAnsi="宋体" w:cs="宋体" w:eastAsia="宋体" w:hint="default"/>
        </w:rPr>
        <w:t>A</w:t>
      </w:r>
      <w:r>
        <w:rPr/>
        <w:t>及次级</w:t>
      </w:r>
      <w:r>
        <w:rPr>
          <w:rFonts w:ascii="宋体" w:hAnsi="宋体" w:cs="宋体" w:eastAsia="宋体" w:hint="default"/>
        </w:rPr>
        <w:t>B</w:t>
      </w:r>
      <w:r>
        <w:rPr/>
        <w:t>，合计</w:t>
      </w:r>
      <w:r>
        <w:rPr>
          <w:rFonts w:ascii="宋体" w:hAnsi="宋体" w:cs="宋体" w:eastAsia="宋体" w:hint="default"/>
        </w:rPr>
        <w:t>1.1 </w:t>
      </w:r>
      <w:r>
        <w:rPr/>
        <w:t>亿元，占比</w:t>
      </w:r>
      <w:r>
        <w:rPr>
          <w:rFonts w:ascii="宋体" w:hAnsi="宋体" w:cs="宋体" w:eastAsia="宋体" w:hint="default"/>
        </w:rPr>
        <w:t>24.44%</w:t>
      </w:r>
      <w:r>
        <w:rPr/>
        <w:t>，于</w:t>
      </w:r>
      <w:r>
        <w:rPr>
          <w:rFonts w:ascii="宋体" w:hAnsi="宋体" w:cs="宋体" w:eastAsia="宋体" w:hint="default"/>
        </w:rPr>
        <w:t>2019</w:t>
      </w:r>
      <w:r>
        <w:rPr/>
        <w:t>年</w:t>
      </w:r>
      <w:r>
        <w:rPr>
          <w:rFonts w:ascii="宋体" w:hAnsi="宋体" w:cs="宋体" w:eastAsia="宋体" w:hint="default"/>
        </w:rPr>
        <w:t>11</w:t>
      </w:r>
      <w:r>
        <w:rPr/>
        <w:t>月购买剩余全部的信托资产即优先</w:t>
      </w:r>
      <w:r>
        <w:rPr>
          <w:rFonts w:ascii="宋体" w:hAnsi="宋体" w:cs="宋体" w:eastAsia="宋体" w:hint="default"/>
        </w:rPr>
        <w:t>A1</w:t>
      </w:r>
      <w:r>
        <w:rPr/>
        <w:t>、优先</w:t>
      </w:r>
      <w:r>
        <w:rPr>
          <w:rFonts w:ascii="宋体" w:hAnsi="宋体" w:cs="宋体" w:eastAsia="宋体" w:hint="default"/>
        </w:rPr>
        <w:t>A2</w:t>
      </w:r>
      <w:r>
        <w:rPr/>
        <w:t>及优先</w:t>
      </w:r>
      <w:r>
        <w:rPr>
          <w:rFonts w:ascii="宋体" w:hAnsi="宋体" w:cs="宋体" w:eastAsia="宋体" w:hint="default"/>
        </w:rPr>
        <w:t>B</w:t>
      </w:r>
      <w:r>
        <w:rPr/>
        <w:t>，合计</w:t>
      </w:r>
      <w:r>
        <w:rPr>
          <w:rFonts w:ascii="宋体" w:hAnsi="宋体" w:cs="宋体" w:eastAsia="宋体" w:hint="default"/>
        </w:rPr>
        <w:t>2.69</w:t>
      </w:r>
      <w:r>
        <w:rPr/>
        <w:t>亿元，占比</w:t>
      </w:r>
      <w:r>
        <w:rPr>
          <w:rFonts w:ascii="宋体" w:hAnsi="宋体" w:cs="宋体" w:eastAsia="宋体" w:hint="default"/>
        </w:rPr>
        <w:t>75.56%</w:t>
      </w:r>
      <w:r>
        <w:rPr/>
        <w:t>。由于</w:t>
      </w:r>
      <w:r>
        <w:rPr>
          <w:spacing w:val="-84"/>
        </w:rPr>
        <w:t> </w:t>
      </w:r>
      <w:r>
        <w:rPr>
          <w:spacing w:val="-2"/>
        </w:rPr>
        <w:t>公司对该信托计划底层资产向众邦银行提供回购保证，并负责贷后管理，自</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月起，将众邦银行</w:t>
      </w:r>
      <w:r>
        <w:rPr>
          <w:rFonts w:ascii="宋体" w:hAnsi="宋体" w:cs="宋体" w:eastAsia="宋体" w:hint="default"/>
          <w:spacing w:val="-2"/>
        </w:rPr>
        <w:t>-</w:t>
      </w:r>
      <w:r>
        <w:rPr>
          <w:spacing w:val="-2"/>
        </w:rPr>
        <w:t>天风</w:t>
      </w:r>
      <w:r>
        <w:rPr>
          <w:rFonts w:ascii="宋体" w:hAnsi="宋体" w:cs="宋体" w:eastAsia="宋体" w:hint="default"/>
          <w:spacing w:val="-2"/>
        </w:rPr>
        <w:t>2019</w:t>
      </w:r>
      <w:r>
        <w:rPr>
          <w:spacing w:val="-2"/>
        </w:rPr>
        <w:t>年第一期财</w:t>
      </w:r>
      <w:r>
        <w:rPr>
          <w:spacing w:val="-56"/>
        </w:rPr>
        <w:t> </w:t>
      </w:r>
      <w:r>
        <w:rPr/>
        <w:t>产权信托纳入合并范围。</w:t>
      </w:r>
    </w:p>
    <w:p>
      <w:pPr>
        <w:spacing w:line="240" w:lineRule="auto" w:before="5"/>
        <w:rPr>
          <w:rFonts w:ascii="宋体" w:hAnsi="宋体" w:cs="宋体" w:eastAsia="宋体" w:hint="default"/>
          <w:sz w:val="24"/>
          <w:szCs w:val="24"/>
        </w:rPr>
      </w:pPr>
    </w:p>
    <w:p>
      <w:pPr>
        <w:pStyle w:val="BodyText"/>
        <w:spacing w:line="321" w:lineRule="auto" w:before="0"/>
        <w:ind w:left="501" w:right="0"/>
        <w:jc w:val="left"/>
      </w:pPr>
      <w:r>
        <w:rPr/>
        <w:t>（</w:t>
      </w:r>
      <w:r>
        <w:rPr>
          <w:rFonts w:ascii="宋体" w:hAnsi="宋体" w:cs="宋体" w:eastAsia="宋体" w:hint="default"/>
        </w:rPr>
        <w:t>3</w:t>
      </w:r>
      <w:r>
        <w:rPr/>
        <w:t>）本年清算子公司情况： </w:t>
      </w:r>
      <w:r>
        <w:rPr>
          <w:spacing w:val="-2"/>
        </w:rPr>
        <w:t>本年度，公司对拉萨经济技术开发区联创信息咨询有限公司和拉萨经济技术开发区恒信创业投资管理有限公司进行了吸</w:t>
      </w:r>
    </w:p>
    <w:p>
      <w:pPr>
        <w:pStyle w:val="BodyText"/>
        <w:spacing w:line="321" w:lineRule="auto" w:before="18"/>
        <w:ind w:right="1121"/>
        <w:jc w:val="both"/>
      </w:pPr>
      <w:r>
        <w:rPr>
          <w:spacing w:val="-2"/>
        </w:rPr>
        <w:t>收合并，拉萨经济技术开发区联创信息咨询有限公司和拉萨经济技术开发区恒信创业投资管理有限公司已注销；公司对二三</w:t>
      </w:r>
      <w:r>
        <w:rPr>
          <w:spacing w:val="-67"/>
        </w:rPr>
        <w:t> </w:t>
      </w:r>
      <w:r>
        <w:rPr>
          <w:spacing w:val="-67"/>
        </w:rPr>
      </w:r>
      <w:r>
        <w:rPr>
          <w:spacing w:val="-2"/>
        </w:rPr>
        <w:t>四五（深圳）区块链技术有限公司、曲水顺吉网络科技有限公司、宁波鑫惠互联网信息服务有限公司进行了清算，不再纳入</w:t>
      </w:r>
      <w:r>
        <w:rPr>
          <w:spacing w:val="-57"/>
        </w:rPr>
        <w:t> </w:t>
      </w:r>
      <w:r>
        <w:rPr>
          <w:spacing w:val="-57"/>
        </w:rPr>
      </w:r>
      <w:r>
        <w:rPr/>
        <w:t>合并范围。</w:t>
      </w:r>
    </w:p>
    <w:p>
      <w:pPr>
        <w:spacing w:line="240" w:lineRule="auto" w:before="5"/>
        <w:rPr>
          <w:rFonts w:ascii="宋体" w:hAnsi="宋体" w:cs="宋体" w:eastAsia="宋体" w:hint="default"/>
          <w:sz w:val="24"/>
          <w:szCs w:val="24"/>
        </w:rPr>
      </w:pPr>
    </w:p>
    <w:p>
      <w:pPr>
        <w:pStyle w:val="BodyText"/>
        <w:spacing w:line="321" w:lineRule="auto" w:before="0"/>
        <w:ind w:left="501" w:right="1126"/>
        <w:jc w:val="left"/>
      </w:pPr>
      <w:r>
        <w:rPr/>
        <w:t>（</w:t>
      </w:r>
      <w:r>
        <w:rPr>
          <w:rFonts w:ascii="宋体" w:hAnsi="宋体" w:cs="宋体" w:eastAsia="宋体" w:hint="default"/>
        </w:rPr>
        <w:t>4</w:t>
      </w:r>
      <w:r>
        <w:rPr/>
        <w:t>）本年度结构化主体减少情况： </w:t>
      </w:r>
      <w:r>
        <w:rPr>
          <w:spacing w:val="-2"/>
        </w:rPr>
        <w:t>本年度，富诚海富通君诚一号专项资产管理计划、渤海信托</w:t>
      </w:r>
      <w:r>
        <w:rPr>
          <w:rFonts w:ascii="宋体" w:hAnsi="宋体" w:cs="宋体" w:eastAsia="宋体" w:hint="default"/>
          <w:spacing w:val="-2"/>
        </w:rPr>
        <w:t>*</w:t>
      </w:r>
      <w:r>
        <w:rPr>
          <w:spacing w:val="-2"/>
        </w:rPr>
        <w:t>开心米奇单一资金信托资产计划、天风</w:t>
      </w:r>
      <w:r>
        <w:rPr>
          <w:rFonts w:ascii="宋体" w:hAnsi="宋体" w:cs="宋体" w:eastAsia="宋体" w:hint="default"/>
          <w:spacing w:val="-2"/>
        </w:rPr>
        <w:t>-</w:t>
      </w:r>
      <w:r>
        <w:rPr>
          <w:spacing w:val="-2"/>
        </w:rPr>
        <w:t>二三四五租赁一期</w:t>
      </w:r>
    </w:p>
    <w:p>
      <w:pPr>
        <w:pStyle w:val="BodyText"/>
        <w:spacing w:line="240" w:lineRule="auto" w:before="19"/>
        <w:ind w:right="0"/>
        <w:jc w:val="left"/>
      </w:pPr>
      <w:r>
        <w:rPr/>
        <w:t>资产支持专项计划因注销清算，不再纳入合并范围。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line="489" w:lineRule="auto" w:before="0"/>
        <w:ind w:left="141" w:right="8098" w:firstLine="0"/>
        <w:jc w:val="left"/>
        <w:rPr>
          <w:rFonts w:ascii="宋体" w:hAnsi="宋体" w:cs="宋体" w:eastAsia="宋体" w:hint="default"/>
          <w:sz w:val="21"/>
          <w:szCs w:val="21"/>
        </w:rPr>
      </w:pPr>
      <w:bookmarkStart w:name="6、其他" w:id="457"/>
      <w:bookmarkEnd w:id="45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58"/>
      <w:bookmarkEnd w:id="458"/>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在子公司中的权益" w:id="459"/>
      <w:bookmarkEnd w:id="459"/>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60"/>
      <w:bookmarkEnd w:id="46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5"/>
              <w:ind w:left="15" w:right="73"/>
              <w:jc w:val="both"/>
              <w:rPr>
                <w:rFonts w:ascii="宋体" w:hAnsi="宋体" w:cs="宋体" w:eastAsia="宋体" w:hint="default"/>
                <w:sz w:val="18"/>
                <w:szCs w:val="18"/>
              </w:rPr>
            </w:pPr>
            <w:r>
              <w:rPr>
                <w:rFonts w:ascii="宋体" w:hAnsi="宋体" w:cs="宋体" w:eastAsia="宋体" w:hint="default"/>
                <w:sz w:val="18"/>
                <w:szCs w:val="18"/>
              </w:rPr>
              <w:t>上海市浦东新区 杨高北路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528 </w:t>
            </w:r>
            <w:r>
              <w:rPr>
                <w:rFonts w:ascii="宋体" w:hAnsi="宋体" w:cs="宋体" w:eastAsia="宋体" w:hint="default"/>
                <w:sz w:val="18"/>
                <w:szCs w:val="18"/>
              </w:rPr>
              <w:t>号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3A35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上海二三四五移 动科技有限公司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1666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7" w:lineRule="exact"/>
              <w:ind w:left="15"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1013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江苏趣看网络科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江苏省徐州市泉 山区中山南路 </w:t>
            </w:r>
            <w:r>
              <w:rPr>
                <w:rFonts w:ascii="Times New Roman" w:hAnsi="Times New Roman" w:cs="Times New Roman" w:eastAsia="Times New Roman" w:hint="default"/>
                <w:sz w:val="18"/>
                <w:szCs w:val="18"/>
              </w:rPr>
              <w:t>142 </w:t>
            </w:r>
            <w:r>
              <w:rPr>
                <w:rFonts w:ascii="宋体" w:hAnsi="宋体" w:cs="宋体" w:eastAsia="宋体" w:hint="default"/>
                <w:sz w:val="18"/>
                <w:szCs w:val="18"/>
              </w:rPr>
              <w:t>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95.00%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上海二三四五科 技投资有限公司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0"/>
              <w:ind w:left="15"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1666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36" w:lineRule="exact"/>
              <w:ind w:left="15"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1027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pacing w:val="-5"/>
                <w:sz w:val="18"/>
                <w:szCs w:val="18"/>
              </w:rPr>
              <w:t>二三四五（香港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44"/>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30"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5" w:lineRule="exact"/>
              <w:ind w:right="-3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8.350pt;height:27.8pt;mso-position-horizontal-relative:char;mso-position-vertical-relative:line" coordorigin="0,0" coordsize="1367,556">
                  <v:group style="position:absolute;left:0;top:0;width:1367;height:150" coordorigin="0,0" coordsize="1367,150">
                    <v:shape style="position:absolute;left:0;top:0;width:1367;height:150" coordorigin="0,0" coordsize="1367,150" path="m0,150l1367,150,1367,0,0,0,0,150xe" filled="true" fillcolor="#ffffff" stroked="false">
                      <v:path arrowok="t"/>
                      <v:fill type="solid"/>
                    </v:shape>
                  </v:group>
                  <v:group style="position:absolute;left:15;top:150;width:2;height:391" coordorigin="15,150" coordsize="2,391">
                    <v:shape style="position:absolute;left:15;top:150;width:2;height:391" coordorigin="15,150" coordsize="0,391" path="m15,150l15,541e" filled="false" stroked="true" strokeweight="1.5pt" strokecolor="#ffffff">
                      <v:path arrowok="t"/>
                    </v:shape>
                  </v:group>
                  <v:group style="position:absolute;left:30;top:150;width:1307;height:391" coordorigin="30,150" coordsize="1307,391">
                    <v:shape style="position:absolute;left:30;top:150;width:1307;height:391" coordorigin="30,150" coordsize="1307,391" path="m30,541l1337,541,1337,150,30,150,30,541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150"/>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41"/>
                <w:sz w:val="18"/>
              </w:rPr>
              <w:t> </w:t>
            </w:r>
            <w:r>
              <w:rPr>
                <w:rFonts w:ascii="Times New Roman"/>
                <w:spacing w:val="-41"/>
                <w:sz w:val="18"/>
              </w:rPr>
            </w:r>
            <w:r>
              <w:rPr>
                <w:rFonts w:ascii="Times New Roman"/>
                <w:spacing w:val="-3"/>
                <w:sz w:val="18"/>
              </w:rPr>
              <w:t>Technology</w:t>
            </w:r>
            <w:r>
              <w:rPr>
                <w:rFonts w:ascii="Times New Roman"/>
                <w:spacing w:val="26"/>
                <w:sz w:val="18"/>
              </w:rPr>
              <w:t> </w:t>
            </w:r>
            <w:r>
              <w:rPr>
                <w:rFonts w:ascii="Times New Roman"/>
                <w:sz w:val="18"/>
              </w:rPr>
              <w:t>Pte.</w:t>
            </w:r>
            <w:r>
              <w:rPr>
                <w:rFonts w:ascii="Times New Roman"/>
                <w:spacing w:val="-41"/>
                <w:sz w:val="18"/>
              </w:rPr>
              <w:t> </w:t>
            </w:r>
            <w:r>
              <w:rPr>
                <w:rFonts w:ascii="Times New Roman"/>
                <w:spacing w:val="-41"/>
                <w:sz w:val="18"/>
              </w:rPr>
            </w:r>
            <w:r>
              <w:rPr>
                <w:rFonts w:ascii="Times New Roman"/>
                <w:sz w:val="18"/>
              </w:rPr>
              <w:t>Ltd.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15" w:right="80"/>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41"/>
                <w:sz w:val="18"/>
              </w:rPr>
              <w:t> </w:t>
            </w:r>
            <w:r>
              <w:rPr>
                <w:rFonts w:ascii="Times New Roman"/>
                <w:spacing w:val="-41"/>
                <w:sz w:val="18"/>
              </w:rPr>
            </w:r>
            <w:r>
              <w:rPr>
                <w:rFonts w:ascii="Times New Roman"/>
                <w:spacing w:val="-3"/>
                <w:sz w:val="18"/>
              </w:rPr>
              <w:t>Technology</w:t>
            </w:r>
            <w:r>
              <w:rPr>
                <w:rFonts w:ascii="Times New Roman"/>
                <w:spacing w:val="22"/>
                <w:sz w:val="18"/>
              </w:rPr>
              <w:t> </w:t>
            </w:r>
            <w:r>
              <w:rPr>
                <w:rFonts w:ascii="Times New Roman"/>
                <w:spacing w:val="-3"/>
                <w:sz w:val="18"/>
              </w:rPr>
              <w:t>USA</w:t>
            </w:r>
            <w:r>
              <w:rPr>
                <w:rFonts w:ascii="Times New Roman"/>
                <w:spacing w:val="-43"/>
                <w:sz w:val="18"/>
              </w:rPr>
              <w:t> </w:t>
            </w:r>
            <w:r>
              <w:rPr>
                <w:rFonts w:ascii="Times New Roman"/>
                <w:spacing w:val="-43"/>
                <w:sz w:val="18"/>
              </w:rPr>
            </w:r>
            <w:r>
              <w:rPr>
                <w:rFonts w:ascii="Times New Roman"/>
                <w:sz w:val="18"/>
              </w:rPr>
              <w:t>INC</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75"/>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15"/>
                <w:sz w:val="18"/>
              </w:rPr>
              <w:t> </w:t>
            </w:r>
            <w:r>
              <w:rPr>
                <w:rFonts w:ascii="Times New Roman"/>
                <w:spacing w:val="-2"/>
                <w:sz w:val="18"/>
              </w:rPr>
              <w:t>Wealth</w:t>
            </w:r>
            <w:r>
              <w:rPr>
                <w:rFonts w:ascii="Times New Roman"/>
                <w:spacing w:val="-42"/>
                <w:sz w:val="18"/>
              </w:rPr>
              <w:t> </w:t>
            </w:r>
            <w:r>
              <w:rPr>
                <w:rFonts w:ascii="Times New Roman"/>
                <w:spacing w:val="-42"/>
                <w:sz w:val="18"/>
              </w:rPr>
            </w:r>
            <w:r>
              <w:rPr>
                <w:rFonts w:ascii="Times New Roman"/>
                <w:spacing w:val="-3"/>
                <w:sz w:val="18"/>
              </w:rPr>
              <w:t>Management</w:t>
            </w:r>
            <w:r>
              <w:rPr>
                <w:rFonts w:ascii="Times New Roman"/>
                <w:spacing w:val="21"/>
                <w:sz w:val="18"/>
              </w:rPr>
              <w:t> </w:t>
            </w:r>
            <w:r>
              <w:rPr>
                <w:rFonts w:ascii="Times New Roman"/>
                <w:sz w:val="18"/>
              </w:rPr>
              <w:t>Pte.</w:t>
            </w:r>
            <w:r>
              <w:rPr>
                <w:rFonts w:ascii="Times New Roman"/>
                <w:spacing w:val="-41"/>
                <w:sz w:val="18"/>
              </w:rPr>
              <w:t> </w:t>
            </w:r>
            <w:r>
              <w:rPr>
                <w:rFonts w:ascii="Times New Roman"/>
                <w:spacing w:val="-41"/>
                <w:sz w:val="18"/>
              </w:rPr>
            </w:r>
            <w:r>
              <w:rPr>
                <w:rFonts w:ascii="Times New Roman"/>
                <w:sz w:val="18"/>
              </w:rPr>
              <w:t>Ltd.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集乐（上海）资 产管理有限公司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上海市崇明区长 兴镇潘园公路 </w:t>
            </w:r>
            <w:r>
              <w:rPr>
                <w:rFonts w:ascii="Times New Roman" w:hAnsi="Times New Roman" w:cs="Times New Roman" w:eastAsia="Times New Roman" w:hint="default"/>
                <w:sz w:val="18"/>
                <w:szCs w:val="18"/>
              </w:rPr>
              <w:t>1800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p>
          <w:p>
            <w:pPr>
              <w:pStyle w:val="TableParagraph"/>
              <w:spacing w:line="288"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1605 </w:t>
            </w:r>
            <w:r>
              <w:rPr>
                <w:rFonts w:ascii="宋体" w:hAnsi="宋体" w:cs="宋体" w:eastAsia="宋体" w:hint="default"/>
                <w:sz w:val="18"/>
                <w:szCs w:val="18"/>
              </w:rPr>
              <w:t>室（上海泰 和经济发展区）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74"/>
              <w:jc w:val="both"/>
              <w:rPr>
                <w:rFonts w:ascii="宋体" w:hAnsi="宋体" w:cs="宋体" w:eastAsia="宋体" w:hint="default"/>
                <w:sz w:val="18"/>
                <w:szCs w:val="18"/>
              </w:rPr>
            </w:pPr>
            <w:r>
              <w:rPr>
                <w:rFonts w:ascii="宋体" w:hAnsi="宋体" w:cs="宋体" w:eastAsia="宋体" w:hint="default"/>
                <w:sz w:val="18"/>
                <w:szCs w:val="18"/>
              </w:rPr>
              <w:t>上海二三四五大 数据科技有限公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中国（上海）自 由贸易试验区芳 春路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幢</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76"/>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3"/>
              <w:ind w:left="15" w:right="74"/>
              <w:jc w:val="left"/>
              <w:rPr>
                <w:rFonts w:ascii="宋体" w:hAnsi="宋体" w:cs="宋体" w:eastAsia="宋体" w:hint="default"/>
                <w:sz w:val="18"/>
                <w:szCs w:val="18"/>
              </w:rPr>
            </w:pPr>
            <w:r>
              <w:rPr>
                <w:rFonts w:ascii="宋体" w:hAnsi="宋体" w:cs="宋体" w:eastAsia="宋体" w:hint="default"/>
                <w:sz w:val="18"/>
                <w:szCs w:val="18"/>
              </w:rPr>
              <w:t>曲水汇通信息服 务有限公司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西藏自治区拉萨 市曲水人民路雅 江工业园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101-10</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广东鑫锘影视文 化传播有限公司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29"/>
              <w:jc w:val="both"/>
              <w:rPr>
                <w:rFonts w:ascii="宋体" w:hAnsi="宋体" w:cs="宋体" w:eastAsia="宋体" w:hint="default"/>
                <w:sz w:val="18"/>
                <w:szCs w:val="18"/>
              </w:rPr>
            </w:pPr>
            <w:r>
              <w:rPr>
                <w:rFonts w:ascii="宋体" w:hAnsi="宋体" w:cs="宋体" w:eastAsia="宋体" w:hint="default"/>
                <w:sz w:val="18"/>
                <w:szCs w:val="18"/>
              </w:rPr>
              <w:t>佛山市南海区桂 城街道桂平中路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号鸿晖都市产</w:t>
            </w:r>
          </w:p>
          <w:p>
            <w:pPr>
              <w:pStyle w:val="TableParagraph"/>
              <w:spacing w:line="247" w:lineRule="exact"/>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业新城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906</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影视传媒</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9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上海二三四五融 资租赁有限公司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3"/>
              <w:jc w:val="both"/>
              <w:rPr>
                <w:rFonts w:ascii="宋体" w:hAnsi="宋体" w:cs="宋体" w:eastAsia="宋体" w:hint="default"/>
                <w:sz w:val="18"/>
                <w:szCs w:val="18"/>
              </w:rPr>
            </w:pPr>
            <w:r>
              <w:rPr>
                <w:rFonts w:ascii="宋体" w:hAnsi="宋体" w:cs="宋体" w:eastAsia="宋体" w:hint="default"/>
                <w:sz w:val="18"/>
                <w:szCs w:val="18"/>
              </w:rPr>
              <w:t>中国（上海）自 由贸易试验区耀 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号一幢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一层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1024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青岛涌信保险经 纪有限责任公司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5"/>
              <w:ind w:left="15"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山东省青岛市崂 山区海尔路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178 </w:t>
            </w:r>
            <w:r>
              <w:rPr>
                <w:rFonts w:ascii="宋体" w:hAnsi="宋体" w:cs="宋体" w:eastAsia="宋体" w:hint="default"/>
                <w:sz w:val="18"/>
                <w:szCs w:val="18"/>
              </w:rPr>
              <w:t>号</w:t>
            </w:r>
            <w:r>
              <w:rPr>
                <w:rFonts w:ascii="Times New Roman" w:hAnsi="Times New Roman" w:cs="Times New Roman" w:eastAsia="Times New Roman" w:hint="default"/>
                <w:sz w:val="18"/>
                <w:szCs w:val="18"/>
              </w:rPr>
              <w:t>-2-3015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上海二三四五商 业保理有限公司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15" w:right="73"/>
              <w:jc w:val="left"/>
              <w:rPr>
                <w:rFonts w:ascii="宋体" w:hAnsi="宋体" w:cs="宋体" w:eastAsia="宋体" w:hint="default"/>
                <w:sz w:val="18"/>
                <w:szCs w:val="18"/>
              </w:rPr>
            </w:pPr>
            <w:r>
              <w:rPr>
                <w:rFonts w:ascii="宋体" w:hAnsi="宋体" w:cs="宋体" w:eastAsia="宋体" w:hint="default"/>
                <w:sz w:val="18"/>
                <w:szCs w:val="18"/>
              </w:rPr>
              <w:t>上海市浦东新区 杨高北路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528 </w:t>
            </w:r>
            <w:r>
              <w:rPr>
                <w:rFonts w:ascii="宋体" w:hAnsi="宋体" w:cs="宋体" w:eastAsia="宋体" w:hint="default"/>
                <w:sz w:val="18"/>
                <w:szCs w:val="18"/>
              </w:rPr>
              <w:t>号</w:t>
            </w:r>
          </w:p>
          <w:p>
            <w:pPr>
              <w:pStyle w:val="TableParagraph"/>
              <w:spacing w:line="221"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74"/>
              <w:jc w:val="left"/>
              <w:rPr>
                <w:rFonts w:ascii="宋体" w:hAnsi="宋体" w:cs="宋体" w:eastAsia="宋体" w:hint="default"/>
                <w:sz w:val="18"/>
                <w:szCs w:val="18"/>
              </w:rPr>
            </w:pPr>
            <w:r>
              <w:rPr>
                <w:rFonts w:ascii="宋体" w:hAnsi="宋体" w:cs="宋体" w:eastAsia="宋体" w:hint="default"/>
                <w:sz w:val="18"/>
                <w:szCs w:val="18"/>
              </w:rPr>
              <w:t>曲水好融车网络 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西藏拉萨市曲水 县雅江工业园区 中小孵化楼</w:t>
            </w:r>
          </w:p>
          <w:p>
            <w:pPr>
              <w:pStyle w:val="TableParagraph"/>
              <w:spacing w:line="240" w:lineRule="auto" w:before="39"/>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307-A57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15" w:right="74"/>
              <w:jc w:val="left"/>
              <w:rPr>
                <w:rFonts w:ascii="宋体" w:hAnsi="宋体" w:cs="宋体" w:eastAsia="宋体" w:hint="default"/>
                <w:sz w:val="18"/>
                <w:szCs w:val="18"/>
              </w:rPr>
            </w:pPr>
            <w:r>
              <w:rPr>
                <w:rFonts w:ascii="宋体" w:hAnsi="宋体" w:cs="宋体" w:eastAsia="宋体" w:hint="default"/>
                <w:sz w:val="18"/>
                <w:szCs w:val="18"/>
              </w:rPr>
              <w:t>曲水惠车网络科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西藏拉萨市曲水 县雅江工业园区 中小企业孵化楼 </w:t>
            </w:r>
            <w:r>
              <w:rPr>
                <w:rFonts w:ascii="Times New Roman" w:hAnsi="Times New Roman" w:cs="Times New Roman" w:eastAsia="Times New Roman" w:hint="default"/>
                <w:sz w:val="18"/>
                <w:szCs w:val="18"/>
              </w:rPr>
              <w:t>307-A204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3"/>
              <w:ind w:left="15" w:right="74"/>
              <w:jc w:val="left"/>
              <w:rPr>
                <w:rFonts w:ascii="宋体" w:hAnsi="宋体" w:cs="宋体" w:eastAsia="宋体" w:hint="default"/>
                <w:sz w:val="18"/>
                <w:szCs w:val="18"/>
              </w:rPr>
            </w:pPr>
            <w:r>
              <w:rPr>
                <w:rFonts w:ascii="宋体" w:hAnsi="宋体" w:cs="宋体" w:eastAsia="宋体" w:hint="default"/>
                <w:sz w:val="18"/>
                <w:szCs w:val="18"/>
              </w:rPr>
              <w:t>上海洪昇智能科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中国（上海）自 由贸易试验区浦 东南路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2250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上海薪想互联网 金融信息服务有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15"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上海市松江区佘 山镇陶干路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701</w:t>
            </w:r>
          </w:p>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芜湖畅想小额贷 款有限公司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芜湖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
              <w:jc w:val="both"/>
              <w:rPr>
                <w:rFonts w:ascii="宋体" w:hAnsi="宋体" w:cs="宋体" w:eastAsia="宋体" w:hint="default"/>
                <w:sz w:val="18"/>
                <w:szCs w:val="18"/>
              </w:rPr>
            </w:pPr>
            <w:r>
              <w:rPr>
                <w:rFonts w:ascii="宋体" w:hAnsi="宋体" w:cs="宋体" w:eastAsia="宋体" w:hint="default"/>
                <w:sz w:val="18"/>
                <w:szCs w:val="18"/>
              </w:rPr>
              <w:t>安徽芜湖市镜湖 区长江中路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 雨耕山创意文化</w:t>
            </w:r>
          </w:p>
          <w:p>
            <w:pPr>
              <w:pStyle w:val="TableParagraph"/>
              <w:spacing w:line="240" w:lineRule="auto" w:before="46"/>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产业园内思楼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207 </w:t>
            </w:r>
            <w:r>
              <w:rPr>
                <w:rFonts w:ascii="宋体" w:hAnsi="宋体" w:cs="宋体" w:eastAsia="宋体" w:hint="default"/>
                <w:sz w:val="18"/>
                <w:szCs w:val="18"/>
              </w:rPr>
              <w:t>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74"/>
              <w:jc w:val="both"/>
              <w:rPr>
                <w:rFonts w:ascii="宋体" w:hAnsi="宋体" w:cs="宋体" w:eastAsia="宋体" w:hint="default"/>
                <w:sz w:val="18"/>
                <w:szCs w:val="18"/>
              </w:rPr>
            </w:pPr>
            <w:r>
              <w:rPr>
                <w:rFonts w:ascii="宋体" w:hAnsi="宋体" w:cs="宋体" w:eastAsia="宋体" w:hint="default"/>
                <w:sz w:val="18"/>
                <w:szCs w:val="18"/>
              </w:rPr>
              <w:t>广州二三四五互 联网小额贷款有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广州市越秀区长 堤大马路</w:t>
            </w:r>
          </w:p>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252-256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层自</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广西快收信息科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南宁市壮锦大道</w:t>
            </w:r>
          </w:p>
          <w:p>
            <w:pPr>
              <w:pStyle w:val="TableParagraph"/>
              <w:spacing w:line="240" w:lineRule="auto" w:before="8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38"/>
              <w:ind w:left="15" w:right="74"/>
              <w:jc w:val="left"/>
              <w:rPr>
                <w:rFonts w:ascii="宋体" w:hAnsi="宋体" w:cs="宋体" w:eastAsia="宋体" w:hint="default"/>
                <w:sz w:val="18"/>
                <w:szCs w:val="18"/>
              </w:rPr>
            </w:pPr>
            <w:r>
              <w:rPr>
                <w:rFonts w:ascii="宋体" w:hAnsi="宋体" w:cs="宋体" w:eastAsia="宋体" w:hint="default"/>
                <w:sz w:val="18"/>
                <w:szCs w:val="18"/>
              </w:rPr>
              <w:t>贵州融海融资担 保有限公司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遵义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贵州省遵义市正 安县经济开发区 办公大楼四层 </w:t>
            </w:r>
            <w:r>
              <w:rPr>
                <w:rFonts w:ascii="Times New Roman" w:hAnsi="Times New Roman" w:cs="Times New Roman" w:eastAsia="Times New Roman" w:hint="default"/>
                <w:sz w:val="18"/>
                <w:szCs w:val="18"/>
              </w:rPr>
              <w:t>4002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45"/>
        <w:ind w:right="2829"/>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after="0" w:line="36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839"/>
        <w:gridCol w:w="1337"/>
        <w:gridCol w:w="2463"/>
        <w:gridCol w:w="1712"/>
        <w:gridCol w:w="1321"/>
      </w:tblGrid>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81" w:right="0"/>
              <w:jc w:val="left"/>
              <w:rPr>
                <w:rFonts w:ascii="宋体" w:hAnsi="宋体" w:cs="宋体" w:eastAsia="宋体" w:hint="default"/>
                <w:sz w:val="18"/>
                <w:szCs w:val="18"/>
              </w:rPr>
            </w:pPr>
            <w:r>
              <w:rPr>
                <w:rFonts w:ascii="宋体" w:hAnsi="宋体" w:cs="宋体" w:eastAsia="宋体" w:hint="default"/>
                <w:sz w:val="18"/>
                <w:szCs w:val="18"/>
              </w:rPr>
              <w:t>结构化主体名称</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95" w:right="0"/>
              <w:jc w:val="left"/>
              <w:rPr>
                <w:rFonts w:ascii="宋体" w:hAnsi="宋体" w:cs="宋体" w:eastAsia="宋体" w:hint="default"/>
                <w:sz w:val="18"/>
                <w:szCs w:val="18"/>
              </w:rPr>
            </w:pPr>
            <w:r>
              <w:rPr>
                <w:rFonts w:ascii="宋体" w:hAnsi="宋体" w:cs="宋体" w:eastAsia="宋体" w:hint="default"/>
                <w:sz w:val="18"/>
                <w:szCs w:val="18"/>
              </w:rPr>
              <w:t>结构化主体总金额</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公司持有比例（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67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30"/>
              <w:ind w:left="1231" w:right="29" w:hanging="1202"/>
              <w:jc w:val="left"/>
              <w:rPr>
                <w:rFonts w:ascii="宋体" w:hAnsi="宋体" w:cs="宋体" w:eastAsia="宋体" w:hint="default"/>
                <w:sz w:val="18"/>
                <w:szCs w:val="18"/>
              </w:rPr>
            </w:pPr>
            <w:r>
              <w:rPr>
                <w:rFonts w:ascii="宋体" w:hAnsi="宋体" w:cs="宋体" w:eastAsia="宋体" w:hint="default"/>
                <w:sz w:val="18"/>
                <w:szCs w:val="18"/>
              </w:rPr>
              <w:t>众邦银行</w:t>
            </w:r>
            <w:r>
              <w:rPr>
                <w:rFonts w:ascii="Times New Roman" w:hAnsi="Times New Roman" w:cs="Times New Roman" w:eastAsia="Times New Roman" w:hint="default"/>
                <w:sz w:val="18"/>
                <w:szCs w:val="18"/>
              </w:rPr>
              <w:t>-</w:t>
            </w:r>
            <w:r>
              <w:rPr>
                <w:rFonts w:ascii="宋体" w:hAnsi="宋体" w:cs="宋体" w:eastAsia="宋体" w:hint="default"/>
                <w:sz w:val="18"/>
                <w:szCs w:val="18"/>
              </w:rPr>
              <w:t>天风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年第一期财产权 信托</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21" w:right="0"/>
              <w:jc w:val="left"/>
              <w:rPr>
                <w:rFonts w:ascii="Times New Roman" w:hAnsi="Times New Roman" w:cs="Times New Roman" w:eastAsia="Times New Roman" w:hint="default"/>
                <w:sz w:val="18"/>
                <w:szCs w:val="18"/>
              </w:rPr>
            </w:pPr>
            <w:r>
              <w:rPr>
                <w:rFonts w:ascii="Times New Roman"/>
                <w:sz w:val="18"/>
              </w:rPr>
              <w:t>335,509,120.94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20" w:right="0"/>
              <w:jc w:val="left"/>
              <w:rPr>
                <w:rFonts w:ascii="Times New Roman" w:hAnsi="Times New Roman" w:cs="Times New Roman" w:eastAsia="Times New Roman" w:hint="default"/>
                <w:sz w:val="18"/>
                <w:szCs w:val="18"/>
              </w:rPr>
            </w:pPr>
            <w:r>
              <w:rPr>
                <w:rFonts w:ascii="Times New Roman"/>
                <w:sz w:val="18"/>
              </w:rPr>
              <w:t>100.00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购买</w:t>
            </w:r>
          </w:p>
        </w:tc>
      </w:tr>
    </w:tbl>
    <w:p>
      <w:pPr>
        <w:spacing w:line="240" w:lineRule="auto" w:before="2"/>
        <w:rPr>
          <w:rFonts w:ascii="宋体" w:hAnsi="宋体" w:cs="宋体" w:eastAsia="宋体" w:hint="default"/>
          <w:sz w:val="24"/>
          <w:szCs w:val="24"/>
        </w:rPr>
      </w:pPr>
    </w:p>
    <w:p>
      <w:pPr>
        <w:pStyle w:val="BodyText"/>
        <w:spacing w:line="352" w:lineRule="auto"/>
        <w:ind w:right="7689"/>
        <w:jc w:val="left"/>
      </w:pPr>
      <w:r>
        <w:rPr/>
        <w:t>确定公司是代理人还是委托人的依据： 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重要的非全资子公司" w:id="461"/>
      <w:bookmarkEnd w:id="46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广西快收信息科技有限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9,003,981.16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1,960,000.00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15,617,323.25</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芜湖畅想小额贷款有限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159,991.82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10,159,991.82</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江苏趣看网络科技有限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ind w:right="6429"/>
        <w:jc w:val="left"/>
      </w:pPr>
      <w:r>
        <w:rPr/>
        <w:t>子公司少数股东的持股比例不同于表决权比例的说明： 江苏趣看网络科技有限公司设立后尚未出资。 其他说明：</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3）重要非全资子公司的主要财务信息" w:id="462"/>
      <w:bookmarkEnd w:id="46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5"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21"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广西快 收信息 科技有 限公司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32,781,6</w:t>
            </w:r>
          </w:p>
          <w:p>
            <w:pPr>
              <w:pStyle w:val="TableParagraph"/>
              <w:spacing w:line="240" w:lineRule="auto" w:before="108"/>
              <w:ind w:left="299" w:right="0"/>
              <w:jc w:val="left"/>
              <w:rPr>
                <w:rFonts w:ascii="Times New Roman" w:hAnsi="Times New Roman" w:cs="Times New Roman" w:eastAsia="Times New Roman" w:hint="default"/>
                <w:sz w:val="18"/>
                <w:szCs w:val="18"/>
              </w:rPr>
            </w:pPr>
            <w:r>
              <w:rPr>
                <w:rFonts w:ascii="Times New Roman"/>
                <w:sz w:val="18"/>
              </w:rPr>
              <w:t>53.09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32,781,6</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53.09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909,564.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909,564.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18,761,3</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17.65</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18,761,3</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17.65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1,264,70</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1.14</w:t>
            </w: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1,264,70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1.14</w:t>
            </w: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芜湖畅 想小额 贷款有 限公司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102,680,</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815.56</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102,680,</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815.56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1,080,89</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1,080,89</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5"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02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广西快收信 息科技有限 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21,276,551.1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18,375,471.7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18,375,471.7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20,339,659.4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15,573,735.9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7,496,616.51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7,496,616.51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6,011,936.11</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芜湖畅想小 额贷款有限 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1,650,628.91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1,599,918.20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1,599,918.20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893,177.44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使用企业集团资产和清偿企业集团债务的重大限制" w:id="463"/>
      <w:bookmarkEnd w:id="46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公司不存在使用企业集团资产和清偿企业集团债务的重大限制。</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向纳入合并财务报表范围的结构化主体提供的财务支持或其他支持" w:id="464"/>
      <w:bookmarkEnd w:id="46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pStyle w:val="BodyText"/>
        <w:spacing w:line="352" w:lineRule="auto" w:before="0"/>
        <w:ind w:right="4809"/>
        <w:jc w:val="left"/>
      </w:pPr>
      <w:r>
        <w:rPr/>
        <w:t>公司未向纳入合并财务报表范围的结构化主体提供的财务支持或其他支持。 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在子公司的所有者权益份额发生变化且仍控制子公司的交易" w:id="465"/>
      <w:bookmarkEnd w:id="46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66"/>
      <w:bookmarkEnd w:id="46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公司收购了原控股子公司曲水好融车网络科技有限公司少数股东股权。</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交易对于少数股东权益及归属于母公司所有者权益的影响" w:id="467"/>
      <w:bookmarkEnd w:id="46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10,428,000.00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10,428,000.00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7,515,151.96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2,912,848.04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2,912,848.04</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在合营安排或联营企业中的权益" w:id="468"/>
      <w:bookmarkEnd w:id="46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69"/>
      <w:bookmarkEnd w:id="46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上海杨浦杨科小 额贷款股份有限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上海市杨浦区黄 兴路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p>
            <w:pPr>
              <w:pStyle w:val="TableParagraph"/>
              <w:spacing w:line="247"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放贷业务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长期股权投资权 益法核算</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众成融资租赁</w:t>
            </w:r>
          </w:p>
          <w:p>
            <w:pPr>
              <w:pStyle w:val="TableParagraph"/>
              <w:spacing w:line="307" w:lineRule="auto" w:before="79"/>
              <w:ind w:left="15" w:right="74"/>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44"/>
              <w:jc w:val="both"/>
              <w:rPr>
                <w:rFonts w:ascii="宋体" w:hAnsi="宋体" w:cs="宋体" w:eastAsia="宋体" w:hint="default"/>
                <w:sz w:val="18"/>
                <w:szCs w:val="18"/>
              </w:rPr>
            </w:pPr>
            <w:r>
              <w:rPr>
                <w:rFonts w:ascii="宋体" w:hAnsi="宋体" w:cs="宋体" w:eastAsia="宋体" w:hint="default"/>
                <w:sz w:val="18"/>
                <w:szCs w:val="18"/>
              </w:rPr>
              <w:t>中国（上海）自 由贸易试验区加 枫路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37.50%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长期股权投资权 益法核算</w:t>
            </w:r>
          </w:p>
        </w:tc>
      </w:tr>
    </w:tbl>
    <w:p>
      <w:pPr>
        <w:pStyle w:val="BodyText"/>
        <w:spacing w:line="240" w:lineRule="auto" w:before="45"/>
        <w:ind w:right="0"/>
        <w:jc w:val="left"/>
      </w:pPr>
      <w:r>
        <w:rPr/>
        <w:t>在合营企业或联营企业的持股比例不同于表决权比例的说明：</w:t>
      </w:r>
    </w:p>
    <w:p>
      <w:pPr>
        <w:pStyle w:val="BodyText"/>
        <w:spacing w:line="240" w:lineRule="auto" w:before="139"/>
        <w:ind w:right="0"/>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重要合营企业的主要财务信息" w:id="470"/>
      <w:bookmarkEnd w:id="47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重要联营企业的主要财务信息" w:id="471"/>
      <w:bookmarkEnd w:id="47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7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6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58" w:hRule="exact"/>
        </w:trPr>
        <w:tc>
          <w:tcPr>
            <w:tcW w:w="2373" w:type="dxa"/>
            <w:tcBorders>
              <w:top w:val="single" w:sz="6" w:space="0" w:color="000000"/>
              <w:left w:val="single" w:sz="6" w:space="0" w:color="000000"/>
              <w:bottom w:val="nil" w:sz="6" w:space="0" w:color="auto"/>
              <w:right w:val="single" w:sz="6" w:space="0" w:color="000000"/>
            </w:tcBorders>
            <w:shd w:val="clear" w:color="auto" w:fill="D2D2D2"/>
          </w:tcPr>
          <w:p>
            <w:pPr/>
          </w:p>
        </w:tc>
        <w:tc>
          <w:tcPr>
            <w:tcW w:w="241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848" w:right="107" w:hanging="721"/>
              <w:jc w:val="left"/>
              <w:rPr>
                <w:rFonts w:ascii="宋体" w:hAnsi="宋体" w:cs="宋体" w:eastAsia="宋体" w:hint="default"/>
                <w:sz w:val="18"/>
                <w:szCs w:val="18"/>
              </w:rPr>
            </w:pPr>
            <w:r>
              <w:rPr>
                <w:rFonts w:ascii="宋体" w:hAnsi="宋体" w:cs="宋体" w:eastAsia="宋体" w:hint="default"/>
                <w:sz w:val="18"/>
                <w:szCs w:val="18"/>
              </w:rPr>
              <w:t>上海杨浦杨科小额贷款股份 有限公司</w:t>
            </w:r>
          </w:p>
        </w:tc>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096" w:right="15" w:hanging="1082"/>
              <w:jc w:val="left"/>
              <w:rPr>
                <w:rFonts w:ascii="宋体" w:hAnsi="宋体" w:cs="宋体" w:eastAsia="宋体" w:hint="default"/>
                <w:sz w:val="18"/>
                <w:szCs w:val="18"/>
              </w:rPr>
            </w:pPr>
            <w:r>
              <w:rPr>
                <w:rFonts w:ascii="宋体" w:hAnsi="宋体" w:cs="宋体" w:eastAsia="宋体" w:hint="default"/>
                <w:sz w:val="18"/>
                <w:szCs w:val="18"/>
              </w:rPr>
              <w:t>众成融资租赁（上海）有限公 司</w:t>
            </w: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841" w:right="107" w:hanging="722"/>
              <w:jc w:val="left"/>
              <w:rPr>
                <w:rFonts w:ascii="宋体" w:hAnsi="宋体" w:cs="宋体" w:eastAsia="宋体" w:hint="default"/>
                <w:sz w:val="18"/>
                <w:szCs w:val="18"/>
              </w:rPr>
            </w:pPr>
            <w:r>
              <w:rPr>
                <w:rFonts w:ascii="宋体" w:hAnsi="宋体" w:cs="宋体" w:eastAsia="宋体" w:hint="default"/>
                <w:sz w:val="18"/>
                <w:szCs w:val="18"/>
              </w:rPr>
              <w:t>上海杨浦杨科小额贷款股份 有限公司</w:t>
            </w:r>
          </w:p>
        </w:tc>
      </w:tr>
      <w:tr>
        <w:trPr>
          <w:trHeight w:val="391" w:hRule="exact"/>
        </w:trPr>
        <w:tc>
          <w:tcPr>
            <w:tcW w:w="2373" w:type="dxa"/>
            <w:tcBorders>
              <w:top w:val="nil" w:sz="6" w:space="0" w:color="auto"/>
              <w:left w:val="single" w:sz="6" w:space="0" w:color="000000"/>
              <w:bottom w:val="nil" w:sz="6" w:space="0" w:color="auto"/>
              <w:right w:val="single" w:sz="6" w:space="0" w:color="000000"/>
            </w:tcBorders>
            <w:shd w:val="clear" w:color="auto" w:fill="D2D2D2"/>
          </w:tcPr>
          <w:p>
            <w:pPr/>
          </w:p>
        </w:tc>
        <w:tc>
          <w:tcPr>
            <w:tcW w:w="2411" w:type="dxa"/>
            <w:vMerge/>
            <w:tcBorders>
              <w:left w:val="single" w:sz="6" w:space="0" w:color="000000"/>
              <w:right w:val="single" w:sz="6" w:space="0" w:color="000000"/>
            </w:tcBorders>
            <w:shd w:val="clear" w:color="auto" w:fill="D2D2D2"/>
          </w:tcPr>
          <w:p>
            <w:pPr/>
          </w:p>
        </w:tc>
        <w:tc>
          <w:tcPr>
            <w:tcW w:w="2388" w:type="dxa"/>
            <w:vMerge/>
            <w:tcBorders>
              <w:left w:val="single" w:sz="6" w:space="0" w:color="000000"/>
              <w:right w:val="single" w:sz="6" w:space="0" w:color="000000"/>
            </w:tcBorders>
            <w:shd w:val="clear" w:color="auto" w:fill="D2D2D2"/>
          </w:tcPr>
          <w:p>
            <w:pP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73" w:type="dxa"/>
            <w:tcBorders>
              <w:top w:val="nil" w:sz="6" w:space="0" w:color="auto"/>
              <w:left w:val="single" w:sz="6" w:space="0" w:color="000000"/>
              <w:bottom w:val="single" w:sz="6" w:space="0" w:color="000000"/>
              <w:right w:val="single" w:sz="6" w:space="0" w:color="000000"/>
            </w:tcBorders>
            <w:shd w:val="clear" w:color="auto" w:fill="D2D2D2"/>
          </w:tcPr>
          <w:p>
            <w:pPr/>
          </w:p>
        </w:tc>
        <w:tc>
          <w:tcPr>
            <w:tcW w:w="2411" w:type="dxa"/>
            <w:vMerge/>
            <w:tcBorders>
              <w:left w:val="single" w:sz="6" w:space="0" w:color="000000"/>
              <w:bottom w:val="single" w:sz="6" w:space="0" w:color="000000"/>
              <w:right w:val="single" w:sz="6" w:space="0" w:color="000000"/>
            </w:tcBorders>
            <w:shd w:val="clear" w:color="auto" w:fill="D2D2D2"/>
          </w:tcPr>
          <w:p>
            <w:pPr/>
          </w:p>
        </w:tc>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44,429,793.27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40,195,047.90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3,458,139.41</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65,700,632.29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4,172,074.51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114,792,524.92</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110,130,425.56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44,367,122.41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118,250,664.33</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2,302,143.00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3,133,504.69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1,514,732.31</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1"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684,781.48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2,302,143.00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3,818,286.17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1,514,732.31</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107,828,282.56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40,548,836.24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116,735,932.02</w:t>
            </w:r>
          </w:p>
        </w:tc>
      </w:tr>
      <w:tr>
        <w:trPr>
          <w:trHeight w:val="7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32,348,484.77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15,205,813.59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35,020,779.61</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411"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15,657,906.77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对联营企业权益投资的账面 价值</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32,348,484.77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30,863,720.36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35,020,779.61</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7,040,081.28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42,743,725.93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8,744,429.95</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-5,067,649.46</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-5,975,892.56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3,026,709.10</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-5,067,649.46</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-5,975,892.56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3,026,709.10</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1,152,000.00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36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的股利</w:t>
            </w:r>
          </w:p>
        </w:tc>
        <w:tc>
          <w:tcPr>
            <w:tcW w:w="2411"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不重要的合营企业和联营企业的汇总财务信息" w:id="472"/>
      <w:bookmarkEnd w:id="47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合营企业或联营企业向本公司转移资金的能力存在重大限制的说明" w:id="473"/>
      <w:bookmarkEnd w:id="47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74"/>
      <w:bookmarkEnd w:id="47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与合营企业投资相关的未确认承诺" w:id="475"/>
      <w:bookmarkEnd w:id="47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1"/>
        <w:rPr>
          <w:rFonts w:ascii="宋体" w:hAnsi="宋体" w:cs="宋体" w:eastAsia="宋体" w:hint="default"/>
          <w:b/>
          <w:bCs/>
          <w:sz w:val="24"/>
          <w:szCs w:val="24"/>
        </w:rPr>
      </w:pPr>
    </w:p>
    <w:p>
      <w:pPr>
        <w:pStyle w:val="Heading3"/>
        <w:spacing w:line="496" w:lineRule="auto"/>
        <w:ind w:right="6216"/>
        <w:jc w:val="left"/>
        <w:rPr>
          <w:b w:val="0"/>
          <w:bCs w:val="0"/>
        </w:rPr>
      </w:pPr>
      <w:bookmarkStart w:name="（8）与合营企业或联营企业投资相关的或有负债" w:id="476"/>
      <w:bookmarkEnd w:id="476"/>
      <w:r>
        <w:rPr>
          <w:b w:val="0"/>
          <w:bCs w:val="0"/>
        </w:rPr>
      </w:r>
      <w:r>
        <w:rPr/>
        <w:t>（</w:t>
      </w:r>
      <w:r>
        <w:rPr>
          <w:rFonts w:ascii="Times New Roman" w:hAnsi="Times New Roman" w:cs="Times New Roman" w:eastAsia="Times New Roman" w:hint="default"/>
        </w:rPr>
        <w:t>8</w:t>
      </w:r>
      <w:r>
        <w:rPr/>
        <w:t>）与合营企业或联营企业投资相关的或有负债</w:t>
      </w:r>
      <w:r>
        <w:rPr>
          <w:w w:val="99"/>
        </w:rPr>
        <w:t> </w:t>
      </w:r>
      <w:bookmarkStart w:name="4、重要的共同经营" w:id="477"/>
      <w:bookmarkEnd w:id="477"/>
      <w:r>
        <w:rPr>
          <w:w w:val="99"/>
        </w:rPr>
      </w:r>
      <w:r>
        <w:rPr>
          <w:rFonts w:ascii="Times New Roman" w:hAnsi="Times New Roman" w:cs="Times New Roman" w:eastAsia="Times New Roman" w:hint="default"/>
        </w:rPr>
        <w:t>4</w:t>
      </w:r>
      <w:r>
        <w:rPr/>
        <w:t>、重要的共同经营</w:t>
      </w:r>
      <w:r>
        <w:rPr>
          <w:b w:val="0"/>
          <w:bCs w:val="0"/>
        </w:rPr>
      </w:r>
    </w:p>
    <w:p>
      <w:pPr>
        <w:spacing w:line="240" w:lineRule="auto" w:before="2"/>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6"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2" w:lineRule="auto"/>
        <w:ind w:right="5529"/>
        <w:jc w:val="left"/>
      </w:pPr>
      <w:r>
        <w:rPr/>
        <w:t>在共同经营中的持股比例或享有的份额不同于表决权比例的说明： 共同经营为单独主体的，分类为共同经营的依据：</w:t>
      </w:r>
    </w:p>
    <w:p>
      <w:pPr>
        <w:pStyle w:val="BodyText"/>
        <w:spacing w:line="240" w:lineRule="auto" w:before="25"/>
        <w:ind w:right="0"/>
        <w:jc w:val="both"/>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both"/>
        <w:rPr>
          <w:b w:val="0"/>
          <w:bCs w:val="0"/>
        </w:rPr>
      </w:pPr>
      <w:bookmarkStart w:name="5、在未纳入合并财务报表范围的结构化主体中的权益" w:id="478"/>
      <w:bookmarkEnd w:id="47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4"/>
          <w:szCs w:val="24"/>
        </w:rPr>
      </w:pPr>
    </w:p>
    <w:p>
      <w:pPr>
        <w:pStyle w:val="BodyText"/>
        <w:spacing w:line="352" w:lineRule="auto" w:before="0"/>
        <w:ind w:left="501" w:right="0" w:hanging="361"/>
        <w:jc w:val="left"/>
      </w:pPr>
      <w:r>
        <w:rPr/>
        <w:t>未纳入合并财务报表范围的结构化主体的相关说明： </w:t>
      </w:r>
      <w:r>
        <w:rPr>
          <w:spacing w:val="-2"/>
        </w:rPr>
        <w:t>为了更好地运用资金获取收益，于</w:t>
      </w:r>
      <w:r>
        <w:rPr>
          <w:rFonts w:ascii="宋体" w:hAnsi="宋体" w:cs="宋体" w:eastAsia="宋体" w:hint="default"/>
          <w:spacing w:val="-2"/>
        </w:rPr>
        <w:t>2019</w:t>
      </w:r>
      <w:r>
        <w:rPr>
          <w:spacing w:val="-2"/>
        </w:rPr>
        <w:t>年度本公司投资的未纳入合并范围内的结构化主体主要包括由独立第三方发行和</w:t>
      </w:r>
    </w:p>
    <w:p>
      <w:pPr>
        <w:pStyle w:val="BodyText"/>
        <w:spacing w:line="321" w:lineRule="auto" w:before="0"/>
        <w:ind w:right="1106"/>
        <w:jc w:val="both"/>
      </w:pPr>
      <w:r>
        <w:rPr>
          <w:spacing w:val="-2"/>
        </w:rPr>
        <w:t>管理的理财产品、基金、信托计划、资产管理计划。信托计划和资产管理计划系本公司投资的由非银行金融机构作为管理人</w:t>
      </w:r>
      <w:r>
        <w:rPr>
          <w:spacing w:val="-42"/>
        </w:rPr>
        <w:t> </w:t>
      </w:r>
      <w:r>
        <w:rPr>
          <w:spacing w:val="-42"/>
        </w:rPr>
      </w:r>
      <w:r>
        <w:rPr>
          <w:spacing w:val="-5"/>
        </w:rPr>
        <w:t>发行并管理的信托计划和资产管理计划，该类产品的基础资产主要为企业债权、票据、银行存单及资产证券化资产支持证券。</w:t>
      </w:r>
      <w:r>
        <w:rPr>
          <w:spacing w:val="-85"/>
        </w:rPr>
        <w:t> </w:t>
      </w:r>
      <w:r>
        <w:rPr>
          <w:spacing w:val="-85"/>
        </w:rPr>
      </w:r>
      <w:r>
        <w:rPr/>
        <w:t>本年度，本公司并未对该类结构化主体提供过流动性支持。</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firstLine="360"/>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日，本公司投资的未纳入合并范围的结构化主体的权益所形成的资产的账面价值</w:t>
      </w:r>
      <w:r>
        <w:rPr>
          <w:rFonts w:ascii="宋体" w:hAnsi="宋体" w:cs="宋体" w:eastAsia="宋体" w:hint="default"/>
          <w:spacing w:val="-2"/>
        </w:rPr>
        <w:t>(</w:t>
      </w:r>
      <w:r>
        <w:rPr>
          <w:spacing w:val="-2"/>
        </w:rPr>
        <w:t>包含公允价值变动</w:t>
      </w:r>
      <w:r>
        <w:rPr>
          <w:rFonts w:ascii="宋体" w:hAnsi="宋体" w:cs="宋体" w:eastAsia="宋体" w:hint="default"/>
          <w:spacing w:val="-2"/>
        </w:rPr>
        <w:t>)</w:t>
      </w:r>
      <w:r>
        <w:rPr>
          <w:rFonts w:ascii="宋体" w:hAnsi="宋体" w:cs="宋体" w:eastAsia="宋体" w:hint="default"/>
        </w:rPr>
        <w:t> </w:t>
      </w:r>
      <w:r>
        <w:rPr/>
        <w:t>及最大损失风险敞口如下：</w:t>
      </w:r>
    </w:p>
    <w:tbl>
      <w:tblPr>
        <w:tblW w:w="0" w:type="auto"/>
        <w:jc w:val="left"/>
        <w:tblInd w:w="126" w:type="dxa"/>
        <w:tblLayout w:type="fixed"/>
        <w:tblCellMar>
          <w:top w:w="0" w:type="dxa"/>
          <w:left w:w="0" w:type="dxa"/>
          <w:bottom w:w="0" w:type="dxa"/>
          <w:right w:w="0" w:type="dxa"/>
        </w:tblCellMar>
        <w:tblLook w:val="01E0"/>
      </w:tblPr>
      <w:tblGrid>
        <w:gridCol w:w="2959"/>
        <w:gridCol w:w="2959"/>
        <w:gridCol w:w="2944"/>
      </w:tblGrid>
      <w:tr>
        <w:trPr>
          <w:trHeight w:val="34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35" w:right="0"/>
              <w:jc w:val="left"/>
              <w:rPr>
                <w:rFonts w:ascii="宋体" w:hAnsi="宋体" w:cs="宋体" w:eastAsia="宋体" w:hint="default"/>
                <w:sz w:val="18"/>
                <w:szCs w:val="18"/>
              </w:rPr>
            </w:pPr>
            <w:r>
              <w:rPr>
                <w:rFonts w:ascii="宋体" w:hAnsi="宋体" w:cs="宋体" w:eastAsia="宋体" w:hint="default"/>
                <w:sz w:val="18"/>
                <w:szCs w:val="18"/>
              </w:rPr>
              <w:t>最大损失风险敞口</w:t>
            </w:r>
          </w:p>
        </w:tc>
      </w:tr>
      <w:tr>
        <w:trPr>
          <w:trHeight w:val="36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995,048,001.16</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995,048,001.16</w:t>
            </w:r>
          </w:p>
        </w:tc>
      </w:tr>
      <w:tr>
        <w:trPr>
          <w:trHeight w:val="34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242,910,677.76</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242,910,677.76</w:t>
            </w:r>
          </w:p>
        </w:tc>
      </w:tr>
      <w:tr>
        <w:trPr>
          <w:trHeight w:val="34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信托计划及信托受益权</w:t>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339,131,175.93</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339,131,175.93</w:t>
            </w:r>
          </w:p>
        </w:tc>
      </w:tr>
      <w:tr>
        <w:trPr>
          <w:trHeight w:val="36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资产管理计划及资产管理计划收益权</w:t>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465,925,804.88</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465,925,804.88</w:t>
            </w:r>
          </w:p>
        </w:tc>
      </w:tr>
      <w:tr>
        <w:trPr>
          <w:trHeight w:val="36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资产证券化资产支持证券</w:t>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268,625,918.81</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268,625,918.81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3"/>
        <w:spacing w:line="240" w:lineRule="auto" w:before="35"/>
        <w:ind w:right="0"/>
        <w:jc w:val="left"/>
        <w:rPr>
          <w:b w:val="0"/>
          <w:bCs w:val="0"/>
        </w:rPr>
      </w:pPr>
      <w:bookmarkStart w:name="6、其他" w:id="479"/>
      <w:bookmarkEnd w:id="479"/>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1"/>
          <w:szCs w:val="21"/>
        </w:rPr>
      </w:pPr>
    </w:p>
    <w:p>
      <w:pPr>
        <w:pStyle w:val="Heading2"/>
        <w:spacing w:line="240" w:lineRule="auto"/>
        <w:ind w:right="0"/>
        <w:jc w:val="left"/>
        <w:rPr>
          <w:b w:val="0"/>
          <w:bCs w:val="0"/>
        </w:rPr>
      </w:pPr>
      <w:bookmarkStart w:name="十、与金融工具相关的风险" w:id="480"/>
      <w:bookmarkEnd w:id="480"/>
      <w:r>
        <w:rPr>
          <w:b w:val="0"/>
          <w:bCs w:val="0"/>
        </w:rPr>
      </w:r>
      <w:r>
        <w:rPr/>
        <w:t>十、与金融工具相关的风险</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right="0" w:firstLine="360"/>
        <w:jc w:val="left"/>
      </w:pPr>
      <w:r>
        <w:rPr>
          <w:spacing w:val="-2"/>
        </w:rPr>
        <w:t>本公司从事风险管理的目标是在风险和收益之间取得适当的平衡，将风险对本公司经营业绩的负面影响降低到最低水平，</w:t>
      </w:r>
      <w:r>
        <w:rPr/>
        <w:t> 使股东及其他权益投资者的利益最大化。基于该风险管理目标，本公司风险管理的基本策略是确定和分析本公司所面临的各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种风险，建立适当的风险承受底线和进行风险管理，并及时可靠地对各种风险进行监督，将风险控制在限定的范围内。</w:t>
      </w:r>
    </w:p>
    <w:p>
      <w:pPr>
        <w:pStyle w:val="BodyText"/>
        <w:spacing w:line="321" w:lineRule="auto" w:before="19"/>
        <w:ind w:left="501" w:right="4089"/>
        <w:jc w:val="left"/>
      </w:pPr>
      <w:r>
        <w:rPr>
          <w:rFonts w:ascii="宋体" w:hAnsi="宋体" w:cs="宋体" w:eastAsia="宋体" w:hint="default"/>
        </w:rPr>
        <w:t>(</w:t>
      </w:r>
      <w:r>
        <w:rPr/>
        <w:t>一</w:t>
      </w:r>
      <w:r>
        <w:rPr>
          <w:rFonts w:ascii="宋体" w:hAnsi="宋体" w:cs="宋体" w:eastAsia="宋体" w:hint="default"/>
        </w:rPr>
        <w:t>)</w:t>
      </w:r>
      <w:r>
        <w:rPr/>
        <w:t>信用风险 信用风险，是指金融工具的一方不履行义务，造成另一方发生财务损失的风险。</w:t>
      </w:r>
    </w:p>
    <w:p>
      <w:pPr>
        <w:pStyle w:val="BodyText"/>
        <w:spacing w:line="321" w:lineRule="auto" w:before="3"/>
        <w:ind w:left="501" w:right="0"/>
        <w:jc w:val="left"/>
      </w:pPr>
      <w:r>
        <w:rPr/>
        <w:t>本公司的信用风险主要与应收款项、融资租赁和保理业务形成的客户信用风险及发放贷款产生的风险资产有关。 </w:t>
      </w:r>
      <w:r>
        <w:rPr>
          <w:spacing w:val="-2"/>
        </w:rPr>
        <w:t>对应收款项，本公司仅与经认可的、信誉良好的第三方进行交易。按照本公司的政策，需对所有要求采用信用方式进行</w:t>
      </w:r>
    </w:p>
    <w:p>
      <w:pPr>
        <w:pStyle w:val="BodyText"/>
        <w:spacing w:line="321" w:lineRule="auto" w:before="18"/>
        <w:ind w:left="501" w:right="0" w:hanging="361"/>
        <w:jc w:val="left"/>
      </w:pPr>
      <w:r>
        <w:rPr/>
        <w:t>交易的客户进行信用审核。另外，本公司对应收账款余额进行持续监控，以确保本公司不致面临重大坏账风险。 </w:t>
      </w:r>
      <w:r>
        <w:rPr>
          <w:spacing w:val="-2"/>
        </w:rPr>
        <w:t>对商业金融业务形成的客户信用风险，公司执行严格的客户筛选、信用审核、放款和风险拨备等制度，管控客户的信用</w:t>
      </w:r>
    </w:p>
    <w:p>
      <w:pPr>
        <w:pStyle w:val="BodyText"/>
        <w:spacing w:line="304" w:lineRule="auto" w:before="19"/>
        <w:ind w:left="501" w:right="1133" w:hanging="361"/>
        <w:jc w:val="left"/>
      </w:pPr>
      <w:r>
        <w:rPr/>
        <w:t>风险。公司根据商业金融资产预计未来现金流情况，对期末商业金融资产，已合理计提减值准备。</w:t>
      </w:r>
      <w:r>
        <w:rPr>
          <w:spacing w:val="-84"/>
        </w:rPr>
        <w:t> </w:t>
      </w:r>
      <w:r>
        <w:rPr>
          <w:spacing w:val="-84"/>
        </w:rPr>
      </w:r>
      <w:r>
        <w:rPr>
          <w:spacing w:val="-2"/>
        </w:rPr>
        <w:t>对消费金融、汽车金融业务产生的风险资产，公司制定了信贷产品的额度、费率、期限、准入标准、风险政策、贷后管</w:t>
      </w:r>
    </w:p>
    <w:p>
      <w:pPr>
        <w:pStyle w:val="BodyText"/>
        <w:spacing w:line="321" w:lineRule="auto" w:before="31"/>
        <w:ind w:right="1109"/>
        <w:jc w:val="both"/>
      </w:pPr>
      <w:r>
        <w:rPr>
          <w:spacing w:val="-2"/>
        </w:rPr>
        <w:t>理等标准，有效控制消费金融、汽车金融业务风险。公司根据消费金融、汽车金融业务资产预计未来现金流情况，对期末消</w:t>
      </w:r>
      <w:r>
        <w:rPr>
          <w:spacing w:val="-49"/>
        </w:rPr>
        <w:t> </w:t>
      </w:r>
      <w:r>
        <w:rPr>
          <w:spacing w:val="-49"/>
        </w:rPr>
      </w:r>
      <w:r>
        <w:rPr/>
        <w:t>费金融、汽车金融资产，已合理计提减值准备。</w:t>
      </w:r>
    </w:p>
    <w:p>
      <w:pPr>
        <w:pStyle w:val="BodyText"/>
        <w:spacing w:line="321" w:lineRule="auto" w:before="18"/>
        <w:ind w:left="501" w:right="1133"/>
        <w:jc w:val="left"/>
      </w:pPr>
      <w:r>
        <w:rPr>
          <w:rFonts w:ascii="宋体" w:hAnsi="宋体" w:cs="宋体" w:eastAsia="宋体" w:hint="default"/>
        </w:rPr>
        <w:t>(</w:t>
      </w:r>
      <w:r>
        <w:rPr/>
        <w:t>二</w:t>
      </w:r>
      <w:r>
        <w:rPr>
          <w:rFonts w:ascii="宋体" w:hAnsi="宋体" w:cs="宋体" w:eastAsia="宋体" w:hint="default"/>
        </w:rPr>
        <w:t>)</w:t>
      </w:r>
      <w:r>
        <w:rPr/>
        <w:t>市场风险 </w:t>
      </w:r>
      <w:r>
        <w:rPr>
          <w:spacing w:val="-2"/>
        </w:rPr>
        <w:t>市场风险，是指金融工具的公允价值或未来现金流量因市场价格变动而发生波动的风险，包括利率风险、汇率风险和其</w:t>
      </w:r>
    </w:p>
    <w:p>
      <w:pPr>
        <w:pStyle w:val="BodyText"/>
        <w:spacing w:line="240" w:lineRule="auto" w:before="3"/>
        <w:ind w:right="0"/>
        <w:jc w:val="left"/>
      </w:pPr>
      <w:r>
        <w:rPr/>
        <w:t>他价格风险。</w:t>
      </w:r>
    </w:p>
    <w:p>
      <w:pPr>
        <w:pStyle w:val="BodyText"/>
        <w:spacing w:line="321" w:lineRule="auto" w:before="80"/>
        <w:ind w:left="501" w:right="1133"/>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利率风险，是指金融工具的公允价值或未来现金流量因市场利率变动而发生波动的风险。本公司面临的市场风险主要与</w:t>
      </w:r>
    </w:p>
    <w:p>
      <w:pPr>
        <w:pStyle w:val="BodyText"/>
        <w:spacing w:line="321" w:lineRule="auto" w:before="19"/>
        <w:ind w:left="501" w:right="1119" w:hanging="361"/>
        <w:jc w:val="left"/>
      </w:pPr>
      <w:r>
        <w:rPr/>
        <w:t>本公司以浮动利率计息的借款有关。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日，公司短期借款折合人民币共计</w:t>
      </w:r>
      <w:r>
        <w:rPr>
          <w:rFonts w:ascii="宋体" w:hAnsi="宋体" w:cs="宋体" w:eastAsia="宋体" w:hint="default"/>
        </w:rPr>
        <w:t>101,207,679.31</w:t>
      </w:r>
      <w:r>
        <w:rPr/>
        <w:t>元，其中浮动利率贷款余额为</w:t>
      </w:r>
      <w:r>
        <w:rPr>
          <w:rFonts w:ascii="宋体" w:hAnsi="宋体" w:cs="宋体" w:eastAsia="宋体" w:hint="default"/>
        </w:rPr>
        <w:t>86,227,679.31</w:t>
      </w:r>
      <w:r>
        <w:rPr/>
        <w:t>元。</w:t>
      </w:r>
    </w:p>
    <w:p>
      <w:pPr>
        <w:pStyle w:val="BodyText"/>
        <w:spacing w:line="321" w:lineRule="auto" w:before="3"/>
        <w:ind w:right="1126"/>
        <w:jc w:val="both"/>
      </w:pPr>
      <w:r>
        <w:rPr>
          <w:spacing w:val="-2"/>
        </w:rPr>
        <w:t>在其他变量不变的假设下，利率发生合理、可能的</w:t>
      </w:r>
      <w:r>
        <w:rPr>
          <w:rFonts w:ascii="宋体" w:hAnsi="宋体" w:cs="宋体" w:eastAsia="宋体" w:hint="default"/>
          <w:spacing w:val="-2"/>
        </w:rPr>
        <w:t>20%</w:t>
      </w:r>
      <w:r>
        <w:rPr>
          <w:spacing w:val="-2"/>
        </w:rPr>
        <w:t>变动时，则公司将增加或减少净利润</w:t>
      </w:r>
      <w:r>
        <w:rPr>
          <w:rFonts w:ascii="宋体" w:hAnsi="宋体" w:cs="宋体" w:eastAsia="宋体" w:hint="default"/>
          <w:spacing w:val="-2"/>
        </w:rPr>
        <w:t>441,190.08</w:t>
      </w:r>
      <w:r>
        <w:rPr>
          <w:spacing w:val="-2"/>
        </w:rPr>
        <w:t>元</w:t>
      </w:r>
      <w:r>
        <w:rPr>
          <w:rFonts w:ascii="宋体" w:hAnsi="宋体" w:cs="宋体" w:eastAsia="宋体" w:hint="default"/>
          <w:spacing w:val="-2"/>
        </w:rPr>
        <w:t>,</w:t>
      </w:r>
      <w:r>
        <w:rPr>
          <w:spacing w:val="-2"/>
        </w:rPr>
        <w:t>不会对公司的营业</w:t>
      </w:r>
      <w:r>
        <w:rPr>
          <w:spacing w:val="-53"/>
        </w:rPr>
        <w:t> </w:t>
      </w:r>
      <w:r>
        <w:rPr/>
        <w:t>利润和股东权益产生重大的影响。</w:t>
      </w:r>
    </w:p>
    <w:p>
      <w:pPr>
        <w:pStyle w:val="BodyText"/>
        <w:spacing w:line="321" w:lineRule="auto" w:before="18"/>
        <w:ind w:left="501" w:right="1118"/>
        <w:jc w:val="left"/>
      </w:pPr>
      <w:r>
        <w:rPr/>
        <w:t>（</w:t>
      </w:r>
      <w:r>
        <w:rPr>
          <w:rFonts w:ascii="宋体" w:hAnsi="宋体" w:cs="宋体" w:eastAsia="宋体" w:hint="default"/>
        </w:rPr>
        <w:t>2</w:t>
      </w:r>
      <w:r>
        <w:rPr/>
        <w:t>）汇率风险 </w:t>
      </w:r>
      <w:r>
        <w:rPr>
          <w:spacing w:val="-2"/>
        </w:rPr>
        <w:t>外汇风险，是指金融工具的公允价值或未来现金流量因外汇汇率变动而发生波动的风险。截至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日，公司持</w:t>
      </w:r>
    </w:p>
    <w:p>
      <w:pPr>
        <w:pStyle w:val="BodyText"/>
        <w:spacing w:line="321" w:lineRule="auto" w:before="3"/>
        <w:ind w:right="1126"/>
        <w:jc w:val="both"/>
      </w:pPr>
      <w:r>
        <w:rPr>
          <w:spacing w:val="-2"/>
        </w:rPr>
        <w:t>有外币资产主要为美元流动资产</w:t>
      </w:r>
      <w:r>
        <w:rPr>
          <w:rFonts w:ascii="宋体" w:hAnsi="宋体" w:cs="宋体" w:eastAsia="宋体" w:hint="default"/>
          <w:spacing w:val="-2"/>
        </w:rPr>
        <w:t>117,488,078.61</w:t>
      </w:r>
      <w:r>
        <w:rPr>
          <w:spacing w:val="-2"/>
        </w:rPr>
        <w:t>美元，美元流动负债</w:t>
      </w:r>
      <w:r>
        <w:rPr>
          <w:rFonts w:ascii="宋体" w:hAnsi="宋体" w:cs="宋体" w:eastAsia="宋体" w:hint="default"/>
          <w:spacing w:val="-2"/>
        </w:rPr>
        <w:t>2,530.30</w:t>
      </w:r>
      <w:r>
        <w:rPr>
          <w:spacing w:val="-2"/>
        </w:rPr>
        <w:t>美元，港币现汇资产</w:t>
      </w:r>
      <w:r>
        <w:rPr>
          <w:rFonts w:ascii="宋体" w:hAnsi="宋体" w:cs="宋体" w:eastAsia="宋体" w:hint="default"/>
          <w:spacing w:val="-2"/>
        </w:rPr>
        <w:t>547.90</w:t>
      </w:r>
      <w:r>
        <w:rPr>
          <w:spacing w:val="-2"/>
        </w:rPr>
        <w:t>港元，新加坡币流</w:t>
      </w:r>
      <w:r>
        <w:rPr>
          <w:spacing w:val="-39"/>
        </w:rPr>
        <w:t> </w:t>
      </w:r>
      <w:r>
        <w:rPr>
          <w:spacing w:val="-39"/>
        </w:rPr>
      </w:r>
      <w:r>
        <w:rPr/>
        <w:t>动资产</w:t>
      </w:r>
      <w:r>
        <w:rPr>
          <w:rFonts w:ascii="宋体" w:hAnsi="宋体" w:cs="宋体" w:eastAsia="宋体" w:hint="default"/>
        </w:rPr>
        <w:t>2,512,369.50</w:t>
      </w:r>
      <w:r>
        <w:rPr/>
        <w:t>新加坡元，新加坡币流动负债</w:t>
      </w:r>
      <w:r>
        <w:rPr>
          <w:rFonts w:ascii="宋体" w:hAnsi="宋体" w:cs="宋体" w:eastAsia="宋体" w:hint="default"/>
        </w:rPr>
        <w:t>20,039,776.20</w:t>
      </w:r>
      <w:r>
        <w:rPr/>
        <w:t>新加坡元，详见本附注五（</w:t>
      </w:r>
      <w:r>
        <w:rPr>
          <w:rFonts w:ascii="宋体" w:hAnsi="宋体" w:cs="宋体" w:eastAsia="宋体" w:hint="default"/>
        </w:rPr>
        <w:t>83</w:t>
      </w:r>
      <w:r>
        <w:rPr/>
        <w:t>）之说明。在所有其他变量</w:t>
      </w:r>
      <w:r>
        <w:rPr>
          <w:spacing w:val="-84"/>
        </w:rPr>
        <w:t> </w:t>
      </w:r>
      <w:r>
        <w:rPr>
          <w:spacing w:val="-2"/>
        </w:rPr>
        <w:t>保持不变的情况下，如果人民币对上述外币升值或贬值</w:t>
      </w:r>
      <w:r>
        <w:rPr>
          <w:rFonts w:ascii="宋体" w:hAnsi="宋体" w:cs="宋体" w:eastAsia="宋体" w:hint="default"/>
          <w:spacing w:val="-2"/>
        </w:rPr>
        <w:t>5%</w:t>
      </w:r>
      <w:r>
        <w:rPr>
          <w:spacing w:val="-2"/>
        </w:rPr>
        <w:t>，则公司将减少或增加净利润</w:t>
      </w:r>
      <w:r>
        <w:rPr>
          <w:rFonts w:ascii="宋体" w:hAnsi="宋体" w:cs="宋体" w:eastAsia="宋体" w:hint="default"/>
          <w:spacing w:val="-2"/>
        </w:rPr>
        <w:t>3,644.59</w:t>
      </w:r>
      <w:r>
        <w:rPr>
          <w:spacing w:val="-2"/>
        </w:rPr>
        <w:t>万元。管理层认为</w:t>
      </w:r>
      <w:r>
        <w:rPr>
          <w:rFonts w:ascii="宋体" w:hAnsi="宋体" w:cs="宋体" w:eastAsia="宋体" w:hint="default"/>
          <w:spacing w:val="-2"/>
        </w:rPr>
        <w:t>5%</w:t>
      </w:r>
      <w:r>
        <w:rPr>
          <w:spacing w:val="-2"/>
        </w:rPr>
        <w:t>合理反</w:t>
      </w:r>
      <w:r>
        <w:rPr>
          <w:spacing w:val="-53"/>
        </w:rPr>
        <w:t> </w:t>
      </w:r>
      <w:r>
        <w:rPr/>
        <w:t>映了下一年度人民币对美元可能发生变动的合理范围。</w:t>
      </w:r>
    </w:p>
    <w:p>
      <w:pPr>
        <w:pStyle w:val="BodyText"/>
        <w:spacing w:line="307" w:lineRule="auto" w:before="18"/>
        <w:ind w:left="501" w:right="0"/>
        <w:jc w:val="left"/>
      </w:pPr>
      <w:r>
        <w:rPr/>
        <w:t>（</w:t>
      </w:r>
      <w:r>
        <w:rPr>
          <w:rFonts w:ascii="宋体" w:hAnsi="宋体" w:cs="宋体" w:eastAsia="宋体" w:hint="default"/>
        </w:rPr>
        <w:t>3</w:t>
      </w:r>
      <w:r>
        <w:rPr/>
        <w:t>）其他价格风险 </w:t>
      </w:r>
      <w:r>
        <w:rPr>
          <w:spacing w:val="-2"/>
        </w:rPr>
        <w:t>本公司的其他价格风险主要产生于各类权益工具投资，存在权益工具价格变动的风险。于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日，如果本期各</w:t>
      </w:r>
    </w:p>
    <w:p>
      <w:pPr>
        <w:spacing w:after="0" w:line="3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33" w:hanging="361"/>
        <w:jc w:val="left"/>
      </w:pPr>
      <w:r>
        <w:rPr/>
        <w:t>类权益工具的预期价格上涨或下跌</w:t>
      </w:r>
      <w:r>
        <w:rPr>
          <w:rFonts w:ascii="宋体" w:hAnsi="宋体" w:cs="宋体" w:eastAsia="宋体" w:hint="default"/>
        </w:rPr>
        <w:t>1%</w:t>
      </w:r>
      <w:r>
        <w:rPr/>
        <w:t>，其他因素保持不变，则本公司将增加或减少净利润约</w:t>
      </w:r>
      <w:r>
        <w:rPr>
          <w:rFonts w:ascii="宋体" w:hAnsi="宋体" w:cs="宋体" w:eastAsia="宋体" w:hint="default"/>
        </w:rPr>
        <w:t>3,916,931.47</w:t>
      </w:r>
      <w:r>
        <w:rPr/>
        <w:t>元。</w:t>
      </w:r>
      <w:r>
        <w:rPr>
          <w:spacing w:val="-82"/>
        </w:rPr>
        <w:t> </w:t>
      </w:r>
      <w:r>
        <w:rPr>
          <w:rFonts w:ascii="宋体" w:hAnsi="宋体" w:cs="宋体" w:eastAsia="宋体" w:hint="default"/>
        </w:rPr>
        <w:t>(</w:t>
      </w:r>
      <w:r>
        <w:rPr/>
        <w:t>三</w:t>
      </w:r>
      <w:r>
        <w:rPr>
          <w:rFonts w:ascii="宋体" w:hAnsi="宋体" w:cs="宋体" w:eastAsia="宋体" w:hint="default"/>
        </w:rPr>
        <w:t>)</w:t>
      </w:r>
      <w:r>
        <w:rPr/>
        <w:t>流动性风险 </w:t>
      </w:r>
      <w:r>
        <w:rPr>
          <w:spacing w:val="-2"/>
        </w:rPr>
        <w:t>流动风险，是指企业在履行以交付现金或其他金融资产的方式结算的义务时发生资金短缺的风险。本公司的政策是确保</w:t>
      </w:r>
    </w:p>
    <w:p>
      <w:pPr>
        <w:pStyle w:val="BodyText"/>
        <w:spacing w:line="321" w:lineRule="auto" w:before="3"/>
        <w:ind w:right="0"/>
        <w:jc w:val="left"/>
      </w:pPr>
      <w:r>
        <w:rPr>
          <w:spacing w:val="-2"/>
        </w:rPr>
        <w:t>拥有充足的现金以偿还到期债务。流动性风险由本公司的财务部门集中控制。财务部门通过监控现金余额、可随时变现的有</w:t>
      </w:r>
      <w:r>
        <w:rPr>
          <w:spacing w:val="-75"/>
        </w:rPr>
        <w:t> </w:t>
      </w:r>
      <w:r>
        <w:rPr>
          <w:spacing w:val="-75"/>
        </w:rPr>
      </w:r>
      <w:r>
        <w:rPr/>
        <w:t>价证券以及对未来</w:t>
      </w:r>
      <w:r>
        <w:rPr>
          <w:rFonts w:ascii="宋体" w:hAnsi="宋体" w:cs="宋体" w:eastAsia="宋体" w:hint="default"/>
        </w:rPr>
        <w:t>12</w:t>
      </w:r>
      <w:r>
        <w:rPr/>
        <w:t>个月现金流量的滚动预测，确保公司在所有合理预测的情况下拥有充足的资金偿还债务。</w:t>
      </w:r>
    </w:p>
    <w:p>
      <w:pPr>
        <w:pStyle w:val="BodyText"/>
        <w:spacing w:line="240" w:lineRule="auto" w:before="19"/>
        <w:ind w:left="501" w:right="0"/>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日，本公司资产负债率</w:t>
      </w:r>
      <w:r>
        <w:rPr>
          <w:rFonts w:ascii="宋体" w:hAnsi="宋体" w:cs="宋体" w:eastAsia="宋体" w:hint="default"/>
        </w:rPr>
        <w:t>10.53%</w:t>
      </w:r>
      <w:r>
        <w:rPr/>
        <w:t>，流动比率为</w:t>
      </w:r>
      <w:r>
        <w:rPr>
          <w:rFonts w:ascii="宋体" w:hAnsi="宋体" w:cs="宋体" w:eastAsia="宋体" w:hint="default"/>
        </w:rPr>
        <w:t>605.84%</w:t>
      </w:r>
      <w:r>
        <w:rPr/>
        <w:t>，有充足的资金偿还债务，不存在重大流动性风</w:t>
      </w:r>
    </w:p>
    <w:p>
      <w:pPr>
        <w:pStyle w:val="BodyText"/>
        <w:spacing w:line="240" w:lineRule="auto" w:before="79"/>
        <w:ind w:right="0"/>
        <w:jc w:val="left"/>
      </w:pPr>
      <w:r>
        <w:rPr/>
        <w:t>险。</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481"/>
      <w:bookmarkEnd w:id="48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82"/>
      <w:bookmarkEnd w:id="48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5"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7" w:type="dxa"/>
            <w:vMerge/>
            <w:tcBorders>
              <w:left w:val="single" w:sz="6" w:space="0" w:color="000000"/>
              <w:right w:val="single" w:sz="6" w:space="0" w:color="000000"/>
            </w:tcBorders>
            <w:shd w:val="clear" w:color="auto" w:fill="D2D2D2"/>
          </w:tcPr>
          <w:p>
            <w:pPr/>
          </w:p>
        </w:tc>
        <w:tc>
          <w:tcPr>
            <w:tcW w:w="183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7" w:type="dxa"/>
            <w:vMerge/>
            <w:tcBorders>
              <w:left w:val="single" w:sz="6" w:space="0" w:color="000000"/>
              <w:right w:val="single" w:sz="6" w:space="0" w:color="000000"/>
            </w:tcBorders>
            <w:shd w:val="clear" w:color="auto" w:fill="D2D2D2"/>
          </w:tcPr>
          <w:p>
            <w:pPr/>
          </w:p>
        </w:tc>
        <w:tc>
          <w:tcPr>
            <w:tcW w:w="1832" w:type="dxa"/>
            <w:vMerge/>
            <w:tcBorders>
              <w:left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2,311,641,578.54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2,311,641,578.54</w:t>
            </w:r>
          </w:p>
        </w:tc>
      </w:tr>
      <w:tr>
        <w:trPr>
          <w:trHeight w:val="10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2,311,641,578.54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2,311,641,578.54</w:t>
            </w:r>
          </w:p>
        </w:tc>
      </w:tr>
      <w:tr>
        <w:trPr>
          <w:trHeight w:val="721"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pacing w:val="-5"/>
                <w:sz w:val="18"/>
                <w:szCs w:val="18"/>
              </w:rPr>
              <w:t>（二）其他非流动金融资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391,693,146.87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391,693,146.87</w:t>
            </w:r>
          </w:p>
        </w:tc>
      </w:tr>
      <w:tr>
        <w:trPr>
          <w:trHeight w:val="1021"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391,693,146.87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391,693,146.87</w:t>
            </w:r>
          </w:p>
        </w:tc>
      </w:tr>
      <w:tr>
        <w:trPr>
          <w:trHeight w:val="7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2,703,334,725.41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2,703,334,725.41</w:t>
            </w:r>
          </w:p>
        </w:tc>
      </w:tr>
      <w:tr>
        <w:trPr>
          <w:trHeight w:val="158"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7" w:type="dxa"/>
            <w:vMerge/>
            <w:tcBorders>
              <w:left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83"/>
      <w:bookmarkEnd w:id="48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84"/>
      <w:bookmarkEnd w:id="48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85"/>
      <w:bookmarkEnd w:id="48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029" w:firstLine="360"/>
        <w:jc w:val="left"/>
      </w:pPr>
      <w:r>
        <w:rPr/>
        <w:t>对于在活跃市场上交易的金融工具，本公司以其活跃市场报价确定其公允价值；对于不在活跃市场上交易的金融工具， 本公司采用估值技术确定其公允价值。</w:t>
      </w:r>
    </w:p>
    <w:p>
      <w:pPr>
        <w:pStyle w:val="BodyText"/>
        <w:spacing w:line="321" w:lineRule="auto" w:before="3"/>
        <w:ind w:right="0" w:firstLine="360"/>
        <w:jc w:val="left"/>
      </w:pPr>
      <w:r>
        <w:rPr>
          <w:spacing w:val="-2"/>
        </w:rPr>
        <w:t>所使用的估值模型主要为现金流量折现模型、最近融资价格法、成本法等。估值技术的输入值主要包括无风险利率、基</w:t>
      </w:r>
      <w:r>
        <w:rPr/>
        <w:t> 准利率、预期收益率、股权风险收益率、权益的系统风险系数、缺乏流动性折价、融资价格、净资产等。</w:t>
      </w:r>
    </w:p>
    <w:p>
      <w:pPr>
        <w:spacing w:after="0" w:line="321"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持续的第三层次公允价值计量项目，期初与期末账面价值间的调节信息及不可观察参数" w:id="486"/>
      <w:bookmarkEnd w:id="48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991"/>
        <w:gridCol w:w="1292"/>
        <w:gridCol w:w="210"/>
        <w:gridCol w:w="225"/>
        <w:gridCol w:w="1156"/>
        <w:gridCol w:w="451"/>
        <w:gridCol w:w="1277"/>
        <w:gridCol w:w="225"/>
        <w:gridCol w:w="225"/>
        <w:gridCol w:w="1291"/>
        <w:gridCol w:w="1277"/>
        <w:gridCol w:w="1051"/>
      </w:tblGrid>
      <w:tr>
        <w:trPr>
          <w:trHeight w:val="660" w:hRule="exact"/>
        </w:trPr>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14"/>
              <w:ind w:left="3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92" w:type="dxa"/>
            <w:vMerge w:val="restart"/>
            <w:tcBorders>
              <w:top w:val="single" w:sz="6" w:space="0" w:color="000000"/>
              <w:left w:val="single" w:sz="6" w:space="0" w:color="000000"/>
              <w:right w:val="single" w:sz="6" w:space="0" w:color="000000"/>
            </w:tcBorders>
          </w:tcPr>
          <w:p>
            <w:pPr>
              <w:pStyle w:val="TableParagraph"/>
              <w:spacing w:line="240" w:lineRule="auto" w:before="14"/>
              <w:ind w:left="27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10" w:type="dxa"/>
            <w:vMerge w:val="restart"/>
            <w:tcBorders>
              <w:top w:val="single" w:sz="6" w:space="0" w:color="000000"/>
              <w:left w:val="single" w:sz="6" w:space="0" w:color="000000"/>
              <w:right w:val="single" w:sz="6" w:space="0" w:color="000000"/>
            </w:tcBorders>
          </w:tcPr>
          <w:p>
            <w:pPr>
              <w:pStyle w:val="TableParagraph"/>
              <w:spacing w:line="319" w:lineRule="auto" w:before="14"/>
              <w:ind w:left="15" w:right="-1"/>
              <w:jc w:val="both"/>
              <w:rPr>
                <w:rFonts w:ascii="宋体" w:hAnsi="宋体" w:cs="宋体" w:eastAsia="宋体" w:hint="default"/>
                <w:sz w:val="18"/>
                <w:szCs w:val="18"/>
              </w:rPr>
            </w:pPr>
            <w:r>
              <w:rPr>
                <w:rFonts w:ascii="宋体" w:hAnsi="宋体" w:cs="宋体" w:eastAsia="宋体" w:hint="default"/>
                <w:sz w:val="18"/>
                <w:szCs w:val="18"/>
              </w:rPr>
              <w:t>转 入 第 三 层 次</w:t>
            </w:r>
          </w:p>
        </w:tc>
        <w:tc>
          <w:tcPr>
            <w:tcW w:w="225" w:type="dxa"/>
            <w:vMerge w:val="restart"/>
            <w:tcBorders>
              <w:top w:val="single" w:sz="6" w:space="0" w:color="000000"/>
              <w:left w:val="single" w:sz="6" w:space="0" w:color="000000"/>
              <w:right w:val="single" w:sz="6" w:space="0" w:color="000000"/>
            </w:tcBorders>
          </w:tcPr>
          <w:p>
            <w:pPr>
              <w:pStyle w:val="TableParagraph"/>
              <w:spacing w:line="319" w:lineRule="auto" w:before="14"/>
              <w:ind w:left="30" w:right="0"/>
              <w:jc w:val="both"/>
              <w:rPr>
                <w:rFonts w:ascii="宋体" w:hAnsi="宋体" w:cs="宋体" w:eastAsia="宋体" w:hint="default"/>
                <w:sz w:val="18"/>
                <w:szCs w:val="18"/>
              </w:rPr>
            </w:pPr>
            <w:r>
              <w:rPr>
                <w:rFonts w:ascii="宋体" w:hAnsi="宋体" w:cs="宋体" w:eastAsia="宋体" w:hint="default"/>
                <w:sz w:val="18"/>
                <w:szCs w:val="18"/>
              </w:rPr>
              <w:t>转 出 第 三 层 次</w:t>
            </w: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705" w:right="76" w:hanging="631"/>
              <w:jc w:val="left"/>
              <w:rPr>
                <w:rFonts w:ascii="宋体" w:hAnsi="宋体" w:cs="宋体" w:eastAsia="宋体" w:hint="default"/>
                <w:sz w:val="18"/>
                <w:szCs w:val="18"/>
              </w:rPr>
            </w:pPr>
            <w:r>
              <w:rPr>
                <w:rFonts w:ascii="宋体" w:hAnsi="宋体" w:cs="宋体" w:eastAsia="宋体" w:hint="default"/>
                <w:sz w:val="18"/>
                <w:szCs w:val="18"/>
              </w:rPr>
              <w:t>当期利得或损失总 额</w:t>
            </w:r>
          </w:p>
        </w:tc>
        <w:tc>
          <w:tcPr>
            <w:tcW w:w="30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95" w:right="0"/>
              <w:jc w:val="left"/>
              <w:rPr>
                <w:rFonts w:ascii="宋体" w:hAnsi="宋体" w:cs="宋体" w:eastAsia="宋体" w:hint="default"/>
                <w:sz w:val="18"/>
                <w:szCs w:val="18"/>
              </w:rPr>
            </w:pPr>
            <w:r>
              <w:rPr>
                <w:rFonts w:ascii="宋体" w:hAnsi="宋体" w:cs="宋体" w:eastAsia="宋体" w:hint="default"/>
                <w:sz w:val="18"/>
                <w:szCs w:val="18"/>
              </w:rPr>
              <w:t>购买、发行、出售和结算</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4"/>
              <w:ind w:left="2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51" w:type="dxa"/>
            <w:vMerge w:val="restart"/>
            <w:tcBorders>
              <w:top w:val="single" w:sz="6" w:space="0" w:color="000000"/>
              <w:left w:val="single" w:sz="6" w:space="0" w:color="000000"/>
              <w:right w:val="single" w:sz="6" w:space="0" w:color="000000"/>
            </w:tcBorders>
          </w:tcPr>
          <w:p>
            <w:pPr>
              <w:pStyle w:val="TableParagraph"/>
              <w:spacing w:line="319" w:lineRule="auto" w:before="14"/>
              <w:ind w:right="1" w:hanging="14"/>
              <w:jc w:val="center"/>
              <w:rPr>
                <w:rFonts w:ascii="宋体" w:hAnsi="宋体" w:cs="宋体" w:eastAsia="宋体" w:hint="default"/>
                <w:sz w:val="18"/>
                <w:szCs w:val="18"/>
              </w:rPr>
            </w:pPr>
            <w:r>
              <w:rPr>
                <w:rFonts w:ascii="宋体" w:hAnsi="宋体" w:cs="宋体" w:eastAsia="宋体" w:hint="default"/>
                <w:sz w:val="18"/>
                <w:szCs w:val="18"/>
              </w:rPr>
              <w:t>对于在报告 期末持有的 </w:t>
            </w:r>
            <w:r>
              <w:rPr>
                <w:rFonts w:ascii="宋体" w:hAnsi="宋体" w:cs="宋体" w:eastAsia="宋体" w:hint="default"/>
                <w:spacing w:val="-8"/>
                <w:sz w:val="18"/>
                <w:szCs w:val="18"/>
              </w:rPr>
              <w:t>资产，计入损</w:t>
            </w:r>
            <w:r>
              <w:rPr>
                <w:rFonts w:ascii="宋体" w:hAnsi="宋体" w:cs="宋体" w:eastAsia="宋体" w:hint="default"/>
                <w:sz w:val="18"/>
                <w:szCs w:val="18"/>
              </w:rPr>
              <w:t> 益的当期未 实现利得或 变动</w:t>
            </w:r>
          </w:p>
        </w:tc>
      </w:tr>
      <w:tr>
        <w:trPr>
          <w:trHeight w:val="1291" w:hRule="exact"/>
        </w:trPr>
        <w:tc>
          <w:tcPr>
            <w:tcW w:w="991"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6" w:space="0" w:color="000000"/>
            </w:tcBorders>
          </w:tcPr>
          <w:p>
            <w:pPr/>
          </w:p>
        </w:tc>
        <w:tc>
          <w:tcPr>
            <w:tcW w:w="210" w:type="dxa"/>
            <w:vMerge/>
            <w:tcBorders>
              <w:left w:val="single" w:sz="6" w:space="0" w:color="000000"/>
              <w:bottom w:val="single" w:sz="6" w:space="0" w:color="000000"/>
              <w:right w:val="single" w:sz="6" w:space="0" w:color="000000"/>
            </w:tcBorders>
          </w:tcPr>
          <w:p>
            <w:pPr/>
          </w:p>
        </w:tc>
        <w:tc>
          <w:tcPr>
            <w:tcW w:w="225" w:type="dxa"/>
            <w:vMerge/>
            <w:tcBorders>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计入损益</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30" w:right="43"/>
              <w:jc w:val="both"/>
              <w:rPr>
                <w:rFonts w:ascii="宋体" w:hAnsi="宋体" w:cs="宋体" w:eastAsia="宋体" w:hint="default"/>
                <w:sz w:val="18"/>
                <w:szCs w:val="18"/>
              </w:rPr>
            </w:pPr>
            <w:r>
              <w:rPr>
                <w:rFonts w:ascii="宋体" w:hAnsi="宋体" w:cs="宋体" w:eastAsia="宋体" w:hint="default"/>
                <w:sz w:val="18"/>
                <w:szCs w:val="18"/>
              </w:rPr>
              <w:t>计入 其他 综合 收益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22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4" w:right="13"/>
              <w:jc w:val="left"/>
              <w:rPr>
                <w:rFonts w:ascii="宋体" w:hAnsi="宋体" w:cs="宋体" w:eastAsia="宋体" w:hint="default"/>
                <w:sz w:val="18"/>
                <w:szCs w:val="18"/>
              </w:rPr>
            </w:pPr>
            <w:r>
              <w:rPr>
                <w:rFonts w:ascii="宋体" w:hAnsi="宋体" w:cs="宋体" w:eastAsia="宋体" w:hint="default"/>
                <w:sz w:val="18"/>
                <w:szCs w:val="18"/>
              </w:rPr>
              <w:t>发 行</w:t>
            </w:r>
          </w:p>
        </w:tc>
        <w:tc>
          <w:tcPr>
            <w:tcW w:w="22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29" w:right="0"/>
              <w:jc w:val="left"/>
              <w:rPr>
                <w:rFonts w:ascii="宋体" w:hAnsi="宋体" w:cs="宋体" w:eastAsia="宋体" w:hint="default"/>
                <w:sz w:val="18"/>
                <w:szCs w:val="18"/>
              </w:rPr>
            </w:pPr>
            <w:r>
              <w:rPr>
                <w:rFonts w:ascii="宋体" w:hAnsi="宋体" w:cs="宋体" w:eastAsia="宋体" w:hint="default"/>
                <w:sz w:val="18"/>
                <w:szCs w:val="18"/>
              </w:rPr>
              <w:t>出 售</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结算</w:t>
            </w:r>
            <w:r>
              <w:rPr>
                <w:rFonts w:ascii="Times New Roman" w:hAnsi="Times New Roman" w:cs="Times New Roman" w:eastAsia="Times New Roman" w:hint="default"/>
                <w:sz w:val="18"/>
                <w:szCs w:val="18"/>
              </w:rPr>
              <w:t>/</w:t>
            </w:r>
            <w:r>
              <w:rPr>
                <w:rFonts w:ascii="宋体" w:hAnsi="宋体" w:cs="宋体" w:eastAsia="宋体" w:hint="default"/>
                <w:sz w:val="18"/>
                <w:szCs w:val="18"/>
              </w:rPr>
              <w:t>分利</w:t>
            </w:r>
          </w:p>
        </w:tc>
        <w:tc>
          <w:tcPr>
            <w:tcW w:w="1277"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r>
      <w:tr>
        <w:trPr>
          <w:trHeight w:val="66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5" w:right="58"/>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1,566,036,218.89</w:t>
            </w:r>
          </w:p>
        </w:tc>
        <w:tc>
          <w:tcPr>
            <w:tcW w:w="210"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 w:right="0"/>
              <w:jc w:val="center"/>
              <w:rPr>
                <w:rFonts w:ascii="Times New Roman" w:hAnsi="Times New Roman" w:cs="Times New Roman" w:eastAsia="Times New Roman" w:hint="default"/>
                <w:sz w:val="18"/>
                <w:szCs w:val="18"/>
              </w:rPr>
            </w:pPr>
            <w:r>
              <w:rPr>
                <w:rFonts w:ascii="Times New Roman"/>
                <w:sz w:val="18"/>
              </w:rPr>
              <w:t>115,672,902.87</w:t>
            </w:r>
          </w:p>
        </w:tc>
        <w:tc>
          <w:tcPr>
            <w:tcW w:w="45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6,912,945,912.25</w:t>
            </w:r>
          </w:p>
        </w:tc>
        <w:tc>
          <w:tcPr>
            <w:tcW w:w="225"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6,283,013,455.47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2,311,641,578.54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23,593,578.54</w:t>
            </w:r>
          </w:p>
        </w:tc>
      </w:tr>
      <w:tr>
        <w:trPr>
          <w:trHeight w:val="1607"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5" w:right="58"/>
              <w:jc w:val="both"/>
              <w:rPr>
                <w:rFonts w:ascii="宋体" w:hAnsi="宋体" w:cs="宋体" w:eastAsia="宋体" w:hint="default"/>
                <w:sz w:val="18"/>
                <w:szCs w:val="18"/>
              </w:rPr>
            </w:pPr>
            <w:r>
              <w:rPr>
                <w:rFonts w:ascii="宋体" w:hAnsi="宋体" w:cs="宋体" w:eastAsia="宋体" w:hint="default"/>
                <w:sz w:val="18"/>
                <w:szCs w:val="18"/>
              </w:rPr>
              <w:t>以公允价值 计量且其变 动计入当期 损益的金融 资产</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1,566,036,218.89</w:t>
            </w:r>
          </w:p>
        </w:tc>
        <w:tc>
          <w:tcPr>
            <w:tcW w:w="210"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 w:right="0"/>
              <w:jc w:val="center"/>
              <w:rPr>
                <w:rFonts w:ascii="Times New Roman" w:hAnsi="Times New Roman" w:cs="Times New Roman" w:eastAsia="Times New Roman" w:hint="default"/>
                <w:sz w:val="18"/>
                <w:szCs w:val="18"/>
              </w:rPr>
            </w:pPr>
            <w:r>
              <w:rPr>
                <w:rFonts w:ascii="Times New Roman"/>
                <w:sz w:val="18"/>
              </w:rPr>
              <w:t>115,672,902.87</w:t>
            </w:r>
          </w:p>
        </w:tc>
        <w:tc>
          <w:tcPr>
            <w:tcW w:w="45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6,912,945,912.25</w:t>
            </w:r>
          </w:p>
        </w:tc>
        <w:tc>
          <w:tcPr>
            <w:tcW w:w="225"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6,283,013,455.47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2,311,641,578.54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23,593,578.54</w:t>
            </w:r>
          </w:p>
        </w:tc>
      </w:tr>
      <w:tr>
        <w:trPr>
          <w:trHeight w:val="66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5" w:right="58"/>
              <w:jc w:val="left"/>
              <w:rPr>
                <w:rFonts w:ascii="宋体" w:hAnsi="宋体" w:cs="宋体" w:eastAsia="宋体" w:hint="default"/>
                <w:sz w:val="18"/>
                <w:szCs w:val="18"/>
              </w:rPr>
            </w:pPr>
            <w:r>
              <w:rPr>
                <w:rFonts w:ascii="宋体" w:hAnsi="宋体" w:cs="宋体" w:eastAsia="宋体" w:hint="default"/>
                <w:sz w:val="18"/>
                <w:szCs w:val="18"/>
              </w:rPr>
              <w:t>◆其他非流 动金融资产</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109,041,334.15</w:t>
            </w:r>
          </w:p>
        </w:tc>
        <w:tc>
          <w:tcPr>
            <w:tcW w:w="210"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4" w:right="0"/>
              <w:jc w:val="center"/>
              <w:rPr>
                <w:rFonts w:ascii="Times New Roman" w:hAnsi="Times New Roman" w:cs="Times New Roman" w:eastAsia="Times New Roman" w:hint="default"/>
                <w:sz w:val="18"/>
                <w:szCs w:val="18"/>
              </w:rPr>
            </w:pPr>
            <w:r>
              <w:rPr>
                <w:rFonts w:ascii="Times New Roman"/>
                <w:w w:val="155"/>
                <w:sz w:val="18"/>
              </w:rPr>
              <w:t>1  </w:t>
            </w:r>
            <w:r>
              <w:rPr>
                <w:rFonts w:ascii="Times New Roman"/>
                <w:spacing w:val="63"/>
                <w:w w:val="155"/>
                <w:sz w:val="18"/>
              </w:rPr>
              <w:t> </w:t>
            </w:r>
            <w:r>
              <w:rPr>
                <w:rFonts w:ascii="Times New Roman"/>
                <w:w w:val="155"/>
                <w:sz w:val="18"/>
              </w:rPr>
              <w:t>1       </w:t>
            </w:r>
            <w:r>
              <w:rPr>
                <w:rFonts w:ascii="Times New Roman"/>
                <w:sz w:val="18"/>
              </w:rPr>
            </w:r>
          </w:p>
        </w:tc>
        <w:tc>
          <w:tcPr>
            <w:tcW w:w="45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33" w:right="0"/>
              <w:jc w:val="center"/>
              <w:rPr>
                <w:rFonts w:ascii="Times New Roman" w:hAnsi="Times New Roman" w:cs="Times New Roman" w:eastAsia="Times New Roman" w:hint="default"/>
                <w:sz w:val="18"/>
                <w:szCs w:val="18"/>
              </w:rPr>
            </w:pPr>
            <w:r>
              <w:rPr>
                <w:rFonts w:ascii="Times New Roman"/>
                <w:sz w:val="18"/>
              </w:rPr>
              <w:t>270,163,346.61</w:t>
            </w:r>
          </w:p>
        </w:tc>
        <w:tc>
          <w:tcPr>
            <w:tcW w:w="225"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1,782,968.12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391,693,146.87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12,488,466.11</w:t>
            </w:r>
          </w:p>
        </w:tc>
      </w:tr>
      <w:tr>
        <w:trPr>
          <w:trHeight w:val="160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5" w:right="58"/>
              <w:jc w:val="both"/>
              <w:rPr>
                <w:rFonts w:ascii="宋体" w:hAnsi="宋体" w:cs="宋体" w:eastAsia="宋体" w:hint="default"/>
                <w:sz w:val="18"/>
                <w:szCs w:val="18"/>
              </w:rPr>
            </w:pPr>
            <w:r>
              <w:rPr>
                <w:rFonts w:ascii="宋体" w:hAnsi="宋体" w:cs="宋体" w:eastAsia="宋体" w:hint="default"/>
                <w:sz w:val="18"/>
                <w:szCs w:val="18"/>
              </w:rPr>
              <w:t>以公允价值 计量且其变 动计入当期 损益的金融 资产</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109,041,334.15</w:t>
            </w:r>
          </w:p>
        </w:tc>
        <w:tc>
          <w:tcPr>
            <w:tcW w:w="210"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4" w:right="0"/>
              <w:jc w:val="center"/>
              <w:rPr>
                <w:rFonts w:ascii="Times New Roman" w:hAnsi="Times New Roman" w:cs="Times New Roman" w:eastAsia="Times New Roman" w:hint="default"/>
                <w:sz w:val="18"/>
                <w:szCs w:val="18"/>
              </w:rPr>
            </w:pPr>
            <w:r>
              <w:rPr>
                <w:rFonts w:ascii="Times New Roman"/>
                <w:w w:val="155"/>
                <w:sz w:val="18"/>
              </w:rPr>
              <w:t>1  </w:t>
            </w:r>
            <w:r>
              <w:rPr>
                <w:rFonts w:ascii="Times New Roman"/>
                <w:spacing w:val="63"/>
                <w:w w:val="155"/>
                <w:sz w:val="18"/>
              </w:rPr>
              <w:t> </w:t>
            </w:r>
            <w:r>
              <w:rPr>
                <w:rFonts w:ascii="Times New Roman"/>
                <w:w w:val="155"/>
                <w:sz w:val="18"/>
              </w:rPr>
              <w:t>1       </w:t>
            </w:r>
            <w:r>
              <w:rPr>
                <w:rFonts w:ascii="Times New Roman"/>
                <w:sz w:val="18"/>
              </w:rPr>
            </w:r>
          </w:p>
        </w:tc>
        <w:tc>
          <w:tcPr>
            <w:tcW w:w="45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33" w:right="0"/>
              <w:jc w:val="center"/>
              <w:rPr>
                <w:rFonts w:ascii="Times New Roman" w:hAnsi="Times New Roman" w:cs="Times New Roman" w:eastAsia="Times New Roman" w:hint="default"/>
                <w:sz w:val="18"/>
                <w:szCs w:val="18"/>
              </w:rPr>
            </w:pPr>
            <w:r>
              <w:rPr>
                <w:rFonts w:ascii="Times New Roman"/>
                <w:sz w:val="18"/>
              </w:rPr>
              <w:t>270,163,346.61</w:t>
            </w:r>
          </w:p>
        </w:tc>
        <w:tc>
          <w:tcPr>
            <w:tcW w:w="225"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1,782,968.12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391,693,146.87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12,488,466.11</w:t>
            </w:r>
          </w:p>
        </w:tc>
      </w:tr>
      <w:tr>
        <w:trPr>
          <w:trHeight w:val="36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w w:val="145"/>
                <w:sz w:val="18"/>
              </w:rPr>
              <w:t>1     0      </w:t>
            </w:r>
            <w:r>
              <w:rPr>
                <w:rFonts w:ascii="Times New Roman"/>
                <w:spacing w:val="19"/>
                <w:w w:val="145"/>
                <w:sz w:val="18"/>
              </w:rPr>
              <w:t> </w:t>
            </w:r>
            <w:r>
              <w:rPr>
                <w:rFonts w:ascii="Times New Roman"/>
                <w:w w:val="145"/>
                <w:sz w:val="18"/>
              </w:rPr>
              <w:t>0 </w:t>
            </w:r>
            <w:r>
              <w:rPr>
                <w:rFonts w:ascii="Times New Roman"/>
                <w:sz w:val="18"/>
              </w:rPr>
            </w:r>
          </w:p>
        </w:tc>
        <w:tc>
          <w:tcPr>
            <w:tcW w:w="210"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 w:right="0"/>
              <w:jc w:val="center"/>
              <w:rPr>
                <w:rFonts w:ascii="Times New Roman" w:hAnsi="Times New Roman" w:cs="Times New Roman" w:eastAsia="Times New Roman" w:hint="default"/>
                <w:sz w:val="18"/>
                <w:szCs w:val="18"/>
              </w:rPr>
            </w:pPr>
            <w:r>
              <w:rPr>
                <w:rFonts w:ascii="Times New Roman"/>
                <w:w w:val="145"/>
                <w:sz w:val="18"/>
              </w:rPr>
              <w:t>1          </w:t>
            </w:r>
            <w:r>
              <w:rPr>
                <w:rFonts w:ascii="Times New Roman"/>
                <w:spacing w:val="15"/>
                <w:w w:val="145"/>
                <w:sz w:val="18"/>
              </w:rPr>
              <w:t> </w:t>
            </w:r>
            <w:r>
              <w:rPr>
                <w:rFonts w:ascii="Times New Roman"/>
                <w:w w:val="145"/>
                <w:sz w:val="18"/>
              </w:rPr>
              <w:t>10</w:t>
            </w:r>
            <w:r>
              <w:rPr>
                <w:rFonts w:ascii="Times New Roman"/>
                <w:sz w:val="18"/>
              </w:rPr>
            </w:r>
          </w:p>
        </w:tc>
        <w:tc>
          <w:tcPr>
            <w:tcW w:w="45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7,183,109,258.86</w:t>
            </w:r>
          </w:p>
        </w:tc>
        <w:tc>
          <w:tcPr>
            <w:tcW w:w="225" w:type="dxa"/>
            <w:tcBorders>
              <w:top w:val="single" w:sz="6" w:space="0" w:color="000000"/>
              <w:left w:val="single" w:sz="6" w:space="0" w:color="000000"/>
              <w:bottom w:val="single" w:sz="6" w:space="0" w:color="000000"/>
              <w:right w:val="single" w:sz="6" w:space="0" w:color="000000"/>
            </w:tcBorders>
          </w:tcPr>
          <w:p>
            <w:pPr/>
          </w:p>
        </w:tc>
        <w:tc>
          <w:tcPr>
            <w:tcW w:w="225"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6,284,796,423.59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2,703,334,725.41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36,082,044.65</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3"/>
        <w:spacing w:line="240" w:lineRule="auto" w:before="35"/>
        <w:ind w:right="0"/>
        <w:jc w:val="left"/>
        <w:rPr>
          <w:b w:val="0"/>
          <w:bCs w:val="0"/>
        </w:rPr>
      </w:pPr>
      <w:bookmarkStart w:name="6、持续的公允价值计量项目，本期内发生各层级之间转换的，转换的原因及确定转换时点" w:id="487"/>
      <w:bookmarkEnd w:id="48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88"/>
      <w:bookmarkEnd w:id="48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89"/>
      <w:bookmarkEnd w:id="48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24"/>
        <w:jc w:val="left"/>
      </w:pPr>
      <w:r>
        <w:rPr>
          <w:spacing w:val="-5"/>
        </w:rPr>
        <w:t>不以公允价值计量的金融资产和负债主要包括：应收款项、长期应收款、债权投资、发放贷款和垫款、短期借款、应付款项、</w:t>
      </w:r>
      <w:r>
        <w:rPr>
          <w:spacing w:val="-85"/>
        </w:rPr>
        <w:t> </w:t>
      </w:r>
      <w:r>
        <w:rPr>
          <w:spacing w:val="-85"/>
        </w:rPr>
      </w:r>
      <w:r>
        <w:rPr/>
        <w:t>应付债券等。</w:t>
      </w:r>
    </w:p>
    <w:p>
      <w:pPr>
        <w:pStyle w:val="BodyText"/>
        <w:spacing w:line="240" w:lineRule="auto" w:before="18"/>
        <w:ind w:right="0"/>
        <w:jc w:val="left"/>
      </w:pPr>
      <w:r>
        <w:rPr/>
        <w:t>不以公允价值计量的金融资产和负债的账面价值与公允价值无重大差异。</w:t>
      </w:r>
    </w:p>
    <w:p>
      <w:pPr>
        <w:spacing w:line="240" w:lineRule="auto" w:before="0"/>
        <w:rPr>
          <w:rFonts w:ascii="宋体" w:hAnsi="宋体" w:cs="宋体" w:eastAsia="宋体" w:hint="default"/>
          <w:sz w:val="18"/>
          <w:szCs w:val="18"/>
        </w:rPr>
      </w:pPr>
    </w:p>
    <w:p>
      <w:pPr>
        <w:spacing w:line="482" w:lineRule="auto" w:before="140"/>
        <w:ind w:left="141" w:right="8098" w:firstLine="0"/>
        <w:jc w:val="left"/>
        <w:rPr>
          <w:rFonts w:ascii="宋体" w:hAnsi="宋体" w:cs="宋体" w:eastAsia="宋体" w:hint="default"/>
          <w:sz w:val="21"/>
          <w:szCs w:val="21"/>
        </w:rPr>
      </w:pPr>
      <w:bookmarkStart w:name="9、其他" w:id="490"/>
      <w:bookmarkEnd w:id="49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91"/>
      <w:bookmarkEnd w:id="491"/>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92"/>
      <w:bookmarkEnd w:id="492"/>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04" w:lineRule="auto"/>
        <w:jc w:val="left"/>
        <w:rPr>
          <w:rFonts w:ascii="宋体" w:hAnsi="宋体" w:cs="宋体" w:eastAsia="宋体" w:hint="default"/>
          <w:sz w:val="18"/>
          <w:szCs w:val="18"/>
        </w:rPr>
        <w:sectPr>
          <w:footerReference w:type="default" r:id="rId24"/>
          <w:pgSz w:w="11910" w:h="16850"/>
          <w:pgMar w:footer="981" w:header="731" w:top="1040" w:bottom="1180" w:left="1000" w:right="0"/>
        </w:sectPr>
      </w:pPr>
    </w:p>
    <w:p>
      <w:pPr>
        <w:spacing w:line="240" w:lineRule="auto" w:before="1"/>
        <w:rPr>
          <w:rFonts w:ascii="宋体" w:hAnsi="宋体" w:cs="宋体" w:eastAsia="宋体" w:hint="default"/>
          <w:b/>
          <w:bCs/>
          <w:sz w:val="26"/>
          <w:szCs w:val="26"/>
        </w:rPr>
      </w:pPr>
    </w:p>
    <w:p>
      <w:pPr>
        <w:pStyle w:val="BodyText"/>
        <w:spacing w:line="350" w:lineRule="auto"/>
        <w:ind w:right="5799"/>
        <w:jc w:val="left"/>
      </w:pPr>
      <w:r>
        <w:rPr/>
        <w:t>本企业的母公司情况的说明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日起，公司的控制权关系变更为无实际控制人。 本企业最终控制方是无。</w:t>
      </w:r>
    </w:p>
    <w:p>
      <w:pPr>
        <w:pStyle w:val="BodyText"/>
        <w:spacing w:line="240" w:lineRule="auto" w:before="2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2、本企业的子公司情况" w:id="493"/>
      <w:bookmarkEnd w:id="49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本企业合营和联营企业情况" w:id="494"/>
      <w:bookmarkEnd w:id="49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4"/>
          <w:szCs w:val="24"/>
        </w:rPr>
      </w:pPr>
    </w:p>
    <w:p>
      <w:pPr>
        <w:pStyle w:val="BodyText"/>
        <w:spacing w:line="352" w:lineRule="auto" w:before="0"/>
        <w:ind w:right="2289"/>
        <w:jc w:val="left"/>
      </w:pPr>
      <w:r>
        <w:rPr/>
        <w:t>本企业重要的合营或联营企业详见附注九、在其他主体中的权益。 本期与本公司发生关联方交易，或前期与本公司发生关联方交易形成余额的其他合营或联营企业情况如下：</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众成融资租赁（上海）有限公司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上海益车信息服务有限公司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联营企业子公司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宁波盛盈信息服务有限公司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pStyle w:val="BodyText"/>
        <w:spacing w:line="240" w:lineRule="auto"/>
        <w:ind w:right="0"/>
        <w:jc w:val="left"/>
      </w:pPr>
      <w:r>
        <w:rPr/>
        <w:t>其他说明</w:t>
      </w:r>
    </w:p>
    <w:p>
      <w:pPr>
        <w:pStyle w:val="BodyText"/>
        <w:spacing w:line="321" w:lineRule="auto" w:before="110"/>
        <w:ind w:right="1112" w:firstLine="360"/>
        <w:jc w:val="left"/>
      </w:pPr>
      <w:r>
        <w:rPr/>
        <w:t>注：根据股权转让协议约定，</w:t>
      </w:r>
      <w:r>
        <w:rPr>
          <w:spacing w:val="7"/>
        </w:rPr>
        <w:t> </w:t>
      </w:r>
      <w:r>
        <w:rPr/>
        <w:t>公司将持有的宁波盛盈信息服务有限公司</w:t>
      </w:r>
      <w:r>
        <w:rPr>
          <w:rFonts w:ascii="宋体" w:hAnsi="宋体" w:cs="宋体" w:eastAsia="宋体" w:hint="default"/>
        </w:rPr>
        <w:t>50.00%</w:t>
      </w:r>
      <w:r>
        <w:rPr/>
        <w:t>股权以截止</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31</w:t>
      </w:r>
      <w:r>
        <w:rPr/>
        <w:t>日净资产作价 转让给外部股东并于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22</w:t>
      </w:r>
      <w:r>
        <w:rPr/>
        <w:t>日收到上述股权转让款项。</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其他关联方情况" w:id="495"/>
      <w:bookmarkEnd w:id="49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5、关联交易情况" w:id="496"/>
      <w:bookmarkEnd w:id="49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购销商品、提供和接受劳务的关联交易" w:id="497"/>
      <w:bookmarkEnd w:id="49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39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宁波盛盈金融信息 服务有限公司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互联网推广</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1,021,475.41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3,927,726.36</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众成融资租赁（上 海）有限公司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674,491.99</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上海益车信息服务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3,687,685.55</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5"/>
          <w:pgSz w:w="11910" w:h="16850"/>
          <w:pgMar w:footer="981" w:header="731" w:top="1040" w:bottom="1180" w:left="1000" w:right="0"/>
          <w:pgNumType w:start="201"/>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宁波盛盈金融信息服务有限公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互联网推广</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7,710.38</w:t>
            </w:r>
          </w:p>
        </w:tc>
        <w:tc>
          <w:tcPr>
            <w:tcW w:w="265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关联受托管理/承包及委托管理/出包情况" w:id="498"/>
      <w:bookmarkEnd w:id="49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210" w:right="28"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05" w:right="59" w:hanging="7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pStyle w:val="BodyText"/>
        <w:spacing w:line="333" w:lineRule="auto" w:before="60"/>
        <w:ind w:right="-9"/>
        <w:jc w:val="left"/>
      </w:pPr>
      <w:r>
        <w:rPr/>
        <w:t>关联托管</w:t>
      </w:r>
      <w:r>
        <w:rPr>
          <w:rFonts w:ascii="Times New Roman" w:hAnsi="Times New Roman" w:cs="Times New Roman" w:eastAsia="Times New Roman" w:hint="default"/>
        </w:rPr>
        <w:t>/</w:t>
      </w:r>
      <w:r>
        <w:rPr/>
        <w:t>承包情况说明 </w:t>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529" w:space="6318"/>
            <w:col w:w="2063"/>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390" w:right="29"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9"/>
        <w:ind w:right="0"/>
        <w:jc w:val="left"/>
      </w:pPr>
      <w:r>
        <w:rPr/>
        <w:t>关联管理</w:t>
      </w:r>
      <w:r>
        <w:rPr>
          <w:rFonts w:ascii="Times New Roman" w:hAnsi="Times New Roman" w:cs="Times New Roman" w:eastAsia="Times New Roman" w:hint="default"/>
        </w:rPr>
        <w:t>/</w:t>
      </w:r>
      <w:r>
        <w:rPr/>
        <w:t>出包情况说明</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99"/>
      <w:bookmarkEnd w:id="49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本公司作为出租方：</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ind w:right="0"/>
        <w:jc w:val="left"/>
      </w:pPr>
      <w:r>
        <w:rPr/>
        <w:t>本公司作为承租方：</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关联担保情况" w:id="500"/>
      <w:bookmarkEnd w:id="50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right="0"/>
        <w:jc w:val="left"/>
      </w:pPr>
      <w:r>
        <w:rPr/>
        <w:t>本公司作为担保方</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5"/>
        <w:ind w:right="0"/>
        <w:jc w:val="left"/>
      </w:pPr>
      <w:r>
        <w:rPr/>
        <w:t>本公司作为被担保方</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5"/>
        <w:ind w:right="0"/>
        <w:jc w:val="left"/>
      </w:pPr>
      <w:r>
        <w:rPr/>
        <w:t>关联担保情况说明</w:t>
      </w:r>
    </w:p>
    <w:p>
      <w:pPr>
        <w:spacing w:after="0" w:line="240" w:lineRule="auto"/>
        <w:jc w:val="left"/>
        <w:sectPr>
          <w:type w:val="continuous"/>
          <w:pgSz w:w="11910" w:h="16850"/>
          <w:pgMar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5）关联方资金拆借" w:id="501"/>
      <w:bookmarkEnd w:id="50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37,600,000.00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10,300,000.00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30,100,000.00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浙富控股集团股份有限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8.73%</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上海益车信息服务有限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8.40%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502"/>
      <w:bookmarkEnd w:id="50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503"/>
      <w:bookmarkEnd w:id="50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7,806,100.00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6,920,600.00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508" w:lineRule="auto" w:before="35"/>
        <w:ind w:right="8535"/>
        <w:jc w:val="left"/>
        <w:rPr>
          <w:b w:val="0"/>
          <w:bCs w:val="0"/>
        </w:rPr>
      </w:pPr>
      <w:bookmarkStart w:name="（8）其他关联交易" w:id="504"/>
      <w:bookmarkEnd w:id="504"/>
      <w:r>
        <w:rPr>
          <w:b w:val="0"/>
          <w:bCs w:val="0"/>
        </w:rPr>
      </w:r>
      <w:r>
        <w:rPr/>
        <w:t>（</w:t>
      </w:r>
      <w:r>
        <w:rPr>
          <w:rFonts w:ascii="Times New Roman" w:hAnsi="Times New Roman" w:cs="Times New Roman" w:eastAsia="Times New Roman" w:hint="default"/>
        </w:rPr>
        <w:t>8</w:t>
      </w:r>
      <w:r>
        <w:rPr/>
        <w:t>）其他关联交易</w:t>
      </w:r>
      <w:r>
        <w:rPr>
          <w:w w:val="99"/>
        </w:rPr>
        <w:t> </w:t>
      </w:r>
      <w:bookmarkStart w:name="6、关联方应收应付款项" w:id="505"/>
      <w:bookmarkEnd w:id="505"/>
      <w:r>
        <w:rPr>
          <w:w w:val="99"/>
        </w:rPr>
      </w:r>
      <w:r>
        <w:rPr>
          <w:rFonts w:ascii="Times New Roman" w:hAnsi="Times New Roman" w:cs="Times New Roman" w:eastAsia="Times New Roman" w:hint="default"/>
        </w:rPr>
        <w:t>6</w:t>
      </w:r>
      <w:r>
        <w:rPr/>
        <w:t>、关联方应收应付款项</w:t>
      </w:r>
      <w:r>
        <w:rPr>
          <w:b w:val="0"/>
          <w:bCs w:val="0"/>
        </w:rPr>
      </w:r>
    </w:p>
    <w:p>
      <w:pPr>
        <w:pStyle w:val="Heading3"/>
        <w:spacing w:line="240" w:lineRule="auto" w:before="64"/>
        <w:ind w:right="0"/>
        <w:jc w:val="left"/>
        <w:rPr>
          <w:b w:val="0"/>
          <w:bCs w:val="0"/>
        </w:rPr>
      </w:pPr>
      <w:bookmarkStart w:name="（1）应收项目" w:id="506"/>
      <w:bookmarkEnd w:id="50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华商云信用保险股 份有限公司（筹）</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8,000,000.00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4,000,000.00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507"/>
      <w:bookmarkEnd w:id="50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上海益车信息服务有限公司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11" w:right="0"/>
              <w:jc w:val="left"/>
              <w:rPr>
                <w:rFonts w:ascii="Times New Roman" w:hAnsi="Times New Roman" w:cs="Times New Roman" w:eastAsia="Times New Roman" w:hint="default"/>
                <w:sz w:val="18"/>
                <w:szCs w:val="18"/>
              </w:rPr>
            </w:pPr>
            <w:r>
              <w:rPr>
                <w:rFonts w:ascii="Times New Roman"/>
                <w:sz w:val="18"/>
              </w:rPr>
              <w:t>1,387,540.52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宁波盛盈金融信息服务有限 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429,578.00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7"/>
              <w:jc w:val="left"/>
              <w:rPr>
                <w:rFonts w:ascii="宋体" w:hAnsi="宋体" w:cs="宋体" w:eastAsia="宋体" w:hint="default"/>
                <w:sz w:val="18"/>
                <w:szCs w:val="18"/>
              </w:rPr>
            </w:pPr>
            <w:r>
              <w:rPr>
                <w:rFonts w:ascii="宋体" w:hAnsi="宋体" w:cs="宋体" w:eastAsia="宋体" w:hint="default"/>
                <w:sz w:val="18"/>
                <w:szCs w:val="18"/>
              </w:rPr>
              <w:t>宁波盛盈金融信息服务有限 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100,183,333.34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508"/>
      <w:bookmarkEnd w:id="50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1"/>
        <w:rPr>
          <w:rFonts w:ascii="宋体" w:hAnsi="宋体" w:cs="宋体" w:eastAsia="宋体" w:hint="default"/>
          <w:b/>
          <w:bCs/>
          <w:sz w:val="24"/>
          <w:szCs w:val="24"/>
        </w:rPr>
      </w:pPr>
    </w:p>
    <w:p>
      <w:pPr>
        <w:spacing w:line="482" w:lineRule="auto" w:before="0"/>
        <w:ind w:left="141" w:right="8746" w:firstLine="0"/>
        <w:jc w:val="left"/>
        <w:rPr>
          <w:rFonts w:ascii="宋体" w:hAnsi="宋体" w:cs="宋体" w:eastAsia="宋体" w:hint="default"/>
          <w:sz w:val="21"/>
          <w:szCs w:val="21"/>
        </w:rPr>
      </w:pPr>
      <w:bookmarkStart w:name="8、其他" w:id="509"/>
      <w:bookmarkEnd w:id="50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510"/>
      <w:bookmarkEnd w:id="510"/>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11"/>
      <w:bookmarkEnd w:id="5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467"/>
        <w:gridCol w:w="4115"/>
      </w:tblGrid>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12,151,750.00</w:t>
            </w:r>
          </w:p>
        </w:tc>
      </w:tr>
      <w:tr>
        <w:trPr>
          <w:trHeight w:val="1021"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4"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/11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2017 </w:t>
            </w:r>
            <w:r>
              <w:rPr>
                <w:rFonts w:ascii="宋体" w:hAnsi="宋体" w:cs="宋体" w:eastAsia="宋体" w:hint="default"/>
                <w:sz w:val="18"/>
                <w:szCs w:val="18"/>
              </w:rPr>
              <w:t>年首期 </w:t>
            </w:r>
            <w:r>
              <w:rPr>
                <w:rFonts w:ascii="Times New Roman" w:hAnsi="Times New Roman" w:cs="Times New Roman" w:eastAsia="Times New Roman" w:hint="default"/>
                <w:sz w:val="18"/>
                <w:szCs w:val="18"/>
              </w:rPr>
              <w:t>4.20 </w:t>
            </w: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2017 </w:t>
            </w:r>
            <w:r>
              <w:rPr>
                <w:rFonts w:ascii="宋体" w:hAnsi="宋体" w:cs="宋体" w:eastAsia="宋体" w:hint="default"/>
                <w:sz w:val="18"/>
                <w:szCs w:val="18"/>
              </w:rPr>
              <w:t>年预留</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2.26 </w:t>
            </w:r>
            <w:r>
              <w:rPr>
                <w:rFonts w:ascii="宋体" w:hAnsi="宋体" w:cs="宋体" w:eastAsia="宋体" w:hint="default"/>
                <w:sz w:val="18"/>
                <w:szCs w:val="18"/>
              </w:rPr>
              <w:t>元</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r>
    </w:tbl>
    <w:p>
      <w:pPr>
        <w:pStyle w:val="BodyText"/>
        <w:spacing w:line="240" w:lineRule="auto" w:before="45"/>
        <w:ind w:right="0"/>
        <w:jc w:val="left"/>
      </w:pPr>
      <w:r>
        <w:rPr/>
        <w:t>其他说明</w:t>
      </w:r>
    </w:p>
    <w:p>
      <w:pPr>
        <w:pStyle w:val="BodyText"/>
        <w:spacing w:line="240" w:lineRule="auto" w:before="109"/>
        <w:ind w:left="501" w:right="0"/>
        <w:jc w:val="left"/>
      </w:pPr>
      <w:r>
        <w:rPr>
          <w:rFonts w:ascii="宋体" w:hAnsi="宋体" w:cs="宋体" w:eastAsia="宋体" w:hint="default"/>
        </w:rPr>
        <w:t>1</w:t>
      </w:r>
      <w:r>
        <w:rPr/>
        <w:t>、公司股份支付计划</w:t>
      </w:r>
    </w:p>
    <w:p>
      <w:pPr>
        <w:pStyle w:val="BodyText"/>
        <w:spacing w:line="240" w:lineRule="auto" w:before="80"/>
        <w:ind w:left="501" w:right="0"/>
        <w:jc w:val="left"/>
      </w:pPr>
      <w:r>
        <w:rPr/>
        <w:t>（</w:t>
      </w:r>
      <w:r>
        <w:rPr>
          <w:rFonts w:ascii="宋体" w:hAnsi="宋体" w:cs="宋体" w:eastAsia="宋体" w:hint="default"/>
        </w:rPr>
        <w:t>1</w:t>
      </w:r>
      <w:r>
        <w:rPr/>
        <w:t>）</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14</w:t>
      </w:r>
      <w:r>
        <w:rPr/>
        <w:t>日经股东大会审议通过《公司</w:t>
      </w:r>
      <w:r>
        <w:rPr>
          <w:rFonts w:ascii="宋体" w:hAnsi="宋体" w:cs="宋体" w:eastAsia="宋体" w:hint="default"/>
        </w:rPr>
        <w:t>2016</w:t>
      </w:r>
      <w:r>
        <w:rPr/>
        <w:t>年限制性股票激励计划（草案）》及摘要，并于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14</w:t>
      </w:r>
      <w:r>
        <w:rPr/>
        <w:t>日</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6"/>
        <w:jc w:val="both"/>
      </w:pPr>
      <w:r>
        <w:rPr>
          <w:spacing w:val="-2"/>
        </w:rPr>
        <w:t>第六届董事会第八次会议审议通过《关于向激励对象授予限制性股票（首期）的议案》（首期计划）。公司于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rFonts w:ascii="宋体" w:hAnsi="宋体" w:cs="宋体" w:eastAsia="宋体" w:hint="default"/>
          <w:spacing w:val="-56"/>
        </w:rPr>
        <w:t> </w:t>
      </w:r>
      <w:r>
        <w:rPr/>
        <w:t>日，完成对</w:t>
      </w:r>
      <w:r>
        <w:rPr>
          <w:rFonts w:ascii="宋体" w:hAnsi="宋体" w:cs="宋体" w:eastAsia="宋体" w:hint="default"/>
        </w:rPr>
        <w:t>56</w:t>
      </w:r>
      <w:r>
        <w:rPr/>
        <w:t>名激励对象限制性股票的授予。根据首期计划，共授予激励对象公司限制性股票</w:t>
      </w:r>
      <w:r>
        <w:rPr>
          <w:rFonts w:ascii="宋体" w:hAnsi="宋体" w:cs="宋体" w:eastAsia="宋体" w:hint="default"/>
        </w:rPr>
        <w:t>2,215</w:t>
      </w:r>
      <w:r>
        <w:rPr/>
        <w:t>万股，授予价格为</w:t>
      </w:r>
      <w:r>
        <w:rPr>
          <w:rFonts w:ascii="宋体" w:hAnsi="宋体" w:cs="宋体" w:eastAsia="宋体" w:hint="default"/>
        </w:rPr>
        <w:t>5.81</w:t>
      </w:r>
      <w:r>
        <w:rPr>
          <w:rFonts w:ascii="宋体" w:hAnsi="宋体" w:cs="宋体" w:eastAsia="宋体" w:hint="default"/>
          <w:spacing w:val="-81"/>
        </w:rPr>
        <w:t> </w:t>
      </w:r>
      <w:r>
        <w:rPr/>
        <w:t>元每股，本激励计划共分三期解锁，解除限售时间如下表所示：</w:t>
      </w:r>
    </w:p>
    <w:tbl>
      <w:tblPr>
        <w:tblW w:w="0" w:type="auto"/>
        <w:jc w:val="left"/>
        <w:tblInd w:w="111" w:type="dxa"/>
        <w:tblLayout w:type="fixed"/>
        <w:tblCellMar>
          <w:top w:w="0" w:type="dxa"/>
          <w:left w:w="0" w:type="dxa"/>
          <w:bottom w:w="0" w:type="dxa"/>
          <w:right w:w="0" w:type="dxa"/>
        </w:tblCellMar>
        <w:tblLook w:val="01E0"/>
      </w:tblPr>
      <w:tblGrid>
        <w:gridCol w:w="2252"/>
        <w:gridCol w:w="5663"/>
        <w:gridCol w:w="1757"/>
      </w:tblGrid>
      <w:tr>
        <w:trPr>
          <w:trHeight w:val="36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9"/>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61"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58"/>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40%</w:t>
            </w:r>
          </w:p>
        </w:tc>
      </w:tr>
      <w:tr>
        <w:trPr>
          <w:trHeight w:val="66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58"/>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30%</w:t>
            </w:r>
          </w:p>
        </w:tc>
      </w:tr>
      <w:tr>
        <w:trPr>
          <w:trHeight w:val="67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30"/>
              <w:ind w:right="58"/>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30%</w:t>
            </w:r>
          </w:p>
        </w:tc>
      </w:tr>
    </w:tbl>
    <w:p>
      <w:pPr>
        <w:pStyle w:val="BodyText"/>
        <w:spacing w:line="321" w:lineRule="auto" w:before="3"/>
        <w:ind w:right="1115" w:firstLine="36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7</w:t>
      </w:r>
      <w:r>
        <w:rPr>
          <w:spacing w:val="-3"/>
        </w:rPr>
        <w:t>日第六届董事会第二十二次会议审议通过《关于向激励对象授予 </w:t>
      </w:r>
      <w:r>
        <w:rPr>
          <w:rFonts w:ascii="宋体" w:hAnsi="宋体" w:cs="宋体" w:eastAsia="宋体" w:hint="default"/>
        </w:rPr>
        <w:t>2016</w:t>
      </w:r>
      <w:r>
        <w:rPr>
          <w:rFonts w:ascii="宋体" w:hAnsi="宋体" w:cs="宋体" w:eastAsia="宋体" w:hint="default"/>
          <w:spacing w:val="36"/>
        </w:rPr>
        <w:t> </w:t>
      </w:r>
      <w:r>
        <w:rPr/>
        <w:t>年限制性股票激励计划预留部 </w:t>
      </w:r>
      <w:r>
        <w:rPr>
          <w:spacing w:val="-2"/>
        </w:rPr>
        <w:t>分限制性股票的议案》。公司于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日，完成对</w:t>
      </w:r>
      <w:r>
        <w:rPr>
          <w:rFonts w:ascii="宋体" w:hAnsi="宋体" w:cs="宋体" w:eastAsia="宋体" w:hint="default"/>
          <w:spacing w:val="-2"/>
        </w:rPr>
        <w:t>30</w:t>
      </w:r>
      <w:r>
        <w:rPr>
          <w:spacing w:val="-2"/>
        </w:rPr>
        <w:t>名激励对象限制性股票的授予。根据计划，共授予激励对象公司</w:t>
      </w:r>
      <w:r>
        <w:rPr>
          <w:spacing w:val="-45"/>
        </w:rPr>
        <w:t> </w:t>
      </w:r>
      <w:r>
        <w:rPr>
          <w:spacing w:val="-45"/>
        </w:rPr>
      </w:r>
      <w:r>
        <w:rPr/>
        <w:t>限制性股票</w:t>
      </w:r>
      <w:r>
        <w:rPr>
          <w:rFonts w:ascii="宋体" w:hAnsi="宋体" w:cs="宋体" w:eastAsia="宋体" w:hint="default"/>
        </w:rPr>
        <w:t>484.50</w:t>
      </w:r>
      <w:r>
        <w:rPr/>
        <w:t>万股，授予价格为</w:t>
      </w:r>
      <w:r>
        <w:rPr>
          <w:rFonts w:ascii="宋体" w:hAnsi="宋体" w:cs="宋体" w:eastAsia="宋体" w:hint="default"/>
        </w:rPr>
        <w:t>3.60</w:t>
      </w:r>
      <w:r>
        <w:rPr/>
        <w:t>元每股，本激励计划共分两期解锁，解除限售时间如下表所示：</w:t>
      </w:r>
    </w:p>
    <w:tbl>
      <w:tblPr>
        <w:tblW w:w="0" w:type="auto"/>
        <w:jc w:val="left"/>
        <w:tblInd w:w="111" w:type="dxa"/>
        <w:tblLayout w:type="fixed"/>
        <w:tblCellMar>
          <w:top w:w="0" w:type="dxa"/>
          <w:left w:w="0" w:type="dxa"/>
          <w:bottom w:w="0" w:type="dxa"/>
          <w:right w:w="0" w:type="dxa"/>
        </w:tblCellMar>
        <w:tblLook w:val="01E0"/>
      </w:tblPr>
      <w:tblGrid>
        <w:gridCol w:w="2283"/>
        <w:gridCol w:w="5632"/>
        <w:gridCol w:w="1757"/>
      </w:tblGrid>
      <w:tr>
        <w:trPr>
          <w:trHeight w:val="361"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6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63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32"/>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个月后的首个交易日起至相应的授予完成日 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50%</w:t>
            </w:r>
          </w:p>
        </w:tc>
      </w:tr>
      <w:tr>
        <w:trPr>
          <w:trHeight w:val="67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63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32"/>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个月后的首个交易日起至相应的授予完成日 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50%</w:t>
            </w:r>
          </w:p>
        </w:tc>
      </w:tr>
    </w:tbl>
    <w:p>
      <w:pPr>
        <w:pStyle w:val="BodyText"/>
        <w:spacing w:line="316" w:lineRule="auto" w:before="3"/>
        <w:ind w:right="1126" w:firstLine="360"/>
        <w:jc w:val="both"/>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15</w:t>
      </w:r>
      <w:r>
        <w:rPr>
          <w:spacing w:val="-2"/>
        </w:rPr>
        <w:t>日经股东大会审议通过《公司</w:t>
      </w:r>
      <w:r>
        <w:rPr>
          <w:rFonts w:ascii="宋体" w:hAnsi="宋体" w:cs="宋体" w:eastAsia="宋体" w:hint="default"/>
          <w:spacing w:val="-2"/>
        </w:rPr>
        <w:t>2017</w:t>
      </w:r>
      <w:r>
        <w:rPr>
          <w:spacing w:val="-2"/>
        </w:rPr>
        <w:t>年限制性股票激励计划（草案）》及摘要，并于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日第</w:t>
      </w:r>
      <w:r>
        <w:rPr/>
        <w:t> </w:t>
      </w:r>
      <w:r>
        <w:rPr>
          <w:spacing w:val="-2"/>
        </w:rPr>
        <w:t>六届董事会第二十三次会议审议通过《关于向激励对象授予</w:t>
      </w:r>
      <w:r>
        <w:rPr>
          <w:rFonts w:ascii="宋体" w:hAnsi="宋体" w:cs="宋体" w:eastAsia="宋体" w:hint="default"/>
          <w:spacing w:val="-2"/>
        </w:rPr>
        <w:t>2017</w:t>
      </w:r>
      <w:r>
        <w:rPr>
          <w:spacing w:val="-2"/>
        </w:rPr>
        <w:t>年限制性股票（首期）的议案》（首期计划）。公司于</w:t>
      </w:r>
      <w:r>
        <w:rPr>
          <w:rFonts w:ascii="宋体" w:hAnsi="宋体" w:cs="宋体" w:eastAsia="宋体" w:hint="default"/>
          <w:spacing w:val="-2"/>
        </w:rPr>
        <w:t>2017</w:t>
      </w:r>
      <w:r>
        <w:rPr>
          <w:rFonts w:ascii="宋体" w:hAnsi="宋体" w:cs="宋体" w:eastAsia="宋体" w:hint="default"/>
          <w:spacing w:val="-55"/>
        </w:rPr>
        <w:t> </w:t>
      </w:r>
      <w:r>
        <w:rPr/>
        <w:t>年</w:t>
      </w:r>
      <w:r>
        <w:rPr>
          <w:rFonts w:ascii="宋体" w:hAnsi="宋体" w:cs="宋体" w:eastAsia="宋体" w:hint="default"/>
        </w:rPr>
        <w:t>12</w:t>
      </w:r>
      <w:r>
        <w:rPr/>
        <w:t>月</w:t>
      </w:r>
      <w:r>
        <w:rPr>
          <w:rFonts w:ascii="宋体" w:hAnsi="宋体" w:cs="宋体" w:eastAsia="宋体" w:hint="default"/>
        </w:rPr>
        <w:t>7</w:t>
      </w:r>
      <w:r>
        <w:rPr/>
        <w:t>日，完成对</w:t>
      </w:r>
      <w:r>
        <w:rPr>
          <w:rFonts w:ascii="宋体" w:hAnsi="宋体" w:cs="宋体" w:eastAsia="宋体" w:hint="default"/>
        </w:rPr>
        <w:t>15</w:t>
      </w:r>
      <w:r>
        <w:rPr/>
        <w:t>名激励对象限制性股票的授予。根据首期计划，共授予激励对象公司限制性股票</w:t>
      </w:r>
      <w:r>
        <w:rPr>
          <w:rFonts w:ascii="宋体" w:hAnsi="宋体" w:cs="宋体" w:eastAsia="宋体" w:hint="default"/>
        </w:rPr>
        <w:t>12,580</w:t>
      </w:r>
      <w:r>
        <w:rPr/>
        <w:t>万股，授予价</w:t>
      </w:r>
      <w:r>
        <w:rPr>
          <w:spacing w:val="-81"/>
        </w:rPr>
        <w:t> </w:t>
      </w:r>
      <w:r>
        <w:rPr/>
        <w:t>格为</w:t>
      </w:r>
      <w:r>
        <w:rPr>
          <w:rFonts w:ascii="宋体" w:hAnsi="宋体" w:cs="宋体" w:eastAsia="宋体" w:hint="default"/>
        </w:rPr>
        <w:t>4.20</w:t>
      </w:r>
      <w:r>
        <w:rPr/>
        <w:t>元每股，本激励计划共分三期解锁，解除限售时间如下表所示：</w:t>
      </w:r>
    </w:p>
    <w:tbl>
      <w:tblPr>
        <w:tblW w:w="0" w:type="auto"/>
        <w:jc w:val="left"/>
        <w:tblInd w:w="111" w:type="dxa"/>
        <w:tblLayout w:type="fixed"/>
        <w:tblCellMar>
          <w:top w:w="0" w:type="dxa"/>
          <w:left w:w="0" w:type="dxa"/>
          <w:bottom w:w="0" w:type="dxa"/>
          <w:right w:w="0" w:type="dxa"/>
        </w:tblCellMar>
        <w:tblLook w:val="01E0"/>
      </w:tblPr>
      <w:tblGrid>
        <w:gridCol w:w="2252"/>
        <w:gridCol w:w="5663"/>
        <w:gridCol w:w="1757"/>
      </w:tblGrid>
      <w:tr>
        <w:trPr>
          <w:trHeight w:val="34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9"/>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7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58"/>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50%</w:t>
            </w:r>
          </w:p>
        </w:tc>
      </w:tr>
      <w:tr>
        <w:trPr>
          <w:trHeight w:val="66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29"/>
              <w:ind w:right="58"/>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sz w:val="18"/>
              </w:rPr>
              <w:t>30%</w:t>
            </w:r>
          </w:p>
        </w:tc>
      </w:tr>
      <w:tr>
        <w:trPr>
          <w:trHeight w:val="67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30"/>
              <w:ind w:right="58"/>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20%</w:t>
            </w:r>
          </w:p>
        </w:tc>
      </w:tr>
    </w:tbl>
    <w:p>
      <w:pPr>
        <w:pStyle w:val="BodyText"/>
        <w:spacing w:line="314" w:lineRule="auto" w:before="22"/>
        <w:ind w:right="1127" w:firstLine="360"/>
        <w:jc w:val="both"/>
      </w:pPr>
      <w:r>
        <w:rPr>
          <w:spacing w:val="-3"/>
        </w:rPr>
        <w:t>（</w:t>
      </w:r>
      <w:r>
        <w:rPr>
          <w:rFonts w:ascii="宋体" w:hAnsi="宋体" w:cs="宋体" w:eastAsia="宋体" w:hint="default"/>
          <w:spacing w:val="-3"/>
        </w:rPr>
        <w:t>4</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17</w:t>
      </w:r>
      <w:r>
        <w:rPr>
          <w:spacing w:val="-3"/>
        </w:rPr>
        <w:t>日第六届董事会第二十八次会议审议通过《关于向激励对象授予 </w:t>
      </w:r>
      <w:r>
        <w:rPr>
          <w:rFonts w:ascii="宋体" w:hAnsi="宋体" w:cs="宋体" w:eastAsia="宋体" w:hint="default"/>
        </w:rPr>
        <w:t>2018</w:t>
      </w:r>
      <w:r>
        <w:rPr>
          <w:rFonts w:ascii="宋体" w:hAnsi="宋体" w:cs="宋体" w:eastAsia="宋体" w:hint="default"/>
          <w:spacing w:val="38"/>
        </w:rPr>
        <w:t> </w:t>
      </w:r>
      <w:r>
        <w:rPr/>
        <w:t>年限制性股票激励计划预留部 分限制性股票的议案》。公司于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29</w:t>
      </w:r>
      <w:r>
        <w:rPr/>
        <w:t>日，完成对</w:t>
      </w:r>
      <w:r>
        <w:rPr>
          <w:rFonts w:ascii="宋体" w:hAnsi="宋体" w:cs="宋体" w:eastAsia="宋体" w:hint="default"/>
        </w:rPr>
        <w:t>46</w:t>
      </w:r>
      <w:r>
        <w:rPr/>
        <w:t>名激励对象限制性股票的授予。根据计划，共授予激励对象公司</w:t>
      </w:r>
      <w:r>
        <w:rPr>
          <w:spacing w:val="-86"/>
        </w:rPr>
        <w:t> </w:t>
      </w:r>
      <w:r>
        <w:rPr/>
        <w:t>限制性股票</w:t>
      </w:r>
      <w:r>
        <w:rPr>
          <w:rFonts w:ascii="宋体" w:hAnsi="宋体" w:cs="宋体" w:eastAsia="宋体" w:hint="default"/>
        </w:rPr>
        <w:t>728</w:t>
      </w:r>
      <w:r>
        <w:rPr/>
        <w:t>万股，授予价格为</w:t>
      </w:r>
      <w:r>
        <w:rPr>
          <w:rFonts w:ascii="宋体" w:hAnsi="宋体" w:cs="宋体" w:eastAsia="宋体" w:hint="default"/>
        </w:rPr>
        <w:t>2.26</w:t>
      </w:r>
      <w:r>
        <w:rPr/>
        <w:t>元每股，本激励计划共分两期解锁，解除限售时间如下表所示：</w:t>
      </w:r>
    </w:p>
    <w:tbl>
      <w:tblPr>
        <w:tblW w:w="0" w:type="auto"/>
        <w:jc w:val="left"/>
        <w:tblInd w:w="111" w:type="dxa"/>
        <w:tblLayout w:type="fixed"/>
        <w:tblCellMar>
          <w:top w:w="0" w:type="dxa"/>
          <w:left w:w="0" w:type="dxa"/>
          <w:bottom w:w="0" w:type="dxa"/>
          <w:right w:w="0" w:type="dxa"/>
        </w:tblCellMar>
        <w:tblLook w:val="01E0"/>
      </w:tblPr>
      <w:tblGrid>
        <w:gridCol w:w="2283"/>
        <w:gridCol w:w="5632"/>
        <w:gridCol w:w="1757"/>
      </w:tblGrid>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7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63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29"/>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个月后的首个交易日起至相应的授予完成日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50%</w:t>
            </w:r>
          </w:p>
        </w:tc>
      </w:tr>
      <w:tr>
        <w:trPr>
          <w:trHeight w:val="66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63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32"/>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个月后的首个交易日起至相应的授予完成日 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50%</w:t>
            </w:r>
          </w:p>
        </w:tc>
      </w:tr>
    </w:tbl>
    <w:p>
      <w:pPr>
        <w:spacing w:line="240" w:lineRule="auto" w:before="7"/>
        <w:rPr>
          <w:rFonts w:ascii="宋体" w:hAnsi="宋体" w:cs="宋体" w:eastAsia="宋体" w:hint="default"/>
          <w:sz w:val="22"/>
          <w:szCs w:val="22"/>
        </w:rPr>
      </w:pPr>
    </w:p>
    <w:p>
      <w:pPr>
        <w:pStyle w:val="BodyText"/>
        <w:spacing w:line="240" w:lineRule="auto"/>
        <w:ind w:left="501" w:right="0"/>
        <w:jc w:val="left"/>
      </w:pPr>
      <w:r>
        <w:rPr>
          <w:rFonts w:ascii="宋体" w:hAnsi="宋体" w:cs="宋体" w:eastAsia="宋体" w:hint="default"/>
        </w:rPr>
        <w:t>2</w:t>
      </w:r>
      <w:r>
        <w:rPr/>
        <w:t>、股份支付总体实施情况</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094"/>
        <w:gridCol w:w="3289"/>
        <w:gridCol w:w="3289"/>
      </w:tblGrid>
      <w:tr>
        <w:trPr>
          <w:trHeight w:val="346" w:hRule="exact"/>
        </w:trPr>
        <w:tc>
          <w:tcPr>
            <w:tcW w:w="309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9"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公司本年授予的各项权益工具总额</w:t>
            </w:r>
          </w:p>
        </w:tc>
        <w:tc>
          <w:tcPr>
            <w:tcW w:w="3289"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16,452,800.00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公司本年行权的各项权益工具总额</w:t>
            </w:r>
          </w:p>
        </w:tc>
        <w:tc>
          <w:tcPr>
            <w:tcW w:w="3289"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094"/>
        <w:gridCol w:w="3289"/>
        <w:gridCol w:w="3289"/>
      </w:tblGrid>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公司本年失效的各项权益工具总额</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12,151,750.00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13,968,300.00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年末发行在外的权益工具总额</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110,028,800.00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320,775,350.00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年末可行使的权益工具总额</w:t>
            </w:r>
          </w:p>
        </w:tc>
        <w:tc>
          <w:tcPr>
            <w:tcW w:w="3289"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094" w:type="dxa"/>
            <w:vMerge w:val="restart"/>
            <w:tcBorders>
              <w:top w:val="single" w:sz="6" w:space="0" w:color="000000"/>
              <w:left w:val="single" w:sz="6" w:space="0" w:color="000000"/>
              <w:right w:val="single" w:sz="6" w:space="0" w:color="000000"/>
            </w:tcBorders>
          </w:tcPr>
          <w:p>
            <w:pPr>
              <w:pStyle w:val="TableParagraph"/>
              <w:spacing w:line="321" w:lineRule="auto" w:before="15"/>
              <w:ind w:left="15" w:right="2"/>
              <w:jc w:val="left"/>
              <w:rPr>
                <w:rFonts w:ascii="宋体" w:hAnsi="宋体" w:cs="宋体" w:eastAsia="宋体" w:hint="default"/>
                <w:sz w:val="18"/>
                <w:szCs w:val="18"/>
              </w:rPr>
            </w:pPr>
            <w:r>
              <w:rPr>
                <w:rFonts w:ascii="宋体" w:hAnsi="宋体" w:cs="宋体" w:eastAsia="宋体" w:hint="default"/>
                <w:sz w:val="18"/>
                <w:szCs w:val="18"/>
              </w:rPr>
              <w:t>公司年末发行在外的限制性股票授予价 格和合同剩余期限</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年首期</w:t>
            </w:r>
            <w:r>
              <w:rPr>
                <w:rFonts w:ascii="Times New Roman" w:hAnsi="Times New Roman" w:cs="Times New Roman" w:eastAsia="Times New Roman" w:hint="default"/>
                <w:spacing w:val="-1"/>
                <w:sz w:val="18"/>
                <w:szCs w:val="18"/>
              </w:rPr>
              <w:t>5.81</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个月</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年首期</w:t>
            </w:r>
            <w:r>
              <w:rPr>
                <w:rFonts w:ascii="Times New Roman" w:hAnsi="Times New Roman" w:cs="Times New Roman" w:eastAsia="Times New Roman" w:hint="default"/>
                <w:spacing w:val="-1"/>
                <w:sz w:val="18"/>
                <w:szCs w:val="18"/>
              </w:rPr>
              <w:t>5.81</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个月</w:t>
            </w:r>
          </w:p>
        </w:tc>
      </w:tr>
      <w:tr>
        <w:trPr>
          <w:trHeight w:val="346" w:hRule="exact"/>
        </w:trPr>
        <w:tc>
          <w:tcPr>
            <w:tcW w:w="3094" w:type="dxa"/>
            <w:vMerge/>
            <w:tcBorders>
              <w:left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年预留</w:t>
            </w:r>
            <w:r>
              <w:rPr>
                <w:rFonts w:ascii="Times New Roman" w:hAnsi="Times New Roman" w:cs="Times New Roman" w:eastAsia="Times New Roman" w:hint="default"/>
                <w:spacing w:val="-1"/>
                <w:sz w:val="18"/>
                <w:szCs w:val="18"/>
              </w:rPr>
              <w:t>3.60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个月</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年预留</w:t>
            </w:r>
            <w:r>
              <w:rPr>
                <w:rFonts w:ascii="Times New Roman" w:hAnsi="Times New Roman" w:cs="Times New Roman" w:eastAsia="Times New Roman" w:hint="default"/>
                <w:spacing w:val="-1"/>
                <w:sz w:val="18"/>
                <w:szCs w:val="18"/>
              </w:rPr>
              <w:t>3.60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个月</w:t>
            </w:r>
          </w:p>
        </w:tc>
      </w:tr>
      <w:tr>
        <w:trPr>
          <w:trHeight w:val="345" w:hRule="exact"/>
        </w:trPr>
        <w:tc>
          <w:tcPr>
            <w:tcW w:w="3094" w:type="dxa"/>
            <w:vMerge/>
            <w:tcBorders>
              <w:left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年首期</w:t>
            </w:r>
            <w:r>
              <w:rPr>
                <w:rFonts w:ascii="Times New Roman" w:hAnsi="Times New Roman" w:cs="Times New Roman" w:eastAsia="Times New Roman" w:hint="default"/>
                <w:spacing w:val="-1"/>
                <w:sz w:val="18"/>
                <w:szCs w:val="18"/>
              </w:rPr>
              <w:t>4.20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个月</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年首期</w:t>
            </w:r>
            <w:r>
              <w:rPr>
                <w:rFonts w:ascii="Times New Roman" w:hAnsi="Times New Roman" w:cs="Times New Roman" w:eastAsia="Times New Roman" w:hint="default"/>
                <w:spacing w:val="-1"/>
                <w:sz w:val="18"/>
                <w:szCs w:val="18"/>
              </w:rPr>
              <w:t>4.20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/35</w:t>
            </w:r>
            <w:r>
              <w:rPr>
                <w:rFonts w:ascii="宋体" w:hAnsi="宋体" w:cs="宋体" w:eastAsia="宋体" w:hint="default"/>
                <w:spacing w:val="-1"/>
                <w:sz w:val="18"/>
                <w:szCs w:val="18"/>
              </w:rPr>
              <w:t>个月</w:t>
            </w:r>
          </w:p>
        </w:tc>
      </w:tr>
      <w:tr>
        <w:trPr>
          <w:trHeight w:val="345" w:hRule="exact"/>
        </w:trPr>
        <w:tc>
          <w:tcPr>
            <w:tcW w:w="3094" w:type="dxa"/>
            <w:vMerge/>
            <w:tcBorders>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年预留</w:t>
            </w:r>
            <w:r>
              <w:rPr>
                <w:rFonts w:ascii="Times New Roman" w:hAnsi="Times New Roman" w:cs="Times New Roman" w:eastAsia="Times New Roman" w:hint="default"/>
                <w:spacing w:val="-1"/>
                <w:sz w:val="18"/>
                <w:szCs w:val="18"/>
              </w:rPr>
              <w:t>2.26</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个月</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年预留</w:t>
            </w:r>
            <w:r>
              <w:rPr>
                <w:rFonts w:ascii="Times New Roman" w:hAnsi="Times New Roman" w:cs="Times New Roman" w:eastAsia="Times New Roman" w:hint="default"/>
                <w:spacing w:val="-1"/>
                <w:sz w:val="18"/>
                <w:szCs w:val="18"/>
              </w:rPr>
              <w:t>2.26</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/32</w:t>
            </w:r>
            <w:r>
              <w:rPr>
                <w:rFonts w:ascii="宋体" w:hAnsi="宋体" w:cs="宋体" w:eastAsia="宋体" w:hint="default"/>
                <w:spacing w:val="-1"/>
                <w:sz w:val="18"/>
                <w:szCs w:val="18"/>
              </w:rPr>
              <w:t>个月</w:t>
            </w:r>
          </w:p>
        </w:tc>
      </w:tr>
      <w:tr>
        <w:trPr>
          <w:trHeight w:val="661"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15" w:right="2"/>
              <w:jc w:val="left"/>
              <w:rPr>
                <w:rFonts w:ascii="宋体" w:hAnsi="宋体" w:cs="宋体" w:eastAsia="宋体" w:hint="default"/>
                <w:sz w:val="18"/>
                <w:szCs w:val="18"/>
              </w:rPr>
            </w:pPr>
            <w:r>
              <w:rPr>
                <w:rFonts w:ascii="宋体" w:hAnsi="宋体" w:cs="宋体" w:eastAsia="宋体" w:hint="default"/>
                <w:sz w:val="18"/>
                <w:szCs w:val="18"/>
              </w:rPr>
              <w:t>公司年末其他权益工具行权价格的范围 和合同剩余期限</w:t>
            </w:r>
          </w:p>
        </w:tc>
        <w:tc>
          <w:tcPr>
            <w:tcW w:w="3289"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5" w:lineRule="exact" w:before="0"/>
        <w:ind w:left="501" w:right="0"/>
        <w:jc w:val="left"/>
      </w:pPr>
      <w:r>
        <w:rPr/>
        <w:t>注：本期解锁限制性股票对应权益工具总额</w:t>
      </w:r>
      <w:r>
        <w:rPr>
          <w:rFonts w:ascii="宋体" w:hAnsi="宋体" w:cs="宋体" w:eastAsia="宋体" w:hint="default"/>
        </w:rPr>
        <w:t>199,184,900.00</w:t>
      </w:r>
      <w:r>
        <w:rPr/>
        <w:t>元。</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2、以权益结算的股份支付情况" w:id="512"/>
      <w:bookmarkEnd w:id="51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授予日的交易收盘价并结合高级管理人员股份限制情况</w:t>
            </w:r>
          </w:p>
        </w:tc>
      </w:tr>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按各解锁期的业绩条件估计确定</w:t>
            </w:r>
          </w:p>
        </w:tc>
      </w:tr>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241,740,350.00</w:t>
            </w:r>
          </w:p>
        </w:tc>
      </w:tr>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14,655,652.32</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以现金结算的股份支付情况" w:id="513"/>
      <w:bookmarkEnd w:id="51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514"/>
      <w:bookmarkEnd w:id="51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无</w:t>
      </w:r>
    </w:p>
    <w:p>
      <w:pPr>
        <w:spacing w:line="240" w:lineRule="auto" w:before="0"/>
        <w:rPr>
          <w:rFonts w:ascii="宋体" w:hAnsi="宋体" w:cs="宋体" w:eastAsia="宋体" w:hint="default"/>
          <w:sz w:val="18"/>
          <w:szCs w:val="18"/>
        </w:rPr>
      </w:pPr>
    </w:p>
    <w:p>
      <w:pPr>
        <w:spacing w:line="487" w:lineRule="auto" w:before="139"/>
        <w:ind w:left="141" w:right="8339" w:firstLine="0"/>
        <w:jc w:val="left"/>
        <w:rPr>
          <w:rFonts w:ascii="宋体" w:hAnsi="宋体" w:cs="宋体" w:eastAsia="宋体" w:hint="default"/>
          <w:sz w:val="21"/>
          <w:szCs w:val="21"/>
        </w:rPr>
      </w:pPr>
      <w:bookmarkStart w:name="5、其他" w:id="515"/>
      <w:bookmarkEnd w:id="51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516"/>
      <w:bookmarkEnd w:id="516"/>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517"/>
      <w:bookmarkEnd w:id="517"/>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90"/>
        <w:ind w:right="0"/>
        <w:jc w:val="left"/>
      </w:pPr>
      <w:r>
        <w:rPr/>
        <w:t>资产负债表日存在的重要承诺</w:t>
      </w:r>
    </w:p>
    <w:p>
      <w:pPr>
        <w:pStyle w:val="BodyText"/>
        <w:spacing w:line="321" w:lineRule="auto" w:before="110"/>
        <w:ind w:left="501" w:right="2469"/>
        <w:jc w:val="left"/>
      </w:pPr>
      <w:r>
        <w:rPr/>
        <w:t>（</w:t>
      </w:r>
      <w:r>
        <w:rPr>
          <w:rFonts w:ascii="宋体" w:hAnsi="宋体" w:cs="宋体" w:eastAsia="宋体" w:hint="default"/>
        </w:rPr>
        <w:t>1</w:t>
      </w:r>
      <w:r>
        <w:rPr/>
        <w:t>）经营租赁承诺 根据已签订的不可撤销的经营性租赁合同，本公司于资产负债表日后应支付的最低租赁付款额如下：</w:t>
      </w:r>
    </w:p>
    <w:tbl>
      <w:tblPr>
        <w:tblW w:w="0" w:type="auto"/>
        <w:jc w:val="left"/>
        <w:tblInd w:w="111" w:type="dxa"/>
        <w:tblLayout w:type="fixed"/>
        <w:tblCellMar>
          <w:top w:w="0" w:type="dxa"/>
          <w:left w:w="0" w:type="dxa"/>
          <w:bottom w:w="0" w:type="dxa"/>
          <w:right w:w="0" w:type="dxa"/>
        </w:tblCellMar>
        <w:tblLook w:val="01E0"/>
      </w:tblPr>
      <w:tblGrid>
        <w:gridCol w:w="6053"/>
        <w:gridCol w:w="3619"/>
      </w:tblGrid>
      <w:tr>
        <w:trPr>
          <w:trHeight w:val="34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01" w:right="0"/>
              <w:jc w:val="left"/>
              <w:rPr>
                <w:rFonts w:ascii="宋体" w:hAnsi="宋体" w:cs="宋体" w:eastAsia="宋体" w:hint="default"/>
                <w:sz w:val="18"/>
                <w:szCs w:val="18"/>
              </w:rPr>
            </w:pPr>
            <w:r>
              <w:rPr>
                <w:rFonts w:ascii="宋体" w:hAnsi="宋体" w:cs="宋体" w:eastAsia="宋体" w:hint="default"/>
                <w:sz w:val="18"/>
                <w:szCs w:val="18"/>
              </w:rPr>
              <w:t>最低租赁付款额（元）</w:t>
            </w:r>
          </w:p>
        </w:tc>
      </w:tr>
      <w:tr>
        <w:trPr>
          <w:trHeight w:val="360"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18,240,594.72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6053"/>
        <w:gridCol w:w="3619"/>
      </w:tblGrid>
      <w:tr>
        <w:trPr>
          <w:trHeight w:val="34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18,048,125.64</w:t>
            </w:r>
          </w:p>
        </w:tc>
      </w:tr>
      <w:tr>
        <w:trPr>
          <w:trHeight w:val="360"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17,470,718.40</w:t>
            </w:r>
          </w:p>
        </w:tc>
      </w:tr>
      <w:tr>
        <w:trPr>
          <w:trHeight w:val="34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85,965,507.54</w:t>
            </w:r>
          </w:p>
        </w:tc>
      </w:tr>
      <w:tr>
        <w:trPr>
          <w:trHeight w:val="360"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139,724,946.30</w:t>
            </w:r>
          </w:p>
        </w:tc>
      </w:tr>
    </w:tbl>
    <w:p>
      <w:pPr>
        <w:spacing w:line="240" w:lineRule="auto" w:before="9"/>
        <w:rPr>
          <w:rFonts w:ascii="宋体" w:hAnsi="宋体" w:cs="宋体" w:eastAsia="宋体" w:hint="default"/>
          <w:sz w:val="20"/>
          <w:szCs w:val="20"/>
        </w:rPr>
      </w:pPr>
    </w:p>
    <w:p>
      <w:pPr>
        <w:pStyle w:val="BodyText"/>
        <w:spacing w:line="321" w:lineRule="auto"/>
        <w:ind w:left="501" w:right="8859"/>
        <w:jc w:val="left"/>
      </w:pPr>
      <w:r>
        <w:rPr/>
        <w:t>（</w:t>
      </w:r>
      <w:r>
        <w:rPr>
          <w:rFonts w:ascii="宋体" w:hAnsi="宋体" w:cs="宋体" w:eastAsia="宋体" w:hint="default"/>
        </w:rPr>
        <w:t>2</w:t>
      </w:r>
      <w:r>
        <w:rPr/>
        <w:t>）对外担保承诺 </w:t>
      </w:r>
      <w:r>
        <w:rPr>
          <w:rFonts w:ascii="宋体" w:hAnsi="宋体" w:cs="宋体" w:eastAsia="宋体" w:hint="default"/>
        </w:rPr>
        <w:t>i</w:t>
      </w:r>
      <w:r>
        <w:rPr/>
        <w:t>、银行借款担保</w:t>
      </w:r>
    </w:p>
    <w:p>
      <w:pPr>
        <w:pStyle w:val="BodyText"/>
        <w:spacing w:line="316" w:lineRule="auto" w:before="18"/>
        <w:ind w:right="1119" w:firstLine="360"/>
        <w:jc w:val="left"/>
      </w:pPr>
      <w:r>
        <w:rPr/>
        <w:t>根据公司子公司上海洪昇智能科技有限公司与中国建设银行股份有限公司上海浦东分行于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23</w:t>
      </w:r>
      <w:r>
        <w:rPr/>
        <w:t>日签订的最高额 保证合同（合同编号为</w:t>
      </w:r>
      <w:r>
        <w:rPr>
          <w:rFonts w:ascii="宋体" w:hAnsi="宋体" w:cs="宋体" w:eastAsia="宋体" w:hint="default"/>
        </w:rPr>
        <w:t>576BJZGEBZ2019001</w:t>
      </w:r>
      <w:r>
        <w:rPr/>
        <w:t>）约定，洪昇智能为公司与中国建设银行股份有限公司上海浦东分行在</w:t>
      </w:r>
      <w:r>
        <w:rPr>
          <w:rFonts w:ascii="宋体" w:hAnsi="宋体" w:cs="宋体" w:eastAsia="宋体" w:hint="default"/>
        </w:rPr>
        <w:t>2019</w:t>
      </w:r>
      <w:r>
        <w:rPr/>
        <w:t>年</w:t>
      </w:r>
      <w:r>
        <w:rPr>
          <w:rFonts w:ascii="宋体" w:hAnsi="宋体" w:cs="宋体" w:eastAsia="宋体" w:hint="default"/>
        </w:rPr>
        <w:t>5</w:t>
      </w:r>
      <w:r>
        <w:rPr>
          <w:rFonts w:ascii="宋体" w:hAnsi="宋体" w:cs="宋体" w:eastAsia="宋体" w:hint="default"/>
          <w:spacing w:val="-80"/>
        </w:rPr>
        <w:t> </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8</w:t>
      </w:r>
      <w:r>
        <w:rPr/>
        <w:t>日期间发生的银行借款合同项下的债务提供最高额连带责任保证，最高保证金额为人民币 </w:t>
      </w:r>
      <w:r>
        <w:rPr>
          <w:rFonts w:ascii="宋体" w:hAnsi="宋体" w:cs="宋体" w:eastAsia="宋体" w:hint="default"/>
          <w:spacing w:val="-2"/>
        </w:rPr>
        <w:t>100,000,000.00</w:t>
      </w:r>
      <w:r>
        <w:rPr>
          <w:spacing w:val="-2"/>
        </w:rPr>
        <w:t>元，保证期间为自借款合同签订之日起至合同约定的债务履行期限届满日后三年止，截止至报告日，该担保</w:t>
      </w:r>
      <w:r>
        <w:rPr>
          <w:spacing w:val="-60"/>
        </w:rPr>
        <w:t> </w:t>
      </w:r>
      <w:r>
        <w:rPr>
          <w:spacing w:val="-60"/>
        </w:rPr>
      </w:r>
      <w:r>
        <w:rPr/>
        <w:t>事项尚未履行完毕。</w:t>
      </w:r>
    </w:p>
    <w:p>
      <w:pPr>
        <w:spacing w:line="240" w:lineRule="auto" w:before="8"/>
        <w:rPr>
          <w:rFonts w:ascii="宋体" w:hAnsi="宋体" w:cs="宋体" w:eastAsia="宋体" w:hint="default"/>
          <w:sz w:val="24"/>
          <w:szCs w:val="24"/>
        </w:rPr>
      </w:pPr>
    </w:p>
    <w:p>
      <w:pPr>
        <w:pStyle w:val="BodyText"/>
        <w:spacing w:line="321" w:lineRule="auto" w:before="0"/>
        <w:ind w:left="501" w:right="0"/>
        <w:jc w:val="left"/>
      </w:pPr>
      <w:r>
        <w:rPr>
          <w:rFonts w:ascii="宋体" w:hAnsi="宋体" w:cs="宋体" w:eastAsia="宋体" w:hint="default"/>
        </w:rPr>
        <w:t>ii</w:t>
      </w:r>
      <w:r>
        <w:rPr/>
        <w:t>、车贷债权回购承诺 </w:t>
      </w:r>
      <w:r>
        <w:rPr>
          <w:spacing w:val="-2"/>
        </w:rPr>
        <w:t>根据公司孙公司上海二三四五融资租赁有限公司（以下简称“融资租赁公司”）与武汉众邦银行股份有限公司（以下简</w:t>
      </w:r>
    </w:p>
    <w:p>
      <w:pPr>
        <w:pStyle w:val="BodyText"/>
        <w:spacing w:line="321" w:lineRule="auto" w:before="18"/>
        <w:ind w:right="1029"/>
        <w:jc w:val="left"/>
      </w:pPr>
      <w:r>
        <w:rPr/>
        <w:t>称“众邦银行”）签订开展汽车贷款联合放贷业务合作协议约定，公司在业务合作期间对车贷贷款余额承担债权回购义务， 截止至报告日，上述业务合作合同仍在履行中。</w:t>
      </w:r>
    </w:p>
    <w:p>
      <w:pPr>
        <w:spacing w:line="240" w:lineRule="auto" w:before="5"/>
        <w:rPr>
          <w:rFonts w:ascii="宋体" w:hAnsi="宋体" w:cs="宋体" w:eastAsia="宋体" w:hint="default"/>
          <w:sz w:val="24"/>
          <w:szCs w:val="24"/>
        </w:rPr>
      </w:pPr>
    </w:p>
    <w:p>
      <w:pPr>
        <w:pStyle w:val="BodyText"/>
        <w:spacing w:line="321" w:lineRule="auto" w:before="0"/>
        <w:ind w:left="501" w:right="6879"/>
        <w:jc w:val="left"/>
      </w:pPr>
      <w:r>
        <w:rPr/>
        <w:t>（</w:t>
      </w:r>
      <w:r>
        <w:rPr>
          <w:rFonts w:ascii="宋体" w:hAnsi="宋体" w:cs="宋体" w:eastAsia="宋体" w:hint="default"/>
        </w:rPr>
        <w:t>3</w:t>
      </w:r>
      <w:r>
        <w:rPr/>
        <w:t>）对外投资承诺 </w:t>
      </w:r>
      <w:r>
        <w:rPr>
          <w:rFonts w:ascii="宋体" w:hAnsi="宋体" w:cs="宋体" w:eastAsia="宋体" w:hint="default"/>
        </w:rPr>
        <w:t>i</w:t>
      </w:r>
      <w:r>
        <w:rPr/>
        <w:t>、参与投资江苏苏银凯基消费金融有限公司</w:t>
      </w:r>
    </w:p>
    <w:p>
      <w:pPr>
        <w:pStyle w:val="BodyText"/>
        <w:spacing w:line="316" w:lineRule="auto" w:before="18"/>
        <w:ind w:right="1098" w:firstLine="360"/>
        <w:jc w:val="both"/>
      </w:pPr>
      <w:r>
        <w:rPr>
          <w:spacing w:val="-2"/>
        </w:rPr>
        <w:t>公司与江苏银行股份有限公司、凯基商业银行股份有限公司及海澜之家股份有限公司共同签订了《发起人协议书》，拟</w:t>
      </w:r>
      <w:r>
        <w:rPr/>
        <w:t> 以自有资金出资人民币</w:t>
      </w:r>
      <w:r>
        <w:rPr>
          <w:rFonts w:ascii="宋体" w:hAnsi="宋体" w:cs="宋体" w:eastAsia="宋体" w:hint="default"/>
        </w:rPr>
        <w:t>5,400</w:t>
      </w:r>
      <w:r>
        <w:rPr/>
        <w:t>万元与上述公司共同发起设立江苏苏银凯基消费金融有限公司（筹，最终以工商行政管理机关</w:t>
      </w:r>
      <w:r>
        <w:rPr>
          <w:spacing w:val="-83"/>
        </w:rPr>
        <w:t> </w:t>
      </w:r>
      <w:r>
        <w:rPr>
          <w:spacing w:val="-83"/>
        </w:rPr>
      </w:r>
      <w:r>
        <w:rPr/>
        <w:t>核准的名称为准）。消费金融公司拟注册资本为人民币</w:t>
      </w:r>
      <w:r>
        <w:rPr>
          <w:rFonts w:ascii="宋体" w:hAnsi="宋体" w:cs="宋体" w:eastAsia="宋体" w:hint="default"/>
        </w:rPr>
        <w:t>6</w:t>
      </w:r>
      <w:r>
        <w:rPr/>
        <w:t>亿元，不吸收公众存款，以小额、分散为原则，为中国境内居民个</w:t>
      </w:r>
      <w:r>
        <w:rPr>
          <w:spacing w:val="-85"/>
        </w:rPr>
        <w:t> </w:t>
      </w:r>
      <w:r>
        <w:rPr>
          <w:spacing w:val="-1"/>
        </w:rPr>
        <w:t>人发放以消费为目的的贷款。本次投资完成后，公司占消费金融公司的出资比例为</w:t>
      </w:r>
      <w:r>
        <w:rPr>
          <w:rFonts w:ascii="宋体" w:hAnsi="宋体" w:cs="宋体" w:eastAsia="宋体" w:hint="default"/>
          <w:spacing w:val="-1"/>
        </w:rPr>
        <w:t>9%</w:t>
      </w:r>
      <w:r>
        <w:rPr>
          <w:spacing w:val="-1"/>
        </w:rPr>
        <w:t>。截止至报告日，该事项仍在中国银保</w:t>
      </w:r>
      <w:r>
        <w:rPr/>
        <w:t> 监会等有关机构审批中。</w:t>
      </w:r>
    </w:p>
    <w:p>
      <w:pPr>
        <w:spacing w:line="240" w:lineRule="auto" w:before="11"/>
        <w:rPr>
          <w:rFonts w:ascii="宋体" w:hAnsi="宋体" w:cs="宋体" w:eastAsia="宋体" w:hint="default"/>
          <w:sz w:val="25"/>
          <w:szCs w:val="25"/>
        </w:rPr>
      </w:pPr>
    </w:p>
    <w:p>
      <w:pPr>
        <w:pStyle w:val="BodyText"/>
        <w:spacing w:line="321" w:lineRule="auto" w:before="0"/>
        <w:ind w:left="501" w:right="0"/>
        <w:jc w:val="left"/>
      </w:pPr>
      <w:r>
        <w:rPr>
          <w:rFonts w:ascii="宋体" w:hAnsi="宋体" w:cs="宋体" w:eastAsia="宋体" w:hint="default"/>
        </w:rPr>
        <w:t>ii</w:t>
      </w:r>
      <w:r>
        <w:rPr/>
        <w:t>、参与投资成都天府蓝三众宇投资管理合伙企业（有限合伙） </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日披露了《关于参与投资股权投资基金的公告》，公司作为有限合伙人拟以自有资金认缴出资额人</w:t>
      </w:r>
    </w:p>
    <w:p>
      <w:pPr>
        <w:pStyle w:val="BodyText"/>
        <w:spacing w:line="321" w:lineRule="auto" w:before="3"/>
        <w:ind w:right="1119"/>
        <w:jc w:val="left"/>
      </w:pPr>
      <w:r>
        <w:rPr/>
        <w:t>民币</w:t>
      </w:r>
      <w:r>
        <w:rPr>
          <w:rFonts w:ascii="宋体" w:hAnsi="宋体" w:cs="宋体" w:eastAsia="宋体" w:hint="default"/>
        </w:rPr>
        <w:t>3,000</w:t>
      </w:r>
      <w:r>
        <w:rPr/>
        <w:t>万元参与投资成都天府蓝三众宇投资管理合伙企业（有限合伙），占最终认缴总额的</w:t>
      </w:r>
      <w:r>
        <w:rPr>
          <w:rFonts w:ascii="宋体" w:hAnsi="宋体" w:cs="宋体" w:eastAsia="宋体" w:hint="default"/>
        </w:rPr>
        <w:t>32.57%</w:t>
      </w:r>
      <w:r>
        <w:rPr/>
        <w:t>。截止至报告日，该</w:t>
      </w:r>
      <w:r>
        <w:rPr>
          <w:spacing w:val="-83"/>
        </w:rPr>
        <w:t> </w:t>
      </w:r>
      <w:r>
        <w:rPr/>
        <w:t>基金已在中国证券投资基金业协会完成备案登记。</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或有事项" w:id="518"/>
      <w:bookmarkEnd w:id="51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519"/>
      <w:bookmarkEnd w:id="51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26" w:firstLine="360"/>
        <w:jc w:val="both"/>
      </w:pPr>
      <w:r>
        <w:rPr>
          <w:spacing w:val="-2"/>
        </w:rPr>
        <w:t>截止至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日，公司尚未结案的诉讼事项共</w:t>
      </w:r>
      <w:r>
        <w:rPr>
          <w:rFonts w:ascii="宋体" w:hAnsi="宋体" w:cs="宋体" w:eastAsia="宋体" w:hint="default"/>
          <w:spacing w:val="-2"/>
        </w:rPr>
        <w:t>18</w:t>
      </w:r>
      <w:r>
        <w:rPr>
          <w:spacing w:val="-2"/>
        </w:rPr>
        <w:t>起，累计索赔金额共计人民币</w:t>
      </w:r>
      <w:r>
        <w:rPr>
          <w:rFonts w:ascii="宋体" w:hAnsi="宋体" w:cs="宋体" w:eastAsia="宋体" w:hint="default"/>
          <w:spacing w:val="-2"/>
        </w:rPr>
        <w:t>212,312,356.53</w:t>
      </w:r>
      <w:r>
        <w:rPr>
          <w:spacing w:val="-2"/>
        </w:rPr>
        <w:t>元，公司已计提相</w:t>
      </w:r>
      <w:r>
        <w:rPr/>
        <w:t> 应的预计负债人民币</w:t>
      </w:r>
      <w:r>
        <w:rPr>
          <w:rFonts w:ascii="宋体" w:hAnsi="宋体" w:cs="宋体" w:eastAsia="宋体" w:hint="default"/>
        </w:rPr>
        <w:t>6,135,000</w:t>
      </w:r>
      <w:r>
        <w:rPr/>
        <w:t>元；其中，索赔金额较大的诉讼事项如下：</w:t>
      </w:r>
    </w:p>
    <w:p>
      <w:pPr>
        <w:pStyle w:val="BodyText"/>
        <w:spacing w:line="321" w:lineRule="auto" w:before="3"/>
        <w:ind w:right="1125" w:firstLine="360"/>
        <w:jc w:val="both"/>
      </w:pPr>
      <w:r>
        <w:rPr>
          <w:spacing w:val="-2"/>
        </w:rPr>
        <w:t>（</w:t>
      </w:r>
      <w:r>
        <w:rPr>
          <w:rFonts w:ascii="宋体" w:hAnsi="宋体" w:cs="宋体" w:eastAsia="宋体" w:hint="default"/>
          <w:spacing w:val="-2"/>
        </w:rPr>
        <w:t>1</w:t>
      </w:r>
      <w:r>
        <w:rPr>
          <w:spacing w:val="-2"/>
        </w:rPr>
        <w:t>）重庆重橙网络科技有限公司起诉公司下属子公司侵犯著作权案</w:t>
      </w:r>
      <w:r>
        <w:rPr>
          <w:rFonts w:ascii="宋体" w:hAnsi="宋体" w:cs="宋体" w:eastAsia="宋体" w:hint="default"/>
          <w:spacing w:val="-2"/>
        </w:rPr>
        <w:t>1</w:t>
      </w:r>
      <w:r>
        <w:rPr>
          <w:spacing w:val="-2"/>
        </w:rPr>
        <w:t>起，涉案金额为人民币</w:t>
      </w:r>
      <w:r>
        <w:rPr>
          <w:rFonts w:ascii="宋体" w:hAnsi="宋体" w:cs="宋体" w:eastAsia="宋体" w:hint="default"/>
          <w:spacing w:val="-2"/>
        </w:rPr>
        <w:t>119,814,818.00</w:t>
      </w:r>
      <w:r>
        <w:rPr>
          <w:spacing w:val="-2"/>
        </w:rPr>
        <w:t>元。截至报</w:t>
      </w:r>
      <w:r>
        <w:rPr/>
        <w:t> 告日，该起案件仍处于一审审理中，暂无审理结果。</w:t>
      </w:r>
    </w:p>
    <w:p>
      <w:pPr>
        <w:pStyle w:val="BodyText"/>
        <w:spacing w:line="316" w:lineRule="auto" w:before="18"/>
        <w:ind w:right="1097" w:firstLine="360"/>
        <w:jc w:val="both"/>
      </w:pPr>
      <w:r>
        <w:rPr/>
        <w:t>（</w:t>
      </w:r>
      <w:r>
        <w:rPr>
          <w:rFonts w:ascii="宋体" w:hAnsi="宋体" w:cs="宋体" w:eastAsia="宋体" w:hint="default"/>
        </w:rPr>
        <w:t>2</w:t>
      </w:r>
      <w:r>
        <w:rPr/>
        <w:t>）北京奇虎科技有限公司及其关联公司北京奇智商务咨询有限公司起诉公司及下属子公司侵犯专利权、商标权案共 </w:t>
      </w:r>
      <w:r>
        <w:rPr>
          <w:spacing w:val="-1"/>
        </w:rPr>
        <w:t>计</w:t>
      </w:r>
      <w:r>
        <w:rPr>
          <w:rFonts w:ascii="宋体" w:hAnsi="宋体" w:cs="宋体" w:eastAsia="宋体" w:hint="default"/>
          <w:spacing w:val="-1"/>
        </w:rPr>
        <w:t>5</w:t>
      </w:r>
      <w:r>
        <w:rPr>
          <w:spacing w:val="-1"/>
        </w:rPr>
        <w:t>起，每起案件的索赔金额均为人民币</w:t>
      </w:r>
      <w:r>
        <w:rPr>
          <w:rFonts w:ascii="宋体" w:hAnsi="宋体" w:cs="宋体" w:eastAsia="宋体" w:hint="default"/>
          <w:spacing w:val="-1"/>
        </w:rPr>
        <w:t>10,000,000.00</w:t>
      </w:r>
      <w:r>
        <w:rPr>
          <w:spacing w:val="-1"/>
        </w:rPr>
        <w:t>元，共计人民币</w:t>
      </w:r>
      <w:r>
        <w:rPr>
          <w:rFonts w:ascii="宋体" w:hAnsi="宋体" w:cs="宋体" w:eastAsia="宋体" w:hint="default"/>
          <w:spacing w:val="-1"/>
        </w:rPr>
        <w:t>50,000,000.00</w:t>
      </w:r>
      <w:r>
        <w:rPr>
          <w:spacing w:val="-1"/>
        </w:rPr>
        <w:t>元。截至报告日，有</w:t>
      </w:r>
      <w:r>
        <w:rPr>
          <w:rFonts w:ascii="宋体" w:hAnsi="宋体" w:cs="宋体" w:eastAsia="宋体" w:hint="default"/>
          <w:spacing w:val="-1"/>
        </w:rPr>
        <w:t>1</w:t>
      </w:r>
      <w:r>
        <w:rPr>
          <w:spacing w:val="-1"/>
        </w:rPr>
        <w:t>起涉及侵犯商标</w:t>
      </w:r>
      <w:r>
        <w:rPr>
          <w:spacing w:val="-76"/>
        </w:rPr>
        <w:t> </w:t>
      </w:r>
      <w:r>
        <w:rPr>
          <w:spacing w:val="-1"/>
        </w:rPr>
        <w:t>权的案件已判决，并实际支付赔偿金额</w:t>
      </w:r>
      <w:r>
        <w:rPr>
          <w:rFonts w:ascii="宋体" w:hAnsi="宋体" w:cs="宋体" w:eastAsia="宋体" w:hint="default"/>
          <w:spacing w:val="-1"/>
        </w:rPr>
        <w:t>480,000</w:t>
      </w:r>
      <w:r>
        <w:rPr>
          <w:spacing w:val="-1"/>
        </w:rPr>
        <w:t>元，公司决定不再上诉；剩余</w:t>
      </w:r>
      <w:r>
        <w:rPr>
          <w:rFonts w:ascii="宋体" w:hAnsi="宋体" w:cs="宋体" w:eastAsia="宋体" w:hint="default"/>
          <w:spacing w:val="-1"/>
        </w:rPr>
        <w:t>4</w:t>
      </w:r>
      <w:r>
        <w:rPr>
          <w:spacing w:val="-1"/>
        </w:rPr>
        <w:t>起案件目前均处于一审审理的过程中，暂无审</w:t>
      </w:r>
      <w:r>
        <w:rPr>
          <w:spacing w:val="-87"/>
        </w:rPr>
        <w:t> </w:t>
      </w:r>
      <w:r>
        <w:rPr>
          <w:spacing w:val="-87"/>
        </w:rPr>
      </w:r>
      <w:r>
        <w:rPr/>
        <w:t>理结果。</w:t>
      </w:r>
    </w:p>
    <w:p>
      <w:pPr>
        <w:pStyle w:val="BodyText"/>
        <w:spacing w:line="240" w:lineRule="auto" w:before="22"/>
        <w:ind w:left="501" w:right="0"/>
        <w:jc w:val="left"/>
      </w:pPr>
      <w:r>
        <w:rPr/>
        <w:t>（</w:t>
      </w:r>
      <w:r>
        <w:rPr>
          <w:rFonts w:ascii="宋体" w:hAnsi="宋体" w:cs="宋体" w:eastAsia="宋体" w:hint="default"/>
        </w:rPr>
        <w:t>3</w:t>
      </w:r>
      <w:r>
        <w:rPr/>
        <w:t>）北京金山安全软件有限公司及其关联公司北京猎豹移动科技有限公司起诉公司及下属子公司虚假宣传、信息网络</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jc w:val="left"/>
      </w:pPr>
      <w:r>
        <w:rPr>
          <w:spacing w:val="-2"/>
        </w:rPr>
        <w:t>传播权纠纷及不正当竞争纠纷案共计</w:t>
      </w:r>
      <w:r>
        <w:rPr>
          <w:rFonts w:ascii="宋体" w:hAnsi="宋体" w:cs="宋体" w:eastAsia="宋体" w:hint="default"/>
          <w:spacing w:val="-2"/>
        </w:rPr>
        <w:t>4</w:t>
      </w:r>
      <w:r>
        <w:rPr>
          <w:spacing w:val="-2"/>
        </w:rPr>
        <w:t>起，涉案金额总计为</w:t>
      </w:r>
      <w:r>
        <w:rPr>
          <w:rFonts w:ascii="宋体" w:hAnsi="宋体" w:cs="宋体" w:eastAsia="宋体" w:hint="default"/>
          <w:spacing w:val="-2"/>
        </w:rPr>
        <w:t>19,576,700</w:t>
      </w:r>
      <w:r>
        <w:rPr>
          <w:spacing w:val="-2"/>
        </w:rPr>
        <w:t>元。截至报告日，有</w:t>
      </w:r>
      <w:r>
        <w:rPr>
          <w:rFonts w:ascii="宋体" w:hAnsi="宋体" w:cs="宋体" w:eastAsia="宋体" w:hint="default"/>
          <w:spacing w:val="-2"/>
        </w:rPr>
        <w:t>2</w:t>
      </w:r>
      <w:r>
        <w:rPr>
          <w:spacing w:val="-2"/>
        </w:rPr>
        <w:t>起涉及不正当竞争纠纷及信息网</w:t>
      </w:r>
      <w:r>
        <w:rPr>
          <w:spacing w:val="-56"/>
        </w:rPr>
        <w:t> </w:t>
      </w:r>
      <w:r>
        <w:rPr/>
        <w:t>络传播权纠纷的案件已经一审判决，公司决定提起上诉；剩余</w:t>
      </w:r>
      <w:r>
        <w:rPr>
          <w:rFonts w:ascii="宋体" w:hAnsi="宋体" w:cs="宋体" w:eastAsia="宋体" w:hint="default"/>
        </w:rPr>
        <w:t>2</w:t>
      </w:r>
      <w:r>
        <w:rPr/>
        <w:t>起案件目前均处于一审审理的过程中，暂无审理结果。</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公司没有需要披露的重要或有事项，也应予以说明" w:id="520"/>
      <w:bookmarkEnd w:id="52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2" w:lineRule="auto" w:before="154"/>
        <w:ind w:left="141" w:right="7857" w:firstLine="0"/>
        <w:jc w:val="left"/>
        <w:rPr>
          <w:rFonts w:ascii="宋体" w:hAnsi="宋体" w:cs="宋体" w:eastAsia="宋体" w:hint="default"/>
          <w:sz w:val="21"/>
          <w:szCs w:val="21"/>
        </w:rPr>
      </w:pPr>
      <w:bookmarkStart w:name="3、其他" w:id="521"/>
      <w:bookmarkEnd w:id="5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22"/>
      <w:bookmarkEnd w:id="522"/>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523"/>
      <w:bookmarkEnd w:id="523"/>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2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524"/>
      <w:bookmarkEnd w:id="52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85,872,714.95</w:t>
            </w:r>
          </w:p>
        </w:tc>
      </w:tr>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85,872,714.95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525"/>
      <w:bookmarkEnd w:id="52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526"/>
      <w:bookmarkEnd w:id="52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left="501" w:right="0"/>
        <w:jc w:val="left"/>
      </w:pPr>
      <w:r>
        <w:rPr/>
        <w:t>（</w:t>
      </w:r>
      <w:r>
        <w:rPr>
          <w:rFonts w:ascii="宋体" w:hAnsi="宋体" w:cs="宋体" w:eastAsia="宋体" w:hint="default"/>
        </w:rPr>
        <w:t>1</w:t>
      </w:r>
      <w:r>
        <w:rPr/>
        <w:t>）新冠病毒肺炎疫情的影响 </w:t>
      </w:r>
      <w:r>
        <w:rPr>
          <w:spacing w:val="-2"/>
        </w:rPr>
        <w:t>新冠病毒肺炎疫情对整体经济运行造成影响，公司预计此次疫情及防控措施将对公司的生产经营造成一定的暂时性影响，</w:t>
      </w:r>
    </w:p>
    <w:p>
      <w:pPr>
        <w:pStyle w:val="BodyText"/>
        <w:spacing w:line="307" w:lineRule="auto" w:before="18"/>
        <w:ind w:right="0"/>
        <w:jc w:val="left"/>
      </w:pPr>
      <w:r>
        <w:rPr>
          <w:spacing w:val="-2"/>
        </w:rPr>
        <w:t>具体影响程度将取决于疫情防控的进展情况、持续时间、各项调控政策的实施以及公司自身应对。公司将持续关注疫情的进</w:t>
      </w:r>
      <w:r>
        <w:rPr>
          <w:spacing w:val="-75"/>
        </w:rPr>
        <w:t> </w:t>
      </w:r>
      <w:r>
        <w:rPr>
          <w:spacing w:val="-75"/>
        </w:rPr>
      </w:r>
      <w:r>
        <w:rPr/>
        <w:t>展，并采取多种措施以减轻疫情对公司财务状况、经营成果等方面的影响。</w:t>
      </w:r>
    </w:p>
    <w:p>
      <w:pPr>
        <w:spacing w:line="240" w:lineRule="auto" w:before="4"/>
        <w:rPr>
          <w:rFonts w:ascii="宋体" w:hAnsi="宋体" w:cs="宋体" w:eastAsia="宋体" w:hint="default"/>
          <w:sz w:val="26"/>
          <w:szCs w:val="26"/>
        </w:rPr>
      </w:pPr>
    </w:p>
    <w:p>
      <w:pPr>
        <w:pStyle w:val="BodyText"/>
        <w:spacing w:line="321" w:lineRule="auto" w:before="0"/>
        <w:ind w:left="501" w:right="1201"/>
        <w:jc w:val="left"/>
      </w:pPr>
      <w:r>
        <w:rPr/>
        <w:t>（</w:t>
      </w:r>
      <w:r>
        <w:rPr>
          <w:rFonts w:ascii="宋体" w:hAnsi="宋体" w:cs="宋体" w:eastAsia="宋体" w:hint="default"/>
        </w:rPr>
        <w:t>2</w:t>
      </w:r>
      <w:r>
        <w:rPr/>
        <w:t>）公司债券回售 公司于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7</w:t>
      </w:r>
      <w:r>
        <w:rPr/>
        <w:t>日披露了《关于</w:t>
      </w:r>
      <w:r>
        <w:rPr>
          <w:rFonts w:ascii="宋体" w:hAnsi="宋体" w:cs="宋体" w:eastAsia="宋体" w:hint="default"/>
        </w:rPr>
        <w:t>2018</w:t>
      </w:r>
      <w:r>
        <w:rPr/>
        <w:t>年面向合格投资者公开发行公司债券持有人回售申报情况的公告》，公司“</w:t>
      </w:r>
      <w:r>
        <w:rPr>
          <w:spacing w:val="8"/>
        </w:rPr>
        <w:t> </w:t>
      </w:r>
      <w:r>
        <w:rPr/>
        <w:t>8</w:t>
      </w:r>
    </w:p>
    <w:p>
      <w:pPr>
        <w:pStyle w:val="BodyText"/>
        <w:spacing w:line="307" w:lineRule="auto" w:before="18"/>
        <w:ind w:right="0"/>
        <w:jc w:val="left"/>
      </w:pPr>
      <w:r>
        <w:rPr/>
        <w:t>二三</w:t>
      </w:r>
      <w:r>
        <w:rPr>
          <w:spacing w:val="23"/>
        </w:rPr>
        <w:t> </w:t>
      </w:r>
      <w:r>
        <w:rPr>
          <w:spacing w:val="-3"/>
        </w:rPr>
        <w:t>”债券的回售申报数量为</w:t>
      </w:r>
      <w:r>
        <w:rPr>
          <w:rFonts w:ascii="宋体" w:hAnsi="宋体" w:cs="宋体" w:eastAsia="宋体" w:hint="default"/>
          <w:spacing w:val="-3"/>
        </w:rPr>
        <w:t>4,280,000</w:t>
      </w:r>
      <w:r>
        <w:rPr>
          <w:spacing w:val="-3"/>
        </w:rPr>
        <w:t>张，回售金额为人民币</w:t>
      </w:r>
      <w:r>
        <w:rPr>
          <w:rFonts w:ascii="宋体" w:hAnsi="宋体" w:cs="宋体" w:eastAsia="宋体" w:hint="default"/>
          <w:spacing w:val="-3"/>
        </w:rPr>
        <w:t>428,000,000</w:t>
      </w:r>
      <w:r>
        <w:rPr>
          <w:spacing w:val="-3"/>
        </w:rPr>
        <w:t>元（不含利息），剩余托管数量为</w:t>
      </w:r>
      <w:r>
        <w:rPr>
          <w:rFonts w:ascii="宋体" w:hAnsi="宋体" w:cs="宋体" w:eastAsia="宋体" w:hint="default"/>
          <w:spacing w:val="-3"/>
        </w:rPr>
        <w:t>720,000</w:t>
      </w:r>
      <w:r>
        <w:rPr>
          <w:spacing w:val="-3"/>
        </w:rPr>
        <w:t>张，</w:t>
      </w:r>
      <w:r>
        <w:rPr/>
        <w:t> 回售资金到账日为</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15</w:t>
      </w:r>
      <w:r>
        <w:rPr/>
        <w:t>日。</w:t>
      </w:r>
    </w:p>
    <w:p>
      <w:pPr>
        <w:spacing w:line="240" w:lineRule="auto" w:before="4"/>
        <w:rPr>
          <w:rFonts w:ascii="宋体" w:hAnsi="宋体" w:cs="宋体" w:eastAsia="宋体" w:hint="default"/>
          <w:sz w:val="26"/>
          <w:szCs w:val="26"/>
        </w:rPr>
      </w:pPr>
    </w:p>
    <w:p>
      <w:pPr>
        <w:pStyle w:val="BodyText"/>
        <w:spacing w:line="321" w:lineRule="auto" w:before="0"/>
        <w:ind w:left="501" w:right="1119"/>
        <w:jc w:val="left"/>
      </w:pPr>
      <w:r>
        <w:rPr/>
        <w:t>（</w:t>
      </w:r>
      <w:r>
        <w:rPr>
          <w:rFonts w:ascii="宋体" w:hAnsi="宋体" w:cs="宋体" w:eastAsia="宋体" w:hint="default"/>
        </w:rPr>
        <w:t>3</w:t>
      </w:r>
      <w:r>
        <w:rPr/>
        <w:t>）参与投资上海国和人工智能股权投资基金合伙企业（有限合伙） 公司于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10</w:t>
      </w:r>
      <w:r>
        <w:rPr/>
        <w:t>日披露了《关于参与投资上海国和人工智能股权投资基金合伙企业（有限合伙）的公告》，公司作</w:t>
      </w:r>
    </w:p>
    <w:p>
      <w:pPr>
        <w:pStyle w:val="BodyText"/>
        <w:spacing w:line="304" w:lineRule="auto" w:before="18"/>
        <w:ind w:right="1119"/>
        <w:jc w:val="left"/>
      </w:pPr>
      <w:r>
        <w:rPr/>
        <w:t>为有限合伙人拟以自有资金认缴出资额人民币</w:t>
      </w:r>
      <w:r>
        <w:rPr>
          <w:rFonts w:ascii="宋体" w:hAnsi="宋体" w:cs="宋体" w:eastAsia="宋体" w:hint="default"/>
        </w:rPr>
        <w:t>2,000</w:t>
      </w:r>
      <w:r>
        <w:rPr/>
        <w:t>万元参与投资上海国和人工智能股权投资基金合伙企业（有限合伙），</w:t>
      </w:r>
      <w:r>
        <w:rPr>
          <w:spacing w:val="-86"/>
        </w:rPr>
        <w:t> </w:t>
      </w:r>
      <w:r>
        <w:rPr/>
        <w:t>占其目标募集金额的</w:t>
      </w:r>
      <w:r>
        <w:rPr>
          <w:rFonts w:ascii="宋体" w:hAnsi="宋体" w:cs="宋体" w:eastAsia="宋体" w:hint="default"/>
        </w:rPr>
        <w:t>3.96%</w:t>
      </w:r>
      <w:r>
        <w:rPr/>
        <w:t>。截止至报告日，该基金已在中国证券投资基金业协会完成备案登记。</w:t>
      </w:r>
    </w:p>
    <w:p>
      <w:pPr>
        <w:spacing w:after="0" w:line="304"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十六、其他重要事项" w:id="527"/>
      <w:bookmarkEnd w:id="527"/>
      <w:r>
        <w:rPr>
          <w:b w:val="0"/>
          <w:bCs w:val="0"/>
        </w:rPr>
      </w:r>
      <w:r>
        <w:rPr/>
        <w:t>十六、其他重要事项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前期会计差错更正" w:id="528"/>
      <w:bookmarkEnd w:id="52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529"/>
      <w:bookmarkEnd w:id="52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530"/>
      <w:bookmarkEnd w:id="53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531"/>
      <w:bookmarkEnd w:id="53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532"/>
      <w:bookmarkEnd w:id="53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533"/>
      <w:bookmarkEnd w:id="53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9"/>
        <w:rPr>
          <w:rFonts w:ascii="宋体" w:hAnsi="宋体" w:cs="宋体" w:eastAsia="宋体" w:hint="default"/>
          <w:b/>
          <w:bCs/>
          <w:sz w:val="23"/>
          <w:szCs w:val="23"/>
        </w:rPr>
      </w:pPr>
    </w:p>
    <w:p>
      <w:pPr>
        <w:pStyle w:val="Heading3"/>
        <w:spacing w:line="508" w:lineRule="auto"/>
        <w:ind w:right="8409"/>
        <w:jc w:val="left"/>
        <w:rPr>
          <w:b w:val="0"/>
          <w:bCs w:val="0"/>
        </w:rPr>
      </w:pPr>
      <w:bookmarkStart w:name="（2）其他资产置换" w:id="534"/>
      <w:bookmarkEnd w:id="534"/>
      <w:r>
        <w:rPr>
          <w:b w:val="0"/>
          <w:bCs w:val="0"/>
        </w:rPr>
      </w:r>
      <w:r>
        <w:rPr>
          <w:w w:val="95"/>
        </w:rPr>
        <w:t>（</w:t>
      </w:r>
      <w:r>
        <w:rPr>
          <w:rFonts w:ascii="Times New Roman" w:hAnsi="Times New Roman" w:cs="Times New Roman" w:eastAsia="Times New Roman" w:hint="default"/>
          <w:w w:val="95"/>
        </w:rPr>
        <w:t>2</w:t>
      </w:r>
      <w:r>
        <w:rPr>
          <w:w w:val="95"/>
        </w:rPr>
        <w:t>）其他资产置换</w:t>
      </w:r>
      <w:r>
        <w:rPr>
          <w:spacing w:val="-18"/>
          <w:w w:val="95"/>
        </w:rPr>
        <w:t> </w:t>
      </w:r>
      <w:bookmarkStart w:name="4、年金计划" w:id="535"/>
      <w:bookmarkEnd w:id="535"/>
      <w:r>
        <w:rPr>
          <w:spacing w:val="-18"/>
          <w:w w:val="95"/>
        </w:rPr>
      </w:r>
      <w:r>
        <w:rPr>
          <w:rFonts w:ascii="Times New Roman" w:hAnsi="Times New Roman" w:cs="Times New Roman" w:eastAsia="Times New Roman" w:hint="default"/>
        </w:rPr>
        <w:t>4</w:t>
      </w:r>
      <w:r>
        <w:rPr/>
        <w:t>、年金计划</w:t>
      </w:r>
      <w:r>
        <w:rPr>
          <w:b w:val="0"/>
          <w:bCs w:val="0"/>
        </w:rPr>
      </w:r>
    </w:p>
    <w:p>
      <w:pPr>
        <w:pStyle w:val="Heading3"/>
        <w:spacing w:line="240" w:lineRule="auto" w:before="64"/>
        <w:ind w:right="0"/>
        <w:jc w:val="left"/>
        <w:rPr>
          <w:b w:val="0"/>
          <w:bCs w:val="0"/>
        </w:rPr>
      </w:pPr>
      <w:bookmarkStart w:name="5、终止经营" w:id="536"/>
      <w:bookmarkEnd w:id="53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分部信息" w:id="537"/>
      <w:bookmarkEnd w:id="53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报告分部的确定依据与会计政策" w:id="538"/>
      <w:bookmarkEnd w:id="53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539"/>
      <w:bookmarkEnd w:id="53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3）公司无报告分部的，或者不能披露各报告分部的资产总额和负债总额的，应说明原因" w:id="540"/>
      <w:bookmarkEnd w:id="54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4"/>
          <w:szCs w:val="24"/>
        </w:rPr>
      </w:pPr>
    </w:p>
    <w:p>
      <w:pPr>
        <w:pStyle w:val="Heading3"/>
        <w:spacing w:line="508" w:lineRule="auto"/>
        <w:ind w:right="6427"/>
        <w:jc w:val="left"/>
        <w:rPr>
          <w:b w:val="0"/>
          <w:bCs w:val="0"/>
        </w:rPr>
      </w:pPr>
      <w:bookmarkStart w:name="（4）其他说明" w:id="541"/>
      <w:bookmarkEnd w:id="541"/>
      <w:r>
        <w:rPr>
          <w:b w:val="0"/>
          <w:bCs w:val="0"/>
        </w:rPr>
      </w:r>
      <w:r>
        <w:rPr/>
        <w:t>（</w:t>
      </w:r>
      <w:r>
        <w:rPr>
          <w:rFonts w:ascii="Times New Roman" w:hAnsi="Times New Roman" w:cs="Times New Roman" w:eastAsia="Times New Roman" w:hint="default"/>
        </w:rPr>
        <w:t>4</w:t>
      </w:r>
      <w:r>
        <w:rPr/>
        <w:t>）其他说明</w:t>
      </w:r>
      <w:r>
        <w:rPr>
          <w:w w:val="99"/>
        </w:rPr>
        <w:t> </w:t>
      </w:r>
      <w:bookmarkStart w:name="7、其他对投资者决策有影响的重要交易和事项" w:id="542"/>
      <w:bookmarkEnd w:id="542"/>
      <w:r>
        <w:rPr>
          <w:w w:val="99"/>
        </w:rPr>
      </w:r>
      <w:r>
        <w:rPr>
          <w:rFonts w:ascii="Times New Roman" w:hAnsi="Times New Roman" w:cs="Times New Roman" w:eastAsia="Times New Roman" w:hint="default"/>
        </w:rPr>
        <w:t>7</w:t>
      </w:r>
      <w:r>
        <w:rPr/>
        <w:t>、其他对投资者决策有影响的重要交易和事项</w:t>
      </w:r>
      <w:r>
        <w:rPr>
          <w:b w:val="0"/>
          <w:bCs w:val="0"/>
        </w:rPr>
      </w:r>
    </w:p>
    <w:p>
      <w:pPr>
        <w:spacing w:line="482" w:lineRule="auto" w:before="64"/>
        <w:ind w:left="141" w:right="6894" w:firstLine="0"/>
        <w:jc w:val="left"/>
        <w:rPr>
          <w:rFonts w:ascii="宋体" w:hAnsi="宋体" w:cs="宋体" w:eastAsia="宋体" w:hint="default"/>
          <w:sz w:val="21"/>
          <w:szCs w:val="21"/>
        </w:rPr>
      </w:pPr>
      <w:bookmarkStart w:name="8、其他" w:id="543"/>
      <w:bookmarkEnd w:id="54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44"/>
      <w:bookmarkEnd w:id="544"/>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45"/>
      <w:bookmarkEnd w:id="5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90"/>
        <w:ind w:right="0"/>
        <w:jc w:val="left"/>
        <w:rPr>
          <w:b w:val="0"/>
          <w:bCs w:val="0"/>
        </w:rPr>
      </w:pPr>
      <w:bookmarkStart w:name="（1）应收账款分类披露" w:id="546"/>
      <w:bookmarkEnd w:id="54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630"/>
        <w:gridCol w:w="766"/>
        <w:gridCol w:w="766"/>
        <w:gridCol w:w="751"/>
        <w:gridCol w:w="766"/>
        <w:gridCol w:w="796"/>
        <w:gridCol w:w="781"/>
        <w:gridCol w:w="796"/>
        <w:gridCol w:w="796"/>
        <w:gridCol w:w="796"/>
        <w:gridCol w:w="931"/>
      </w:tblGrid>
      <w:tr>
        <w:trPr>
          <w:trHeight w:val="390" w:hRule="exact"/>
        </w:trPr>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0"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30"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6" w:hRule="exact"/>
        </w:trPr>
        <w:tc>
          <w:tcPr>
            <w:tcW w:w="1630"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0"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30"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13,517,8</w:t>
            </w:r>
          </w:p>
          <w:p>
            <w:pPr>
              <w:pStyle w:val="TableParagraph"/>
              <w:spacing w:line="240" w:lineRule="auto" w:before="108"/>
              <w:ind w:left="307" w:right="0"/>
              <w:jc w:val="left"/>
              <w:rPr>
                <w:rFonts w:ascii="Times New Roman" w:hAnsi="Times New Roman" w:cs="Times New Roman" w:eastAsia="Times New Roman" w:hint="default"/>
                <w:sz w:val="18"/>
                <w:szCs w:val="18"/>
              </w:rPr>
            </w:pPr>
            <w:r>
              <w:rPr>
                <w:rFonts w:ascii="Times New Roman"/>
                <w:sz w:val="18"/>
              </w:rPr>
              <w:t>25.77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13,517,82</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5.77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4,960,018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4,960,018.0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13,517,8</w:t>
            </w:r>
          </w:p>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25.77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13,517,82</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5.77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4,960,018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4,960,018.0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0"/>
        <w:jc w:val="left"/>
      </w:pPr>
      <w:r>
        <w:rPr/>
        <w:t>按组合计提坏账准备：</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13,517,825.77</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13,517,825.77</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before="45"/>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7194"/>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7" w:lineRule="auto" w:before="45"/>
        <w:ind w:right="1749"/>
        <w:jc w:val="left"/>
      </w:pPr>
      <w:r>
        <w:rPr/>
        <w:t>确定该组合依据的说明： 如是按照预期信用损失一般模型计提应收账款坏账准备，请参照其他应收款的披露方式披露坏账准备的相关信息：</w:t>
      </w:r>
    </w:p>
    <w:p>
      <w:pPr>
        <w:pStyle w:val="BodyText"/>
        <w:spacing w:line="333" w:lineRule="auto" w:before="29"/>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3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13,517,825.77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13,517,825.77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547"/>
      <w:bookmarkEnd w:id="5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right="0"/>
        <w:jc w:val="left"/>
      </w:pPr>
      <w:r>
        <w:rPr/>
        <w:t>本期计提坏账准备情况：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5"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548"/>
      <w:bookmarkEnd w:id="54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0"/>
        <w:jc w:val="left"/>
      </w:pPr>
      <w:r>
        <w:rPr/>
        <w:t>其中重要的应收账款核销情况：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按欠款方归集的期末余额前五名的应收账款情况" w:id="549"/>
      <w:bookmarkEnd w:id="54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5,504,361.75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40.72%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4,793,242.29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35.46%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2,522,457.65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18.66%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697,764.08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5.16%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13,517,825.77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因金融资产转移而终止确认的应收账款" w:id="550"/>
      <w:bookmarkEnd w:id="55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51"/>
      <w:bookmarkEnd w:id="55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2、其他应收款" w:id="552"/>
      <w:bookmarkEnd w:id="55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18,292,058.76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20,238,524.36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18,292,058.76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20,238,524.36</w:t>
            </w:r>
          </w:p>
        </w:tc>
      </w:tr>
    </w:tbl>
    <w:p>
      <w:pPr>
        <w:spacing w:line="240" w:lineRule="auto" w:before="11"/>
        <w:rPr>
          <w:rFonts w:ascii="宋体" w:hAnsi="宋体" w:cs="宋体" w:eastAsia="宋体" w:hint="default"/>
          <w:sz w:val="19"/>
          <w:szCs w:val="19"/>
        </w:rPr>
      </w:pPr>
    </w:p>
    <w:p>
      <w:pPr>
        <w:pStyle w:val="Heading3"/>
        <w:spacing w:line="508" w:lineRule="auto" w:before="35"/>
        <w:ind w:right="8409"/>
        <w:jc w:val="left"/>
        <w:rPr>
          <w:b w:val="0"/>
          <w:bCs w:val="0"/>
        </w:rPr>
      </w:pPr>
      <w:bookmarkStart w:name="（1）应收利息" w:id="553"/>
      <w:bookmarkEnd w:id="553"/>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554"/>
      <w:bookmarkEnd w:id="554"/>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555"/>
      <w:bookmarkEnd w:id="55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坏账准备计提情况" w:id="556"/>
      <w:bookmarkEnd w:id="55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496" w:lineRule="auto" w:before="125"/>
        <w:ind w:right="8409"/>
        <w:jc w:val="left"/>
        <w:rPr>
          <w:b w:val="0"/>
          <w:bCs w:val="0"/>
        </w:rPr>
      </w:pPr>
      <w:bookmarkStart w:name="（2）应收股利" w:id="557"/>
      <w:bookmarkEnd w:id="557"/>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558"/>
      <w:bookmarkEnd w:id="558"/>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重要的账龄超过1年的应收股利" w:id="559"/>
      <w:bookmarkEnd w:id="559"/>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坏账准备计提情况" w:id="560"/>
      <w:bookmarkEnd w:id="56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3"/>
        <w:rPr>
          <w:rFonts w:ascii="宋体" w:hAnsi="宋体" w:cs="宋体" w:eastAsia="宋体" w:hint="default"/>
          <w:sz w:val="24"/>
          <w:szCs w:val="24"/>
        </w:rPr>
      </w:pPr>
    </w:p>
    <w:p>
      <w:pPr>
        <w:pStyle w:val="Heading3"/>
        <w:spacing w:line="508" w:lineRule="auto"/>
        <w:ind w:right="7481"/>
        <w:jc w:val="left"/>
        <w:rPr>
          <w:b w:val="0"/>
          <w:bCs w:val="0"/>
        </w:rPr>
      </w:pPr>
      <w:bookmarkStart w:name="（3）其他应收款" w:id="561"/>
      <w:bookmarkEnd w:id="561"/>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562"/>
      <w:bookmarkEnd w:id="562"/>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18,331,101.07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15,217,566.67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5,044,957.69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5,104,957.69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23,376,058.76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20,322,524.36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坏账准备计提情况" w:id="563"/>
      <w:bookmarkEnd w:id="56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z w:val="18"/>
              </w:rPr>
              <w:t>84,000.00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84,000.00</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5"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5,000,000.00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84,000.00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5,000,000.00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5,084,000.00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ind w:right="-20"/>
        <w:jc w:val="left"/>
      </w:pPr>
      <w:r>
        <w:rPr/>
        <w:t>损失准备本期变动金额重大的账面余额变动情况</w:t>
      </w:r>
    </w:p>
    <w:p>
      <w:pPr>
        <w:pStyle w:val="BodyText"/>
        <w:spacing w:line="333"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5,611,731.07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12,635,370.00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4,945,739.00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183,218.69</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183,218.69</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23,376,058.76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收回或转回的坏账准备情况" w:id="564"/>
      <w:bookmarkEnd w:id="56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321"/>
        <w:gridCol w:w="1097"/>
        <w:gridCol w:w="1577"/>
        <w:gridCol w:w="1577"/>
      </w:tblGrid>
      <w:tr>
        <w:trPr>
          <w:trHeight w:val="390"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其他往来组合</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84,000.00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5,084,000.00</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84,000.00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5,084,000.00</w:t>
            </w:r>
          </w:p>
        </w:tc>
      </w:tr>
    </w:tbl>
    <w:p>
      <w:pPr>
        <w:pStyle w:val="BodyText"/>
        <w:spacing w:line="240" w:lineRule="auto" w:before="45"/>
        <w:ind w:right="0"/>
        <w:jc w:val="left"/>
      </w:pPr>
      <w:r>
        <w:rPr/>
        <w:t>其中本期坏账准备转回或收回金额重要的：</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本期实际核销的其他应收款情况" w:id="565"/>
      <w:bookmarkEnd w:id="56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其中重要的其他应收款核销情况：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按欠款方归集的期末余额前五名的其他应收款情况" w:id="566"/>
      <w:bookmarkEnd w:id="56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上海二三四五科技投 资有限公司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582,175.00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2.49%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上海二三四五科技投 资有限公司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12,635,370.00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54.05%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浙江嘉霖文化传媒有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21.39%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5,000,000.00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上海张江（集团）有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4,945,739.00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21.16%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23,163,284.00</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99.09%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45" w:right="0"/>
              <w:jc w:val="left"/>
              <w:rPr>
                <w:rFonts w:ascii="Times New Roman" w:hAnsi="Times New Roman" w:cs="Times New Roman" w:eastAsia="Times New Roman" w:hint="default"/>
                <w:sz w:val="18"/>
                <w:szCs w:val="18"/>
              </w:rPr>
            </w:pPr>
            <w:r>
              <w:rPr>
                <w:rFonts w:ascii="Times New Roman"/>
                <w:sz w:val="18"/>
              </w:rPr>
              <w:t>5,000,000.00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567"/>
      <w:bookmarkEnd w:id="56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21"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568"/>
      <w:bookmarkEnd w:id="56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69"/>
      <w:bookmarkEnd w:id="569"/>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长期股权投资" w:id="570"/>
      <w:bookmarkEnd w:id="57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390"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6,554,771,653.39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6,554,771,653.39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6,534,315,050.29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6,534,315,050.29</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32,348,484.77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32,348,484.77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249,317,986.24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249,317,986.24</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6,587,120,138.16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1"/>
              <w:jc w:val="right"/>
              <w:rPr>
                <w:rFonts w:ascii="Times New Roman" w:hAnsi="Times New Roman" w:cs="Times New Roman" w:eastAsia="Times New Roman" w:hint="default"/>
                <w:sz w:val="18"/>
                <w:szCs w:val="18"/>
              </w:rPr>
            </w:pPr>
            <w:r>
              <w:rPr>
                <w:rFonts w:ascii="Times New Roman"/>
                <w:sz w:val="18"/>
              </w:rPr>
              <w:t>6,587,120,138.16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6,783,633,036.53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6,783,633,036.53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71"/>
      <w:bookmarkEnd w:id="57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6"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104"/>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104"/>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9"/>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5"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上海二三四五 网络科技有限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4,598,664,871.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107,253,232.6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4,705,918,104.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59</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拉萨经济技术 开发区联创信 息咨询有限公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40,014,997.42</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40,014,997.42</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拉萨经济技术 开发区恒信创</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55,384,996.42</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55,384,996.42</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业投资管理有 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上海洪昇智能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1,840,250,184.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-1,396,635.67</w:t>
            </w:r>
            <w:r>
              <w:rPr>
                <w:rFonts w:ascii="Times New Roman"/>
                <w:sz w:val="18"/>
              </w:rPr>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1,838,853,548.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88"/>
              <w:jc w:val="both"/>
              <w:rPr>
                <w:rFonts w:ascii="宋体" w:hAnsi="宋体" w:cs="宋体" w:eastAsia="宋体" w:hint="default"/>
                <w:sz w:val="18"/>
                <w:szCs w:val="18"/>
              </w:rPr>
            </w:pPr>
            <w:r>
              <w:rPr>
                <w:rFonts w:ascii="宋体" w:hAnsi="宋体" w:cs="宋体" w:eastAsia="宋体" w:hint="default"/>
                <w:sz w:val="18"/>
                <w:szCs w:val="18"/>
              </w:rPr>
              <w:t>众邦银行</w:t>
            </w:r>
            <w:r>
              <w:rPr>
                <w:rFonts w:ascii="Times New Roman" w:hAnsi="Times New Roman" w:cs="Times New Roman" w:eastAsia="Times New Roman" w:hint="default"/>
                <w:sz w:val="18"/>
                <w:szCs w:val="18"/>
              </w:rPr>
              <w:t>-</w:t>
            </w:r>
            <w:r>
              <w:rPr>
                <w:rFonts w:ascii="宋体" w:hAnsi="宋体" w:cs="宋体" w:eastAsia="宋体" w:hint="default"/>
                <w:sz w:val="18"/>
                <w:szCs w:val="18"/>
              </w:rPr>
              <w:t>天风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年第一期 财产权信托</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6,534,315,050.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115,856,596.9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95,399,993.84</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6,554,771,653.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39</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72"/>
      <w:bookmarkEnd w:id="57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91"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55"/>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上海杨浦 杨科小额 贷款股份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35,020,77</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9.61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-1,520,29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4.84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-1,152,00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32,348,48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4.77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昆山汇岭 互联网投 资企业</w:t>
            </w:r>
          </w:p>
          <w:p>
            <w:pPr>
              <w:pStyle w:val="TableParagraph"/>
              <w:spacing w:line="321" w:lineRule="auto" w:before="24"/>
              <w:ind w:left="15" w:right="45"/>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214,297,2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06.63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-211,612,</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681.99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-2,684,52</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4.64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249,317,9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86.24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-211,612,</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681.99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-4,204,81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9.48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-1,152,00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32,348,48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4.77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249,317,9</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86.24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-211,612,</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681.99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-4,204,81</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9.48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-1,152,00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32,348,48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4.77</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508" w:lineRule="auto" w:before="35"/>
        <w:ind w:right="8535"/>
        <w:jc w:val="left"/>
        <w:rPr>
          <w:b w:val="0"/>
          <w:bCs w:val="0"/>
        </w:rPr>
      </w:pPr>
      <w:bookmarkStart w:name="（3）其他说明" w:id="573"/>
      <w:bookmarkEnd w:id="573"/>
      <w:r>
        <w:rPr>
          <w:b w:val="0"/>
          <w:bCs w:val="0"/>
        </w:rPr>
      </w:r>
      <w:r>
        <w:rPr/>
        <w:t>（</w:t>
      </w:r>
      <w:r>
        <w:rPr>
          <w:rFonts w:ascii="Times New Roman" w:hAnsi="Times New Roman" w:cs="Times New Roman" w:eastAsia="Times New Roman" w:hint="default"/>
        </w:rPr>
        <w:t>3</w:t>
      </w:r>
      <w:r>
        <w:rPr/>
        <w:t>）其他说明</w:t>
      </w:r>
      <w:r>
        <w:rPr>
          <w:w w:val="99"/>
        </w:rPr>
        <w:t> </w:t>
      </w:r>
      <w:bookmarkStart w:name="4、营业收入和营业成本" w:id="574"/>
      <w:bookmarkEnd w:id="574"/>
      <w:r>
        <w:rPr>
          <w:w w:val="99"/>
        </w:rPr>
      </w: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6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6"/>
      </w:tblGrid>
      <w:tr>
        <w:trPr>
          <w:trHeight w:val="390"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49,150,661.56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62,981,026.24</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49,150,661.56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62,981,026.24</w:t>
            </w:r>
          </w:p>
        </w:tc>
        <w:tc>
          <w:tcPr>
            <w:tcW w:w="1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是否已执行新收入准则</w:t>
      </w:r>
    </w:p>
    <w:p>
      <w:pPr>
        <w:pStyle w:val="BodyText"/>
        <w:spacing w:line="333" w:lineRule="auto" w:before="125"/>
        <w:ind w:right="94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5、投资收益" w:id="575"/>
      <w:bookmarkEnd w:id="57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1,000,000,000.00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614,295,241.44</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-1,516,463.09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-30,876,148.79</w:t>
            </w:r>
            <w:r>
              <w:rPr>
                <w:rFonts w:ascii="Times New Roman"/>
                <w:sz w:val="18"/>
              </w:rPr>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-2,688,356.39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债权投资在持有期间取得的利息收入</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15,360,933.87</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35,661,171.89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2"/>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 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1,782,968.12</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4"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9,265,232.20</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1,048,600,254.40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592,684,324.85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76"/>
      <w:bookmarkEnd w:id="576"/>
      <w:r>
        <w:rPr>
          <w:b w:val="0"/>
          <w:bCs w:val="0"/>
        </w:rPr>
      </w: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77"/>
      <w:bookmarkEnd w:id="577"/>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78"/>
      <w:bookmarkEnd w:id="57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-2,664,652.83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73,597,203.88</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7"/>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-4,057,002.68</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2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4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1,782,968.12</w:t>
            </w: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9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ind w:left="15" w:right="47"/>
              <w:jc w:val="both"/>
              <w:rPr>
                <w:rFonts w:ascii="宋体" w:hAnsi="宋体" w:cs="宋体" w:eastAsia="宋体" w:hint="default"/>
                <w:sz w:val="18"/>
                <w:szCs w:val="18"/>
              </w:rPr>
            </w:pPr>
            <w:r>
              <w:rPr>
                <w:rFonts w:ascii="宋体" w:hAnsi="宋体" w:cs="宋体" w:eastAsia="宋体" w:hint="default"/>
                <w:sz w:val="18"/>
                <w:szCs w:val="18"/>
              </w:rPr>
              <w:t>性金融资产、衍生金融资产、交易性金融 负债、衍生金融负债和其他债权投资取得 的投资收益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-1,440,600.00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7,058,063.86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60,159,852.63</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579"/>
      <w:bookmarkEnd w:id="57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5"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95"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8"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7.89%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0.13</w:t>
            </w:r>
          </w:p>
        </w:tc>
      </w:tr>
      <w:tr>
        <w:trPr>
          <w:trHeight w:val="7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0.12</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80"/>
      <w:bookmarkEnd w:id="58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81"/>
      <w:bookmarkEnd w:id="58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582"/>
      <w:bookmarkEnd w:id="58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86" w:lineRule="exact" w:before="142"/>
        <w:ind w:right="0"/>
        <w:jc w:val="left"/>
        <w:rPr>
          <w:b w:val="0"/>
          <w:bCs w:val="0"/>
        </w:rPr>
      </w:pPr>
      <w:bookmarkStart w:name="（3）境内外会计准则下会计数据差异原因说明，对已经境外审计机构审计的数据进行差异" w:id="583"/>
      <w:bookmarkEnd w:id="58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bookmarkStart w:name="4、其他" w:id="584"/>
      <w:bookmarkEnd w:id="58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280" w:right="0"/>
        <w:jc w:val="left"/>
        <w:rPr>
          <w:b w:val="0"/>
          <w:bCs w:val="0"/>
        </w:rPr>
      </w:pPr>
      <w:bookmarkStart w:name="第十三节 备查文件目录" w:id="585"/>
      <w:bookmarkEnd w:id="585"/>
      <w:r>
        <w:rPr>
          <w:b w:val="0"/>
          <w:bCs w:val="0"/>
        </w:rPr>
      </w:r>
      <w:bookmarkStart w:name="_bookmark12" w:id="586"/>
      <w:bookmarkEnd w:id="586"/>
      <w:r>
        <w:rPr>
          <w:b w:val="0"/>
          <w:bCs w:val="0"/>
        </w:rPr>
      </w:r>
      <w:r>
        <w:rPr>
          <w:spacing w:val="6"/>
        </w:rPr>
        <w:t>第十三节</w:t>
      </w:r>
      <w:r>
        <w:rPr>
          <w:spacing w:val="58"/>
        </w:rPr>
        <w:t> </w:t>
      </w:r>
      <w:r>
        <w:rPr>
          <w:spacing w:val="4"/>
        </w:rPr>
        <w:t>备查文件目录</w:t>
      </w:r>
      <w:r>
        <w:rPr>
          <w:b w:val="0"/>
          <w:bCs w:val="0"/>
          <w:spacing w:val="4"/>
        </w:rPr>
      </w:r>
    </w:p>
    <w:p>
      <w:pPr>
        <w:spacing w:line="240" w:lineRule="auto" w:before="7"/>
        <w:rPr>
          <w:rFonts w:ascii="宋体" w:hAnsi="宋体" w:cs="宋体" w:eastAsia="宋体" w:hint="default"/>
          <w:b/>
          <w:bCs/>
          <w:sz w:val="42"/>
          <w:szCs w:val="42"/>
        </w:rPr>
      </w:pPr>
    </w:p>
    <w:p>
      <w:pPr>
        <w:pStyle w:val="BodyText"/>
        <w:spacing w:line="240" w:lineRule="auto" w:before="0"/>
        <w:ind w:right="0"/>
        <w:jc w:val="left"/>
      </w:pPr>
      <w:r>
        <w:rPr/>
        <w:t>（一）载有公司法定代表人、主管会计工作负责人、会计机构负责人签名并盖章的财务报表；</w:t>
      </w:r>
    </w:p>
    <w:p>
      <w:pPr>
        <w:pStyle w:val="BodyText"/>
        <w:spacing w:line="240" w:lineRule="auto" w:before="79"/>
        <w:ind w:right="0"/>
        <w:jc w:val="left"/>
      </w:pPr>
      <w:r>
        <w:rPr/>
        <w:t>（二）载有立信会计师事务所（特殊普通合伙）盖章、注册会计师签名并盖章的审计报告原件；</w:t>
      </w:r>
    </w:p>
    <w:p>
      <w:pPr>
        <w:pStyle w:val="BodyText"/>
        <w:spacing w:line="240" w:lineRule="auto" w:before="65"/>
        <w:ind w:right="0"/>
        <w:jc w:val="left"/>
      </w:pPr>
      <w:r>
        <w:rPr/>
        <w:t>（三）报告期内在中国证监会指定信息披露报纸上公开披露过的所有公司文件的正本及公告原稿；</w:t>
      </w:r>
    </w:p>
    <w:p>
      <w:pPr>
        <w:pStyle w:val="BodyText"/>
        <w:spacing w:line="288" w:lineRule="auto" w:before="95"/>
        <w:ind w:right="5529"/>
        <w:jc w:val="left"/>
      </w:pPr>
      <w:r>
        <w:rPr/>
        <w:t>（四）载有法定代表人签名的公司</w:t>
      </w:r>
      <w:r>
        <w:rPr>
          <w:rFonts w:ascii="Times New Roman" w:hAnsi="Times New Roman" w:cs="Times New Roman" w:eastAsia="Times New Roman" w:hint="default"/>
        </w:rPr>
        <w:t>2019</w:t>
      </w:r>
      <w:r>
        <w:rPr/>
        <w:t>年年度报告文本。</w:t>
      </w:r>
      <w:r>
        <w:rPr>
          <w:spacing w:val="-87"/>
        </w:rPr>
        <w:t> </w:t>
      </w:r>
      <w:r>
        <w:rPr/>
        <w:t>以上备查文件的备置地点：深圳证券交易所、公司董事会办公室。</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60008" type="#_x0000_t75" stroked="false">
          <v:imagedata r:id="rId1" o:title=""/>
        </v:shape>
      </w:pict>
    </w:r>
    <w:r>
      <w:rPr/>
      <w:pict>
        <v:shape style="position:absolute;margin-left:534.419983pt;margin-top:795.707947pt;width:6.5pt;height:11pt;mso-position-horizontal-relative:page;mso-position-vertical-relative:page;z-index:-115998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576" type="#_x0000_t75" stroked="false">
          <v:imagedata r:id="rId1" o:title=""/>
        </v:shape>
      </w:pict>
    </w:r>
    <w:r>
      <w:rPr/>
      <w:pict>
        <v:shape style="position:absolute;margin-left:524.400024pt;margin-top:782.207947pt;width:17.5pt;height:11pt;mso-position-horizontal-relative:page;mso-position-vertical-relative:page;z-index:-11595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960" type="#_x0000_t75" stroked="false">
          <v:imagedata r:id="rId1" o:title=""/>
        </v:shape>
      </w:pict>
    </w:r>
    <w:r>
      <w:rPr/>
      <w:pict>
        <v:shape style="position:absolute;margin-left:528.919983pt;margin-top:782.207947pt;width:13pt;height:11pt;mso-position-horizontal-relative:page;mso-position-vertical-relative:page;z-index:-11599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912" type="#_x0000_t75" stroked="false">
          <v:imagedata r:id="rId1" o:title=""/>
        </v:shape>
      </w:pict>
    </w:r>
    <w:r>
      <w:rPr/>
      <w:pict>
        <v:shape style="position:absolute;margin-left:525.400024pt;margin-top:782.207947pt;width:15.5pt;height:11pt;mso-position-horizontal-relative:page;mso-position-vertical-relative:page;z-index:-11598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864" type="#_x0000_t75" stroked="false">
          <v:imagedata r:id="rId1" o:title=""/>
        </v:shape>
      </w:pict>
    </w:r>
    <w:r>
      <w:rPr/>
      <w:pict>
        <v:shape style="position:absolute;margin-left:524.400024pt;margin-top:782.207947pt;width:18.25pt;height:11pt;mso-position-horizontal-relative:page;mso-position-vertical-relative:page;z-index:-11598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816" type="#_x0000_t75" stroked="false">
          <v:imagedata r:id="rId1" o:title=""/>
        </v:shape>
      </w:pict>
    </w:r>
    <w:r>
      <w:rPr/>
      <w:pict>
        <v:shape style="position:absolute;margin-left:524.400024pt;margin-top:782.207947pt;width:17.5pt;height:11pt;mso-position-horizontal-relative:page;mso-position-vertical-relative:page;z-index:-11597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768" type="#_x0000_t75" stroked="false">
          <v:imagedata r:id="rId1" o:title=""/>
        </v:shape>
      </w:pict>
    </w:r>
    <w:r>
      <w:rPr/>
      <w:pict>
        <v:shape style="position:absolute;margin-left:524.400024pt;margin-top:782.207947pt;width:17.55pt;height:11pt;mso-position-horizontal-relative:page;mso-position-vertical-relative:page;z-index:-11597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720" type="#_x0000_t75" stroked="false">
          <v:imagedata r:id="rId1" o:title=""/>
        </v:shape>
      </w:pict>
    </w:r>
    <w:r>
      <w:rPr/>
      <w:pict>
        <v:shape style="position:absolute;margin-left:524.400024pt;margin-top:782.207947pt;width:17.5pt;height:11pt;mso-position-horizontal-relative:page;mso-position-vertical-relative:page;z-index:-11596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672" type="#_x0000_t75" stroked="false">
          <v:imagedata r:id="rId1" o:title=""/>
        </v:shape>
      </w:pict>
    </w:r>
    <w:r>
      <w:rPr/>
      <w:pict>
        <v:shape style="position:absolute;margin-left:524.400024pt;margin-top:782.207947pt;width:17.5pt;height:11pt;mso-position-horizontal-relative:page;mso-position-vertical-relative:page;z-index:-11596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59624" type="#_x0000_t75" stroked="false">
          <v:imagedata r:id="rId1" o:title=""/>
        </v:shape>
      </w:pict>
    </w:r>
    <w:r>
      <w:rPr/>
      <w:pict>
        <v:shape style="position:absolute;margin-left:525.400024pt;margin-top:782.207947pt;width:15.5pt;height:11pt;mso-position-horizontal-relative:page;mso-position-vertical-relative:page;z-index:-11596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130005pt;margin-top:35.565624pt;width:249.75pt;height:11.5pt;mso-position-horizontal-relative:page;mso-position-vertical-relative:page;z-index:-1160032" type="#_x0000_t202" filled="false" stroked="false">
          <v:textbox inset="0,0,0,0">
            <w:txbxContent>
              <w:p>
                <w:pPr>
                  <w:pStyle w:val="BodyText"/>
                  <w:spacing w:line="214" w:lineRule="exact" w:before="0"/>
                  <w:ind w:left="20" w:right="0"/>
                  <w:jc w:val="left"/>
                </w:pPr>
                <w:r>
                  <w:rPr/>
                  <w:t>上海二三四五网络控股集团股份有限公司</w:t>
                </w:r>
                <w:r>
                  <w:rPr>
                    <w:spacing w:val="-41"/>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41"/>
    </w:pPr>
    <w:rPr>
      <w:rFonts w:ascii="宋体" w:hAnsi="宋体" w:eastAsia="宋体"/>
      <w:b/>
      <w:bCs/>
      <w:sz w:val="24"/>
      <w:szCs w:val="24"/>
    </w:rPr>
  </w:style>
  <w:style w:styleId="BodyText" w:type="paragraph">
    <w:name w:val="Body Text"/>
    <w:basedOn w:val="Normal"/>
    <w:uiPriority w:val="1"/>
    <w:qFormat/>
    <w:pPr>
      <w:spacing w:before="44"/>
      <w:ind w:left="141"/>
    </w:pPr>
    <w:rPr>
      <w:rFonts w:ascii="宋体" w:hAnsi="宋体" w:eastAsia="宋体"/>
      <w:sz w:val="18"/>
      <w:szCs w:val="18"/>
    </w:rPr>
  </w:style>
  <w:style w:styleId="Heading1" w:type="paragraph">
    <w:name w:val="Heading 1"/>
    <w:basedOn w:val="Normal"/>
    <w:uiPriority w:val="1"/>
    <w:qFormat/>
    <w:pPr>
      <w:spacing w:before="9"/>
      <w:ind w:left="1691"/>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Heading4" w:type="paragraph">
    <w:name w:val="Heading 4"/>
    <w:basedOn w:val="Normal"/>
    <w:uiPriority w:val="1"/>
    <w:qFormat/>
    <w:pPr>
      <w:ind w:left="501"/>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2345.net/" TargetMode="External"/><Relationship Id="rId11" Type="http://schemas.openxmlformats.org/officeDocument/2006/relationships/hyperlink" Target="mailto:stock@2345.com"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上海二三四五网络控股集团股份有限公司</dc:creator>
  <dc:title>上海二三四五网络控股集团股份有限公司2019年年度报告全文</dc:title>
  <dcterms:created xsi:type="dcterms:W3CDTF">2020-05-19T22:50:43Z</dcterms:created>
  <dcterms:modified xsi:type="dcterms:W3CDTF">2020-05-19T22:50:43Z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