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02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3"/>
          <w:szCs w:val="13"/>
        </w:rPr>
      </w:pPr>
    </w:p>
    <w:p>
      <w:pPr>
        <w:spacing w:line="492" w:lineRule="exact"/>
        <w:ind w:left="31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2271522" cy="31242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271522" cy="312420"/>
                    </a:xfrm>
                    <a:prstGeom prst="rect">
                      <a:avLst/>
                    </a:prstGeom>
                  </pic:spPr>
                </pic:pic>
              </a:graphicData>
            </a:graphic>
          </wp:inline>
        </w:drawing>
      </w:r>
      <w:r>
        <w:rPr>
          <w:rFonts w:ascii="Times New Roman" w:hAnsi="Times New Roman" w:cs="Times New Roman" w:eastAsia="Times New Roman" w:hint="default"/>
          <w:position w:val="-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441" w:lineRule="auto" w:before="156"/>
        <w:ind w:left="2721" w:right="2719" w:firstLine="0"/>
        <w:jc w:val="center"/>
        <w:rPr>
          <w:rFonts w:ascii="黑体" w:hAnsi="黑体" w:cs="黑体" w:eastAsia="黑体" w:hint="default"/>
          <w:sz w:val="36"/>
          <w:szCs w:val="36"/>
        </w:rPr>
      </w:pPr>
      <w:r>
        <w:rPr>
          <w:rFonts w:ascii="黑体" w:hAnsi="黑体" w:cs="黑体" w:eastAsia="黑体" w:hint="default"/>
          <w:b/>
          <w:bCs/>
          <w:w w:val="95"/>
          <w:sz w:val="36"/>
          <w:szCs w:val="36"/>
        </w:rPr>
        <w:t>深圳市证通电子股份有限公司</w:t>
      </w:r>
      <w:r>
        <w:rPr>
          <w:rFonts w:ascii="黑体" w:hAnsi="黑体" w:cs="黑体" w:eastAsia="黑体" w:hint="default"/>
          <w:b/>
          <w:bCs/>
          <w:spacing w:val="51"/>
          <w:w w:val="95"/>
          <w:sz w:val="36"/>
          <w:szCs w:val="36"/>
        </w:rPr>
        <w:t> </w:t>
      </w:r>
      <w:r>
        <w:rPr>
          <w:rFonts w:ascii="黑体" w:hAnsi="黑体" w:cs="黑体" w:eastAsia="黑体" w:hint="default"/>
          <w:b/>
          <w:bCs/>
          <w:sz w:val="36"/>
          <w:szCs w:val="36"/>
        </w:rPr>
        <w:t>2012</w:t>
      </w:r>
      <w:r>
        <w:rPr>
          <w:rFonts w:ascii="黑体" w:hAnsi="黑体" w:cs="黑体" w:eastAsia="黑体" w:hint="default"/>
          <w:b/>
          <w:bCs/>
          <w:spacing w:val="-96"/>
          <w:sz w:val="36"/>
          <w:szCs w:val="36"/>
        </w:rPr>
        <w:t> </w:t>
      </w:r>
      <w:r>
        <w:rPr>
          <w:rFonts w:ascii="黑体" w:hAnsi="黑体" w:cs="黑体" w:eastAsia="黑体" w:hint="default"/>
          <w:b/>
          <w:bCs/>
          <w:sz w:val="36"/>
          <w:szCs w:val="36"/>
        </w:rPr>
        <w:t>年度报告</w:t>
      </w:r>
      <w:r>
        <w:rPr>
          <w:rFonts w:ascii="黑体" w:hAnsi="黑体" w:cs="黑体" w:eastAsia="黑体" w:hint="default"/>
          <w:sz w:val="36"/>
          <w:szCs w:val="36"/>
        </w:rPr>
      </w: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3"/>
        <w:rPr>
          <w:rFonts w:ascii="黑体" w:hAnsi="黑体" w:cs="黑体" w:eastAsia="黑体" w:hint="default"/>
          <w:b/>
          <w:bCs/>
          <w:sz w:val="26"/>
          <w:szCs w:val="26"/>
        </w:rPr>
      </w:pPr>
    </w:p>
    <w:p>
      <w:pPr>
        <w:spacing w:before="0"/>
        <w:ind w:left="2719" w:right="271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149"/>
        <w:jc w:val="left"/>
        <w:rPr>
          <w:b w:val="0"/>
          <w:bCs w:val="0"/>
        </w:rPr>
      </w:pPr>
      <w:bookmarkStart w:name="_bookmark0"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46" w:firstLine="560"/>
        <w:jc w:val="both"/>
        <w:rPr>
          <w:rFonts w:ascii="宋体" w:hAnsi="宋体" w:cs="宋体" w:eastAsia="宋体" w:hint="default"/>
          <w:sz w:val="28"/>
          <w:szCs w:val="28"/>
        </w:rPr>
      </w:pPr>
      <w:r>
        <w:rPr>
          <w:rFonts w:ascii="宋体" w:hAnsi="宋体" w:cs="宋体" w:eastAsia="宋体" w:hint="default"/>
          <w:spacing w:val="4"/>
          <w:w w:val="95"/>
          <w:sz w:val="28"/>
          <w:szCs w:val="28"/>
        </w:rPr>
        <w:t>本公司董事会、监事会及董事、监事、高级管理人员保证本报告所载资料</w:t>
      </w:r>
      <w:r>
        <w:rPr>
          <w:rFonts w:ascii="宋体" w:hAnsi="宋体" w:cs="宋体" w:eastAsia="宋体" w:hint="default"/>
          <w:spacing w:val="4"/>
          <w:w w:val="99"/>
          <w:sz w:val="28"/>
          <w:szCs w:val="28"/>
        </w:rPr>
        <w:t> </w:t>
      </w:r>
      <w:r>
        <w:rPr>
          <w:rFonts w:ascii="宋体" w:hAnsi="宋体" w:cs="宋体" w:eastAsia="宋体" w:hint="default"/>
          <w:spacing w:val="3"/>
          <w:sz w:val="28"/>
          <w:szCs w:val="28"/>
        </w:rPr>
        <w:t>不存在任何虚假记载、误导性陈述或者重大遗漏，并对其内容的真实性、准确</w:t>
      </w:r>
      <w:r>
        <w:rPr>
          <w:rFonts w:ascii="宋体" w:hAnsi="宋体" w:cs="宋体" w:eastAsia="宋体" w:hint="default"/>
          <w:spacing w:val="4"/>
          <w:w w:val="99"/>
          <w:sz w:val="28"/>
          <w:szCs w:val="28"/>
        </w:rPr>
        <w:t> </w:t>
      </w:r>
      <w:r>
        <w:rPr>
          <w:rFonts w:ascii="宋体" w:hAnsi="宋体" w:cs="宋体" w:eastAsia="宋体" w:hint="default"/>
          <w:sz w:val="28"/>
          <w:szCs w:val="28"/>
        </w:rPr>
        <w:t>性和完整性承担个别及连带责任。</w:t>
      </w:r>
    </w:p>
    <w:p>
      <w:pPr>
        <w:spacing w:line="386" w:lineRule="auto" w:before="161"/>
        <w:ind w:left="154" w:right="147" w:firstLine="560"/>
        <w:jc w:val="both"/>
        <w:rPr>
          <w:rFonts w:ascii="宋体" w:hAnsi="宋体" w:cs="宋体" w:eastAsia="宋体" w:hint="default"/>
          <w:sz w:val="28"/>
          <w:szCs w:val="28"/>
        </w:rPr>
      </w:pPr>
      <w:r>
        <w:rPr>
          <w:rFonts w:ascii="宋体" w:hAnsi="宋体" w:cs="宋体" w:eastAsia="宋体" w:hint="default"/>
          <w:sz w:val="28"/>
          <w:szCs w:val="28"/>
        </w:rPr>
        <w:t>公司负责人曾胜强、主管会计工作负责人邢俊芳及会计机构负责人</w:t>
      </w:r>
      <w:r>
        <w:rPr>
          <w:rFonts w:ascii="Times New Roman" w:hAnsi="Times New Roman" w:cs="Times New Roman" w:eastAsia="Times New Roman" w:hint="default"/>
          <w:sz w:val="28"/>
          <w:szCs w:val="28"/>
        </w:rPr>
        <w:t>(</w:t>
      </w:r>
      <w:r>
        <w:rPr>
          <w:rFonts w:ascii="宋体" w:hAnsi="宋体" w:cs="宋体" w:eastAsia="宋体" w:hint="default"/>
          <w:sz w:val="28"/>
          <w:szCs w:val="28"/>
        </w:rPr>
        <w:t>会计主</w:t>
      </w:r>
      <w:r>
        <w:rPr>
          <w:rFonts w:ascii="宋体" w:hAnsi="宋体" w:cs="宋体" w:eastAsia="宋体" w:hint="default"/>
          <w:spacing w:val="1"/>
          <w:w w:val="99"/>
          <w:sz w:val="28"/>
          <w:szCs w:val="28"/>
        </w:rPr>
        <w:t> </w:t>
      </w:r>
      <w:r>
        <w:rPr>
          <w:rFonts w:ascii="宋体" w:hAnsi="宋体" w:cs="宋体" w:eastAsia="宋体" w:hint="default"/>
          <w:sz w:val="28"/>
          <w:szCs w:val="28"/>
        </w:rPr>
        <w:t>管人员</w:t>
      </w:r>
      <w:r>
        <w:rPr>
          <w:rFonts w:ascii="Times New Roman" w:hAnsi="Times New Roman" w:cs="Times New Roman" w:eastAsia="Times New Roman" w:hint="default"/>
          <w:sz w:val="28"/>
          <w:szCs w:val="28"/>
        </w:rPr>
        <w:t>)</w:t>
      </w:r>
      <w:r>
        <w:rPr>
          <w:rFonts w:ascii="宋体" w:hAnsi="宋体" w:cs="宋体" w:eastAsia="宋体" w:hint="default"/>
          <w:sz w:val="28"/>
          <w:szCs w:val="28"/>
        </w:rPr>
        <w:t>易海军声明：保证年度报告中财务报告的真实、准确、完整。</w:t>
      </w:r>
    </w:p>
    <w:p>
      <w:pPr>
        <w:spacing w:line="472" w:lineRule="auto" w:before="147"/>
        <w:ind w:left="714" w:right="149" w:firstLine="0"/>
        <w:jc w:val="left"/>
        <w:rPr>
          <w:rFonts w:ascii="宋体" w:hAnsi="宋体" w:cs="宋体" w:eastAsia="宋体" w:hint="default"/>
          <w:sz w:val="28"/>
          <w:szCs w:val="28"/>
        </w:rPr>
      </w:pPr>
      <w:r>
        <w:rPr>
          <w:rFonts w:ascii="宋体" w:hAnsi="宋体" w:cs="宋体" w:eastAsia="宋体" w:hint="default"/>
          <w:sz w:val="28"/>
          <w:szCs w:val="28"/>
        </w:rPr>
        <w:t>所有董事均已出席了审议本报告的董事会会议。</w:t>
      </w:r>
      <w:r>
        <w:rPr>
          <w:rFonts w:ascii="宋体" w:hAnsi="宋体" w:cs="宋体" w:eastAsia="宋体" w:hint="default"/>
          <w:w w:val="99"/>
          <w:sz w:val="28"/>
          <w:szCs w:val="28"/>
        </w:rPr>
        <w:t> </w:t>
      </w:r>
      <w:r>
        <w:rPr>
          <w:rFonts w:ascii="宋体" w:hAnsi="宋体" w:cs="宋体" w:eastAsia="宋体" w:hint="default"/>
          <w:sz w:val="28"/>
          <w:szCs w:val="28"/>
        </w:rPr>
        <w:t>公司经本次董事会审议通过的利润分配预案为：以</w:t>
      </w:r>
      <w:r>
        <w:rPr>
          <w:rFonts w:ascii="宋体" w:hAnsi="宋体" w:cs="宋体" w:eastAsia="宋体" w:hint="default"/>
          <w:spacing w:val="-77"/>
          <w:sz w:val="28"/>
          <w:szCs w:val="28"/>
        </w:rPr>
        <w:t> </w:t>
      </w:r>
      <w:r>
        <w:rPr>
          <w:rFonts w:ascii="Times New Roman" w:hAnsi="Times New Roman" w:cs="Times New Roman" w:eastAsia="Times New Roman" w:hint="default"/>
          <w:sz w:val="28"/>
          <w:szCs w:val="28"/>
        </w:rPr>
        <w:t>2012</w:t>
      </w:r>
      <w:r>
        <w:rPr>
          <w:rFonts w:ascii="Times New Roman" w:hAnsi="Times New Roman" w:cs="Times New Roman" w:eastAsia="Times New Roman" w:hint="default"/>
          <w:spacing w:val="-6"/>
          <w:sz w:val="28"/>
          <w:szCs w:val="28"/>
        </w:rPr>
        <w:t> </w:t>
      </w:r>
      <w:r>
        <w:rPr>
          <w:rFonts w:ascii="宋体" w:hAnsi="宋体" w:cs="宋体" w:eastAsia="宋体" w:hint="default"/>
          <w:sz w:val="28"/>
          <w:szCs w:val="28"/>
        </w:rPr>
        <w:t>年</w:t>
      </w:r>
      <w:r>
        <w:rPr>
          <w:rFonts w:ascii="宋体" w:hAnsi="宋体" w:cs="宋体" w:eastAsia="宋体" w:hint="default"/>
          <w:spacing w:val="-77"/>
          <w:sz w:val="28"/>
          <w:szCs w:val="28"/>
        </w:rPr>
        <w:t> </w:t>
      </w:r>
      <w:r>
        <w:rPr>
          <w:rFonts w:ascii="Times New Roman" w:hAnsi="Times New Roman" w:cs="Times New Roman" w:eastAsia="Times New Roman" w:hint="default"/>
          <w:sz w:val="28"/>
          <w:szCs w:val="28"/>
        </w:rPr>
        <w:t>12</w:t>
      </w:r>
      <w:r>
        <w:rPr>
          <w:rFonts w:ascii="Times New Roman" w:hAnsi="Times New Roman" w:cs="Times New Roman" w:eastAsia="Times New Roman" w:hint="default"/>
          <w:spacing w:val="-6"/>
          <w:sz w:val="28"/>
          <w:szCs w:val="28"/>
        </w:rPr>
        <w:t> </w:t>
      </w:r>
      <w:r>
        <w:rPr>
          <w:rFonts w:ascii="宋体" w:hAnsi="宋体" w:cs="宋体" w:eastAsia="宋体" w:hint="default"/>
          <w:sz w:val="28"/>
          <w:szCs w:val="28"/>
        </w:rPr>
        <w:t>月</w:t>
      </w:r>
      <w:r>
        <w:rPr>
          <w:rFonts w:ascii="宋体" w:hAnsi="宋体" w:cs="宋体" w:eastAsia="宋体" w:hint="default"/>
          <w:spacing w:val="-77"/>
          <w:sz w:val="28"/>
          <w:szCs w:val="28"/>
        </w:rPr>
        <w:t> </w:t>
      </w:r>
      <w:r>
        <w:rPr>
          <w:rFonts w:ascii="Times New Roman" w:hAnsi="Times New Roman" w:cs="Times New Roman" w:eastAsia="Times New Roman" w:hint="default"/>
          <w:sz w:val="28"/>
          <w:szCs w:val="28"/>
        </w:rPr>
        <w:t>31</w:t>
      </w:r>
      <w:r>
        <w:rPr>
          <w:rFonts w:ascii="Times New Roman" w:hAnsi="Times New Roman" w:cs="Times New Roman" w:eastAsia="Times New Roman" w:hint="default"/>
          <w:spacing w:val="-6"/>
          <w:sz w:val="28"/>
          <w:szCs w:val="28"/>
        </w:rPr>
        <w:t> </w:t>
      </w:r>
      <w:r>
        <w:rPr>
          <w:rFonts w:ascii="宋体" w:hAnsi="宋体" w:cs="宋体" w:eastAsia="宋体" w:hint="default"/>
          <w:sz w:val="28"/>
          <w:szCs w:val="28"/>
        </w:rPr>
        <w:t>日的公</w:t>
      </w:r>
    </w:p>
    <w:p>
      <w:pPr>
        <w:spacing w:line="323" w:lineRule="exact" w:before="0"/>
        <w:ind w:left="154" w:right="0" w:firstLine="0"/>
        <w:jc w:val="left"/>
        <w:rPr>
          <w:rFonts w:ascii="宋体" w:hAnsi="宋体" w:cs="宋体" w:eastAsia="宋体" w:hint="default"/>
          <w:sz w:val="28"/>
          <w:szCs w:val="28"/>
        </w:rPr>
      </w:pPr>
      <w:r>
        <w:rPr>
          <w:rFonts w:ascii="宋体" w:hAnsi="宋体" w:cs="宋体" w:eastAsia="宋体" w:hint="default"/>
          <w:w w:val="99"/>
          <w:sz w:val="28"/>
          <w:szCs w:val="28"/>
        </w:rPr>
        <w:t>司总股本为基数</w:t>
      </w:r>
      <w:r>
        <w:rPr>
          <w:rFonts w:ascii="宋体" w:hAnsi="宋体" w:cs="宋体" w:eastAsia="宋体" w:hint="default"/>
          <w:spacing w:val="-30"/>
          <w:w w:val="99"/>
          <w:sz w:val="28"/>
          <w:szCs w:val="28"/>
        </w:rPr>
        <w:t>，</w:t>
      </w:r>
      <w:r>
        <w:rPr>
          <w:rFonts w:ascii="宋体" w:hAnsi="宋体" w:cs="宋体" w:eastAsia="宋体" w:hint="default"/>
          <w:w w:val="99"/>
          <w:sz w:val="28"/>
          <w:szCs w:val="28"/>
        </w:rPr>
        <w:t>向全体股东每</w:t>
      </w:r>
      <w:r>
        <w:rPr>
          <w:rFonts w:ascii="宋体" w:hAnsi="宋体" w:cs="宋体" w:eastAsia="宋体" w:hint="default"/>
          <w:spacing w:val="-71"/>
          <w:sz w:val="28"/>
          <w:szCs w:val="28"/>
        </w:rPr>
        <w:t> </w:t>
      </w:r>
      <w:r>
        <w:rPr>
          <w:rFonts w:ascii="Times New Roman" w:hAnsi="Times New Roman" w:cs="Times New Roman" w:eastAsia="Times New Roman" w:hint="default"/>
          <w:w w:val="99"/>
          <w:sz w:val="28"/>
          <w:szCs w:val="28"/>
        </w:rPr>
        <w:t>10</w:t>
      </w:r>
      <w:r>
        <w:rPr>
          <w:rFonts w:ascii="Times New Roman" w:hAnsi="Times New Roman" w:cs="Times New Roman" w:eastAsia="Times New Roman" w:hint="default"/>
          <w:spacing w:val="1"/>
          <w:sz w:val="28"/>
          <w:szCs w:val="28"/>
        </w:rPr>
        <w:t> </w:t>
      </w:r>
      <w:r>
        <w:rPr>
          <w:rFonts w:ascii="宋体" w:hAnsi="宋体" w:cs="宋体" w:eastAsia="宋体" w:hint="default"/>
          <w:w w:val="99"/>
          <w:sz w:val="28"/>
          <w:szCs w:val="28"/>
        </w:rPr>
        <w:t>股派发现金红利</w:t>
      </w:r>
      <w:r>
        <w:rPr>
          <w:rFonts w:ascii="宋体" w:hAnsi="宋体" w:cs="宋体" w:eastAsia="宋体" w:hint="default"/>
          <w:spacing w:val="-71"/>
          <w:sz w:val="28"/>
          <w:szCs w:val="28"/>
        </w:rPr>
        <w:t> </w:t>
      </w:r>
      <w:r>
        <w:rPr>
          <w:rFonts w:ascii="Times New Roman" w:hAnsi="Times New Roman" w:cs="Times New Roman" w:eastAsia="Times New Roman" w:hint="default"/>
          <w:w w:val="99"/>
          <w:sz w:val="28"/>
          <w:szCs w:val="28"/>
        </w:rPr>
        <w:t>0.5</w:t>
      </w:r>
      <w:r>
        <w:rPr>
          <w:rFonts w:ascii="Times New Roman" w:hAnsi="Times New Roman" w:cs="Times New Roman" w:eastAsia="Times New Roman" w:hint="default"/>
          <w:sz w:val="28"/>
          <w:szCs w:val="28"/>
        </w:rPr>
        <w:t> </w:t>
      </w:r>
      <w:r>
        <w:rPr>
          <w:rFonts w:ascii="宋体" w:hAnsi="宋体" w:cs="宋体" w:eastAsia="宋体" w:hint="default"/>
          <w:spacing w:val="-32"/>
          <w:w w:val="99"/>
          <w:sz w:val="28"/>
          <w:szCs w:val="28"/>
        </w:rPr>
        <w:t>元</w:t>
      </w:r>
      <w:r>
        <w:rPr>
          <w:rFonts w:ascii="宋体" w:hAnsi="宋体" w:cs="宋体" w:eastAsia="宋体" w:hint="default"/>
          <w:w w:val="99"/>
          <w:sz w:val="28"/>
          <w:szCs w:val="28"/>
        </w:rPr>
        <w:t>（</w:t>
      </w:r>
      <w:r>
        <w:rPr>
          <w:rFonts w:ascii="宋体" w:hAnsi="宋体" w:cs="宋体" w:eastAsia="宋体" w:hint="default"/>
          <w:spacing w:val="1"/>
          <w:w w:val="99"/>
          <w:sz w:val="28"/>
          <w:szCs w:val="28"/>
        </w:rPr>
        <w:t>含</w:t>
      </w:r>
      <w:r>
        <w:rPr>
          <w:rFonts w:ascii="宋体" w:hAnsi="宋体" w:cs="宋体" w:eastAsia="宋体" w:hint="default"/>
          <w:w w:val="99"/>
          <w:sz w:val="28"/>
          <w:szCs w:val="28"/>
        </w:rPr>
        <w:t>税</w:t>
      </w:r>
      <w:r>
        <w:rPr>
          <w:rFonts w:ascii="宋体" w:hAnsi="宋体" w:cs="宋体" w:eastAsia="宋体" w:hint="default"/>
          <w:spacing w:val="-140"/>
          <w:w w:val="99"/>
          <w:sz w:val="28"/>
          <w:szCs w:val="28"/>
        </w:rPr>
        <w:t>）</w:t>
      </w:r>
      <w:r>
        <w:rPr>
          <w:rFonts w:ascii="宋体" w:hAnsi="宋体" w:cs="宋体" w:eastAsia="宋体" w:hint="default"/>
          <w:spacing w:val="-32"/>
          <w:w w:val="99"/>
          <w:sz w:val="28"/>
          <w:szCs w:val="28"/>
        </w:rPr>
        <w:t>，</w:t>
      </w:r>
      <w:r>
        <w:rPr>
          <w:rFonts w:ascii="宋体" w:hAnsi="宋体" w:cs="宋体" w:eastAsia="宋体" w:hint="default"/>
          <w:spacing w:val="1"/>
          <w:w w:val="99"/>
          <w:sz w:val="28"/>
          <w:szCs w:val="28"/>
        </w:rPr>
        <w:t>送</w:t>
      </w:r>
      <w:r>
        <w:rPr>
          <w:rFonts w:ascii="宋体" w:hAnsi="宋体" w:cs="宋体" w:eastAsia="宋体" w:hint="default"/>
          <w:w w:val="99"/>
          <w:sz w:val="28"/>
          <w:szCs w:val="28"/>
        </w:rPr>
        <w:t>红股</w:t>
      </w:r>
      <w:r>
        <w:rPr>
          <w:rFonts w:ascii="宋体" w:hAnsi="宋体" w:cs="宋体" w:eastAsia="宋体" w:hint="default"/>
          <w:spacing w:val="-71"/>
          <w:sz w:val="28"/>
          <w:szCs w:val="28"/>
        </w:rPr>
        <w:t> </w:t>
      </w:r>
      <w:r>
        <w:rPr>
          <w:rFonts w:ascii="Times New Roman" w:hAnsi="Times New Roman" w:cs="Times New Roman" w:eastAsia="Times New Roman" w:hint="default"/>
          <w:w w:val="99"/>
          <w:sz w:val="28"/>
          <w:szCs w:val="28"/>
        </w:rPr>
        <w:t>0</w:t>
      </w:r>
      <w:r>
        <w:rPr>
          <w:rFonts w:ascii="Times New Roman" w:hAnsi="Times New Roman" w:cs="Times New Roman" w:eastAsia="Times New Roman" w:hint="default"/>
          <w:spacing w:val="1"/>
          <w:sz w:val="28"/>
          <w:szCs w:val="28"/>
        </w:rPr>
        <w:t> </w:t>
      </w:r>
      <w:r>
        <w:rPr>
          <w:rFonts w:ascii="宋体" w:hAnsi="宋体" w:cs="宋体" w:eastAsia="宋体" w:hint="default"/>
          <w:w w:val="99"/>
          <w:sz w:val="28"/>
          <w:szCs w:val="28"/>
        </w:rPr>
        <w:t>股</w:t>
      </w:r>
      <w:r>
        <w:rPr>
          <w:rFonts w:ascii="宋体" w:hAnsi="宋体" w:cs="宋体" w:eastAsia="宋体" w:hint="default"/>
          <w:sz w:val="28"/>
          <w:szCs w:val="28"/>
        </w:rPr>
      </w:r>
    </w:p>
    <w:p>
      <w:pPr>
        <w:spacing w:line="472" w:lineRule="auto" w:before="237"/>
        <w:ind w:left="714" w:right="149" w:hanging="561"/>
        <w:jc w:val="left"/>
        <w:rPr>
          <w:rFonts w:ascii="宋体" w:hAnsi="宋体" w:cs="宋体" w:eastAsia="宋体" w:hint="default"/>
          <w:sz w:val="28"/>
          <w:szCs w:val="28"/>
        </w:rPr>
      </w:pPr>
      <w:r>
        <w:rPr>
          <w:rFonts w:ascii="宋体" w:hAnsi="宋体" w:cs="宋体" w:eastAsia="宋体" w:hint="default"/>
          <w:spacing w:val="-10"/>
          <w:w w:val="99"/>
          <w:sz w:val="28"/>
          <w:szCs w:val="28"/>
        </w:rPr>
        <w:t>（含税），不以公积金转增股本。</w:t>
      </w:r>
      <w:r>
        <w:rPr>
          <w:rFonts w:ascii="宋体" w:hAnsi="宋体" w:cs="宋体" w:eastAsia="宋体" w:hint="default"/>
          <w:spacing w:val="-130"/>
          <w:w w:val="99"/>
          <w:sz w:val="28"/>
          <w:szCs w:val="28"/>
        </w:rPr>
        <w:t> </w:t>
      </w:r>
      <w:r>
        <w:rPr>
          <w:rFonts w:ascii="宋体" w:hAnsi="宋体" w:cs="宋体" w:eastAsia="宋体" w:hint="default"/>
          <w:spacing w:val="-130"/>
          <w:w w:val="99"/>
          <w:sz w:val="28"/>
          <w:szCs w:val="28"/>
        </w:rPr>
      </w:r>
      <w:r>
        <w:rPr>
          <w:rFonts w:ascii="宋体" w:hAnsi="宋体" w:cs="宋体" w:eastAsia="宋体" w:hint="default"/>
          <w:spacing w:val="4"/>
          <w:w w:val="95"/>
          <w:sz w:val="28"/>
          <w:szCs w:val="28"/>
        </w:rPr>
        <w:t>本报告中涉及的未来发展计划等前瞻性陈述属于计划性事项，不构成公司</w:t>
      </w:r>
      <w:r>
        <w:rPr>
          <w:rFonts w:ascii="宋体" w:hAnsi="宋体" w:cs="宋体" w:eastAsia="宋体" w:hint="default"/>
          <w:sz w:val="28"/>
          <w:szCs w:val="28"/>
        </w:rPr>
      </w:r>
    </w:p>
    <w:p>
      <w:pPr>
        <w:spacing w:line="354" w:lineRule="exact" w:before="0"/>
        <w:ind w:left="154" w:right="149" w:firstLine="0"/>
        <w:jc w:val="left"/>
        <w:rPr>
          <w:rFonts w:ascii="宋体" w:hAnsi="宋体" w:cs="宋体" w:eastAsia="宋体" w:hint="default"/>
          <w:sz w:val="28"/>
          <w:szCs w:val="28"/>
        </w:rPr>
      </w:pPr>
      <w:r>
        <w:rPr>
          <w:rFonts w:ascii="宋体" w:hAnsi="宋体" w:cs="宋体" w:eastAsia="宋体" w:hint="default"/>
          <w:sz w:val="28"/>
          <w:szCs w:val="28"/>
        </w:rPr>
        <w:t>对投资者的实质性承诺，敬请投资者注意投资风险。</w:t>
      </w:r>
    </w:p>
    <w:p>
      <w:pPr>
        <w:spacing w:after="0" w:line="354" w:lineRule="exact"/>
        <w:jc w:val="left"/>
        <w:rPr>
          <w:rFonts w:ascii="宋体" w:hAnsi="宋体" w:cs="宋体" w:eastAsia="宋体" w:hint="default"/>
          <w:sz w:val="28"/>
          <w:szCs w:val="28"/>
        </w:rPr>
        <w:sectPr>
          <w:footerReference w:type="default" r:id="rId8"/>
          <w:pgSz w:w="11910" w:h="16840"/>
          <w:pgMar w:footer="982" w:header="747" w:top="1060" w:bottom="1180" w:left="980" w:right="980"/>
          <w:pgNumType w:start="2"/>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spacing w:line="460" w:lineRule="exact" w:before="0"/>
        <w:ind w:left="2720" w:right="271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9780" w:val="right" w:leader="dot"/>
            </w:tabs>
            <w:spacing w:line="240" w:lineRule="auto" w:before="577"/>
            <w:ind w:right="0"/>
            <w:jc w:val="left"/>
            <w:rPr>
              <w:rFonts w:ascii="Times New Roman" w:hAnsi="Times New Roman" w:cs="Times New Roman" w:eastAsia="Times New Roman" w:hint="default"/>
            </w:rPr>
          </w:pPr>
          <w:hyperlink w:history="true" w:anchor="_bookmark0">
            <w:r>
              <w:rPr/>
              <w:t>第一节</w:t>
            </w:r>
          </w:hyperlink>
          <w:r>
            <w:rPr/>
            <w:t> </w:t>
          </w:r>
          <w:hyperlink w:history="true" w:anchor="_bookmark0">
            <w:r>
              <w:rPr/>
              <w:t>重要提示、目录和释义</w:t>
            </w:r>
          </w:hyperlink>
          <w:hyperlink w:history="true" w:anchor="_bookmark0">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0">
            <w:r>
              <w:rPr>
                <w:rFonts w:ascii="Times New Roman" w:hAnsi="Times New Roman" w:cs="Times New Roman" w:eastAsia="Times New Roman" w:hint="default"/>
              </w:rPr>
              <w:t>2</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bookmark1">
            <w:r>
              <w:rPr/>
              <w:t>第二节</w:t>
            </w:r>
          </w:hyperlink>
          <w:r>
            <w:rPr/>
            <w:t> </w:t>
          </w:r>
          <w:hyperlink w:history="true" w:anchor="_bookmark1">
            <w:r>
              <w:rPr/>
              <w:t>公司简介</w:t>
            </w:r>
          </w:hyperlink>
          <w:hyperlink w:history="true" w:anchor="_bookmark1">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1">
            <w:r>
              <w:rPr>
                <w:rFonts w:ascii="Times New Roman" w:hAnsi="Times New Roman" w:cs="Times New Roman" w:eastAsia="Times New Roman" w:hint="default"/>
              </w:rPr>
              <w:t>7</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bookmark2">
            <w:r>
              <w:rPr/>
              <w:t>第三节</w:t>
            </w:r>
          </w:hyperlink>
          <w:r>
            <w:rPr/>
            <w:t> </w:t>
          </w:r>
          <w:hyperlink w:history="true" w:anchor="_bookmark2">
            <w:r>
              <w:rPr/>
              <w:t>会计数据和财务指标摘要</w:t>
            </w:r>
          </w:hyperlink>
          <w:hyperlink w:history="true" w:anchor="_bookmark2">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2">
            <w:r>
              <w:rPr>
                <w:rFonts w:ascii="Times New Roman" w:hAnsi="Times New Roman" w:cs="Times New Roman" w:eastAsia="Times New Roman" w:hint="default"/>
              </w:rPr>
              <w:t>9</w:t>
            </w:r>
          </w:hyperlink>
        </w:p>
        <w:p>
          <w:pPr>
            <w:pStyle w:val="TOC1"/>
            <w:tabs>
              <w:tab w:pos="9770" w:val="right" w:leader="dot"/>
            </w:tabs>
            <w:spacing w:line="240" w:lineRule="auto" w:before="277"/>
            <w:ind w:right="0"/>
            <w:jc w:val="left"/>
            <w:rPr>
              <w:rFonts w:ascii="Times New Roman" w:hAnsi="Times New Roman" w:cs="Times New Roman" w:eastAsia="Times New Roman" w:hint="default"/>
            </w:rPr>
          </w:pPr>
          <w:hyperlink w:history="true" w:anchor="_bookmark3">
            <w:r>
              <w:rPr/>
              <w:t>第四节</w:t>
            </w:r>
          </w:hyperlink>
          <w:r>
            <w:rPr/>
            <w:t> </w:t>
          </w:r>
          <w:hyperlink w:history="true" w:anchor="_bookmark3">
            <w:r>
              <w:rPr/>
              <w:t>董事会报告</w:t>
            </w:r>
          </w:hyperlink>
          <w:hyperlink w:history="true" w:anchor="_bookmark3">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3">
            <w:r>
              <w:rPr>
                <w:rFonts w:ascii="Times New Roman" w:hAnsi="Times New Roman" w:cs="Times New Roman" w:eastAsia="Times New Roman" w:hint="default"/>
                <w:spacing w:val="-11"/>
              </w:rPr>
              <w:t>11</w:t>
            </w:r>
            <w:r>
              <w:rPr>
                <w:rFonts w:ascii="Times New Roman" w:hAnsi="Times New Roman" w:cs="Times New Roman" w:eastAsia="Times New Roman" w:hint="default"/>
              </w:rPr>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bookmark4">
            <w:r>
              <w:rPr/>
              <w:t>第五节</w:t>
            </w:r>
          </w:hyperlink>
          <w:r>
            <w:rPr/>
            <w:t> </w:t>
          </w:r>
          <w:hyperlink w:history="true" w:anchor="_bookmark4">
            <w:r>
              <w:rPr/>
              <w:t>重要事项</w:t>
            </w:r>
          </w:hyperlink>
          <w:hyperlink w:history="true" w:anchor="_bookmark4">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4">
            <w:r>
              <w:rPr>
                <w:rFonts w:ascii="Times New Roman" w:hAnsi="Times New Roman" w:cs="Times New Roman" w:eastAsia="Times New Roman" w:hint="default"/>
              </w:rPr>
              <w:t>28</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bookmark5">
            <w:r>
              <w:rPr/>
              <w:t>第六节</w:t>
            </w:r>
          </w:hyperlink>
          <w:r>
            <w:rPr/>
            <w:t> </w:t>
          </w:r>
          <w:hyperlink w:history="true" w:anchor="_bookmark5">
            <w:r>
              <w:rPr/>
              <w:t>股份变动及股东情况</w:t>
            </w:r>
          </w:hyperlink>
          <w:hyperlink w:history="true" w:anchor="_bookmark5">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5">
            <w:r>
              <w:rPr>
                <w:rFonts w:ascii="Times New Roman" w:hAnsi="Times New Roman" w:cs="Times New Roman" w:eastAsia="Times New Roman" w:hint="default"/>
              </w:rPr>
              <w:t>35</w:t>
            </w:r>
          </w:hyperlink>
        </w:p>
        <w:p>
          <w:pPr>
            <w:pStyle w:val="TOC1"/>
            <w:tabs>
              <w:tab w:pos="9781" w:val="right" w:leader="dot"/>
            </w:tabs>
            <w:spacing w:line="240" w:lineRule="auto" w:before="277"/>
            <w:ind w:right="0"/>
            <w:jc w:val="left"/>
            <w:rPr>
              <w:rFonts w:ascii="Times New Roman" w:hAnsi="Times New Roman" w:cs="Times New Roman" w:eastAsia="Times New Roman" w:hint="default"/>
            </w:rPr>
          </w:pPr>
          <w:hyperlink w:history="true" w:anchor="_bookmark6">
            <w:r>
              <w:rPr/>
              <w:t>第七节</w:t>
            </w:r>
          </w:hyperlink>
          <w:r>
            <w:rPr/>
            <w:t> </w:t>
          </w:r>
          <w:hyperlink w:history="true" w:anchor="_bookmark6">
            <w:r>
              <w:rPr/>
              <w:t>董事、监事、高级管理人员和员工情况</w:t>
            </w:r>
          </w:hyperlink>
          <w:hyperlink w:history="true" w:anchor="_bookmark6">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6">
            <w:r>
              <w:rPr>
                <w:rFonts w:ascii="Times New Roman" w:hAnsi="Times New Roman" w:cs="Times New Roman" w:eastAsia="Times New Roman" w:hint="default"/>
              </w:rPr>
              <w:t>39</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bookmark7">
            <w:r>
              <w:rPr/>
              <w:t>第八节</w:t>
            </w:r>
          </w:hyperlink>
          <w:r>
            <w:rPr/>
            <w:t> </w:t>
          </w:r>
          <w:hyperlink w:history="true" w:anchor="_bookmark7">
            <w:r>
              <w:rPr/>
              <w:t>公司治理</w:t>
            </w:r>
          </w:hyperlink>
          <w:hyperlink w:history="true" w:anchor="_bookmark7">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7">
            <w:r>
              <w:rPr>
                <w:rFonts w:ascii="Times New Roman" w:hAnsi="Times New Roman" w:cs="Times New Roman" w:eastAsia="Times New Roman" w:hint="default"/>
              </w:rPr>
              <w:t>45</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bookmark8">
            <w:r>
              <w:rPr/>
              <w:t>第九节</w:t>
            </w:r>
          </w:hyperlink>
          <w:r>
            <w:rPr/>
            <w:t> </w:t>
          </w:r>
          <w:hyperlink w:history="true" w:anchor="_bookmark8">
            <w:r>
              <w:rPr/>
              <w:t>内部控制</w:t>
            </w:r>
          </w:hyperlink>
          <w:hyperlink w:history="true" w:anchor="_bookmark8">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8">
            <w:r>
              <w:rPr>
                <w:rFonts w:ascii="Times New Roman" w:hAnsi="Times New Roman" w:cs="Times New Roman" w:eastAsia="Times New Roman" w:hint="default"/>
              </w:rPr>
              <w:t>50</w:t>
            </w:r>
          </w:hyperlink>
        </w:p>
        <w:p>
          <w:pPr>
            <w:pStyle w:val="TOC1"/>
            <w:tabs>
              <w:tab w:pos="9781" w:val="right" w:leader="dot"/>
            </w:tabs>
            <w:spacing w:line="240" w:lineRule="auto" w:before="277"/>
            <w:ind w:right="0"/>
            <w:jc w:val="left"/>
            <w:rPr>
              <w:rFonts w:ascii="Times New Roman" w:hAnsi="Times New Roman" w:cs="Times New Roman" w:eastAsia="Times New Roman" w:hint="default"/>
            </w:rPr>
          </w:pPr>
          <w:hyperlink w:history="true" w:anchor="_bookmark9">
            <w:r>
              <w:rPr/>
              <w:t>第十节</w:t>
            </w:r>
          </w:hyperlink>
          <w:r>
            <w:rPr/>
            <w:t> </w:t>
          </w:r>
          <w:hyperlink w:history="true" w:anchor="_bookmark9">
            <w:r>
              <w:rPr/>
              <w:t>财务报告</w:t>
            </w:r>
          </w:hyperlink>
          <w:hyperlink w:history="true" w:anchor="_bookmark9">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9">
            <w:r>
              <w:rPr>
                <w:rFonts w:ascii="Times New Roman" w:hAnsi="Times New Roman" w:cs="Times New Roman" w:eastAsia="Times New Roman" w:hint="default"/>
              </w:rPr>
              <w:t>52</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bookmark10">
            <w:r>
              <w:rPr/>
              <w:t>第十一节</w:t>
            </w:r>
          </w:hyperlink>
          <w:r>
            <w:rPr>
              <w:spacing w:val="-1"/>
            </w:rPr>
            <w:t> </w:t>
          </w:r>
          <w:hyperlink w:history="true" w:anchor="_bookmark10">
            <w:r>
              <w:rPr/>
              <w:t>备查文件目录</w:t>
            </w:r>
          </w:hyperlink>
          <w:hyperlink w:history="true" w:anchor="_bookmark10">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10">
            <w:r>
              <w:rPr>
                <w:rFonts w:ascii="Times New Roman" w:hAnsi="Times New Roman" w:cs="Times New Roman" w:eastAsia="Times New Roman" w:hint="default"/>
              </w:rPr>
              <w:t>152</w:t>
            </w:r>
          </w:hyperlink>
        </w:p>
      </w:sdtContent>
    </w:sdt>
    <w:p>
      <w:pPr>
        <w:spacing w:after="0" w:line="240" w:lineRule="auto"/>
        <w:jc w:val="left"/>
        <w:rPr>
          <w:rFonts w:ascii="Times New Roman" w:hAnsi="Times New Roman" w:cs="Times New Roman" w:eastAsia="Times New Roman" w:hint="default"/>
        </w:rPr>
        <w:sectPr>
          <w:pgSz w:w="11910" w:h="16840"/>
          <w:pgMar w:header="747" w:footer="982" w:top="1060" w:bottom="1180" w:left="980" w:right="980"/>
        </w:sectPr>
      </w:pPr>
    </w:p>
    <w:p>
      <w:pPr>
        <w:spacing w:before="574"/>
        <w:ind w:left="2720" w:right="2719" w:firstLine="0"/>
        <w:jc w:val="center"/>
        <w:rPr>
          <w:rFonts w:ascii="宋体" w:hAnsi="宋体" w:cs="宋体" w:eastAsia="宋体" w:hint="default"/>
          <w:sz w:val="36"/>
          <w:szCs w:val="36"/>
        </w:rPr>
      </w:pPr>
      <w:r>
        <w:rPr>
          <w:rFonts w:ascii="宋体" w:hAnsi="宋体" w:cs="宋体" w:eastAsia="宋体" w:hint="default"/>
          <w:b/>
          <w:bCs/>
          <w:sz w:val="36"/>
          <w:szCs w:val="36"/>
        </w:rPr>
        <w:t>释义</w:t>
      </w:r>
      <w:r>
        <w:rPr>
          <w:rFonts w:ascii="宋体" w:hAnsi="宋体" w:cs="宋体" w:eastAsia="宋体" w:hint="default"/>
          <w:sz w:val="36"/>
          <w:szCs w:val="36"/>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4"/>
          <w:szCs w:val="14"/>
        </w:rPr>
      </w:pPr>
    </w:p>
    <w:p>
      <w:pPr>
        <w:pStyle w:val="BodyText"/>
        <w:spacing w:line="240" w:lineRule="auto"/>
        <w:ind w:left="0" w:right="157"/>
        <w:jc w:val="right"/>
      </w:pPr>
      <w:r>
        <w:rPr/>
        <w:pict>
          <v:shape style="position:absolute;margin-left:56.459999pt;margin-top:-420.647858pt;width:479.2pt;height:632.3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2"/>
                    <w:gridCol w:w="5423"/>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证通电子</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证通金信</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深圳市证通金信科技有限公司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证通佳明</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深圳市证通佳明光电有限公司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通新源</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人民币元、万元、亿元</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IPO</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年度首次公开发行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股并在中小企业板上市</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《深圳市证通电子股份有限公司章程》</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深圳证监局</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中国证券监督管理委员会深圳监管局</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农业银行</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建设银行</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邮政储蓄银行</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中国邮政储蓄银行股份有限公司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交通银行</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E-POS</w:t>
                        </w:r>
                      </w:p>
                    </w:tc>
                    <w:tc>
                      <w:tcPr>
                        <w:tcW w:w="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3" w:type="dxa"/>
                        <w:vMerge w:val="restart"/>
                        <w:tcBorders>
                          <w:top w:val="single" w:sz="4" w:space="0" w:color="000000"/>
                          <w:left w:val="single" w:sz="9" w:space="0" w:color="D3D3D3"/>
                          <w:right w:val="single" w:sz="4" w:space="0" w:color="000000"/>
                        </w:tcBorders>
                      </w:tcPr>
                      <w:p>
                        <w:pPr>
                          <w:pStyle w:val="TableParagraph"/>
                          <w:spacing w:line="300" w:lineRule="auto" w:before="51"/>
                          <w:ind w:left="16" w:right="33"/>
                          <w:jc w:val="left"/>
                          <w:rPr>
                            <w:rFonts w:ascii="宋体" w:hAnsi="宋体" w:cs="宋体" w:eastAsia="宋体" w:hint="default"/>
                            <w:sz w:val="18"/>
                            <w:szCs w:val="18"/>
                          </w:rPr>
                        </w:pPr>
                        <w:r>
                          <w:rPr>
                            <w:rFonts w:ascii="宋体" w:hAnsi="宋体" w:cs="宋体" w:eastAsia="宋体" w:hint="default"/>
                            <w:sz w:val="18"/>
                            <w:szCs w:val="18"/>
                          </w:rPr>
                          <w:t>是在普通电话的基础上集成了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LCD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大屏幕、磁条卡读卡器，</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卡读 卡器、加密键盘等设备的金融刷卡支付终端</w:t>
                        </w:r>
                      </w:p>
                    </w:tc>
                  </w:tr>
                  <w:tr>
                    <w:trPr>
                      <w:trHeight w:val="392" w:hRule="exact"/>
                    </w:trPr>
                    <w:tc>
                      <w:tcPr>
                        <w:tcW w:w="3524" w:type="dxa"/>
                        <w:vMerge/>
                        <w:tcBorders>
                          <w:left w:val="single" w:sz="4" w:space="0" w:color="000000"/>
                          <w:right w:val="single" w:sz="9" w:space="0" w:color="D3D3D3"/>
                        </w:tcBorders>
                      </w:tcPr>
                      <w:p>
                        <w:pPr/>
                      </w:p>
                    </w:tc>
                    <w:tc>
                      <w:tcPr>
                        <w:tcW w:w="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3" w:type="dxa"/>
                        <w:vMerge/>
                        <w:tcBorders>
                          <w:left w:val="single" w:sz="9" w:space="0" w:color="D3D3D3"/>
                          <w:bottom w:val="single" w:sz="4" w:space="0" w:color="000000"/>
                          <w:right w:val="single" w:sz="4" w:space="0" w:color="000000"/>
                        </w:tcBorders>
                      </w:tcPr>
                      <w:p>
                        <w:pPr/>
                      </w:p>
                    </w:tc>
                  </w:tr>
                  <w:tr>
                    <w:trPr>
                      <w:trHeight w:val="317"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自助服务终端</w:t>
                        </w:r>
                        <w:r>
                          <w:rPr>
                            <w:rFonts w:ascii="Times New Roman" w:hAnsi="Times New Roman" w:cs="Times New Roman" w:eastAsia="Times New Roman" w:hint="default"/>
                            <w:sz w:val="18"/>
                            <w:szCs w:val="18"/>
                          </w:rPr>
                          <w:t>/</w:t>
                        </w:r>
                        <w:r>
                          <w:rPr>
                            <w:rFonts w:ascii="宋体" w:hAnsi="宋体" w:cs="宋体" w:eastAsia="宋体" w:hint="default"/>
                            <w:sz w:val="18"/>
                            <w:szCs w:val="18"/>
                          </w:rPr>
                          <w:t>自助终端</w:t>
                        </w:r>
                      </w:p>
                    </w:tc>
                    <w:tc>
                      <w:tcPr>
                        <w:tcW w:w="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3" w:type="dxa"/>
                        <w:vMerge w:val="restart"/>
                        <w:tcBorders>
                          <w:top w:val="single" w:sz="4" w:space="0" w:color="000000"/>
                          <w:left w:val="single" w:sz="9" w:space="0" w:color="D3D3D3"/>
                          <w:right w:val="single" w:sz="4" w:space="0" w:color="000000"/>
                        </w:tcBorders>
                      </w:tcPr>
                      <w:p>
                        <w:pPr>
                          <w:pStyle w:val="TableParagraph"/>
                          <w:spacing w:line="316" w:lineRule="auto" w:before="51"/>
                          <w:ind w:left="16" w:right="20"/>
                          <w:jc w:val="left"/>
                          <w:rPr>
                            <w:rFonts w:ascii="宋体" w:hAnsi="宋体" w:cs="宋体" w:eastAsia="宋体" w:hint="default"/>
                            <w:sz w:val="18"/>
                            <w:szCs w:val="18"/>
                          </w:rPr>
                        </w:pPr>
                        <w:r>
                          <w:rPr>
                            <w:rFonts w:ascii="宋体" w:hAnsi="宋体" w:cs="宋体" w:eastAsia="宋体" w:hint="default"/>
                            <w:spacing w:val="-5"/>
                            <w:sz w:val="18"/>
                            <w:szCs w:val="18"/>
                          </w:rPr>
                          <w:t>一个由硬件和软件组成的，允许用户通过简单的界面（例如：触摸屏</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小键盘等）与之进行交互式自助服务的设备，用于替代人工服务。如</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银行自助服务终端、自助发卡机等。</w:t>
                        </w:r>
                      </w:p>
                    </w:tc>
                  </w:tr>
                  <w:tr>
                    <w:trPr>
                      <w:trHeight w:val="392" w:hRule="exact"/>
                    </w:trPr>
                    <w:tc>
                      <w:tcPr>
                        <w:tcW w:w="3524" w:type="dxa"/>
                        <w:vMerge/>
                        <w:tcBorders>
                          <w:left w:val="single" w:sz="4" w:space="0" w:color="000000"/>
                          <w:right w:val="single" w:sz="9" w:space="0" w:color="D3D3D3"/>
                        </w:tcBorders>
                      </w:tcPr>
                      <w:p>
                        <w:pPr/>
                      </w:p>
                    </w:tc>
                    <w:tc>
                      <w:tcPr>
                        <w:tcW w:w="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vMerge/>
                        <w:tcBorders>
                          <w:left w:val="single" w:sz="9" w:space="0" w:color="D3D3D3"/>
                          <w:right w:val="single" w:sz="4" w:space="0" w:color="000000"/>
                        </w:tcBorders>
                      </w:tcPr>
                      <w:p>
                        <w:pPr/>
                      </w:p>
                    </w:tc>
                  </w:tr>
                  <w:tr>
                    <w:trPr>
                      <w:trHeight w:val="317" w:hRule="exact"/>
                    </w:trPr>
                    <w:tc>
                      <w:tcPr>
                        <w:tcW w:w="3524" w:type="dxa"/>
                        <w:vMerge/>
                        <w:tcBorders>
                          <w:left w:val="single" w:sz="4" w:space="0" w:color="000000"/>
                          <w:bottom w:val="single" w:sz="4" w:space="0" w:color="000000"/>
                          <w:right w:val="single" w:sz="9" w:space="0" w:color="D3D3D3"/>
                        </w:tcBorders>
                      </w:tcPr>
                      <w:p>
                        <w:pPr/>
                      </w:p>
                    </w:tc>
                    <w:tc>
                      <w:tcPr>
                        <w:tcW w:w="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3" w:type="dxa"/>
                        <w:vMerge/>
                        <w:tcBorders>
                          <w:left w:val="single" w:sz="9" w:space="0" w:color="D3D3D3"/>
                          <w:bottom w:val="single" w:sz="4" w:space="0" w:color="000000"/>
                          <w:right w:val="single" w:sz="4" w:space="0" w:color="000000"/>
                        </w:tcBorders>
                      </w:tcPr>
                      <w:p>
                        <w:pP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POS</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全称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Point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Of</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Sells</w:t>
                        </w:r>
                        <w:r>
                          <w:rPr>
                            <w:rFonts w:ascii="宋体" w:hAnsi="宋体" w:cs="宋体" w:eastAsia="宋体" w:hint="default"/>
                            <w:sz w:val="18"/>
                            <w:szCs w:val="18"/>
                          </w:rPr>
                          <w:t>，电子收款机系统</w:t>
                        </w: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终端</w:t>
                        </w:r>
                        <w:r>
                          <w:rPr>
                            <w:rFonts w:ascii="Times New Roman" w:hAnsi="Times New Roman" w:cs="Times New Roman" w:eastAsia="Times New Roman" w:hint="default"/>
                            <w:sz w:val="18"/>
                            <w:szCs w:val="18"/>
                          </w:rPr>
                          <w:t>/</w:t>
                        </w:r>
                        <w:r>
                          <w:rPr>
                            <w:rFonts w:ascii="宋体" w:hAnsi="宋体" w:cs="宋体" w:eastAsia="宋体" w:hint="default"/>
                            <w:sz w:val="18"/>
                            <w:szCs w:val="18"/>
                          </w:rPr>
                          <w:t>脱机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p>
                    </w:tc>
                    <w:tc>
                      <w:tcPr>
                        <w:tcW w:w="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3" w:type="dxa"/>
                        <w:vMerge w:val="restart"/>
                        <w:tcBorders>
                          <w:top w:val="single" w:sz="4" w:space="0" w:color="000000"/>
                          <w:left w:val="single" w:sz="9" w:space="0" w:color="D3D3D3"/>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一种受理金融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卡使用的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终端，能够受理接触或非接触金融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卡</w:t>
                        </w:r>
                      </w:p>
                    </w:tc>
                  </w:tr>
                  <w:tr>
                    <w:trPr>
                      <w:trHeight w:val="392" w:hRule="exact"/>
                    </w:trPr>
                    <w:tc>
                      <w:tcPr>
                        <w:tcW w:w="3524" w:type="dxa"/>
                        <w:vMerge/>
                        <w:tcBorders>
                          <w:left w:val="single" w:sz="4" w:space="0" w:color="000000"/>
                          <w:right w:val="single" w:sz="9" w:space="0" w:color="D3D3D3"/>
                        </w:tcBorders>
                      </w:tcPr>
                      <w:p>
                        <w:pPr/>
                      </w:p>
                    </w:tc>
                    <w:tc>
                      <w:tcPr>
                        <w:tcW w:w="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3" w:type="dxa"/>
                        <w:vMerge/>
                        <w:tcBorders>
                          <w:left w:val="single" w:sz="9" w:space="0" w:color="D3D3D3"/>
                          <w:bottom w:val="single" w:sz="4" w:space="0" w:color="000000"/>
                          <w:right w:val="single" w:sz="4" w:space="0" w:color="000000"/>
                        </w:tcBorders>
                      </w:tcPr>
                      <w:p>
                        <w:pP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安全芯片</w:t>
                        </w:r>
                      </w:p>
                    </w:tc>
                    <w:tc>
                      <w:tcPr>
                        <w:tcW w:w="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3" w:type="dxa"/>
                        <w:vMerge w:val="restart"/>
                        <w:tcBorders>
                          <w:top w:val="single" w:sz="4" w:space="0" w:color="000000"/>
                          <w:left w:val="single" w:sz="9" w:space="0" w:color="D3D3D3"/>
                          <w:right w:val="single" w:sz="4" w:space="0" w:color="000000"/>
                        </w:tcBorders>
                      </w:tcPr>
                      <w:p>
                        <w:pPr>
                          <w:pStyle w:val="TableParagraph"/>
                          <w:spacing w:line="300" w:lineRule="auto" w:before="51"/>
                          <w:ind w:left="16" w:right="93"/>
                          <w:jc w:val="left"/>
                          <w:rPr>
                            <w:rFonts w:ascii="宋体" w:hAnsi="宋体" w:cs="宋体" w:eastAsia="宋体" w:hint="default"/>
                            <w:sz w:val="18"/>
                            <w:szCs w:val="18"/>
                          </w:rPr>
                        </w:pPr>
                        <w:r>
                          <w:rPr>
                            <w:rFonts w:ascii="宋体" w:hAnsi="宋体" w:cs="宋体" w:eastAsia="宋体" w:hint="default"/>
                            <w:sz w:val="18"/>
                            <w:szCs w:val="18"/>
                          </w:rPr>
                          <w:t>公司研发的具有自主知识产权的符合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PCI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认证标准的支 付卡行业专用安全芯片</w:t>
                        </w:r>
                      </w:p>
                    </w:tc>
                  </w:tr>
                  <w:tr>
                    <w:trPr>
                      <w:trHeight w:val="392" w:hRule="exact"/>
                    </w:trPr>
                    <w:tc>
                      <w:tcPr>
                        <w:tcW w:w="3524" w:type="dxa"/>
                        <w:vMerge/>
                        <w:tcBorders>
                          <w:left w:val="single" w:sz="4" w:space="0" w:color="000000"/>
                          <w:right w:val="single" w:sz="9" w:space="0" w:color="D3D3D3"/>
                        </w:tcBorders>
                      </w:tcPr>
                      <w:p>
                        <w:pPr/>
                      </w:p>
                    </w:tc>
                    <w:tc>
                      <w:tcPr>
                        <w:tcW w:w="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3" w:type="dxa"/>
                        <w:vMerge/>
                        <w:tcBorders>
                          <w:left w:val="single" w:sz="9" w:space="0" w:color="D3D3D3"/>
                          <w:bottom w:val="single" w:sz="4" w:space="0" w:color="000000"/>
                          <w:right w:val="single" w:sz="4" w:space="0" w:color="000000"/>
                        </w:tcBorders>
                      </w:tcPr>
                      <w:p>
                        <w:pPr/>
                      </w:p>
                    </w:tc>
                  </w:tr>
                  <w:tr>
                    <w:trPr>
                      <w:trHeight w:val="317"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p>
                    </w:tc>
                    <w:tc>
                      <w:tcPr>
                        <w:tcW w:w="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3" w:type="dxa"/>
                        <w:vMerge w:val="restart"/>
                        <w:tcBorders>
                          <w:top w:val="single" w:sz="4" w:space="0" w:color="000000"/>
                          <w:left w:val="single" w:sz="9" w:space="0" w:color="D3D3D3"/>
                          <w:right w:val="single" w:sz="4" w:space="0" w:color="000000"/>
                        </w:tcBorders>
                      </w:tcPr>
                      <w:p>
                        <w:pPr>
                          <w:pStyle w:val="TableParagraph"/>
                          <w:spacing w:line="316" w:lineRule="auto" w:before="51"/>
                          <w:ind w:left="16" w:right="20" w:firstLine="90"/>
                          <w:jc w:val="both"/>
                          <w:rPr>
                            <w:rFonts w:ascii="宋体" w:hAnsi="宋体" w:cs="宋体" w:eastAsia="宋体" w:hint="default"/>
                            <w:sz w:val="18"/>
                            <w:szCs w:val="18"/>
                          </w:rPr>
                        </w:pPr>
                        <w:r>
                          <w:rPr>
                            <w:rFonts w:ascii="宋体" w:hAnsi="宋体" w:cs="宋体" w:eastAsia="宋体" w:hint="default"/>
                            <w:sz w:val="18"/>
                            <w:szCs w:val="18"/>
                          </w:rPr>
                          <w:t>由商业银行（信用社）或支付机构发行的，采用集成电路技术，遵 </w:t>
                        </w:r>
                        <w:r>
                          <w:rPr>
                            <w:rFonts w:ascii="宋体" w:hAnsi="宋体" w:cs="宋体" w:eastAsia="宋体" w:hint="default"/>
                            <w:spacing w:val="-2"/>
                            <w:sz w:val="18"/>
                            <w:szCs w:val="18"/>
                          </w:rPr>
                          <w:t>循国家金融行业标准，具有消费信用、转账结算、现金存取全部或部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分金融功能，可以具有其他商业服务和社会管理功能的金融工具。</w:t>
                        </w:r>
                      </w:p>
                    </w:tc>
                  </w:tr>
                  <w:tr>
                    <w:trPr>
                      <w:trHeight w:val="392" w:hRule="exact"/>
                    </w:trPr>
                    <w:tc>
                      <w:tcPr>
                        <w:tcW w:w="3524" w:type="dxa"/>
                        <w:vMerge/>
                        <w:tcBorders>
                          <w:left w:val="single" w:sz="4" w:space="0" w:color="000000"/>
                          <w:right w:val="single" w:sz="9" w:space="0" w:color="D3D3D3"/>
                        </w:tcBorders>
                      </w:tcPr>
                      <w:p>
                        <w:pPr/>
                      </w:p>
                    </w:tc>
                    <w:tc>
                      <w:tcPr>
                        <w:tcW w:w="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vMerge/>
                        <w:tcBorders>
                          <w:left w:val="single" w:sz="9" w:space="0" w:color="D3D3D3"/>
                          <w:right w:val="single" w:sz="4" w:space="0" w:color="000000"/>
                        </w:tcBorders>
                      </w:tcPr>
                      <w:p>
                        <w:pPr/>
                      </w:p>
                    </w:tc>
                  </w:tr>
                  <w:tr>
                    <w:trPr>
                      <w:trHeight w:val="317" w:hRule="exact"/>
                    </w:trPr>
                    <w:tc>
                      <w:tcPr>
                        <w:tcW w:w="3524" w:type="dxa"/>
                        <w:vMerge/>
                        <w:tcBorders>
                          <w:left w:val="single" w:sz="4" w:space="0" w:color="000000"/>
                          <w:bottom w:val="single" w:sz="4" w:space="0" w:color="000000"/>
                          <w:right w:val="single" w:sz="9" w:space="0" w:color="D3D3D3"/>
                        </w:tcBorders>
                      </w:tcPr>
                      <w:p>
                        <w:pPr/>
                      </w:p>
                    </w:tc>
                    <w:tc>
                      <w:tcPr>
                        <w:tcW w:w="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3" w:type="dxa"/>
                        <w:vMerge/>
                        <w:tcBorders>
                          <w:left w:val="single" w:sz="9" w:space="0" w:color="D3D3D3"/>
                          <w:bottom w:val="single" w:sz="4" w:space="0" w:color="000000"/>
                          <w:right w:val="single" w:sz="4" w:space="0" w:color="000000"/>
                        </w:tcBorders>
                      </w:tcPr>
                      <w:p>
                        <w:pP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认证</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全称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Pa</w:t>
                        </w:r>
                        <w:r>
                          <w:rPr>
                            <w:rFonts w:ascii="Times New Roman" w:hAnsi="Times New Roman" w:cs="Times New Roman" w:eastAsia="Times New Roman" w:hint="default"/>
                            <w:spacing w:val="2"/>
                            <w:sz w:val="18"/>
                            <w:szCs w:val="18"/>
                          </w:rPr>
                          <w:t>y</w:t>
                        </w: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ent </w:t>
                        </w:r>
                        <w:r>
                          <w:rPr>
                            <w:rFonts w:ascii="Times New Roman" w:hAnsi="Times New Roman" w:cs="Times New Roman" w:eastAsia="Times New Roman" w:hint="default"/>
                            <w:spacing w:val="-2"/>
                            <w:sz w:val="18"/>
                            <w:szCs w:val="18"/>
                          </w:rPr>
                          <w:t>C</w:t>
                        </w:r>
                        <w:r>
                          <w:rPr>
                            <w:rFonts w:ascii="Times New Roman" w:hAnsi="Times New Roman" w:cs="Times New Roman" w:eastAsia="Times New Roman" w:hint="default"/>
                            <w:sz w:val="18"/>
                            <w:szCs w:val="18"/>
                          </w:rPr>
                          <w:t>ard Indust</w:t>
                        </w:r>
                        <w:r>
                          <w:rPr>
                            <w:rFonts w:ascii="Times New Roman" w:hAnsi="Times New Roman" w:cs="Times New Roman" w:eastAsia="Times New Roman" w:hint="default"/>
                            <w:spacing w:val="-2"/>
                            <w:sz w:val="18"/>
                            <w:szCs w:val="18"/>
                          </w:rPr>
                          <w:t>r</w:t>
                        </w:r>
                        <w:r>
                          <w:rPr>
                            <w:rFonts w:ascii="Times New Roman" w:hAnsi="Times New Roman" w:cs="Times New Roman" w:eastAsia="Times New Roman" w:hint="default"/>
                            <w:sz w:val="18"/>
                            <w:szCs w:val="18"/>
                          </w:rPr>
                          <w:t>y</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认</w:t>
                        </w:r>
                        <w:r>
                          <w:rPr>
                            <w:rFonts w:ascii="宋体" w:hAnsi="宋体" w:cs="宋体" w:eastAsia="宋体" w:hint="default"/>
                            <w:sz w:val="18"/>
                            <w:szCs w:val="18"/>
                          </w:rPr>
                          <w:t>证，由维萨（</w:t>
                        </w:r>
                        <w:r>
                          <w:rPr>
                            <w:rFonts w:ascii="Times New Roman" w:hAnsi="Times New Roman" w:cs="Times New Roman" w:eastAsia="Times New Roman" w:hint="default"/>
                            <w:spacing w:val="-1"/>
                            <w:sz w:val="18"/>
                            <w:szCs w:val="18"/>
                          </w:rPr>
                          <w:t>VISA</w:t>
                        </w:r>
                        <w:r>
                          <w:rPr>
                            <w:rFonts w:ascii="宋体" w:hAnsi="宋体" w:cs="宋体" w:eastAsia="宋体" w:hint="default"/>
                            <w:spacing w:val="-90"/>
                            <w:sz w:val="18"/>
                            <w:szCs w:val="18"/>
                          </w:rPr>
                          <w:t>）</w:t>
                        </w:r>
                        <w:r>
                          <w:rPr>
                            <w:rFonts w:ascii="宋体" w:hAnsi="宋体" w:cs="宋体" w:eastAsia="宋体" w:hint="default"/>
                            <w:sz w:val="18"/>
                            <w:szCs w:val="18"/>
                          </w:rPr>
                          <w:t>、美国</w:t>
                        </w:r>
                        <w:r>
                          <w:rPr>
                            <w:rFonts w:ascii="宋体" w:hAnsi="宋体" w:cs="宋体" w:eastAsia="宋体" w:hint="default"/>
                            <w:spacing w:val="1"/>
                            <w:sz w:val="18"/>
                            <w:szCs w:val="18"/>
                          </w:rPr>
                          <w:t>运</w:t>
                        </w:r>
                        <w:r>
                          <w:rPr>
                            <w:rFonts w:ascii="宋体" w:hAnsi="宋体" w:cs="宋体" w:eastAsia="宋体" w:hint="default"/>
                            <w:sz w:val="18"/>
                            <w:szCs w:val="18"/>
                          </w:rPr>
                          <w:t>通公司</w:t>
                        </w:r>
                      </w:p>
                    </w:tc>
                  </w:tr>
                </w:tbl>
                <w:p>
                  <w:pPr/>
                </w:p>
              </w:txbxContent>
            </v:textbox>
            <w10:wrap type="none"/>
          </v:shape>
        </w:pict>
      </w:r>
      <w:r>
        <w:rPr/>
        <w:t>、</w:t>
      </w:r>
    </w:p>
    <w:p>
      <w:pPr>
        <w:spacing w:after="0" w:line="240" w:lineRule="auto"/>
        <w:jc w:val="righ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before="44"/>
        <w:ind w:left="0" w:right="157"/>
        <w:jc w:val="right"/>
      </w:pPr>
      <w:r>
        <w:rPr/>
        <w:pict>
          <v:shape style="position:absolute;margin-left:56.459999pt;margin-top:-112.508011pt;width:479.2pt;height:266.1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1922" w:hRule="exact"/>
                    </w:trPr>
                    <w:tc>
                      <w:tcPr>
                        <w:tcW w:w="352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19"/>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American</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Express</w:t>
                        </w:r>
                        <w:r>
                          <w:rPr>
                            <w:rFonts w:ascii="宋体" w:hAnsi="宋体" w:cs="宋体" w:eastAsia="宋体" w:hint="default"/>
                            <w:spacing w:val="-4"/>
                            <w:sz w:val="18"/>
                            <w:szCs w:val="18"/>
                          </w:rPr>
                          <w:t>）、发现金融服务公司（</w:t>
                        </w:r>
                        <w:r>
                          <w:rPr>
                            <w:rFonts w:ascii="Times New Roman" w:hAnsi="Times New Roman" w:cs="Times New Roman" w:eastAsia="Times New Roman" w:hint="default"/>
                            <w:spacing w:val="-4"/>
                            <w:sz w:val="18"/>
                            <w:szCs w:val="18"/>
                          </w:rPr>
                          <w:t>Discover</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Financial</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pacing w:val="-27"/>
                            <w:sz w:val="18"/>
                            <w:szCs w:val="18"/>
                          </w:rPr>
                        </w:r>
                        <w:r>
                          <w:rPr>
                            <w:rFonts w:ascii="Times New Roman" w:hAnsi="Times New Roman" w:cs="Times New Roman" w:eastAsia="Times New Roman" w:hint="default"/>
                            <w:spacing w:val="-10"/>
                            <w:sz w:val="18"/>
                            <w:szCs w:val="18"/>
                          </w:rPr>
                          <w:t>Services</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JCB</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和万事达国际组织（</w:t>
                        </w:r>
                        <w:r>
                          <w:rPr>
                            <w:rFonts w:ascii="Times New Roman" w:hAnsi="Times New Roman" w:cs="Times New Roman" w:eastAsia="Times New Roman" w:hint="default"/>
                            <w:spacing w:val="-2"/>
                            <w:sz w:val="18"/>
                            <w:szCs w:val="18"/>
                          </w:rPr>
                          <w:t>MasterCard</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Worldwide</w:t>
                        </w:r>
                        <w:r>
                          <w:rPr>
                            <w:rFonts w:ascii="宋体" w:hAnsi="宋体" w:cs="宋体" w:eastAsia="宋体" w:hint="default"/>
                            <w:spacing w:val="-4"/>
                            <w:sz w:val="18"/>
                            <w:szCs w:val="18"/>
                          </w:rPr>
                          <w:t>）五家国际</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信用卡组织联合推出的目前全球最严格、级别最高的金融机具安全认</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证标准，从金融机具的物理安全性、逻辑安全性、联机安全性、脱机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安全性、生产期间的设备安全管理、初始密钥注入前的设备安全管理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等六个方面进行严格细致的检测，保证支付卡的设备安全</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PBOC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认证</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全称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People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Bank of China</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认证，指中国人民银行卡检测中心，作为独</w:t>
                        </w:r>
                        <w:r>
                          <w:rPr>
                            <w:rFonts w:ascii="宋体" w:hAnsi="宋体" w:cs="宋体" w:eastAsia="宋体" w:hint="default"/>
                            <w:sz w:val="18"/>
                            <w:szCs w:val="18"/>
                          </w:rPr>
                          <w:t> </w:t>
                        </w:r>
                        <w:r>
                          <w:rPr>
                            <w:rFonts w:ascii="宋体" w:hAnsi="宋体" w:cs="宋体" w:eastAsia="宋体" w:hint="default"/>
                            <w:spacing w:val="-5"/>
                            <w:sz w:val="18"/>
                            <w:szCs w:val="18"/>
                          </w:rPr>
                          <w:t>立的第三方检测机构，接受各商业银行和金融机构的委托，按照国际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国内和金融行业有关技术质量标准，以及委托方提供的标准和规范要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求，对进入我国金融行业发行和使用的各种银行卡（</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卡和磁条卡 和银行卡受理机具进行科学、公正的技术质量检测</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LED</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78"/>
                          <w:jc w:val="left"/>
                          <w:rPr>
                            <w:rFonts w:ascii="宋体" w:hAnsi="宋体" w:cs="宋体" w:eastAsia="宋体" w:hint="default"/>
                            <w:sz w:val="18"/>
                            <w:szCs w:val="18"/>
                          </w:rPr>
                        </w:pPr>
                        <w:r>
                          <w:rPr>
                            <w:rFonts w:ascii="宋体" w:hAnsi="宋体" w:cs="宋体" w:eastAsia="宋体" w:hint="default"/>
                            <w:sz w:val="18"/>
                            <w:szCs w:val="18"/>
                          </w:rPr>
                          <w:t>全称为</w:t>
                        </w:r>
                        <w:r>
                          <w:rPr>
                            <w:rFonts w:ascii="Times New Roman" w:hAnsi="Times New Roman" w:cs="Times New Roman" w:eastAsia="Times New Roman" w:hint="default"/>
                            <w:sz w:val="18"/>
                            <w:szCs w:val="18"/>
                          </w:rPr>
                          <w:t>“Light Emitting</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Diode”</w:t>
                        </w:r>
                        <w:r>
                          <w:rPr>
                            <w:rFonts w:ascii="宋体" w:hAnsi="宋体" w:cs="宋体" w:eastAsia="宋体" w:hint="default"/>
                            <w:sz w:val="18"/>
                            <w:szCs w:val="18"/>
                          </w:rPr>
                          <w:t>，指发光二极管，是一种可以将电能转 化为光能的电子器件</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EMC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both"/>
                          <w:rPr>
                            <w:rFonts w:ascii="宋体" w:hAnsi="宋体" w:cs="宋体" w:eastAsia="宋体" w:hint="default"/>
                            <w:sz w:val="18"/>
                            <w:szCs w:val="18"/>
                          </w:rPr>
                        </w:pPr>
                        <w:r>
                          <w:rPr>
                            <w:rFonts w:ascii="宋体" w:hAnsi="宋体" w:cs="宋体" w:eastAsia="宋体" w:hint="default"/>
                            <w:spacing w:val="-2"/>
                            <w:sz w:val="18"/>
                            <w:szCs w:val="18"/>
                          </w:rPr>
                          <w:t>合同能源管理，由节能服务公司与用户签订能源管理合同、约定节能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目标，为用户提供节能诊断、融资、改造等服务，并以节能效益分享</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方式回收投资和获得合理利润。</w:t>
                        </w:r>
                      </w:p>
                    </w:tc>
                  </w:tr>
                </w:tbl>
                <w:p>
                  <w:pPr/>
                </w:p>
              </w:txbxContent>
            </v:textbox>
            <w10:wrap type="none"/>
          </v:shape>
        </w:pict>
      </w:r>
      <w:r>
        <w:rPr/>
        <w:t>、</w:t>
      </w:r>
    </w:p>
    <w:p>
      <w:pPr>
        <w:spacing w:line="240" w:lineRule="auto" w:before="4"/>
        <w:rPr>
          <w:rFonts w:ascii="宋体" w:hAnsi="宋体" w:cs="宋体" w:eastAsia="宋体" w:hint="default"/>
          <w:sz w:val="26"/>
          <w:szCs w:val="26"/>
        </w:rPr>
      </w:pPr>
    </w:p>
    <w:p>
      <w:pPr>
        <w:pStyle w:val="BodyText"/>
        <w:spacing w:line="240" w:lineRule="auto" w:before="44"/>
        <w:ind w:left="0" w:right="170"/>
        <w:jc w:val="right"/>
      </w:pPr>
      <w:r>
        <w:rPr/>
        <w:t>）</w:t>
      </w:r>
    </w:p>
    <w:p>
      <w:pPr>
        <w:spacing w:after="0" w:line="240" w:lineRule="auto"/>
        <w:jc w:val="righ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1"/>
        <w:ind w:left="2719" w:right="2719"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00" w:lineRule="auto" w:before="0"/>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本公司请投资者认真阅读本年度报告全文，并特别注意下列风险因素：公</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司可能存在市场竞争加剧、经营成本上升、应收账款和现金流等风险，有关风</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5"/>
          <w:w w:val="99"/>
          <w:sz w:val="28"/>
          <w:szCs w:val="28"/>
        </w:rPr>
        <w:t>险因素内容在本报告中</w:t>
      </w:r>
      <w:r>
        <w:rPr>
          <w:rFonts w:ascii="Times New Roman" w:hAnsi="Times New Roman" w:cs="Times New Roman" w:eastAsia="Times New Roman" w:hint="default"/>
          <w:b/>
          <w:bCs/>
          <w:spacing w:val="-5"/>
          <w:w w:val="99"/>
          <w:sz w:val="28"/>
          <w:szCs w:val="28"/>
        </w:rPr>
        <w:t>“</w:t>
      </w:r>
      <w:r>
        <w:rPr>
          <w:rFonts w:ascii="宋体" w:hAnsi="宋体" w:cs="宋体" w:eastAsia="宋体" w:hint="default"/>
          <w:b/>
          <w:bCs/>
          <w:spacing w:val="-5"/>
          <w:w w:val="99"/>
          <w:sz w:val="28"/>
          <w:szCs w:val="28"/>
        </w:rPr>
        <w:t>第四节董事会报告（八）、公司未来发展的展望</w:t>
      </w:r>
      <w:r>
        <w:rPr>
          <w:rFonts w:ascii="Times New Roman" w:hAnsi="Times New Roman" w:cs="Times New Roman" w:eastAsia="Times New Roman" w:hint="default"/>
          <w:b/>
          <w:bCs/>
          <w:spacing w:val="-5"/>
          <w:w w:val="99"/>
          <w:sz w:val="28"/>
          <w:szCs w:val="28"/>
        </w:rPr>
        <w:t>”</w:t>
      </w:r>
      <w:r>
        <w:rPr>
          <w:rFonts w:ascii="宋体" w:hAnsi="宋体" w:cs="宋体" w:eastAsia="宋体" w:hint="default"/>
          <w:b/>
          <w:bCs/>
          <w:spacing w:val="-5"/>
          <w:w w:val="99"/>
          <w:sz w:val="28"/>
          <w:szCs w:val="28"/>
        </w:rPr>
        <w:t>部分予</w:t>
      </w:r>
      <w:r>
        <w:rPr>
          <w:rFonts w:ascii="宋体" w:hAnsi="宋体" w:cs="宋体" w:eastAsia="宋体" w:hint="default"/>
          <w:b/>
          <w:bCs/>
          <w:spacing w:val="-125"/>
          <w:w w:val="99"/>
          <w:sz w:val="28"/>
          <w:szCs w:val="28"/>
        </w:rPr>
        <w:t> </w:t>
      </w:r>
      <w:r>
        <w:rPr>
          <w:rFonts w:ascii="宋体" w:hAnsi="宋体" w:cs="宋体" w:eastAsia="宋体" w:hint="default"/>
          <w:b/>
          <w:bCs/>
          <w:sz w:val="28"/>
          <w:szCs w:val="28"/>
        </w:rPr>
        <w:t>以描述。敬请广大投资者注意投资风险。</w:t>
      </w:r>
      <w:r>
        <w:rPr>
          <w:rFonts w:ascii="宋体" w:hAnsi="宋体" w:cs="宋体" w:eastAsia="宋体" w:hint="default"/>
          <w:sz w:val="28"/>
          <w:szCs w:val="28"/>
        </w:rPr>
      </w:r>
    </w:p>
    <w:p>
      <w:pPr>
        <w:spacing w:after="0" w:line="400" w:lineRule="auto"/>
        <w:jc w:val="both"/>
        <w:rPr>
          <w:rFonts w:ascii="宋体" w:hAnsi="宋体" w:cs="宋体" w:eastAsia="宋体" w:hint="default"/>
          <w:sz w:val="28"/>
          <w:szCs w:val="2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r>
        <w:rPr/>
        <w:pict>
          <v:group style="position:absolute;margin-left:171.059998pt;margin-top:269.190002pt;width:362.7pt;height:20.7pt;mso-position-horizontal-relative:page;mso-position-vertical-relative:page;z-index:-858280" coordorigin="3421,5384" coordsize="7254,414">
            <v:group style="position:absolute;left:3433;top:5395;width:2;height:392" coordorigin="3433,5395" coordsize="2,392">
              <v:shape style="position:absolute;left:3433;top:5395;width:2;height:392" coordorigin="3433,5395" coordsize="0,392" path="m3433,5395l3433,5786e" filled="false" stroked="true" strokeweight="1.140pt" strokecolor="#ffffff">
                <v:path arrowok="t"/>
              </v:shape>
            </v:group>
            <v:group style="position:absolute;left:3444;top:5394;width:7232;height:393" coordorigin="3444,5394" coordsize="7232,393">
              <v:shape style="position:absolute;left:3444;top:5394;width:7232;height:393" coordorigin="3444,5394" coordsize="7232,393" path="m3444,5786l10675,5786,10675,5394,3444,5394,3444,5786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left="2720" w:right="2719"/>
        <w:jc w:val="center"/>
        <w:rPr>
          <w:b w:val="0"/>
          <w:bCs w:val="0"/>
        </w:rPr>
      </w:pPr>
      <w:bookmarkStart w:name="_bookmark1" w:id="2"/>
      <w:bookmarkEnd w:id="2"/>
      <w:r>
        <w:rPr>
          <w:b w:val="0"/>
          <w:bCs w:val="0"/>
        </w:rPr>
      </w:r>
      <w:r>
        <w:rPr/>
        <w:t>第二节</w:t>
      </w:r>
      <w:r>
        <w:rPr>
          <w:spacing w:val="-5"/>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49"/>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0"/>
        <w:gridCol w:w="2977"/>
        <w:gridCol w:w="2134"/>
        <w:gridCol w:w="2188"/>
      </w:tblGrid>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证通电子</w:t>
            </w:r>
          </w:p>
        </w:tc>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002197</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证通电子</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SZZT Electronics</w:t>
            </w:r>
            <w:r>
              <w:rPr>
                <w:rFonts w:ascii="Times New Roman"/>
                <w:spacing w:val="-3"/>
                <w:sz w:val="18"/>
              </w:rPr>
              <w:t> CO.,LTD.</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86" w:right="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SZZT</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曾胜强</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深圳市南山区南油天安工业村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单元</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518054</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深圳市光明新区同观路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号证通电子产业园</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518132</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9">
              <w:r>
                <w:rPr>
                  <w:rFonts w:ascii="Times New Roman"/>
                  <w:sz w:val="18"/>
                </w:rPr>
                <w:t>http://www.szzt.com.cn</w:t>
              </w:r>
            </w:hyperlink>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10">
              <w:r>
                <w:rPr>
                  <w:rFonts w:ascii="Times New Roman"/>
                  <w:sz w:val="18"/>
                </w:rPr>
                <w:t>IR@szzt.com.cn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49"/>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880"/>
        <w:gridCol w:w="4402"/>
        <w:gridCol w:w="4400"/>
      </w:tblGrid>
      <w:tr>
        <w:trPr>
          <w:trHeight w:val="402" w:hRule="exact"/>
        </w:trPr>
        <w:tc>
          <w:tcPr>
            <w:tcW w:w="88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4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44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曹钧钧</w:t>
            </w:r>
          </w:p>
        </w:tc>
      </w:tr>
      <w:tr>
        <w:trPr>
          <w:trHeight w:val="402" w:hRule="exact"/>
        </w:trPr>
        <w:tc>
          <w:tcPr>
            <w:tcW w:w="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44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深圳市光明新区同观路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号证通电子产业园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深圳市光明新区同观路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号证通电子产业园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44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0755-26490118</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0755-26490118</w:t>
            </w:r>
          </w:p>
        </w:tc>
      </w:tr>
      <w:tr>
        <w:trPr>
          <w:trHeight w:val="402" w:hRule="exact"/>
        </w:trPr>
        <w:tc>
          <w:tcPr>
            <w:tcW w:w="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44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0755-26490099</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0755-26490099</w:t>
            </w:r>
          </w:p>
        </w:tc>
      </w:tr>
      <w:tr>
        <w:trPr>
          <w:trHeight w:val="402" w:hRule="exact"/>
        </w:trPr>
        <w:tc>
          <w:tcPr>
            <w:tcW w:w="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44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1">
              <w:r>
                <w:rPr>
                  <w:rFonts w:ascii="Times New Roman"/>
                  <w:sz w:val="18"/>
                </w:rPr>
                <w:t>zcxu@szzt.com.cn</w:t>
              </w:r>
            </w:hyperlink>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caojun@szzt.com.cn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49"/>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3765"/>
        <w:gridCol w:w="5929"/>
      </w:tblGrid>
      <w:tr>
        <w:trPr>
          <w:trHeight w:val="402" w:hRule="exact"/>
        </w:trPr>
        <w:tc>
          <w:tcPr>
            <w:tcW w:w="3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92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92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92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149"/>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160" w:hRule="exact"/>
        </w:trPr>
        <w:tc>
          <w:tcPr>
            <w:tcW w:w="15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4" w:hRule="exact"/>
        </w:trPr>
        <w:tc>
          <w:tcPr>
            <w:tcW w:w="1585" w:type="dxa"/>
            <w:tcBorders>
              <w:top w:val="nil" w:sz="6" w:space="0" w:color="auto"/>
              <w:left w:val="single" w:sz="4" w:space="0" w:color="000000"/>
              <w:bottom w:val="nil" w:sz="6" w:space="0" w:color="auto"/>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0" w:hRule="exact"/>
        </w:trPr>
        <w:tc>
          <w:tcPr>
            <w:tcW w:w="15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72" w:hRule="exact"/>
        </w:trPr>
        <w:tc>
          <w:tcPr>
            <w:tcW w:w="15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3" w:right="119"/>
              <w:jc w:val="left"/>
              <w:rPr>
                <w:rFonts w:ascii="宋体" w:hAnsi="宋体" w:cs="宋体" w:eastAsia="宋体" w:hint="default"/>
                <w:sz w:val="18"/>
                <w:szCs w:val="18"/>
              </w:rPr>
            </w:pPr>
            <w:r>
              <w:rPr>
                <w:rFonts w:ascii="宋体" w:hAnsi="宋体" w:cs="宋体" w:eastAsia="宋体" w:hint="default"/>
                <w:sz w:val="18"/>
                <w:szCs w:val="18"/>
              </w:rPr>
              <w:t>深圳市工商行政管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4403012064231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深国税字</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440301279402305</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深地税字</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440300279402305</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27940230-5</w:t>
            </w:r>
          </w:p>
        </w:tc>
      </w:tr>
      <w:tr>
        <w:trPr>
          <w:trHeight w:val="393" w:hRule="exact"/>
        </w:trPr>
        <w:tc>
          <w:tcPr>
            <w:tcW w:w="15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10"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472" w:hRule="exact"/>
        </w:trPr>
        <w:tc>
          <w:tcPr>
            <w:tcW w:w="15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10"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0" w:hRule="exact"/>
        </w:trPr>
        <w:tc>
          <w:tcPr>
            <w:tcW w:w="15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10"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深圳市工商行政管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440301103106038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深税登字</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440301279402305</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27940230-5</w:t>
            </w:r>
          </w:p>
        </w:tc>
      </w:tr>
      <w:tr>
        <w:trPr>
          <w:trHeight w:val="393" w:hRule="exact"/>
        </w:trPr>
        <w:tc>
          <w:tcPr>
            <w:tcW w:w="15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10"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0" w:hRule="exact"/>
        </w:trPr>
        <w:tc>
          <w:tcPr>
            <w:tcW w:w="15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10"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0" w:hRule="exact"/>
        </w:trPr>
        <w:tc>
          <w:tcPr>
            <w:tcW w:w="3178"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377" w:type="dxa"/>
            <w:gridSpan w:val="4"/>
            <w:vMerge w:val="restart"/>
            <w:tcBorders>
              <w:top w:val="single" w:sz="4" w:space="0" w:color="000000"/>
              <w:left w:val="single" w:sz="9" w:space="0" w:color="D3D3D3"/>
              <w:right w:val="single" w:sz="4" w:space="0" w:color="000000"/>
            </w:tcBorders>
          </w:tcPr>
          <w:p>
            <w:pPr>
              <w:pStyle w:val="TableParagraph"/>
              <w:spacing w:line="300" w:lineRule="auto" w:before="51"/>
              <w:ind w:left="17" w:right="-37"/>
              <w:jc w:val="both"/>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年年度股东大会审议，公司增加</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照明、太阳 </w:t>
            </w:r>
            <w:r>
              <w:rPr>
                <w:rFonts w:ascii="宋体" w:hAnsi="宋体" w:cs="宋体" w:eastAsia="宋体" w:hint="default"/>
                <w:spacing w:val="-2"/>
                <w:sz w:val="18"/>
                <w:szCs w:val="18"/>
              </w:rPr>
              <w:t>能应用系统工程建设及施工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的经营范围，在金融电子支付设备的研发、生产、销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售的主营业务基础上，增加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照明电子的研发、生产和销售及相关贸易业务。</w:t>
            </w:r>
          </w:p>
        </w:tc>
      </w:tr>
      <w:tr>
        <w:trPr>
          <w:trHeight w:val="705" w:hRule="exact"/>
        </w:trPr>
        <w:tc>
          <w:tcPr>
            <w:tcW w:w="3178"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11"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vMerge/>
            <w:tcBorders>
              <w:left w:val="single" w:sz="9" w:space="0" w:color="D3D3D3"/>
              <w:right w:val="single" w:sz="4" w:space="0" w:color="000000"/>
            </w:tcBorders>
          </w:tcPr>
          <w:p>
            <w:pPr/>
          </w:p>
        </w:tc>
      </w:tr>
      <w:tr>
        <w:trPr>
          <w:trHeight w:val="160" w:hRule="exact"/>
        </w:trPr>
        <w:tc>
          <w:tcPr>
            <w:tcW w:w="3178"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377" w:type="dxa"/>
            <w:gridSpan w:val="4"/>
            <w:vMerge/>
            <w:tcBorders>
              <w:left w:val="single" w:sz="9" w:space="0" w:color="D3D3D3"/>
              <w:bottom w:val="single" w:sz="4" w:space="0" w:color="000000"/>
              <w:right w:val="single" w:sz="4" w:space="0" w:color="000000"/>
            </w:tcBorders>
          </w:tcPr>
          <w:p>
            <w:pPr/>
          </w:p>
        </w:tc>
      </w:tr>
      <w:tr>
        <w:trPr>
          <w:trHeight w:val="402" w:hRule="exact"/>
        </w:trPr>
        <w:tc>
          <w:tcPr>
            <w:tcW w:w="31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149"/>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9"/>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75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4" w:right="2331"/>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号新黄浦金融大厦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宋体" w:hAnsi="宋体" w:cs="宋体" w:eastAsia="宋体" w:hint="default"/>
                <w:spacing w:val="-88"/>
                <w:sz w:val="18"/>
                <w:szCs w:val="18"/>
              </w:rPr>
              <w:t> </w:t>
            </w:r>
            <w:r>
              <w:rPr>
                <w:rFonts w:ascii="宋体" w:hAnsi="宋体" w:cs="宋体" w:eastAsia="宋体" w:hint="default"/>
                <w:sz w:val="18"/>
                <w:szCs w:val="18"/>
              </w:rPr>
              <w:t>深圳市福田区香梅路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号中投国际商务中心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杨平高、周俊祥</w:t>
            </w:r>
          </w:p>
        </w:tc>
      </w:tr>
    </w:tbl>
    <w:p>
      <w:pPr>
        <w:pStyle w:val="BodyText"/>
        <w:spacing w:line="240" w:lineRule="auto" w:before="51"/>
        <w:ind w:right="149"/>
        <w:jc w:val="left"/>
      </w:pPr>
      <w:r>
        <w:rPr/>
        <w:t>公司聘请的报告期内履行持续督导职责的保荐机构</w:t>
      </w:r>
    </w:p>
    <w:p>
      <w:pPr>
        <w:pStyle w:val="BodyText"/>
        <w:spacing w:line="240" w:lineRule="auto" w:before="117"/>
        <w:ind w:left="153"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2423"/>
        <w:gridCol w:w="3544"/>
        <w:gridCol w:w="1621"/>
        <w:gridCol w:w="2106"/>
      </w:tblGrid>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6"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6"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1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67"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北京市东城区朝内大街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 </w:t>
            </w:r>
            <w:r>
              <w:rPr>
                <w:rFonts w:ascii="宋体" w:hAnsi="宋体" w:cs="宋体" w:eastAsia="宋体" w:hint="default"/>
                <w:sz w:val="18"/>
                <w:szCs w:val="18"/>
              </w:rPr>
              <w:t>号； 深圳市福田区益田路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号荣超商务中心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李波、肖鹏</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149"/>
        <w:jc w:val="left"/>
      </w:pPr>
      <w:r>
        <w:rPr/>
        <w:t>公司聘请的报告期内履行持续督导职责的财务顾问</w:t>
      </w:r>
    </w:p>
    <w:p>
      <w:pPr>
        <w:pStyle w:val="BodyText"/>
        <w:spacing w:line="240" w:lineRule="auto" w:before="117"/>
        <w:ind w:left="153"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149"/>
        <w:jc w:val="left"/>
        <w:rPr>
          <w:b w:val="0"/>
          <w:bCs w:val="0"/>
        </w:rPr>
      </w:pPr>
      <w:bookmarkStart w:name="_bookmark2" w:id="3"/>
      <w:bookmarkEnd w:id="3"/>
      <w:r>
        <w:rPr>
          <w:b w:val="0"/>
          <w:bCs w:val="0"/>
        </w:rPr>
      </w:r>
      <w:r>
        <w:rPr/>
        <w:t>第三节</w:t>
      </w:r>
      <w:r>
        <w:rPr>
          <w:spacing w:val="-11"/>
        </w:rPr>
        <w:t> </w:t>
      </w:r>
      <w:r>
        <w:rPr/>
        <w:t>会计数据和财务指标摘要</w:t>
      </w:r>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49"/>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9"/>
        <w:jc w:val="left"/>
      </w:pPr>
      <w:r>
        <w:rPr/>
        <w:t>公司是否因会计政策变更及会计差错更正等追溯调整或重述以前年度会计数据</w:t>
      </w:r>
    </w:p>
    <w:p>
      <w:pPr>
        <w:pStyle w:val="BodyText"/>
        <w:spacing w:line="240" w:lineRule="auto" w:before="117"/>
        <w:ind w:left="153" w:right="1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50"/>
        <w:gridCol w:w="1200"/>
        <w:gridCol w:w="1201"/>
        <w:gridCol w:w="1201"/>
        <w:gridCol w:w="1201"/>
        <w:gridCol w:w="1201"/>
        <w:gridCol w:w="1201"/>
      </w:tblGrid>
      <w:tr>
        <w:trPr>
          <w:trHeight w:val="161" w:hRule="exact"/>
        </w:trPr>
        <w:tc>
          <w:tcPr>
            <w:tcW w:w="2350" w:type="dxa"/>
            <w:vMerge w:val="restart"/>
            <w:tcBorders>
              <w:top w:val="single" w:sz="4" w:space="0" w:color="000000"/>
              <w:left w:val="single" w:sz="4" w:space="0" w:color="000000"/>
              <w:right w:val="single" w:sz="4" w:space="0" w:color="000000"/>
            </w:tcBorders>
            <w:shd w:val="clear" w:color="auto" w:fill="D3D3D3"/>
          </w:tcPr>
          <w:p>
            <w:pPr/>
          </w:p>
        </w:tc>
        <w:tc>
          <w:tcPr>
            <w:tcW w:w="1200" w:type="dxa"/>
            <w:vMerge w:val="restart"/>
            <w:tcBorders>
              <w:top w:val="single" w:sz="4" w:space="0" w:color="000000"/>
              <w:left w:val="single" w:sz="4" w:space="0" w:color="000000"/>
              <w:right w:val="single" w:sz="4" w:space="0" w:color="000000"/>
            </w:tcBorders>
            <w:shd w:val="clear" w:color="auto" w:fill="D3D3D3"/>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20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69" w:right="54" w:hanging="315"/>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 减</w:t>
            </w:r>
            <w:r>
              <w:rPr>
                <w:rFonts w:ascii="Times New Roman" w:hAnsi="Times New Roman" w:cs="Times New Roman" w:eastAsia="Times New Roman" w:hint="default"/>
                <w:sz w:val="18"/>
                <w:szCs w:val="18"/>
              </w:rPr>
              <w:t>(%)</w:t>
            </w:r>
          </w:p>
        </w:tc>
        <w:tc>
          <w:tcPr>
            <w:tcW w:w="2402"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2350" w:type="dxa"/>
            <w:vMerge/>
            <w:tcBorders>
              <w:left w:val="single" w:sz="4" w:space="0" w:color="000000"/>
              <w:bottom w:val="nil" w:sz="6" w:space="0" w:color="auto"/>
              <w:right w:val="single" w:sz="4" w:space="0" w:color="000000"/>
            </w:tcBorders>
            <w:shd w:val="clear" w:color="auto" w:fill="D3D3D3"/>
          </w:tcPr>
          <w:p>
            <w:pPr/>
          </w:p>
        </w:tc>
        <w:tc>
          <w:tcPr>
            <w:tcW w:w="1200" w:type="dxa"/>
            <w:vMerge/>
            <w:tcBorders>
              <w:left w:val="single" w:sz="4" w:space="0" w:color="000000"/>
              <w:bottom w:val="nil" w:sz="6" w:space="0" w:color="auto"/>
              <w:right w:val="single" w:sz="4" w:space="0" w:color="000000"/>
            </w:tcBorders>
            <w:shd w:val="clear" w:color="auto" w:fill="D3D3D3"/>
          </w:tcPr>
          <w:p>
            <w:pPr/>
          </w:p>
        </w:tc>
        <w:tc>
          <w:tcPr>
            <w:tcW w:w="2402"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201" w:type="dxa"/>
            <w:vMerge/>
            <w:tcBorders>
              <w:left w:val="single" w:sz="4" w:space="0" w:color="000000"/>
              <w:right w:val="single" w:sz="4" w:space="0" w:color="000000"/>
            </w:tcBorders>
            <w:shd w:val="clear" w:color="auto" w:fill="D3D3D3"/>
          </w:tcPr>
          <w:p>
            <w:pPr/>
          </w:p>
        </w:tc>
        <w:tc>
          <w:tcPr>
            <w:tcW w:w="2402"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6" w:hRule="exact"/>
        </w:trPr>
        <w:tc>
          <w:tcPr>
            <w:tcW w:w="2350" w:type="dxa"/>
            <w:vMerge w:val="restart"/>
            <w:tcBorders>
              <w:top w:val="nil" w:sz="6" w:space="0" w:color="auto"/>
              <w:left w:val="single" w:sz="4" w:space="0" w:color="000000"/>
              <w:right w:val="single" w:sz="4" w:space="0" w:color="000000"/>
            </w:tcBorders>
            <w:shd w:val="clear" w:color="auto" w:fill="D3D3D3"/>
          </w:tcPr>
          <w:p>
            <w:pPr/>
          </w:p>
        </w:tc>
        <w:tc>
          <w:tcPr>
            <w:tcW w:w="12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gridSpan w:val="2"/>
            <w:vMerge/>
            <w:tcBorders>
              <w:left w:val="single" w:sz="4" w:space="0" w:color="000000"/>
              <w:bottom w:val="nil" w:sz="6" w:space="0" w:color="auto"/>
              <w:right w:val="single" w:sz="4" w:space="0" w:color="000000"/>
            </w:tcBorders>
            <w:shd w:val="clear" w:color="auto" w:fill="D3D3D3"/>
          </w:tcPr>
          <w:p>
            <w:pPr/>
          </w:p>
        </w:tc>
        <w:tc>
          <w:tcPr>
            <w:tcW w:w="1201" w:type="dxa"/>
            <w:vMerge/>
            <w:tcBorders>
              <w:left w:val="single" w:sz="4" w:space="0" w:color="000000"/>
              <w:right w:val="single" w:sz="4" w:space="0" w:color="000000"/>
            </w:tcBorders>
            <w:shd w:val="clear" w:color="auto" w:fill="D3D3D3"/>
          </w:tcPr>
          <w:p>
            <w:pPr/>
          </w:p>
        </w:tc>
        <w:tc>
          <w:tcPr>
            <w:tcW w:w="2402" w:type="dxa"/>
            <w:gridSpan w:val="2"/>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2350" w:type="dxa"/>
            <w:vMerge/>
            <w:tcBorders>
              <w:left w:val="single" w:sz="4" w:space="0" w:color="000000"/>
              <w:bottom w:val="nil" w:sz="6" w:space="0" w:color="auto"/>
              <w:right w:val="single" w:sz="4" w:space="0" w:color="000000"/>
            </w:tcBorders>
            <w:shd w:val="clear" w:color="auto" w:fill="D3D3D3"/>
          </w:tcPr>
          <w:p>
            <w:pPr/>
          </w:p>
        </w:tc>
        <w:tc>
          <w:tcPr>
            <w:tcW w:w="1200" w:type="dxa"/>
            <w:vMerge/>
            <w:tcBorders>
              <w:left w:val="single" w:sz="4" w:space="0" w:color="000000"/>
              <w:bottom w:val="nil" w:sz="6" w:space="0" w:color="auto"/>
              <w:right w:val="single" w:sz="4" w:space="0" w:color="000000"/>
            </w:tcBorders>
            <w:shd w:val="clear" w:color="auto" w:fill="D3D3D3"/>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201" w:type="dxa"/>
            <w:vMerge/>
            <w:tcBorders>
              <w:left w:val="single" w:sz="4" w:space="0" w:color="000000"/>
              <w:bottom w:val="single" w:sz="4" w:space="0" w:color="000000"/>
              <w:right w:val="single" w:sz="4" w:space="0" w:color="000000"/>
            </w:tcBorders>
            <w:shd w:val="clear" w:color="auto" w:fill="D3D3D3"/>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3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3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584,875,543.99</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677,480,693.05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677,480,693.05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-13.67%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524,598,981.72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524,598,981.72</w:t>
            </w:r>
          </w:p>
        </w:tc>
      </w:tr>
      <w:tr>
        <w:trPr>
          <w:trHeight w:val="714" w:hRule="exact"/>
        </w:trPr>
        <w:tc>
          <w:tcPr>
            <w:tcW w:w="23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67"/>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42,254,458.22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71,508,108.19</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69,455,613.19</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-39.16%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54,880,734.50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54,880,734.50</w:t>
            </w:r>
          </w:p>
        </w:tc>
      </w:tr>
      <w:tr>
        <w:trPr>
          <w:trHeight w:val="714" w:hRule="exact"/>
        </w:trPr>
        <w:tc>
          <w:tcPr>
            <w:tcW w:w="23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32,343,202.58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66,501,183.85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64,448,688.85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-49.82%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52,690,795.95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52,690,795.95</w:t>
            </w:r>
          </w:p>
        </w:tc>
      </w:tr>
      <w:tr>
        <w:trPr>
          <w:trHeight w:val="714" w:hRule="exact"/>
        </w:trPr>
        <w:tc>
          <w:tcPr>
            <w:tcW w:w="23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67"/>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32,808,178.74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32,464,075.08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32,464,075.08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-26,969,310.74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-26,969,310.74</w:t>
            </w:r>
          </w:p>
        </w:tc>
      </w:tr>
      <w:tr>
        <w:trPr>
          <w:trHeight w:val="402" w:hRule="exact"/>
        </w:trPr>
        <w:tc>
          <w:tcPr>
            <w:tcW w:w="23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-39.39%</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0.26</w:t>
            </w:r>
          </w:p>
        </w:tc>
      </w:tr>
      <w:tr>
        <w:trPr>
          <w:trHeight w:val="402" w:hRule="exact"/>
        </w:trPr>
        <w:tc>
          <w:tcPr>
            <w:tcW w:w="23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-39.39%</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0.26</w:t>
            </w:r>
          </w:p>
        </w:tc>
      </w:tr>
      <w:tr>
        <w:trPr>
          <w:trHeight w:val="402" w:hRule="exact"/>
        </w:trPr>
        <w:tc>
          <w:tcPr>
            <w:tcW w:w="23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12.49%</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12.49%</w:t>
            </w:r>
          </w:p>
        </w:tc>
      </w:tr>
      <w:tr>
        <w:trPr>
          <w:trHeight w:val="161" w:hRule="exact"/>
        </w:trPr>
        <w:tc>
          <w:tcPr>
            <w:tcW w:w="2350" w:type="dxa"/>
            <w:vMerge w:val="restart"/>
            <w:tcBorders>
              <w:top w:val="single" w:sz="4" w:space="0" w:color="000000"/>
              <w:left w:val="single" w:sz="4" w:space="0" w:color="000000"/>
              <w:right w:val="single" w:sz="4" w:space="0" w:color="000000"/>
            </w:tcBorders>
            <w:shd w:val="clear" w:color="auto" w:fill="D3D3D3"/>
          </w:tcPr>
          <w:p>
            <w:pPr/>
          </w:p>
        </w:tc>
        <w:tc>
          <w:tcPr>
            <w:tcW w:w="1200" w:type="dxa"/>
            <w:vMerge w:val="restart"/>
            <w:tcBorders>
              <w:top w:val="single" w:sz="4" w:space="0" w:color="000000"/>
              <w:left w:val="single" w:sz="4" w:space="0" w:color="000000"/>
              <w:right w:val="single" w:sz="4" w:space="0" w:color="000000"/>
            </w:tcBorders>
            <w:shd w:val="clear" w:color="auto" w:fill="D3D3D3"/>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20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89" w:right="54"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本年末比上年 末增减</w:t>
            </w:r>
            <w:r>
              <w:rPr>
                <w:rFonts w:ascii="Times New Roman" w:hAnsi="Times New Roman" w:cs="Times New Roman" w:eastAsia="Times New Roman" w:hint="default"/>
                <w:sz w:val="18"/>
                <w:szCs w:val="18"/>
              </w:rPr>
              <w:t>(%)</w:t>
            </w:r>
          </w:p>
        </w:tc>
        <w:tc>
          <w:tcPr>
            <w:tcW w:w="2402"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2350" w:type="dxa"/>
            <w:vMerge/>
            <w:tcBorders>
              <w:left w:val="single" w:sz="4" w:space="0" w:color="000000"/>
              <w:bottom w:val="nil" w:sz="6" w:space="0" w:color="auto"/>
              <w:right w:val="single" w:sz="4" w:space="0" w:color="000000"/>
            </w:tcBorders>
            <w:shd w:val="clear" w:color="auto" w:fill="D3D3D3"/>
          </w:tcPr>
          <w:p>
            <w:pPr/>
          </w:p>
        </w:tc>
        <w:tc>
          <w:tcPr>
            <w:tcW w:w="1200" w:type="dxa"/>
            <w:vMerge/>
            <w:tcBorders>
              <w:left w:val="single" w:sz="4" w:space="0" w:color="000000"/>
              <w:bottom w:val="nil" w:sz="6" w:space="0" w:color="auto"/>
              <w:right w:val="single" w:sz="4" w:space="0" w:color="000000"/>
            </w:tcBorders>
            <w:shd w:val="clear" w:color="auto" w:fill="D3D3D3"/>
          </w:tcPr>
          <w:p>
            <w:pPr/>
          </w:p>
        </w:tc>
        <w:tc>
          <w:tcPr>
            <w:tcW w:w="2402"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1201" w:type="dxa"/>
            <w:vMerge/>
            <w:tcBorders>
              <w:left w:val="single" w:sz="4" w:space="0" w:color="000000"/>
              <w:right w:val="single" w:sz="4" w:space="0" w:color="000000"/>
            </w:tcBorders>
            <w:shd w:val="clear" w:color="auto" w:fill="D3D3D3"/>
          </w:tcPr>
          <w:p>
            <w:pPr/>
          </w:p>
        </w:tc>
        <w:tc>
          <w:tcPr>
            <w:tcW w:w="2402"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6" w:hRule="exact"/>
        </w:trPr>
        <w:tc>
          <w:tcPr>
            <w:tcW w:w="2350" w:type="dxa"/>
            <w:vMerge w:val="restart"/>
            <w:tcBorders>
              <w:top w:val="nil" w:sz="6" w:space="0" w:color="auto"/>
              <w:left w:val="single" w:sz="4" w:space="0" w:color="000000"/>
              <w:right w:val="single" w:sz="4" w:space="0" w:color="000000"/>
            </w:tcBorders>
            <w:shd w:val="clear" w:color="auto" w:fill="D3D3D3"/>
          </w:tcPr>
          <w:p>
            <w:pPr/>
          </w:p>
        </w:tc>
        <w:tc>
          <w:tcPr>
            <w:tcW w:w="12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2" w:type="dxa"/>
            <w:gridSpan w:val="2"/>
            <w:vMerge/>
            <w:tcBorders>
              <w:left w:val="single" w:sz="4" w:space="0" w:color="000000"/>
              <w:bottom w:val="nil" w:sz="6" w:space="0" w:color="auto"/>
              <w:right w:val="single" w:sz="4" w:space="0" w:color="000000"/>
            </w:tcBorders>
            <w:shd w:val="clear" w:color="auto" w:fill="D3D3D3"/>
          </w:tcPr>
          <w:p>
            <w:pPr/>
          </w:p>
        </w:tc>
        <w:tc>
          <w:tcPr>
            <w:tcW w:w="1201" w:type="dxa"/>
            <w:vMerge/>
            <w:tcBorders>
              <w:left w:val="single" w:sz="4" w:space="0" w:color="000000"/>
              <w:right w:val="single" w:sz="4" w:space="0" w:color="000000"/>
            </w:tcBorders>
            <w:shd w:val="clear" w:color="auto" w:fill="D3D3D3"/>
          </w:tcPr>
          <w:p>
            <w:pPr/>
          </w:p>
        </w:tc>
        <w:tc>
          <w:tcPr>
            <w:tcW w:w="2402" w:type="dxa"/>
            <w:gridSpan w:val="2"/>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2350" w:type="dxa"/>
            <w:vMerge/>
            <w:tcBorders>
              <w:left w:val="single" w:sz="4" w:space="0" w:color="000000"/>
              <w:bottom w:val="nil" w:sz="6" w:space="0" w:color="auto"/>
              <w:right w:val="single" w:sz="4" w:space="0" w:color="000000"/>
            </w:tcBorders>
            <w:shd w:val="clear" w:color="auto" w:fill="D3D3D3"/>
          </w:tcPr>
          <w:p>
            <w:pPr/>
          </w:p>
        </w:tc>
        <w:tc>
          <w:tcPr>
            <w:tcW w:w="1200" w:type="dxa"/>
            <w:vMerge/>
            <w:tcBorders>
              <w:left w:val="single" w:sz="4" w:space="0" w:color="000000"/>
              <w:bottom w:val="nil" w:sz="6" w:space="0" w:color="auto"/>
              <w:right w:val="single" w:sz="4" w:space="0" w:color="000000"/>
            </w:tcBorders>
            <w:shd w:val="clear" w:color="auto" w:fill="D3D3D3"/>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201" w:type="dxa"/>
            <w:vMerge/>
            <w:tcBorders>
              <w:left w:val="single" w:sz="4" w:space="0" w:color="000000"/>
              <w:bottom w:val="single" w:sz="4" w:space="0" w:color="000000"/>
              <w:right w:val="single" w:sz="4" w:space="0" w:color="000000"/>
            </w:tcBorders>
            <w:shd w:val="clear" w:color="auto" w:fill="D3D3D3"/>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3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0" w:type="dxa"/>
            <w:vMerge w:val="restart"/>
            <w:tcBorders>
              <w:top w:val="single" w:sz="4" w:space="0" w:color="000000"/>
              <w:left w:val="single" w:sz="9" w:space="0" w:color="D3D3D3"/>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1,134,079,475.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1,065,681,486.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1,066,333,829.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1" w:right="0"/>
              <w:jc w:val="left"/>
              <w:rPr>
                <w:rFonts w:ascii="Times New Roman" w:hAnsi="Times New Roman" w:cs="Times New Roman" w:eastAsia="Times New Roman" w:hint="default"/>
                <w:sz w:val="18"/>
                <w:szCs w:val="18"/>
              </w:rPr>
            </w:pPr>
            <w:r>
              <w:rPr>
                <w:rFonts w:ascii="Times New Roman"/>
                <w:sz w:val="18"/>
              </w:rPr>
              <w:t>6.35%</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917,506,810.20</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917,506,810.20</w:t>
            </w:r>
          </w:p>
        </w:tc>
      </w:tr>
      <w:tr>
        <w:trPr>
          <w:trHeight w:val="392" w:hRule="exact"/>
        </w:trPr>
        <w:tc>
          <w:tcPr>
            <w:tcW w:w="23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200" w:type="dxa"/>
            <w:vMerge/>
            <w:tcBorders>
              <w:left w:val="single" w:sz="9" w:space="0" w:color="D3D3D3"/>
              <w:right w:val="single" w:sz="4" w:space="0" w:color="000000"/>
            </w:tcBorders>
          </w:tcPr>
          <w:p>
            <w:pPr/>
          </w:p>
        </w:tc>
        <w:tc>
          <w:tcPr>
            <w:tcW w:w="1201"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r>
      <w:tr>
        <w:trPr>
          <w:trHeight w:val="161" w:hRule="exact"/>
        </w:trPr>
        <w:tc>
          <w:tcPr>
            <w:tcW w:w="23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0" w:type="dxa"/>
            <w:vMerge/>
            <w:tcBorders>
              <w:left w:val="single" w:sz="9" w:space="0" w:color="D3D3D3"/>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r>
      <w:tr>
        <w:trPr>
          <w:trHeight w:val="1026" w:hRule="exact"/>
        </w:trPr>
        <w:tc>
          <w:tcPr>
            <w:tcW w:w="23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0"/>
              <w:jc w:val="left"/>
              <w:rPr>
                <w:rFonts w:ascii="宋体" w:hAnsi="宋体" w:cs="宋体" w:eastAsia="宋体" w:hint="default"/>
                <w:sz w:val="18"/>
                <w:szCs w:val="18"/>
              </w:rPr>
            </w:pPr>
            <w:r>
              <w:rPr>
                <w:rFonts w:ascii="宋体" w:hAnsi="宋体" w:cs="宋体" w:eastAsia="宋体" w:hint="default"/>
                <w:sz w:val="18"/>
                <w:szCs w:val="18"/>
              </w:rPr>
              <w:t>归属于上市公司股东的净资 </w:t>
            </w:r>
            <w:r>
              <w:rPr>
                <w:rFonts w:ascii="宋体" w:hAnsi="宋体" w:cs="宋体" w:eastAsia="宋体" w:hint="default"/>
                <w:spacing w:val="-3"/>
                <w:sz w:val="18"/>
                <w:szCs w:val="18"/>
              </w:rPr>
              <w:t>产（归属于上市公司股东的所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有者权益）（元）</w:t>
            </w:r>
          </w:p>
        </w:tc>
        <w:tc>
          <w:tcPr>
            <w:tcW w:w="12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542,792,034.85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525,217,384.13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521,520,776.63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453,709,275.94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453,709,275.94</w:t>
            </w:r>
          </w:p>
        </w:tc>
      </w:tr>
    </w:tbl>
    <w:p>
      <w:pPr>
        <w:spacing w:line="240" w:lineRule="auto" w:before="2"/>
        <w:rPr>
          <w:rFonts w:ascii="宋体" w:hAnsi="宋体" w:cs="宋体" w:eastAsia="宋体" w:hint="default"/>
          <w:sz w:val="18"/>
          <w:szCs w:val="18"/>
        </w:rPr>
      </w:pPr>
    </w:p>
    <w:p>
      <w:pPr>
        <w:spacing w:line="506" w:lineRule="auto" w:before="26"/>
        <w:ind w:left="154" w:right="1851" w:firstLine="0"/>
        <w:jc w:val="left"/>
        <w:rPr>
          <w:rFonts w:ascii="宋体" w:hAnsi="宋体" w:cs="宋体" w:eastAsia="宋体" w:hint="default"/>
          <w:sz w:val="18"/>
          <w:szCs w:val="18"/>
        </w:rPr>
      </w:pPr>
      <w:r>
        <w:rPr>
          <w:rFonts w:ascii="宋体" w:hAnsi="宋体" w:cs="宋体" w:eastAsia="宋体" w:hint="default"/>
          <w:b/>
          <w:bCs/>
          <w:sz w:val="24"/>
          <w:szCs w:val="24"/>
        </w:rPr>
        <w:t>二、境内外会计准则下会计数据差异</w:t>
      </w:r>
      <w:r>
        <w:rPr>
          <w:rFonts w:ascii="宋体" w:hAnsi="宋体" w:cs="宋体" w:eastAsia="宋体" w:hint="default"/>
          <w:b/>
          <w:bCs/>
          <w:w w:val="99"/>
          <w:sz w:val="24"/>
          <w:szCs w:val="24"/>
        </w:rPr>
        <w:t> </w:t>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、同时按照国际会计准则与按中国会计准则披露的财务报告中净利润和净资产差异情况 </w:t>
      </w:r>
      <w:r>
        <w:rPr>
          <w:rFonts w:ascii="宋体" w:hAnsi="宋体" w:cs="宋体" w:eastAsia="宋体" w:hint="default"/>
          <w:b/>
          <w:bCs/>
          <w:spacing w:val="82"/>
          <w:w w:val="95"/>
          <w:sz w:val="21"/>
          <w:szCs w:val="21"/>
        </w:rPr>
        <w:t> </w:t>
      </w:r>
      <w:r>
        <w:rPr>
          <w:rFonts w:ascii="宋体" w:hAnsi="宋体" w:cs="宋体" w:eastAsia="宋体" w:hint="default"/>
          <w:b/>
          <w:bCs/>
          <w:spacing w:val="82"/>
          <w:w w:val="95"/>
          <w:sz w:val="21"/>
          <w:szCs w:val="21"/>
        </w:rPr>
      </w:r>
      <w:r>
        <w:rPr>
          <w:rFonts w:ascii="宋体" w:hAnsi="宋体" w:cs="宋体" w:eastAsia="宋体" w:hint="default"/>
          <w:sz w:val="18"/>
          <w:szCs w:val="18"/>
        </w:rPr>
        <w:t>不适用</w:t>
      </w:r>
    </w:p>
    <w:p>
      <w:pPr>
        <w:pStyle w:val="Heading3"/>
        <w:spacing w:line="240" w:lineRule="auto" w:before="151"/>
        <w:ind w:right="149"/>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9"/>
        <w:jc w:val="left"/>
      </w:pP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149"/>
        <w:jc w:val="left"/>
        <w:rPr>
          <w:b w:val="0"/>
          <w:bCs w:val="0"/>
        </w:rPr>
      </w:pP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9"/>
        <w:jc w:val="left"/>
      </w:pPr>
      <w:r>
        <w:rPr/>
        <w:t>不适用</w:t>
      </w:r>
    </w:p>
    <w:p>
      <w:pPr>
        <w:spacing w:line="240" w:lineRule="auto" w:before="13"/>
        <w:rPr>
          <w:rFonts w:ascii="宋体" w:hAnsi="宋体" w:cs="宋体" w:eastAsia="宋体" w:hint="default"/>
          <w:sz w:val="24"/>
          <w:szCs w:val="24"/>
        </w:rPr>
      </w:pPr>
    </w:p>
    <w:p>
      <w:pPr>
        <w:pStyle w:val="Heading2"/>
        <w:spacing w:line="240" w:lineRule="auto"/>
        <w:ind w:right="149"/>
        <w:jc w:val="left"/>
        <w:rPr>
          <w:b w:val="0"/>
          <w:bCs w:val="0"/>
        </w:rPr>
      </w:pPr>
      <w:r>
        <w:rPr/>
        <w:t>三、非经常性损益项目及金额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1"/>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10,722.65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-27,449.52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303,832.76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10,121,035.17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6,009,541.19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2,346,072.62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1,528,542.93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-91,592.45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-12,446.03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1,749,045.11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883,574.88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447,520.80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9,911,255.64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5,006,924.34</w:t>
            </w:r>
          </w:p>
        </w:tc>
        <w:tc>
          <w:tcPr>
            <w:tcW w:w="1522"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2,189,938.55</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right="138" w:hanging="1"/>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627"/>
        <w:jc w:val="center"/>
        <w:rPr>
          <w:b w:val="0"/>
          <w:bCs w:val="0"/>
        </w:rPr>
      </w:pPr>
      <w:bookmarkStart w:name="_bookmark3" w:id="4"/>
      <w:bookmarkEnd w:id="4"/>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90" w:firstLine="360"/>
        <w:jc w:val="left"/>
      </w:pPr>
      <w:r>
        <w:rPr>
          <w:rFonts w:ascii="Times New Roman" w:hAnsi="Times New Roman" w:cs="Times New Roman" w:eastAsia="Times New Roman" w:hint="default"/>
        </w:rPr>
        <w:t>2012</w:t>
      </w:r>
      <w:r>
        <w:rPr/>
        <w:t>年是公司经营比较困难的一年，一方面受到公司主要商业银行客户清理库存的影响，对传统支付产品的需求下降， </w:t>
      </w:r>
      <w:r>
        <w:rPr>
          <w:spacing w:val="-2"/>
        </w:rPr>
        <w:t>另一方面公司新产品的推广尚未取得大规模销售，盈利还未能及时体现，而但为新产品的研发、推广等支出较大，在多重因</w:t>
      </w:r>
      <w:r>
        <w:rPr>
          <w:spacing w:val="-66"/>
        </w:rPr>
        <w:t> </w:t>
      </w:r>
      <w:r>
        <w:rPr>
          <w:spacing w:val="-66"/>
        </w:rPr>
      </w:r>
      <w:r>
        <w:rPr/>
        <w:t>素影响下，公司利润指标大幅度下降。</w:t>
      </w:r>
    </w:p>
    <w:p>
      <w:pPr>
        <w:pStyle w:val="BodyText"/>
        <w:spacing w:line="300" w:lineRule="auto" w:before="24"/>
        <w:ind w:left="153" w:right="90" w:firstLine="360"/>
        <w:jc w:val="left"/>
      </w:pPr>
      <w:r>
        <w:rPr>
          <w:spacing w:val="-1"/>
        </w:rPr>
        <w:t>报告期内，公司实现营业收入</w:t>
      </w:r>
      <w:r>
        <w:rPr>
          <w:rFonts w:ascii="Times New Roman" w:hAnsi="Times New Roman" w:cs="Times New Roman" w:eastAsia="Times New Roman" w:hint="default"/>
          <w:spacing w:val="-1"/>
        </w:rPr>
        <w:t>58,487.55</w:t>
      </w:r>
      <w:r>
        <w:rPr>
          <w:spacing w:val="-1"/>
        </w:rPr>
        <w:t>万元，同比下降</w:t>
      </w:r>
      <w:r>
        <w:rPr>
          <w:rFonts w:ascii="Times New Roman" w:hAnsi="Times New Roman" w:cs="Times New Roman" w:eastAsia="Times New Roman" w:hint="default"/>
          <w:spacing w:val="-1"/>
        </w:rPr>
        <w:t>13.67%</w:t>
      </w:r>
      <w:r>
        <w:rPr>
          <w:spacing w:val="-1"/>
        </w:rPr>
        <w:t>，实现利润总额</w:t>
      </w:r>
      <w:r>
        <w:rPr>
          <w:rFonts w:ascii="Times New Roman" w:hAnsi="Times New Roman" w:cs="Times New Roman" w:eastAsia="Times New Roman" w:hint="default"/>
          <w:spacing w:val="-1"/>
        </w:rPr>
        <w:t>4,813.22</w:t>
      </w:r>
      <w:r>
        <w:rPr>
          <w:spacing w:val="-1"/>
        </w:rPr>
        <w:t>万元，同比下降</w:t>
      </w:r>
      <w:r>
        <w:rPr>
          <w:rFonts w:ascii="Times New Roman" w:hAnsi="Times New Roman" w:cs="Times New Roman" w:eastAsia="Times New Roman" w:hint="default"/>
          <w:spacing w:val="-1"/>
        </w:rPr>
        <w:t>40.93%</w:t>
      </w:r>
      <w:r>
        <w:rPr>
          <w:spacing w:val="-1"/>
        </w:rPr>
        <w:t>，实现净</w:t>
      </w:r>
      <w:r>
        <w:rPr/>
        <w:t> 利润</w:t>
      </w:r>
      <w:r>
        <w:rPr>
          <w:rFonts w:ascii="Times New Roman" w:hAnsi="Times New Roman" w:cs="Times New Roman" w:eastAsia="Times New Roman" w:hint="default"/>
        </w:rPr>
        <w:t>4,225.45</w:t>
      </w:r>
      <w:r>
        <w:rPr/>
        <w:t>万元，同比下降</w:t>
      </w:r>
      <w:r>
        <w:rPr>
          <w:rFonts w:ascii="Times New Roman" w:hAnsi="Times New Roman" w:cs="Times New Roman" w:eastAsia="Times New Roman" w:hint="default"/>
        </w:rPr>
        <w:t>39.16%</w:t>
      </w:r>
      <w:r>
        <w:rPr/>
        <w:t>。</w:t>
      </w:r>
    </w:p>
    <w:p>
      <w:pPr>
        <w:pStyle w:val="BodyText"/>
        <w:spacing w:line="300" w:lineRule="auto" w:before="13"/>
        <w:ind w:left="514" w:right="90"/>
        <w:jc w:val="left"/>
      </w:pPr>
      <w:r>
        <w:rPr/>
        <w:t>（</w:t>
      </w:r>
      <w:r>
        <w:rPr>
          <w:rFonts w:ascii="Times New Roman" w:hAnsi="Times New Roman" w:cs="Times New Roman" w:eastAsia="Times New Roman" w:hint="default"/>
        </w:rPr>
        <w:t>1</w:t>
      </w:r>
      <w:r>
        <w:rPr/>
        <w:t>）市场拓展 </w:t>
      </w:r>
      <w:r>
        <w:rPr>
          <w:spacing w:val="-2"/>
        </w:rPr>
        <w:t>报告期内，在加密键盘业务领域，公司进一步巩固了传统日本、韩国、俄罗斯市场的客户，同时新开发了美国、国内通</w:t>
      </w:r>
    </w:p>
    <w:p>
      <w:pPr>
        <w:pStyle w:val="BodyText"/>
        <w:spacing w:line="316" w:lineRule="auto" w:before="31"/>
        <w:ind w:left="514" w:right="90" w:hanging="360"/>
        <w:jc w:val="left"/>
      </w:pPr>
      <w:r>
        <w:rPr/>
        <w:t>讯行业自助终端等客户，加密键盘业务增长稳定。 </w:t>
      </w:r>
      <w:r>
        <w:rPr>
          <w:spacing w:val="-2"/>
        </w:rPr>
        <w:t>报告期内，在自助服务终端业务领域，国内市场公司在巩固传统银行自助服务终端市场的基础上，银医产品销售取得突</w:t>
      </w:r>
    </w:p>
    <w:p>
      <w:pPr>
        <w:pStyle w:val="BodyText"/>
        <w:spacing w:line="316" w:lineRule="auto" w:before="18"/>
        <w:ind w:left="514" w:right="108" w:hanging="360"/>
        <w:jc w:val="left"/>
        <w:rPr>
          <w:rFonts w:ascii="Times New Roman" w:hAnsi="Times New Roman" w:cs="Times New Roman" w:eastAsia="Times New Roman" w:hint="default"/>
        </w:rPr>
      </w:pPr>
      <w:r>
        <w:rPr/>
        <w:t>出进展，在市场竞争中取得了优势市场地位，自助发卡机也取得了一定的市场份额，同时在海外新开拓了中东等地区客户。 </w:t>
      </w:r>
      <w:r>
        <w:rPr>
          <w:spacing w:val="-6"/>
        </w:rPr>
        <w:t>报告期内，在支付终端产品领域，公司新型</w:t>
      </w:r>
      <w:r>
        <w:rPr>
          <w:rFonts w:ascii="Times New Roman" w:hAnsi="Times New Roman" w:cs="Times New Roman" w:eastAsia="Times New Roman" w:hint="default"/>
          <w:spacing w:val="-6"/>
        </w:rPr>
        <w:t>IC</w:t>
      </w:r>
      <w:r>
        <w:rPr>
          <w:spacing w:val="-6"/>
        </w:rPr>
        <w:t>卡</w:t>
      </w:r>
      <w:r>
        <w:rPr>
          <w:rFonts w:ascii="Times New Roman" w:hAnsi="Times New Roman" w:cs="Times New Roman" w:eastAsia="Times New Roman" w:hint="default"/>
          <w:spacing w:val="-6"/>
        </w:rPr>
        <w:t>POS</w:t>
      </w:r>
      <w:r>
        <w:rPr>
          <w:spacing w:val="-6"/>
        </w:rPr>
        <w:t>、手机</w:t>
      </w:r>
      <w:r>
        <w:rPr>
          <w:rFonts w:ascii="Times New Roman" w:hAnsi="Times New Roman" w:cs="Times New Roman" w:eastAsia="Times New Roman" w:hint="default"/>
          <w:spacing w:val="-6"/>
        </w:rPr>
        <w:t>POS</w:t>
      </w:r>
      <w:r>
        <w:rPr>
          <w:spacing w:val="-6"/>
        </w:rPr>
        <w:t>、智能</w:t>
      </w:r>
      <w:r>
        <w:rPr>
          <w:rFonts w:ascii="Times New Roman" w:hAnsi="Times New Roman" w:cs="Times New Roman" w:eastAsia="Times New Roman" w:hint="default"/>
          <w:spacing w:val="-6"/>
        </w:rPr>
        <w:t>POS</w:t>
      </w:r>
      <w:r>
        <w:rPr>
          <w:spacing w:val="-6"/>
        </w:rPr>
        <w:t>等产品尚未实现规模销售，同时传统电话</w:t>
      </w:r>
      <w:r>
        <w:rPr>
          <w:rFonts w:ascii="Times New Roman" w:hAnsi="Times New Roman" w:cs="Times New Roman" w:eastAsia="Times New Roman" w:hint="default"/>
          <w:spacing w:val="-6"/>
        </w:rPr>
        <w:t>E-POS</w:t>
      </w:r>
    </w:p>
    <w:p>
      <w:pPr>
        <w:pStyle w:val="BodyText"/>
        <w:spacing w:line="300" w:lineRule="auto"/>
        <w:ind w:left="514" w:right="189" w:hanging="361"/>
        <w:jc w:val="left"/>
      </w:pPr>
      <w:r>
        <w:rPr/>
        <w:t>产品由于受到公司主要商业银行客户清理库存的影响，以及市场竞争加剧和</w:t>
      </w:r>
      <w:r>
        <w:rPr>
          <w:rFonts w:ascii="Times New Roman" w:hAnsi="Times New Roman" w:cs="Times New Roman" w:eastAsia="Times New Roman" w:hint="default"/>
        </w:rPr>
        <w:t>POS</w:t>
      </w:r>
      <w:r>
        <w:rPr/>
        <w:t>产品价格下调的冲击，销售量显著下降。 报告期内，公司在贵州、安徽、广东等地开展</w:t>
      </w:r>
      <w:r>
        <w:rPr>
          <w:rFonts w:ascii="Times New Roman" w:hAnsi="Times New Roman" w:cs="Times New Roman" w:eastAsia="Times New Roman" w:hint="default"/>
        </w:rPr>
        <w:t>E-POS</w:t>
      </w:r>
      <w:r>
        <w:rPr/>
        <w:t>委托外包业务，尝试丰富公司的业务模式。 </w:t>
      </w:r>
      <w:r>
        <w:rPr>
          <w:spacing w:val="-2"/>
        </w:rPr>
        <w:t>报告期内，在</w:t>
      </w:r>
      <w:r>
        <w:rPr>
          <w:rFonts w:ascii="Times New Roman" w:hAnsi="Times New Roman" w:cs="Times New Roman" w:eastAsia="Times New Roman" w:hint="default"/>
          <w:spacing w:val="-2"/>
        </w:rPr>
        <w:t>LED</w:t>
      </w:r>
      <w:r>
        <w:rPr>
          <w:spacing w:val="-2"/>
        </w:rPr>
        <w:t>路灯照明产品领域，公司积极探索</w:t>
      </w:r>
      <w:r>
        <w:rPr>
          <w:rFonts w:ascii="Times New Roman" w:hAnsi="Times New Roman" w:cs="Times New Roman" w:eastAsia="Times New Roman" w:hint="default"/>
          <w:spacing w:val="-2"/>
        </w:rPr>
        <w:t>LED</w:t>
      </w:r>
      <w:r>
        <w:rPr>
          <w:spacing w:val="-2"/>
        </w:rPr>
        <w:t>路灯照明产品的推广应用方式，在节能照明领域成功地开拓了</w:t>
      </w:r>
    </w:p>
    <w:p>
      <w:pPr>
        <w:pStyle w:val="BodyText"/>
        <w:spacing w:line="240" w:lineRule="auto" w:before="13"/>
        <w:ind w:right="90"/>
        <w:jc w:val="left"/>
      </w:pPr>
      <w:r>
        <w:rPr/>
        <w:t>合同能源管理业务模式。</w:t>
      </w:r>
    </w:p>
    <w:p>
      <w:pPr>
        <w:pStyle w:val="BodyText"/>
        <w:spacing w:line="300" w:lineRule="auto" w:before="76"/>
        <w:ind w:left="514" w:right="90"/>
        <w:jc w:val="left"/>
      </w:pPr>
      <w:r>
        <w:rPr/>
        <w:t>（</w:t>
      </w:r>
      <w:r>
        <w:rPr>
          <w:rFonts w:ascii="Times New Roman" w:hAnsi="Times New Roman" w:cs="Times New Roman" w:eastAsia="Times New Roman" w:hint="default"/>
        </w:rPr>
        <w:t>2</w:t>
      </w:r>
      <w:r>
        <w:rPr/>
        <w:t>）技术开发 </w:t>
      </w:r>
      <w:r>
        <w:rPr>
          <w:spacing w:val="-2"/>
        </w:rPr>
        <w:t>报告期内，公司以掌握金融电子支付设备行业的相关安全、行业标准和建立快速产品化能力为目标，加大研发投入，在</w:t>
      </w:r>
    </w:p>
    <w:p>
      <w:pPr>
        <w:pStyle w:val="BodyText"/>
        <w:spacing w:line="300" w:lineRule="auto" w:before="31"/>
        <w:ind w:right="94"/>
        <w:jc w:val="left"/>
      </w:pPr>
      <w:r>
        <w:rPr/>
        <w:t>加密键盘领域加强对加密产品核心模组、安全芯片的基础技术研究，公司加密键盘安全芯片设计方案已通过</w:t>
      </w:r>
      <w:r>
        <w:rPr>
          <w:rFonts w:ascii="Times New Roman" w:hAnsi="Times New Roman" w:cs="Times New Roman" w:eastAsia="Times New Roman" w:hint="default"/>
        </w:rPr>
        <w:t>PCI 3.0</w:t>
      </w:r>
      <w:r>
        <w:rPr/>
        <w:t>设计评</w:t>
      </w:r>
      <w:r>
        <w:rPr>
          <w:spacing w:val="-59"/>
        </w:rPr>
        <w:t> </w:t>
      </w:r>
      <w:r>
        <w:rPr>
          <w:spacing w:val="-5"/>
        </w:rPr>
        <w:t>估，并于</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3</w:t>
      </w:r>
      <w:r>
        <w:rPr>
          <w:spacing w:val="-5"/>
        </w:rPr>
        <w:t>月顺利流片成功；在支付设备领域，公司结合</w:t>
      </w:r>
      <w:r>
        <w:rPr>
          <w:rFonts w:ascii="Times New Roman" w:hAnsi="Times New Roman" w:cs="Times New Roman" w:eastAsia="Times New Roman" w:hint="default"/>
          <w:spacing w:val="-5"/>
        </w:rPr>
        <w:t>PCI</w:t>
      </w:r>
      <w:r>
        <w:rPr>
          <w:spacing w:val="-5"/>
        </w:rPr>
        <w:t>技术与金融</w:t>
      </w:r>
      <w:r>
        <w:rPr>
          <w:rFonts w:ascii="Times New Roman" w:hAnsi="Times New Roman" w:cs="Times New Roman" w:eastAsia="Times New Roman" w:hint="default"/>
          <w:spacing w:val="-5"/>
        </w:rPr>
        <w:t>IC</w:t>
      </w:r>
      <w:r>
        <w:rPr>
          <w:spacing w:val="-5"/>
        </w:rPr>
        <w:t>卡技术，开发了多款包括移动</w:t>
      </w:r>
      <w:r>
        <w:rPr>
          <w:rFonts w:ascii="Times New Roman" w:hAnsi="Times New Roman" w:cs="Times New Roman" w:eastAsia="Times New Roman" w:hint="default"/>
          <w:spacing w:val="-5"/>
        </w:rPr>
        <w:t>POS</w:t>
      </w:r>
      <w:r>
        <w:rPr>
          <w:spacing w:val="-5"/>
        </w:rPr>
        <w:t>、网络</w:t>
      </w:r>
      <w:r>
        <w:rPr>
          <w:rFonts w:ascii="Times New Roman" w:hAnsi="Times New Roman" w:cs="Times New Roman" w:eastAsia="Times New Roman" w:hint="default"/>
          <w:spacing w:val="-5"/>
        </w:rPr>
        <w:t>POS</w:t>
      </w:r>
      <w:r>
        <w:rPr>
          <w:spacing w:val="-5"/>
        </w:rPr>
        <w:t>、</w:t>
      </w:r>
      <w:r>
        <w:rPr>
          <w:spacing w:val="-83"/>
        </w:rPr>
        <w:t> </w:t>
      </w:r>
      <w:r>
        <w:rPr/>
        <w:t>金融</w:t>
      </w:r>
      <w:r>
        <w:rPr>
          <w:rFonts w:ascii="Times New Roman" w:hAnsi="Times New Roman" w:cs="Times New Roman" w:eastAsia="Times New Roman" w:hint="default"/>
        </w:rPr>
        <w:t>IC</w:t>
      </w:r>
      <w:r>
        <w:rPr/>
        <w:t>卡</w:t>
      </w:r>
      <w:r>
        <w:rPr>
          <w:rFonts w:ascii="Times New Roman" w:hAnsi="Times New Roman" w:cs="Times New Roman" w:eastAsia="Times New Roman" w:hint="default"/>
        </w:rPr>
        <w:t>POS</w:t>
      </w:r>
      <w:r>
        <w:rPr/>
        <w:t>、手机</w:t>
      </w:r>
      <w:r>
        <w:rPr>
          <w:rFonts w:ascii="Times New Roman" w:hAnsi="Times New Roman" w:cs="Times New Roman" w:eastAsia="Times New Roman" w:hint="default"/>
        </w:rPr>
        <w:t>POS</w:t>
      </w:r>
      <w:r>
        <w:rPr/>
        <w:t>、智能数据</w:t>
      </w:r>
      <w:r>
        <w:rPr>
          <w:rFonts w:ascii="Times New Roman" w:hAnsi="Times New Roman" w:cs="Times New Roman" w:eastAsia="Times New Roman" w:hint="default"/>
        </w:rPr>
        <w:t>POS</w:t>
      </w:r>
      <w:r>
        <w:rPr/>
        <w:t>产品，为公司今后发展提供技术和产品支撑。</w:t>
      </w:r>
    </w:p>
    <w:p>
      <w:pPr>
        <w:pStyle w:val="BodyText"/>
        <w:spacing w:line="302" w:lineRule="auto" w:before="13"/>
        <w:ind w:left="514" w:right="92"/>
        <w:jc w:val="left"/>
      </w:pPr>
      <w:r>
        <w:rPr/>
        <w:t>（</w:t>
      </w:r>
      <w:r>
        <w:rPr>
          <w:rFonts w:ascii="Times New Roman" w:hAnsi="Times New Roman" w:cs="Times New Roman" w:eastAsia="Times New Roman" w:hint="default"/>
        </w:rPr>
        <w:t>3</w:t>
      </w:r>
      <w:r>
        <w:rPr/>
        <w:t>）内部管理 </w:t>
      </w:r>
      <w:r>
        <w:rPr>
          <w:spacing w:val="-3"/>
        </w:rPr>
        <w:t>报告期内，公司持续推进</w:t>
      </w:r>
      <w:r>
        <w:rPr>
          <w:rFonts w:ascii="Times New Roman" w:hAnsi="Times New Roman" w:cs="Times New Roman" w:eastAsia="Times New Roman" w:hint="default"/>
          <w:spacing w:val="-3"/>
        </w:rPr>
        <w:t>“</w:t>
      </w:r>
      <w:r>
        <w:rPr>
          <w:spacing w:val="-3"/>
        </w:rPr>
        <w:t>降低成本</w:t>
      </w:r>
      <w:r>
        <w:rPr>
          <w:rFonts w:ascii="Times New Roman" w:hAnsi="Times New Roman" w:cs="Times New Roman" w:eastAsia="Times New Roman" w:hint="default"/>
          <w:spacing w:val="-3"/>
        </w:rPr>
        <w:t>”</w:t>
      </w:r>
      <w:r>
        <w:rPr>
          <w:spacing w:val="-3"/>
        </w:rPr>
        <w:t>工作，进一步加强供应商管理工作，通过招投标、价值分析等工作，降低采购成本；</w:t>
      </w:r>
    </w:p>
    <w:p>
      <w:pPr>
        <w:pStyle w:val="BodyText"/>
        <w:spacing w:line="316" w:lineRule="auto" w:before="11"/>
        <w:ind w:left="514" w:right="177" w:hanging="360"/>
        <w:jc w:val="left"/>
      </w:pPr>
      <w:r>
        <w:rPr/>
        <w:t>通过管理改革和流程优化，进一步提高了生产的计划、设计、物料的快速反应能力，缩短产品交付周期。 报告期内，公司积极推进企业信息化管理，启动并上线运行了用友</w:t>
      </w:r>
      <w:r>
        <w:rPr>
          <w:rFonts w:ascii="Times New Roman" w:hAnsi="Times New Roman" w:cs="Times New Roman" w:eastAsia="Times New Roman" w:hint="default"/>
        </w:rPr>
        <w:t>ERP-U9</w:t>
      </w:r>
      <w:r>
        <w:rPr/>
        <w:t>和</w:t>
      </w:r>
      <w:r>
        <w:rPr>
          <w:rFonts w:ascii="Times New Roman" w:hAnsi="Times New Roman" w:cs="Times New Roman" w:eastAsia="Times New Roman" w:hint="default"/>
        </w:rPr>
        <w:t>CRM</w:t>
      </w:r>
      <w:r>
        <w:rPr/>
        <w:t>系统，实现财务系统与销售、供应、</w:t>
      </w:r>
    </w:p>
    <w:p>
      <w:pPr>
        <w:pStyle w:val="BodyText"/>
        <w:spacing w:line="235" w:lineRule="exact"/>
        <w:ind w:right="90"/>
        <w:jc w:val="left"/>
      </w:pPr>
      <w:r>
        <w:rPr/>
        <w:t>生产等系统的数据共享，管理统一，提高了公司管理能力。</w:t>
      </w:r>
    </w:p>
    <w:p>
      <w:pPr>
        <w:spacing w:line="240" w:lineRule="auto" w:before="2"/>
        <w:rPr>
          <w:rFonts w:ascii="宋体" w:hAnsi="宋体" w:cs="宋体" w:eastAsia="宋体" w:hint="default"/>
          <w:sz w:val="25"/>
          <w:szCs w:val="25"/>
        </w:rPr>
      </w:pPr>
    </w:p>
    <w:p>
      <w:pPr>
        <w:pStyle w:val="Heading2"/>
        <w:spacing w:line="240" w:lineRule="auto"/>
        <w:ind w:right="90"/>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90"/>
        <w:jc w:val="right"/>
      </w:pPr>
      <w:r>
        <w:rPr/>
        <w:t>单位：万元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231"/>
        <w:gridCol w:w="1426"/>
        <w:gridCol w:w="1427"/>
        <w:gridCol w:w="2574"/>
      </w:tblGrid>
      <w:tr>
        <w:trPr>
          <w:trHeight w:val="348" w:hRule="exact"/>
        </w:trPr>
        <w:tc>
          <w:tcPr>
            <w:tcW w:w="423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42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257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64"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6" w:hRule="exact"/>
        </w:trPr>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58,487.55</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67,748.07</w:t>
            </w:r>
          </w:p>
        </w:tc>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-13.67%</w:t>
            </w:r>
          </w:p>
        </w:tc>
      </w:tr>
      <w:tr>
        <w:trPr>
          <w:trHeight w:val="427" w:hRule="exact"/>
        </w:trPr>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37,528.96</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44,497.49</w:t>
            </w:r>
          </w:p>
        </w:tc>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-15.66%</w:t>
            </w:r>
          </w:p>
        </w:tc>
      </w:tr>
      <w:tr>
        <w:trPr>
          <w:trHeight w:val="427" w:hRule="exact"/>
        </w:trPr>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7,199.65</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6,544.68</w:t>
            </w:r>
          </w:p>
        </w:tc>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10.01%</w:t>
            </w:r>
          </w:p>
        </w:tc>
      </w:tr>
      <w:tr>
        <w:trPr>
          <w:trHeight w:val="427" w:hRule="exact"/>
        </w:trPr>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6,957.37</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6,039.49</w:t>
            </w:r>
          </w:p>
        </w:tc>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15.20%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231"/>
        <w:gridCol w:w="1426"/>
        <w:gridCol w:w="1427"/>
        <w:gridCol w:w="2574"/>
      </w:tblGrid>
      <w:tr>
        <w:trPr>
          <w:trHeight w:val="427" w:hRule="exact"/>
        </w:trPr>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2,177.50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2,207.97</w:t>
            </w:r>
          </w:p>
        </w:tc>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-1.38%</w:t>
            </w:r>
          </w:p>
        </w:tc>
      </w:tr>
      <w:tr>
        <w:trPr>
          <w:trHeight w:val="427" w:hRule="exact"/>
        </w:trPr>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研发支出</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3,269.47</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88" w:right="0"/>
              <w:jc w:val="left"/>
              <w:rPr>
                <w:rFonts w:ascii="Times New Roman" w:hAnsi="Times New Roman" w:cs="Times New Roman" w:eastAsia="Times New Roman" w:hint="default"/>
                <w:sz w:val="18"/>
                <w:szCs w:val="18"/>
              </w:rPr>
            </w:pPr>
            <w:r>
              <w:rPr>
                <w:rFonts w:ascii="Times New Roman"/>
                <w:sz w:val="18"/>
              </w:rPr>
              <w:t>2,122.24</w:t>
            </w:r>
          </w:p>
        </w:tc>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54.06%</w:t>
            </w:r>
          </w:p>
        </w:tc>
      </w:tr>
      <w:tr>
        <w:trPr>
          <w:trHeight w:val="427" w:hRule="exact"/>
        </w:trPr>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3,280.82</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3,246.41</w:t>
            </w:r>
          </w:p>
        </w:tc>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1.06%</w:t>
            </w:r>
          </w:p>
        </w:tc>
      </w:tr>
    </w:tbl>
    <w:p>
      <w:pPr>
        <w:pStyle w:val="BodyText"/>
        <w:spacing w:line="300" w:lineRule="auto" w:before="10"/>
        <w:ind w:left="153" w:right="188" w:firstLine="360"/>
        <w:jc w:val="left"/>
      </w:pPr>
      <w:r>
        <w:rPr>
          <w:rFonts w:ascii="Times New Roman" w:hAnsi="Times New Roman" w:cs="Times New Roman" w:eastAsia="Times New Roman" w:hint="default"/>
        </w:rPr>
        <w:t>(1)</w:t>
      </w:r>
      <w:r>
        <w:rPr/>
        <w:t>报告期内公司营业收入较</w:t>
      </w:r>
      <w:r>
        <w:rPr>
          <w:rFonts w:ascii="Times New Roman" w:hAnsi="Times New Roman" w:cs="Times New Roman" w:eastAsia="Times New Roman" w:hint="default"/>
        </w:rPr>
        <w:t>2011</w:t>
      </w:r>
      <w:r>
        <w:rPr/>
        <w:t>年同期下降</w:t>
      </w:r>
      <w:r>
        <w:rPr>
          <w:rFonts w:ascii="Times New Roman" w:hAnsi="Times New Roman" w:cs="Times New Roman" w:eastAsia="Times New Roman" w:hint="default"/>
        </w:rPr>
        <w:t>13.67%</w:t>
      </w:r>
      <w:r>
        <w:rPr/>
        <w:t>，主要原因是公司主要商业银行客户清理库存的影响，对传统支付 产品的需求下降，公司电话</w:t>
      </w:r>
      <w:r>
        <w:rPr>
          <w:rFonts w:ascii="Times New Roman" w:hAnsi="Times New Roman" w:cs="Times New Roman" w:eastAsia="Times New Roman" w:hint="default"/>
        </w:rPr>
        <w:t>E-POS</w:t>
      </w:r>
      <w:r>
        <w:rPr/>
        <w:t>在农行体系的销售量下降；公司主动减少了</w:t>
      </w:r>
      <w:r>
        <w:rPr>
          <w:rFonts w:ascii="Times New Roman" w:hAnsi="Times New Roman" w:cs="Times New Roman" w:eastAsia="Times New Roman" w:hint="default"/>
        </w:rPr>
        <w:t>LED</w:t>
      </w:r>
      <w:r>
        <w:rPr/>
        <w:t>业务中的相关贸易业务；</w:t>
      </w:r>
    </w:p>
    <w:p>
      <w:pPr>
        <w:pStyle w:val="BodyText"/>
        <w:spacing w:line="300" w:lineRule="auto" w:before="13"/>
        <w:ind w:left="513" w:right="90"/>
        <w:jc w:val="left"/>
      </w:pPr>
      <w:r>
        <w:rPr>
          <w:rFonts w:ascii="Times New Roman" w:hAnsi="Times New Roman" w:cs="Times New Roman" w:eastAsia="Times New Roman" w:hint="default"/>
        </w:rPr>
        <w:t>(2)</w:t>
      </w:r>
      <w:r>
        <w:rPr/>
        <w:t>报告期内公司营业成本较</w:t>
      </w:r>
      <w:r>
        <w:rPr>
          <w:rFonts w:ascii="Times New Roman" w:hAnsi="Times New Roman" w:cs="Times New Roman" w:eastAsia="Times New Roman" w:hint="default"/>
        </w:rPr>
        <w:t>2011</w:t>
      </w:r>
      <w:r>
        <w:rPr/>
        <w:t>年同期下降</w:t>
      </w:r>
      <w:r>
        <w:rPr>
          <w:rFonts w:ascii="Times New Roman" w:hAnsi="Times New Roman" w:cs="Times New Roman" w:eastAsia="Times New Roman" w:hint="default"/>
        </w:rPr>
        <w:t>15.66%</w:t>
      </w:r>
      <w:r>
        <w:rPr/>
        <w:t>，主要原因是收入下降导致相应成本下降； </w:t>
      </w:r>
      <w:r>
        <w:rPr>
          <w:rFonts w:ascii="Times New Roman" w:hAnsi="Times New Roman" w:cs="Times New Roman" w:eastAsia="Times New Roman" w:hint="default"/>
        </w:rPr>
        <w:t>(3)</w:t>
      </w:r>
      <w:r>
        <w:rPr/>
        <w:t>报告期内公司销售费用较</w:t>
      </w:r>
      <w:r>
        <w:rPr>
          <w:rFonts w:ascii="Times New Roman" w:hAnsi="Times New Roman" w:cs="Times New Roman" w:eastAsia="Times New Roman" w:hint="default"/>
        </w:rPr>
        <w:t>2011</w:t>
      </w:r>
      <w:r>
        <w:rPr/>
        <w:t>年同期增加</w:t>
      </w:r>
      <w:r>
        <w:rPr>
          <w:rFonts w:ascii="Times New Roman" w:hAnsi="Times New Roman" w:cs="Times New Roman" w:eastAsia="Times New Roman" w:hint="default"/>
        </w:rPr>
        <w:t>10.01%</w:t>
      </w:r>
      <w:r>
        <w:rPr/>
        <w:t>，主要原因是随着公司产品的持续销售，公司售后服务人员增加，</w:t>
      </w:r>
    </w:p>
    <w:p>
      <w:pPr>
        <w:pStyle w:val="BodyText"/>
        <w:spacing w:line="240" w:lineRule="auto" w:before="13"/>
        <w:ind w:left="153" w:right="90"/>
        <w:jc w:val="left"/>
      </w:pPr>
      <w:r>
        <w:rPr/>
        <w:t>以及公司为新产品市场推广而发生的人工、差旅费、市场推广费增长；</w:t>
      </w:r>
    </w:p>
    <w:p>
      <w:pPr>
        <w:pStyle w:val="BodyText"/>
        <w:spacing w:line="240" w:lineRule="auto" w:before="76"/>
        <w:ind w:left="513" w:right="90"/>
        <w:jc w:val="left"/>
      </w:pPr>
      <w:r>
        <w:rPr>
          <w:rFonts w:ascii="Times New Roman" w:hAnsi="Times New Roman" w:cs="Times New Roman" w:eastAsia="Times New Roman" w:hint="default"/>
        </w:rPr>
        <w:t>(4)</w:t>
      </w:r>
      <w:r>
        <w:rPr/>
        <w:t>报告期内公司管理费用较</w:t>
      </w:r>
      <w:r>
        <w:rPr>
          <w:rFonts w:ascii="Times New Roman" w:hAnsi="Times New Roman" w:cs="Times New Roman" w:eastAsia="Times New Roman" w:hint="default"/>
        </w:rPr>
        <w:t>2011</w:t>
      </w:r>
      <w:r>
        <w:rPr/>
        <w:t>年同期增加</w:t>
      </w:r>
      <w:r>
        <w:rPr>
          <w:rFonts w:ascii="Times New Roman" w:hAnsi="Times New Roman" w:cs="Times New Roman" w:eastAsia="Times New Roman" w:hint="default"/>
        </w:rPr>
        <w:t>15.20%</w:t>
      </w:r>
      <w:r>
        <w:rPr/>
        <w:t>，主要原因是公司研发人员增加，新产品认证费用支出增加。</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357" w:lineRule="auto"/>
        <w:ind w:left="513" w:right="90" w:hanging="360"/>
        <w:jc w:val="left"/>
      </w:pPr>
      <w:r>
        <w:rPr/>
        <w:t>公司回顾总结前期披露的发展战略和经营计划在报告期内的进展情况 </w:t>
      </w:r>
      <w:r>
        <w:rPr>
          <w:spacing w:val="-2"/>
        </w:rPr>
        <w:t>报告期内公司落实既定的发展战略，实施了2011年度报告中的经营计划，根据年初制定的2012年经营目标积极开展各项</w:t>
      </w:r>
    </w:p>
    <w:p>
      <w:pPr>
        <w:pStyle w:val="BodyText"/>
        <w:spacing w:line="224" w:lineRule="exact"/>
        <w:ind w:left="153" w:right="0"/>
        <w:jc w:val="left"/>
      </w:pPr>
      <w:r>
        <w:rPr/>
        <w:t>工作。报告期内公司在销售和市场拓展方面，进一步推行销售平台的扁平化管理，积极探索和完善产品销售或运营模式；在</w:t>
      </w:r>
    </w:p>
    <w:p>
      <w:pPr>
        <w:pStyle w:val="BodyText"/>
        <w:spacing w:line="316" w:lineRule="auto" w:before="76"/>
        <w:ind w:left="153" w:right="90"/>
        <w:jc w:val="left"/>
      </w:pPr>
      <w:r>
        <w:rPr>
          <w:spacing w:val="-4"/>
        </w:rPr>
        <w:t>技术研发方面，加大研发投入和新产品研究力度；在生产制造方面，从提高生产效率和缩短交货周期两个角度降低制造成本；</w:t>
      </w:r>
      <w:r>
        <w:rPr>
          <w:spacing w:val="-44"/>
        </w:rPr>
        <w:t> </w:t>
      </w:r>
      <w:r>
        <w:rPr>
          <w:spacing w:val="-44"/>
        </w:rPr>
      </w:r>
      <w:r>
        <w:rPr>
          <w:spacing w:val="-2"/>
        </w:rPr>
        <w:t>在管理方面，深化信息化管理工作，完成CRM、ERPU9的系统上线工作，进一步深化公司内控建设，加强规范管理，报告期内</w:t>
      </w:r>
      <w:r>
        <w:rPr>
          <w:spacing w:val="-60"/>
        </w:rPr>
        <w:t> </w:t>
      </w:r>
      <w:r>
        <w:rPr>
          <w:spacing w:val="-60"/>
        </w:rPr>
      </w:r>
      <w:r>
        <w:rPr/>
        <w:t>公司通过大华会计师事务所和立信会计师事务所的内控审计。</w:t>
      </w:r>
    </w:p>
    <w:p>
      <w:pPr>
        <w:pStyle w:val="BodyText"/>
        <w:spacing w:line="316" w:lineRule="auto" w:before="18"/>
        <w:ind w:left="153" w:right="90" w:firstLine="360"/>
        <w:jc w:val="left"/>
      </w:pPr>
      <w:r>
        <w:rPr>
          <w:spacing w:val="-2"/>
        </w:rPr>
        <w:t>从经营成果上看，公司2012年经营成果未达到年初制定的经营目标，主要原因是一方面公司传统E-POS产品的销售下滑，</w:t>
      </w:r>
      <w:r>
        <w:rPr/>
        <w:t> </w:t>
      </w:r>
      <w:r>
        <w:rPr>
          <w:spacing w:val="-2"/>
        </w:rPr>
        <w:t>另一方面公司尚在探索新产品的销售如何形成与相关参与方之间共赢的商业盈利模式，新产品推广尚未取得规模销售，但为</w:t>
      </w:r>
      <w:r>
        <w:rPr>
          <w:spacing w:val="-64"/>
        </w:rPr>
        <w:t> </w:t>
      </w:r>
      <w:r>
        <w:rPr>
          <w:spacing w:val="-64"/>
        </w:rPr>
      </w:r>
      <w:r>
        <w:rPr/>
        <w:t>新产品的研发、推广等支出较大，公司经营指标下降较大。</w:t>
      </w:r>
    </w:p>
    <w:p>
      <w:pPr>
        <w:spacing w:line="240" w:lineRule="auto" w:before="0"/>
        <w:rPr>
          <w:rFonts w:ascii="宋体" w:hAnsi="宋体" w:cs="宋体" w:eastAsia="宋体" w:hint="default"/>
          <w:sz w:val="18"/>
          <w:szCs w:val="18"/>
        </w:rPr>
      </w:pPr>
    </w:p>
    <w:p>
      <w:pPr>
        <w:pStyle w:val="BodyText"/>
        <w:spacing w:line="240" w:lineRule="auto" w:before="136"/>
        <w:ind w:left="153" w:right="90"/>
        <w:jc w:val="left"/>
      </w:pPr>
      <w:r>
        <w:rPr/>
        <w:t>公司实际经营业绩较曾公开披露过的本年度盈利预测低于或高于</w:t>
      </w:r>
      <w:r>
        <w:rPr>
          <w:spacing w:val="-46"/>
        </w:rPr>
        <w:t> </w:t>
      </w:r>
      <w:r>
        <w:rPr>
          <w:rFonts w:ascii="Times New Roman" w:hAnsi="Times New Roman" w:cs="Times New Roman" w:eastAsia="Times New Roman" w:hint="default"/>
        </w:rPr>
        <w:t>20%</w:t>
      </w:r>
      <w:r>
        <w:rPr/>
        <w:t>以上的差异原因</w:t>
      </w:r>
    </w:p>
    <w:p>
      <w:pPr>
        <w:pStyle w:val="BodyText"/>
        <w:spacing w:line="240" w:lineRule="auto" w:before="103"/>
        <w:ind w:left="153" w:right="9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90"/>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0"/>
        <w:jc w:val="left"/>
      </w:pPr>
      <w:r>
        <w:rPr/>
        <w:t>说明</w:t>
      </w:r>
    </w:p>
    <w:p>
      <w:pPr>
        <w:pStyle w:val="BodyText"/>
        <w:spacing w:line="300" w:lineRule="auto" w:before="115"/>
        <w:ind w:left="153" w:right="90" w:firstLine="360"/>
        <w:jc w:val="left"/>
      </w:pPr>
      <w:r>
        <w:rPr>
          <w:spacing w:val="-2"/>
        </w:rPr>
        <w:t>公司的主营业务为以金融电子支付设备的研发、生产和销售为核心，并从事</w:t>
      </w:r>
      <w:r>
        <w:rPr>
          <w:rFonts w:ascii="Times New Roman" w:hAnsi="Times New Roman" w:cs="Times New Roman" w:eastAsia="Times New Roman" w:hint="default"/>
          <w:spacing w:val="-2"/>
        </w:rPr>
        <w:t>LED</w:t>
      </w:r>
      <w:r>
        <w:rPr>
          <w:spacing w:val="-2"/>
        </w:rPr>
        <w:t>照明电子的研发、生产和销售及相关贸</w:t>
      </w:r>
      <w:r>
        <w:rPr/>
        <w:t> 易业务。</w:t>
      </w:r>
    </w:p>
    <w:p>
      <w:pPr>
        <w:pStyle w:val="BodyText"/>
        <w:spacing w:line="300" w:lineRule="auto" w:before="31"/>
        <w:ind w:left="153" w:right="189" w:firstLine="360"/>
        <w:jc w:val="both"/>
      </w:pPr>
      <w:r>
        <w:rPr>
          <w:spacing w:val="-1"/>
        </w:rPr>
        <w:t>报告期内，公司总营业收入为</w:t>
      </w:r>
      <w:r>
        <w:rPr>
          <w:rFonts w:ascii="Times New Roman" w:hAnsi="Times New Roman" w:cs="Times New Roman" w:eastAsia="Times New Roman" w:hint="default"/>
          <w:spacing w:val="-1"/>
        </w:rPr>
        <w:t>58,487.55</w:t>
      </w:r>
      <w:r>
        <w:rPr>
          <w:spacing w:val="-1"/>
        </w:rPr>
        <w:t>万元，较</w:t>
      </w:r>
      <w:r>
        <w:rPr>
          <w:rFonts w:ascii="Times New Roman" w:hAnsi="Times New Roman" w:cs="Times New Roman" w:eastAsia="Times New Roman" w:hint="default"/>
          <w:spacing w:val="-1"/>
        </w:rPr>
        <w:t>2011</w:t>
      </w:r>
      <w:r>
        <w:rPr>
          <w:spacing w:val="-1"/>
        </w:rPr>
        <w:t>年同期减少</w:t>
      </w:r>
      <w:r>
        <w:rPr>
          <w:rFonts w:ascii="Times New Roman" w:hAnsi="Times New Roman" w:cs="Times New Roman" w:eastAsia="Times New Roman" w:hint="default"/>
          <w:spacing w:val="-1"/>
        </w:rPr>
        <w:t>13.67%</w:t>
      </w:r>
      <w:r>
        <w:rPr>
          <w:spacing w:val="-1"/>
        </w:rPr>
        <w:t>，主要原因是：（</w:t>
      </w:r>
      <w:r>
        <w:rPr>
          <w:rFonts w:ascii="Times New Roman" w:hAnsi="Times New Roman" w:cs="Times New Roman" w:eastAsia="Times New Roman" w:hint="default"/>
          <w:spacing w:val="-1"/>
        </w:rPr>
        <w:t>1</w:t>
      </w:r>
      <w:r>
        <w:rPr>
          <w:spacing w:val="-1"/>
        </w:rPr>
        <w:t>）公司主要商业银行客户清</w:t>
      </w:r>
      <w:r>
        <w:rPr/>
        <w:t> </w:t>
      </w:r>
      <w:r>
        <w:rPr>
          <w:spacing w:val="-3"/>
        </w:rPr>
        <w:t>理库存的影响，对传统支付产品的需求下降，公司电话</w:t>
      </w:r>
      <w:r>
        <w:rPr>
          <w:rFonts w:ascii="Times New Roman" w:hAnsi="Times New Roman" w:cs="Times New Roman" w:eastAsia="Times New Roman" w:hint="default"/>
          <w:spacing w:val="-3"/>
        </w:rPr>
        <w:t>E-POS</w:t>
      </w:r>
      <w:r>
        <w:rPr>
          <w:spacing w:val="-3"/>
        </w:rPr>
        <w:t>在农行体系的销售量下降；（</w:t>
      </w:r>
      <w:r>
        <w:rPr>
          <w:rFonts w:ascii="Times New Roman" w:hAnsi="Times New Roman" w:cs="Times New Roman" w:eastAsia="Times New Roman" w:hint="default"/>
          <w:spacing w:val="-3"/>
        </w:rPr>
        <w:t>2</w:t>
      </w:r>
      <w:r>
        <w:rPr>
          <w:spacing w:val="-3"/>
        </w:rPr>
        <w:t>）报告期内公司主动减少了</w:t>
      </w:r>
      <w:r>
        <w:rPr>
          <w:rFonts w:ascii="Times New Roman" w:hAnsi="Times New Roman" w:cs="Times New Roman" w:eastAsia="Times New Roman" w:hint="default"/>
          <w:spacing w:val="-3"/>
        </w:rPr>
        <w:t>LED</w:t>
      </w:r>
      <w:r>
        <w:rPr>
          <w:rFonts w:ascii="Times New Roman" w:hAnsi="Times New Roman" w:cs="Times New Roman" w:eastAsia="Times New Roman" w:hint="default"/>
          <w:spacing w:val="1"/>
        </w:rPr>
        <w:t> </w:t>
      </w:r>
      <w:r>
        <w:rPr/>
        <w:t>业务中的相关贸易业务。</w:t>
      </w:r>
    </w:p>
    <w:p>
      <w:pPr>
        <w:pStyle w:val="BodyText"/>
        <w:spacing w:line="240" w:lineRule="auto" w:before="72"/>
        <w:ind w:left="153" w:right="90"/>
        <w:jc w:val="left"/>
      </w:pPr>
      <w:r>
        <w:rPr/>
        <w:t>公司实物销售收入是否大于劳务收入</w:t>
      </w:r>
    </w:p>
    <w:p>
      <w:pPr>
        <w:pStyle w:val="BodyText"/>
        <w:spacing w:line="240" w:lineRule="auto" w:before="117"/>
        <w:ind w:left="153" w:right="90"/>
        <w:jc w:val="left"/>
      </w:pPr>
      <w:r>
        <w:rPr/>
        <w:t>√ 是 □ 否</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03"/>
        <w:gridCol w:w="1926"/>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913" w:type="dxa"/>
            <w:vMerge w:val="restart"/>
            <w:tcBorders>
              <w:top w:val="single" w:sz="4" w:space="0" w:color="000000"/>
              <w:left w:val="single" w:sz="4" w:space="0" w:color="000000"/>
              <w:right w:val="single" w:sz="13" w:space="0" w:color="D3D3D3"/>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加密键盘</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121,882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3"/>
                <w:sz w:val="18"/>
              </w:rPr>
              <w:t>111,826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8.99%</w:t>
            </w:r>
          </w:p>
        </w:tc>
      </w:tr>
      <w:tr>
        <w:trPr>
          <w:trHeight w:val="402" w:hRule="exact"/>
        </w:trPr>
        <w:tc>
          <w:tcPr>
            <w:tcW w:w="1913" w:type="dxa"/>
            <w:vMerge/>
            <w:tcBorders>
              <w:left w:val="single" w:sz="4" w:space="0" w:color="000000"/>
              <w:bottom w:val="single" w:sz="4" w:space="0" w:color="000000"/>
              <w:right w:val="single" w:sz="13" w:space="0" w:color="D3D3D3"/>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114,918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13.35%</w:t>
            </w:r>
          </w:p>
        </w:tc>
      </w:tr>
      <w:tr>
        <w:trPr>
          <w:trHeight w:val="402" w:hRule="exact"/>
        </w:trPr>
        <w:tc>
          <w:tcPr>
            <w:tcW w:w="1913" w:type="dxa"/>
            <w:vMerge w:val="restart"/>
            <w:tcBorders>
              <w:top w:val="single" w:sz="4" w:space="0" w:color="000000"/>
              <w:left w:val="single" w:sz="4" w:space="0" w:color="000000"/>
              <w:right w:val="single" w:sz="13" w:space="0" w:color="D3D3D3"/>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自助服务终端</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19,325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1913" w:type="dxa"/>
            <w:vMerge/>
            <w:tcBorders>
              <w:left w:val="single" w:sz="4" w:space="0" w:color="000000"/>
              <w:bottom w:val="single" w:sz="4" w:space="0" w:color="000000"/>
              <w:right w:val="single" w:sz="13" w:space="0" w:color="D3D3D3"/>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-5.54%</w:t>
            </w:r>
          </w:p>
        </w:tc>
      </w:tr>
      <w:tr>
        <w:trPr>
          <w:trHeight w:val="402" w:hRule="exact"/>
        </w:trPr>
        <w:tc>
          <w:tcPr>
            <w:tcW w:w="1913" w:type="dxa"/>
            <w:vMerge w:val="restart"/>
            <w:tcBorders>
              <w:top w:val="single" w:sz="4" w:space="0" w:color="000000"/>
              <w:left w:val="single" w:sz="4" w:space="0" w:color="000000"/>
              <w:right w:val="single" w:sz="13" w:space="0" w:color="D3D3D3"/>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EPOS</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693,679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-27.65%</w:t>
            </w:r>
          </w:p>
        </w:tc>
      </w:tr>
      <w:tr>
        <w:trPr>
          <w:trHeight w:val="402" w:hRule="exact"/>
        </w:trPr>
        <w:tc>
          <w:tcPr>
            <w:tcW w:w="1913" w:type="dxa"/>
            <w:vMerge/>
            <w:tcBorders>
              <w:left w:val="single" w:sz="4" w:space="0" w:color="000000"/>
              <w:bottom w:val="single" w:sz="4" w:space="0" w:color="000000"/>
              <w:right w:val="single" w:sz="13" w:space="0" w:color="D3D3D3"/>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511,900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561,800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149"/>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60" w:lineRule="auto" w:before="102"/>
        <w:ind w:left="153" w:right="7791"/>
        <w:jc w:val="left"/>
      </w:pPr>
      <w:r>
        <w:rPr/>
        <w:t>□ 适用 √ 不适用 公司重大的在手订单情况</w:t>
      </w:r>
    </w:p>
    <w:p>
      <w:pPr>
        <w:pStyle w:val="BodyText"/>
        <w:spacing w:line="357" w:lineRule="auto" w:before="26"/>
        <w:ind w:left="513" w:right="149" w:hanging="360"/>
        <w:jc w:val="left"/>
      </w:pPr>
      <w:r>
        <w:rPr/>
        <w:t>√ 适用 □ 不适用 </w:t>
      </w:r>
      <w:r>
        <w:rPr>
          <w:spacing w:val="-2"/>
        </w:rPr>
        <w:t>公司主要采取以销定产的生产模式，根据公司与客户签订的销售合同或订单安排生产计划。年内公司金融电子支付设备</w:t>
      </w:r>
    </w:p>
    <w:p>
      <w:pPr>
        <w:pStyle w:val="BodyText"/>
        <w:spacing w:line="224" w:lineRule="exact"/>
        <w:ind w:left="153" w:right="149"/>
        <w:jc w:val="left"/>
      </w:pPr>
      <w:r>
        <w:rPr/>
        <w:t>订单较上年相比基本持平。</w:t>
      </w:r>
    </w:p>
    <w:p>
      <w:pPr>
        <w:pStyle w:val="BodyText"/>
        <w:spacing w:line="328" w:lineRule="auto" w:before="76"/>
        <w:ind w:left="153" w:right="149" w:firstLine="360"/>
        <w:jc w:val="left"/>
      </w:pPr>
      <w:r>
        <w:rPr>
          <w:spacing w:val="-2"/>
        </w:rPr>
        <w:t>由于公司销售合同或订单数量较多发生在下半年，同时订单的收入确认以到货客户签收或验收为准，因此存在订单跨年</w:t>
      </w:r>
      <w:r>
        <w:rPr/>
        <w:t> 度执行完毕的情况。公司</w:t>
      </w:r>
      <w:r>
        <w:rPr>
          <w:rFonts w:ascii="Times New Roman" w:hAnsi="Times New Roman" w:cs="Times New Roman" w:eastAsia="Times New Roman" w:hint="default"/>
        </w:rPr>
        <w:t>2012</w:t>
      </w:r>
      <w:r>
        <w:rPr/>
        <w:t>年度已签署订单未执行完毕的合同金额大约为</w:t>
      </w:r>
      <w:r>
        <w:rPr>
          <w:rFonts w:ascii="Times New Roman" w:hAnsi="Times New Roman" w:cs="Times New Roman" w:eastAsia="Times New Roman" w:hint="default"/>
        </w:rPr>
        <w:t>1.51</w:t>
      </w:r>
      <w:r>
        <w:rPr/>
        <w:t>亿元。 公司报告期内产品或服务发生重大变化或调整有关情况</w:t>
      </w:r>
    </w:p>
    <w:p>
      <w:pPr>
        <w:pStyle w:val="BodyText"/>
        <w:spacing w:line="357" w:lineRule="auto" w:before="50"/>
        <w:ind w:left="153" w:right="7971"/>
        <w:jc w:val="left"/>
      </w:pPr>
      <w:r>
        <w:rPr/>
        <w:t>□ 适用 √ 不适用 公司主要销售客户情况</w:t>
      </w:r>
    </w:p>
    <w:tbl>
      <w:tblPr>
        <w:tblW w:w="0" w:type="auto"/>
        <w:jc w:val="left"/>
        <w:tblInd w:w="160" w:type="dxa"/>
        <w:tblLayout w:type="fixed"/>
        <w:tblCellMar>
          <w:top w:w="0" w:type="dxa"/>
          <w:left w:w="0" w:type="dxa"/>
          <w:bottom w:w="0" w:type="dxa"/>
          <w:right w:w="0" w:type="dxa"/>
        </w:tblCellMar>
        <w:tblLook w:val="01E0"/>
      </w:tblPr>
      <w:tblGrid>
        <w:gridCol w:w="4246"/>
        <w:gridCol w:w="5310"/>
      </w:tblGrid>
      <w:tr>
        <w:trPr>
          <w:trHeight w:val="402" w:hRule="exact"/>
        </w:trPr>
        <w:tc>
          <w:tcPr>
            <w:tcW w:w="4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149,273,516.12</w:t>
            </w:r>
          </w:p>
        </w:tc>
      </w:tr>
      <w:tr>
        <w:trPr>
          <w:trHeight w:val="402" w:hRule="exact"/>
        </w:trPr>
        <w:tc>
          <w:tcPr>
            <w:tcW w:w="4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25.52%</w:t>
            </w:r>
          </w:p>
        </w:tc>
      </w:tr>
    </w:tbl>
    <w:p>
      <w:pPr>
        <w:pStyle w:val="BodyText"/>
        <w:spacing w:line="240" w:lineRule="auto" w:before="69"/>
        <w:ind w:right="149"/>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right="149"/>
        <w:jc w:val="left"/>
      </w:pPr>
      <w:r>
        <w:rPr/>
        <w:t>√ 适用 □ 不适用</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2"/>
        <w:gridCol w:w="314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61" w:hRule="exact"/>
        </w:trPr>
        <w:tc>
          <w:tcPr>
            <w:tcW w:w="779" w:type="dxa"/>
            <w:tcBorders>
              <w:top w:val="single" w:sz="4" w:space="0" w:color="000000"/>
              <w:left w:val="single" w:sz="4" w:space="0" w:color="000000"/>
              <w:bottom w:val="nil" w:sz="6" w:space="0" w:color="auto"/>
              <w:right w:val="single" w:sz="4" w:space="0" w:color="000000"/>
            </w:tcBorders>
            <w:shd w:val="clear" w:color="auto" w:fill="D3D3D3"/>
          </w:tcPr>
          <w:p>
            <w:pPr/>
          </w:p>
        </w:tc>
        <w:tc>
          <w:tcPr>
            <w:tcW w:w="3313" w:type="dxa"/>
            <w:vMerge w:val="restart"/>
            <w:tcBorders>
              <w:top w:val="single" w:sz="4" w:space="0" w:color="000000"/>
              <w:left w:val="single" w:sz="9" w:space="0" w:color="D3D3D3"/>
              <w:right w:val="single" w:sz="4" w:space="0" w:color="000000"/>
            </w:tcBorders>
          </w:tcPr>
          <w:p>
            <w:pPr>
              <w:pStyle w:val="TableParagraph"/>
              <w:spacing w:line="316" w:lineRule="auto" w:before="91"/>
              <w:ind w:left="28" w:right="19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Hitachi Financial Equipment</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System(Shen</w:t>
            </w:r>
            <w:r>
              <w:rPr>
                <w:rFonts w:ascii="Times New Roman" w:hAnsi="Times New Roman" w:cs="Times New Roman" w:eastAsia="Times New Roman" w:hint="default"/>
                <w:sz w:val="18"/>
                <w:szCs w:val="18"/>
              </w:rPr>
              <w:t> Zhen</w:t>
            </w:r>
            <w:r>
              <w:rPr>
                <w:rFonts w:ascii="宋体" w:hAnsi="宋体" w:cs="宋体" w:eastAsia="宋体" w:hint="default"/>
                <w:sz w:val="18"/>
                <w:szCs w:val="18"/>
              </w:rPr>
              <w:t>）</w:t>
            </w:r>
            <w:r>
              <w:rPr>
                <w:rFonts w:ascii="Times New Roman" w:hAnsi="Times New Roman" w:cs="Times New Roman" w:eastAsia="Times New Roman" w:hint="default"/>
                <w:sz w:val="18"/>
                <w:szCs w:val="18"/>
              </w:rPr>
              <w:t>Co.Ltd</w:t>
            </w:r>
          </w:p>
        </w:tc>
        <w:tc>
          <w:tcPr>
            <w:tcW w:w="23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3" w:right="0"/>
              <w:jc w:val="left"/>
              <w:rPr>
                <w:rFonts w:ascii="Times New Roman" w:hAnsi="Times New Roman" w:cs="Times New Roman" w:eastAsia="Times New Roman" w:hint="default"/>
                <w:sz w:val="18"/>
                <w:szCs w:val="18"/>
              </w:rPr>
            </w:pPr>
            <w:r>
              <w:rPr>
                <w:rFonts w:ascii="Times New Roman"/>
                <w:sz w:val="18"/>
              </w:rPr>
              <w:t>42,831,149.75</w:t>
            </w:r>
          </w:p>
        </w:tc>
        <w:tc>
          <w:tcPr>
            <w:tcW w:w="31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7.32%</w:t>
            </w:r>
          </w:p>
        </w:tc>
      </w:tr>
      <w:tr>
        <w:trPr>
          <w:trHeight w:val="392" w:hRule="exact"/>
        </w:trPr>
        <w:tc>
          <w:tcPr>
            <w:tcW w:w="77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3" w:type="dxa"/>
            <w:vMerge/>
            <w:tcBorders>
              <w:left w:val="single" w:sz="9" w:space="0" w:color="D3D3D3"/>
              <w:right w:val="single" w:sz="4" w:space="0" w:color="000000"/>
            </w:tcBorders>
          </w:tcPr>
          <w:p>
            <w:pPr/>
          </w:p>
        </w:tc>
        <w:tc>
          <w:tcPr>
            <w:tcW w:w="2322" w:type="dxa"/>
            <w:vMerge/>
            <w:tcBorders>
              <w:left w:val="single" w:sz="4" w:space="0" w:color="000000"/>
              <w:right w:val="single" w:sz="4" w:space="0" w:color="000000"/>
            </w:tcBorders>
          </w:tcPr>
          <w:p>
            <w:pPr/>
          </w:p>
        </w:tc>
        <w:tc>
          <w:tcPr>
            <w:tcW w:w="3143" w:type="dxa"/>
            <w:vMerge/>
            <w:tcBorders>
              <w:left w:val="single" w:sz="4" w:space="0" w:color="000000"/>
              <w:right w:val="single" w:sz="4" w:space="0" w:color="000000"/>
            </w:tcBorders>
          </w:tcPr>
          <w:p>
            <w:pPr/>
          </w:p>
        </w:tc>
      </w:tr>
      <w:tr>
        <w:trPr>
          <w:trHeight w:val="161" w:hRule="exact"/>
        </w:trPr>
        <w:tc>
          <w:tcPr>
            <w:tcW w:w="779" w:type="dxa"/>
            <w:tcBorders>
              <w:top w:val="nil" w:sz="6" w:space="0" w:color="auto"/>
              <w:left w:val="single" w:sz="4" w:space="0" w:color="000000"/>
              <w:bottom w:val="single" w:sz="4" w:space="0" w:color="000000"/>
              <w:right w:val="single" w:sz="4" w:space="0" w:color="000000"/>
            </w:tcBorders>
            <w:shd w:val="clear" w:color="auto" w:fill="D3D3D3"/>
          </w:tcPr>
          <w:p>
            <w:pPr/>
          </w:p>
        </w:tc>
        <w:tc>
          <w:tcPr>
            <w:tcW w:w="3313" w:type="dxa"/>
            <w:vMerge/>
            <w:tcBorders>
              <w:left w:val="single" w:sz="9" w:space="0" w:color="D3D3D3"/>
              <w:bottom w:val="single" w:sz="4" w:space="0" w:color="000000"/>
              <w:right w:val="single" w:sz="4" w:space="0" w:color="000000"/>
            </w:tcBorders>
          </w:tcPr>
          <w:p>
            <w:pPr/>
          </w:p>
        </w:tc>
        <w:tc>
          <w:tcPr>
            <w:tcW w:w="2322" w:type="dxa"/>
            <w:vMerge/>
            <w:tcBorders>
              <w:left w:val="single" w:sz="4" w:space="0" w:color="000000"/>
              <w:bottom w:val="single" w:sz="4" w:space="0" w:color="000000"/>
              <w:right w:val="single" w:sz="4" w:space="0" w:color="000000"/>
            </w:tcBorders>
          </w:tcPr>
          <w:p>
            <w:pPr/>
          </w:p>
        </w:tc>
        <w:tc>
          <w:tcPr>
            <w:tcW w:w="3143" w:type="dxa"/>
            <w:vMerge/>
            <w:tcBorders>
              <w:left w:val="single" w:sz="4" w:space="0" w:color="000000"/>
              <w:bottom w:val="single" w:sz="4" w:space="0" w:color="000000"/>
              <w:right w:val="single" w:sz="4" w:space="0" w:color="000000"/>
            </w:tcBorders>
          </w:tcPr>
          <w:p>
            <w:pP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浙江金大科技有限公司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33,967,930.67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中国农业银行湖南分行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29,086,004.57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中国农业银行广东省分行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22,608,348.73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中科恒源科技股份有限公司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20,780,082.40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149,273,516.12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25.52%</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9"/>
        <w:jc w:val="left"/>
      </w:pPr>
      <w:r>
        <w:rPr/>
        <w:t>行业分类</w:t>
      </w:r>
    </w:p>
    <w:p>
      <w:pPr>
        <w:pStyle w:val="BodyText"/>
        <w:spacing w:line="240" w:lineRule="auto" w:before="117"/>
        <w:ind w:left="0" w:right="149"/>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292,981,667.86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344,025,777.82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照明电子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31,460,910.41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85,982,335.65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车载行业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4,131,124.19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46,715,932.71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14,687,571.68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218.06%</w:t>
            </w:r>
          </w:p>
        </w:tc>
      </w:tr>
    </w:tbl>
    <w:p>
      <w:pPr>
        <w:spacing w:line="240" w:lineRule="auto" w:before="3"/>
        <w:rPr>
          <w:rFonts w:ascii="宋体" w:hAnsi="宋体" w:cs="宋体" w:eastAsia="宋体" w:hint="default"/>
          <w:sz w:val="21"/>
          <w:szCs w:val="21"/>
        </w:rPr>
      </w:pPr>
    </w:p>
    <w:p>
      <w:pPr>
        <w:pStyle w:val="BodyText"/>
        <w:spacing w:line="240" w:lineRule="auto" w:before="44"/>
        <w:ind w:right="149"/>
        <w:jc w:val="left"/>
      </w:pPr>
      <w:r>
        <w:rPr/>
        <w:t>主要产品相关成本构成如下：</w:t>
      </w:r>
    </w:p>
    <w:p>
      <w:pPr>
        <w:spacing w:line="240" w:lineRule="auto" w:before="1"/>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3264"/>
        <w:gridCol w:w="2358"/>
        <w:gridCol w:w="2018"/>
        <w:gridCol w:w="2017"/>
      </w:tblGrid>
      <w:tr>
        <w:trPr>
          <w:trHeight w:val="352" w:hRule="exact"/>
        </w:trPr>
        <w:tc>
          <w:tcPr>
            <w:tcW w:w="326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产品分类</w:t>
            </w:r>
          </w:p>
        </w:tc>
        <w:tc>
          <w:tcPr>
            <w:tcW w:w="235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1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2017"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34" w:type="dxa"/>
        <w:tblLayout w:type="fixed"/>
        <w:tblCellMar>
          <w:top w:w="0" w:type="dxa"/>
          <w:left w:w="0" w:type="dxa"/>
          <w:bottom w:w="0" w:type="dxa"/>
          <w:right w:w="0" w:type="dxa"/>
        </w:tblCellMar>
        <w:tblLook w:val="01E0"/>
      </w:tblPr>
      <w:tblGrid>
        <w:gridCol w:w="3264"/>
        <w:gridCol w:w="2358"/>
        <w:gridCol w:w="2018"/>
        <w:gridCol w:w="2017"/>
      </w:tblGrid>
      <w:tr>
        <w:trPr>
          <w:trHeight w:val="432" w:hRule="exact"/>
        </w:trPr>
        <w:tc>
          <w:tcPr>
            <w:tcW w:w="3264" w:type="dxa"/>
            <w:vMerge w:val="restart"/>
            <w:tcBorders>
              <w:top w:val="single" w:sz="8" w:space="0" w:color="000000"/>
              <w:left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加密键盘</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2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89.10%</w:t>
            </w:r>
          </w:p>
        </w:tc>
        <w:tc>
          <w:tcPr>
            <w:tcW w:w="20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83.08%</w:t>
            </w:r>
          </w:p>
        </w:tc>
      </w:tr>
      <w:tr>
        <w:trPr>
          <w:trHeight w:val="432" w:hRule="exact"/>
        </w:trPr>
        <w:tc>
          <w:tcPr>
            <w:tcW w:w="3264" w:type="dxa"/>
            <w:vMerge/>
            <w:tcBorders>
              <w:left w:val="single" w:sz="8" w:space="0" w:color="000000"/>
              <w:right w:val="single" w:sz="8" w:space="0" w:color="000000"/>
            </w:tcBorders>
          </w:tcPr>
          <w:p>
            <w:pP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2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3.87%</w:t>
            </w:r>
          </w:p>
        </w:tc>
        <w:tc>
          <w:tcPr>
            <w:tcW w:w="20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6.29%</w:t>
            </w:r>
          </w:p>
        </w:tc>
      </w:tr>
      <w:tr>
        <w:trPr>
          <w:trHeight w:val="432" w:hRule="exact"/>
        </w:trPr>
        <w:tc>
          <w:tcPr>
            <w:tcW w:w="3264" w:type="dxa"/>
            <w:vMerge/>
            <w:tcBorders>
              <w:left w:val="single" w:sz="8" w:space="0" w:color="000000"/>
              <w:bottom w:val="single" w:sz="8" w:space="0" w:color="000000"/>
              <w:right w:val="single" w:sz="8" w:space="0" w:color="000000"/>
            </w:tcBorders>
          </w:tcPr>
          <w:p>
            <w:pP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2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7.02%</w:t>
            </w:r>
          </w:p>
        </w:tc>
        <w:tc>
          <w:tcPr>
            <w:tcW w:w="20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10.63%</w:t>
            </w:r>
          </w:p>
        </w:tc>
      </w:tr>
      <w:tr>
        <w:trPr>
          <w:trHeight w:val="432" w:hRule="exact"/>
        </w:trPr>
        <w:tc>
          <w:tcPr>
            <w:tcW w:w="3264" w:type="dxa"/>
            <w:vMerge w:val="restart"/>
            <w:tcBorders>
              <w:top w:val="single" w:sz="8" w:space="0" w:color="000000"/>
              <w:left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自助服务终端</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2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92.68%</w:t>
            </w:r>
          </w:p>
        </w:tc>
        <w:tc>
          <w:tcPr>
            <w:tcW w:w="20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86.71%</w:t>
            </w:r>
          </w:p>
        </w:tc>
      </w:tr>
      <w:tr>
        <w:trPr>
          <w:trHeight w:val="432" w:hRule="exact"/>
        </w:trPr>
        <w:tc>
          <w:tcPr>
            <w:tcW w:w="3264" w:type="dxa"/>
            <w:vMerge/>
            <w:tcBorders>
              <w:left w:val="single" w:sz="8" w:space="0" w:color="000000"/>
              <w:right w:val="single" w:sz="8" w:space="0" w:color="000000"/>
            </w:tcBorders>
          </w:tcPr>
          <w:p>
            <w:pP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2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2.61%</w:t>
            </w:r>
          </w:p>
        </w:tc>
        <w:tc>
          <w:tcPr>
            <w:tcW w:w="20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5.34%</w:t>
            </w:r>
          </w:p>
        </w:tc>
      </w:tr>
      <w:tr>
        <w:trPr>
          <w:trHeight w:val="432" w:hRule="exact"/>
        </w:trPr>
        <w:tc>
          <w:tcPr>
            <w:tcW w:w="3264" w:type="dxa"/>
            <w:vMerge/>
            <w:tcBorders>
              <w:left w:val="single" w:sz="8" w:space="0" w:color="000000"/>
              <w:bottom w:val="single" w:sz="8" w:space="0" w:color="000000"/>
              <w:right w:val="single" w:sz="8" w:space="0" w:color="000000"/>
            </w:tcBorders>
          </w:tcPr>
          <w:p>
            <w:pP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2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4.71%</w:t>
            </w:r>
          </w:p>
        </w:tc>
        <w:tc>
          <w:tcPr>
            <w:tcW w:w="20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7.95%</w:t>
            </w:r>
          </w:p>
        </w:tc>
      </w:tr>
      <w:tr>
        <w:trPr>
          <w:trHeight w:val="432" w:hRule="exact"/>
        </w:trPr>
        <w:tc>
          <w:tcPr>
            <w:tcW w:w="3264" w:type="dxa"/>
            <w:vMerge w:val="restart"/>
            <w:tcBorders>
              <w:top w:val="single" w:sz="8" w:space="0" w:color="000000"/>
              <w:left w:val="single" w:sz="8" w:space="0" w:color="000000"/>
              <w:right w:val="single" w:sz="8" w:space="0" w:color="000000"/>
            </w:tcBorders>
          </w:tcPr>
          <w:p>
            <w:pPr>
              <w:pStyle w:val="TableParagraph"/>
              <w:spacing w:line="240" w:lineRule="auto" w:before="21"/>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Times New Roman" w:hAnsi="Times New Roman" w:cs="Times New Roman" w:eastAsia="Times New Roman" w:hint="default"/>
                <w:sz w:val="18"/>
                <w:szCs w:val="18"/>
              </w:rPr>
              <w:t>E-POS</w:t>
            </w: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71.18%</w:t>
            </w:r>
          </w:p>
        </w:tc>
        <w:tc>
          <w:tcPr>
            <w:tcW w:w="20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71.70%</w:t>
            </w:r>
          </w:p>
        </w:tc>
      </w:tr>
      <w:tr>
        <w:trPr>
          <w:trHeight w:val="433" w:hRule="exact"/>
        </w:trPr>
        <w:tc>
          <w:tcPr>
            <w:tcW w:w="3264" w:type="dxa"/>
            <w:vMerge/>
            <w:tcBorders>
              <w:left w:val="single" w:sz="8" w:space="0" w:color="000000"/>
              <w:bottom w:val="single" w:sz="8" w:space="0" w:color="000000"/>
              <w:right w:val="single" w:sz="8" w:space="0" w:color="000000"/>
            </w:tcBorders>
          </w:tcPr>
          <w:p>
            <w:pPr/>
          </w:p>
        </w:tc>
        <w:tc>
          <w:tcPr>
            <w:tcW w:w="2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2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28.82%</w:t>
            </w:r>
          </w:p>
        </w:tc>
        <w:tc>
          <w:tcPr>
            <w:tcW w:w="20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28.30%</w:t>
            </w:r>
          </w:p>
        </w:tc>
      </w:tr>
    </w:tbl>
    <w:p>
      <w:pPr>
        <w:pStyle w:val="BodyText"/>
        <w:spacing w:line="240" w:lineRule="auto" w:before="51"/>
        <w:ind w:right="149"/>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4314"/>
        <w:gridCol w:w="5380"/>
      </w:tblGrid>
      <w:tr>
        <w:trPr>
          <w:trHeight w:val="402" w:hRule="exact"/>
        </w:trPr>
        <w:tc>
          <w:tcPr>
            <w:tcW w:w="4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73,280,219.71</w:t>
            </w:r>
          </w:p>
        </w:tc>
      </w:tr>
      <w:tr>
        <w:trPr>
          <w:trHeight w:val="403" w:hRule="exact"/>
        </w:trPr>
        <w:tc>
          <w:tcPr>
            <w:tcW w:w="4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18.16%</w:t>
            </w:r>
          </w:p>
        </w:tc>
      </w:tr>
    </w:tbl>
    <w:p>
      <w:pPr>
        <w:pStyle w:val="BodyText"/>
        <w:spacing w:line="240" w:lineRule="auto" w:before="51"/>
        <w:ind w:right="149"/>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2"/>
        <w:ind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924"/>
        <w:gridCol w:w="3223"/>
        <w:gridCol w:w="2352"/>
        <w:gridCol w:w="3184"/>
      </w:tblGrid>
      <w:tr>
        <w:trPr>
          <w:trHeight w:val="402" w:hRule="exact"/>
        </w:trPr>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2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9"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2"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2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深圳市兴创实业有限公司</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20,521,048.72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w:t>
            </w:r>
          </w:p>
        </w:tc>
      </w:tr>
      <w:tr>
        <w:trPr>
          <w:trHeight w:val="402" w:hRule="exact"/>
        </w:trPr>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2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深圳市华富洋供应链有限公司</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19,614,370.79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w:t>
            </w:r>
          </w:p>
        </w:tc>
      </w:tr>
      <w:tr>
        <w:trPr>
          <w:trHeight w:val="402" w:hRule="exact"/>
        </w:trPr>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2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深圳市集迅实业有限公司</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12,168,844.96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w:t>
            </w:r>
          </w:p>
        </w:tc>
      </w:tr>
      <w:tr>
        <w:trPr>
          <w:trHeight w:val="402" w:hRule="exact"/>
        </w:trPr>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2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深圳市振华通信设备有限公司</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10,743,017.54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w:t>
            </w:r>
          </w:p>
        </w:tc>
      </w:tr>
      <w:tr>
        <w:trPr>
          <w:trHeight w:val="402" w:hRule="exact"/>
        </w:trPr>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2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卓领电子（深圳）有限公司</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10,232,937.70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w:t>
            </w:r>
          </w:p>
        </w:tc>
      </w:tr>
      <w:tr>
        <w:trPr>
          <w:trHeight w:val="402" w:hRule="exact"/>
        </w:trPr>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73,280,219.71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18.16%</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2413"/>
        <w:gridCol w:w="2414"/>
        <w:gridCol w:w="2416"/>
        <w:gridCol w:w="2414"/>
      </w:tblGrid>
      <w:tr>
        <w:trPr>
          <w:trHeight w:val="348" w:hRule="exact"/>
        </w:trPr>
        <w:tc>
          <w:tcPr>
            <w:tcW w:w="241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241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241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26" w:hRule="exact"/>
        </w:trPr>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7,199.65</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6,544.68</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10.01%</w:t>
            </w:r>
          </w:p>
        </w:tc>
      </w:tr>
      <w:tr>
        <w:trPr>
          <w:trHeight w:val="427" w:hRule="exact"/>
        </w:trPr>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6,957.37</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6,039.49</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15.20%</w:t>
            </w:r>
          </w:p>
        </w:tc>
      </w:tr>
      <w:tr>
        <w:trPr>
          <w:trHeight w:val="427" w:hRule="exact"/>
        </w:trPr>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2,177.50</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2,207.97</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-1.38%</w:t>
            </w:r>
          </w:p>
        </w:tc>
      </w:tr>
      <w:tr>
        <w:trPr>
          <w:trHeight w:val="427" w:hRule="exact"/>
        </w:trPr>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资产减值损失</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539.02</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524.60</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2.75%</w:t>
            </w:r>
          </w:p>
        </w:tc>
      </w:tr>
      <w:tr>
        <w:trPr>
          <w:trHeight w:val="427" w:hRule="exact"/>
        </w:trPr>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602.02</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1,220.95</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-50.69%</w:t>
            </w:r>
          </w:p>
        </w:tc>
      </w:tr>
    </w:tbl>
    <w:p>
      <w:pPr>
        <w:pStyle w:val="BodyText"/>
        <w:spacing w:line="300" w:lineRule="auto" w:before="10"/>
        <w:ind w:right="149" w:firstLine="360"/>
        <w:jc w:val="left"/>
      </w:pPr>
      <w:r>
        <w:rPr>
          <w:spacing w:val="-1"/>
        </w:rPr>
        <w:t>（</w:t>
      </w:r>
      <w:r>
        <w:rPr>
          <w:rFonts w:ascii="Times New Roman" w:hAnsi="Times New Roman" w:cs="Times New Roman" w:eastAsia="Times New Roman" w:hint="default"/>
          <w:spacing w:val="-1"/>
        </w:rPr>
        <w:t>1</w:t>
      </w:r>
      <w:r>
        <w:rPr>
          <w:spacing w:val="-1"/>
        </w:rPr>
        <w:t>）报告期内公司销售费用较</w:t>
      </w:r>
      <w:r>
        <w:rPr>
          <w:rFonts w:ascii="Times New Roman" w:hAnsi="Times New Roman" w:cs="Times New Roman" w:eastAsia="Times New Roman" w:hint="default"/>
          <w:spacing w:val="-1"/>
        </w:rPr>
        <w:t>2011</w:t>
      </w:r>
      <w:r>
        <w:rPr>
          <w:spacing w:val="-1"/>
        </w:rPr>
        <w:t>年同期增加</w:t>
      </w:r>
      <w:r>
        <w:rPr>
          <w:rFonts w:ascii="Times New Roman" w:hAnsi="Times New Roman" w:cs="Times New Roman" w:eastAsia="Times New Roman" w:hint="default"/>
          <w:spacing w:val="-1"/>
        </w:rPr>
        <w:t>10.01%</w:t>
      </w:r>
      <w:r>
        <w:rPr>
          <w:spacing w:val="-1"/>
        </w:rPr>
        <w:t>，主要原因是：随着公司产品的持续销售，公司售后服务人员增</w:t>
      </w:r>
      <w:r>
        <w:rPr/>
        <w:t> 加，以及公司为新产品市场推广而发生的人工、差旅费、市场推广费增长；</w:t>
      </w:r>
    </w:p>
    <w:p>
      <w:pPr>
        <w:pStyle w:val="BodyText"/>
        <w:spacing w:line="240" w:lineRule="auto" w:before="31"/>
        <w:ind w:left="514" w:right="0"/>
        <w:jc w:val="left"/>
      </w:pPr>
      <w:r>
        <w:rPr/>
        <w:t>（</w:t>
      </w:r>
      <w:r>
        <w:rPr>
          <w:rFonts w:ascii="Times New Roman" w:hAnsi="Times New Roman" w:cs="Times New Roman" w:eastAsia="Times New Roman" w:hint="default"/>
        </w:rPr>
        <w:t>2</w:t>
      </w:r>
      <w:r>
        <w:rPr/>
        <w:t>）报告期内公司管理费用较</w:t>
      </w:r>
      <w:r>
        <w:rPr>
          <w:rFonts w:ascii="Times New Roman" w:hAnsi="Times New Roman" w:cs="Times New Roman" w:eastAsia="Times New Roman" w:hint="default"/>
        </w:rPr>
        <w:t>2011</w:t>
      </w:r>
      <w:r>
        <w:rPr/>
        <w:t>年同期增加</w:t>
      </w:r>
      <w:r>
        <w:rPr>
          <w:rFonts w:ascii="Times New Roman" w:hAnsi="Times New Roman" w:cs="Times New Roman" w:eastAsia="Times New Roman" w:hint="default"/>
        </w:rPr>
        <w:t>15.20%</w:t>
      </w:r>
      <w:r>
        <w:rPr/>
        <w:t>，主要原因是：公司研发人员增加，新产品认证费用支出增加；</w:t>
      </w:r>
    </w:p>
    <w:p>
      <w:pPr>
        <w:pStyle w:val="BodyText"/>
        <w:spacing w:line="240" w:lineRule="auto" w:before="62"/>
        <w:ind w:left="514" w:right="149"/>
        <w:jc w:val="left"/>
      </w:pPr>
      <w:r>
        <w:rPr/>
        <w:t>（</w:t>
      </w:r>
      <w:r>
        <w:rPr>
          <w:rFonts w:ascii="Times New Roman" w:hAnsi="Times New Roman" w:cs="Times New Roman" w:eastAsia="Times New Roman" w:hint="default"/>
        </w:rPr>
        <w:t>3</w:t>
      </w:r>
      <w:r>
        <w:rPr/>
        <w:t>）报告期内公司所得税费用较</w:t>
      </w:r>
      <w:r>
        <w:rPr>
          <w:rFonts w:ascii="Times New Roman" w:hAnsi="Times New Roman" w:cs="Times New Roman" w:eastAsia="Times New Roman" w:hint="default"/>
        </w:rPr>
        <w:t>2011</w:t>
      </w:r>
      <w:r>
        <w:rPr/>
        <w:t>年同期减少</w:t>
      </w:r>
      <w:r>
        <w:rPr>
          <w:rFonts w:ascii="Times New Roman" w:hAnsi="Times New Roman" w:cs="Times New Roman" w:eastAsia="Times New Roman" w:hint="default"/>
        </w:rPr>
        <w:t>50.69%</w:t>
      </w:r>
      <w:r>
        <w:rPr/>
        <w:t>，主要原因是：公司报告期内利润减少。</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84"/>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84" w:firstLine="392"/>
        <w:jc w:val="left"/>
      </w:pPr>
      <w:r>
        <w:rPr/>
        <w:t>公司一直坚持自主创新，每年均保持一定的技术开发投入，以确保公司的技术研发实力处于领先水平。公司近三年的 研发投入情况如下所示：</w:t>
      </w:r>
    </w:p>
    <w:p>
      <w:pPr>
        <w:spacing w:line="240" w:lineRule="auto" w:before="11"/>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4553"/>
        <w:gridCol w:w="2012"/>
        <w:gridCol w:w="1556"/>
        <w:gridCol w:w="1572"/>
      </w:tblGrid>
      <w:tr>
        <w:trPr>
          <w:trHeight w:val="409" w:hRule="exact"/>
        </w:trPr>
        <w:tc>
          <w:tcPr>
            <w:tcW w:w="4553"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1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4"/>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55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4"/>
              <w:ind w:left="5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157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p>
        </w:tc>
      </w:tr>
      <w:tr>
        <w:trPr>
          <w:trHeight w:val="427"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3,269.47</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54"/>
              <w:jc w:val="right"/>
              <w:rPr>
                <w:rFonts w:ascii="Times New Roman" w:hAnsi="Times New Roman" w:cs="Times New Roman" w:eastAsia="Times New Roman" w:hint="default"/>
                <w:sz w:val="18"/>
                <w:szCs w:val="18"/>
              </w:rPr>
            </w:pPr>
            <w:r>
              <w:rPr>
                <w:rFonts w:ascii="Times New Roman"/>
                <w:sz w:val="18"/>
              </w:rPr>
              <w:t>2,122.24</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1,348.92</w:t>
            </w:r>
          </w:p>
        </w:tc>
      </w:tr>
      <w:tr>
        <w:trPr>
          <w:trHeight w:val="427"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销售收入</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58,487.55</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08"/>
              <w:jc w:val="right"/>
              <w:rPr>
                <w:rFonts w:ascii="Times New Roman" w:hAnsi="Times New Roman" w:cs="Times New Roman" w:eastAsia="Times New Roman" w:hint="default"/>
                <w:sz w:val="18"/>
                <w:szCs w:val="18"/>
              </w:rPr>
            </w:pPr>
            <w:r>
              <w:rPr>
                <w:rFonts w:ascii="Times New Roman"/>
                <w:sz w:val="18"/>
              </w:rPr>
              <w:t>67,748.07</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52,459.90</w:t>
            </w:r>
          </w:p>
        </w:tc>
      </w:tr>
      <w:tr>
        <w:trPr>
          <w:trHeight w:val="427"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54,279.20</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08"/>
              <w:jc w:val="right"/>
              <w:rPr>
                <w:rFonts w:ascii="Times New Roman" w:hAnsi="Times New Roman" w:cs="Times New Roman" w:eastAsia="Times New Roman" w:hint="default"/>
                <w:sz w:val="18"/>
                <w:szCs w:val="18"/>
              </w:rPr>
            </w:pPr>
            <w:r>
              <w:rPr>
                <w:rFonts w:ascii="Times New Roman"/>
                <w:sz w:val="18"/>
              </w:rPr>
              <w:t>52,152.08</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45,370.93</w:t>
            </w:r>
          </w:p>
        </w:tc>
      </w:tr>
      <w:tr>
        <w:trPr>
          <w:trHeight w:val="427"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研发费用占当期营业收入比例</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5.59%</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3.13%</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2.57%</w:t>
            </w:r>
          </w:p>
        </w:tc>
      </w:tr>
      <w:tr>
        <w:trPr>
          <w:trHeight w:val="427" w:hRule="exact"/>
        </w:trPr>
        <w:tc>
          <w:tcPr>
            <w:tcW w:w="4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研发费用占当期净资产比例</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6.02%</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4.07%</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2.97%</w:t>
            </w:r>
          </w:p>
        </w:tc>
      </w:tr>
    </w:tbl>
    <w:p>
      <w:pPr>
        <w:pStyle w:val="BodyText"/>
        <w:spacing w:line="240" w:lineRule="auto" w:before="10"/>
        <w:ind w:left="514" w:right="84"/>
        <w:jc w:val="left"/>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日，公司共取得有效专利</w:t>
      </w:r>
      <w:r>
        <w:rPr>
          <w:rFonts w:ascii="Times New Roman" w:hAnsi="Times New Roman" w:cs="Times New Roman" w:eastAsia="Times New Roman" w:hint="default"/>
        </w:rPr>
        <w:t>135</w:t>
      </w:r>
      <w:r>
        <w:rPr/>
        <w:t>件，其中发明</w:t>
      </w:r>
      <w:r>
        <w:rPr>
          <w:rFonts w:ascii="Times New Roman" w:hAnsi="Times New Roman" w:cs="Times New Roman" w:eastAsia="Times New Roman" w:hint="default"/>
        </w:rPr>
        <w:t>11</w:t>
      </w:r>
      <w:r>
        <w:rPr/>
        <w:t>件、实用新型</w:t>
      </w:r>
      <w:r>
        <w:rPr>
          <w:rFonts w:ascii="Times New Roman" w:hAnsi="Times New Roman" w:cs="Times New Roman" w:eastAsia="Times New Roman" w:hint="default"/>
        </w:rPr>
        <w:t>79</w:t>
      </w:r>
      <w:r>
        <w:rPr/>
        <w:t>件、外观</w:t>
      </w:r>
      <w:r>
        <w:rPr>
          <w:rFonts w:ascii="Times New Roman" w:hAnsi="Times New Roman" w:cs="Times New Roman" w:eastAsia="Times New Roman" w:hint="default"/>
        </w:rPr>
        <w:t>45</w:t>
      </w:r>
      <w:r>
        <w:rPr/>
        <w:t>件；计算机软件著作权登记</w:t>
      </w:r>
    </w:p>
    <w:p>
      <w:pPr>
        <w:pStyle w:val="BodyText"/>
        <w:spacing w:line="240" w:lineRule="auto" w:before="62"/>
        <w:ind w:left="153" w:right="84"/>
        <w:jc w:val="left"/>
      </w:pPr>
      <w:r>
        <w:rPr>
          <w:rFonts w:ascii="Times New Roman" w:hAnsi="Times New Roman" w:cs="Times New Roman" w:eastAsia="Times New Roman" w:hint="default"/>
        </w:rPr>
        <w:t>59</w:t>
      </w:r>
      <w:r>
        <w:rPr/>
        <w:t>件；在审专利共</w:t>
      </w:r>
      <w:r>
        <w:rPr>
          <w:rFonts w:ascii="Times New Roman" w:hAnsi="Times New Roman" w:cs="Times New Roman" w:eastAsia="Times New Roman" w:hint="default"/>
        </w:rPr>
        <w:t>76</w:t>
      </w:r>
      <w:r>
        <w:rPr/>
        <w:t>件、发明</w:t>
      </w:r>
      <w:r>
        <w:rPr>
          <w:rFonts w:ascii="Times New Roman" w:hAnsi="Times New Roman" w:cs="Times New Roman" w:eastAsia="Times New Roman" w:hint="default"/>
        </w:rPr>
        <w:t>33</w:t>
      </w:r>
      <w:r>
        <w:rPr/>
        <w:t>件、实用新型</w:t>
      </w:r>
      <w:r>
        <w:rPr>
          <w:rFonts w:ascii="Times New Roman" w:hAnsi="Times New Roman" w:cs="Times New Roman" w:eastAsia="Times New Roman" w:hint="default"/>
        </w:rPr>
        <w:t>32</w:t>
      </w:r>
      <w:r>
        <w:rPr/>
        <w:t>件、外观</w:t>
      </w:r>
      <w:r>
        <w:rPr>
          <w:rFonts w:ascii="Times New Roman" w:hAnsi="Times New Roman" w:cs="Times New Roman" w:eastAsia="Times New Roman" w:hint="default"/>
        </w:rPr>
        <w:t>7</w:t>
      </w:r>
      <w:r>
        <w:rPr/>
        <w:t>件、</w:t>
      </w:r>
      <w:r>
        <w:rPr>
          <w:rFonts w:ascii="Times New Roman" w:hAnsi="Times New Roman" w:cs="Times New Roman" w:eastAsia="Times New Roman" w:hint="default"/>
        </w:rPr>
        <w:t>PCT</w:t>
      </w:r>
      <w:r>
        <w:rPr/>
        <w:t>专利申请</w:t>
      </w:r>
      <w:r>
        <w:rPr>
          <w:rFonts w:ascii="Times New Roman" w:hAnsi="Times New Roman" w:cs="Times New Roman" w:eastAsia="Times New Roman" w:hint="default"/>
        </w:rPr>
        <w:t>4</w:t>
      </w:r>
      <w:r>
        <w:rPr/>
        <w:t>件；在审计算机软件著作权登记</w:t>
      </w:r>
      <w:r>
        <w:rPr>
          <w:rFonts w:ascii="Times New Roman" w:hAnsi="Times New Roman" w:cs="Times New Roman" w:eastAsia="Times New Roman" w:hint="default"/>
        </w:rPr>
        <w:t>6</w:t>
      </w:r>
      <w:r>
        <w:rPr/>
        <w:t>件。</w:t>
      </w:r>
    </w:p>
    <w:p>
      <w:pPr>
        <w:pStyle w:val="BodyText"/>
        <w:spacing w:line="300" w:lineRule="auto" w:before="62"/>
        <w:ind w:right="190" w:firstLine="360"/>
        <w:jc w:val="left"/>
      </w:pPr>
      <w:r>
        <w:rPr>
          <w:rFonts w:ascii="Times New Roman" w:hAnsi="Times New Roman" w:cs="Times New Roman" w:eastAsia="Times New Roman" w:hint="default"/>
        </w:rPr>
        <w:t>2012</w:t>
      </w:r>
      <w:r>
        <w:rPr/>
        <w:t>年公司新申请专利受理总数</w:t>
      </w:r>
      <w:r>
        <w:rPr>
          <w:rFonts w:ascii="Times New Roman" w:hAnsi="Times New Roman" w:cs="Times New Roman" w:eastAsia="Times New Roman" w:hint="default"/>
        </w:rPr>
        <w:t>67</w:t>
      </w:r>
      <w:r>
        <w:rPr/>
        <w:t>件，其中发明专利</w:t>
      </w:r>
      <w:r>
        <w:rPr>
          <w:rFonts w:ascii="Times New Roman" w:hAnsi="Times New Roman" w:cs="Times New Roman" w:eastAsia="Times New Roman" w:hint="default"/>
        </w:rPr>
        <w:t>11</w:t>
      </w:r>
      <w:r>
        <w:rPr/>
        <w:t>件，实用新型专利</w:t>
      </w:r>
      <w:r>
        <w:rPr>
          <w:rFonts w:ascii="Times New Roman" w:hAnsi="Times New Roman" w:cs="Times New Roman" w:eastAsia="Times New Roman" w:hint="default"/>
        </w:rPr>
        <w:t>40</w:t>
      </w:r>
      <w:r>
        <w:rPr/>
        <w:t>项，外观专利</w:t>
      </w:r>
      <w:r>
        <w:rPr>
          <w:rFonts w:ascii="Times New Roman" w:hAnsi="Times New Roman" w:cs="Times New Roman" w:eastAsia="Times New Roman" w:hint="default"/>
        </w:rPr>
        <w:t>15</w:t>
      </w:r>
      <w:r>
        <w:rPr/>
        <w:t>项，</w:t>
      </w:r>
      <w:r>
        <w:rPr>
          <w:rFonts w:ascii="Times New Roman" w:hAnsi="Times New Roman" w:cs="Times New Roman" w:eastAsia="Times New Roman" w:hint="default"/>
        </w:rPr>
        <w:t>PCT</w:t>
      </w:r>
      <w:r>
        <w:rPr/>
        <w:t>专利申请</w:t>
      </w:r>
      <w:r>
        <w:rPr>
          <w:rFonts w:ascii="Times New Roman" w:hAnsi="Times New Roman" w:cs="Times New Roman" w:eastAsia="Times New Roman" w:hint="default"/>
        </w:rPr>
        <w:t>1</w:t>
      </w:r>
      <w:r>
        <w:rPr/>
        <w:t>件；受 理计算机软件著作权</w:t>
      </w:r>
      <w:r>
        <w:rPr>
          <w:rFonts w:ascii="Times New Roman" w:hAnsi="Times New Roman" w:cs="Times New Roman" w:eastAsia="Times New Roman" w:hint="default"/>
        </w:rPr>
        <w:t>31</w:t>
      </w:r>
      <w:r>
        <w:rPr/>
        <w:t>件、受理集成电路布图设计</w:t>
      </w:r>
      <w:r>
        <w:rPr>
          <w:rFonts w:ascii="Times New Roman" w:hAnsi="Times New Roman" w:cs="Times New Roman" w:eastAsia="Times New Roman" w:hint="default"/>
        </w:rPr>
        <w:t>2</w:t>
      </w:r>
      <w:r>
        <w:rPr/>
        <w:t>件。</w:t>
      </w:r>
    </w:p>
    <w:p>
      <w:pPr>
        <w:pStyle w:val="BodyText"/>
        <w:spacing w:line="300" w:lineRule="auto" w:before="13"/>
        <w:ind w:right="160" w:firstLine="360"/>
        <w:jc w:val="left"/>
      </w:pPr>
      <w:r>
        <w:rPr>
          <w:rFonts w:ascii="Times New Roman" w:hAnsi="Times New Roman" w:cs="Times New Roman" w:eastAsia="Times New Roman" w:hint="default"/>
        </w:rPr>
        <w:t>2012</w:t>
      </w:r>
      <w:r>
        <w:rPr/>
        <w:t>年公司取得专利证书总数</w:t>
      </w:r>
      <w:r>
        <w:rPr>
          <w:rFonts w:ascii="Times New Roman" w:hAnsi="Times New Roman" w:cs="Times New Roman" w:eastAsia="Times New Roman" w:hint="default"/>
        </w:rPr>
        <w:t>34</w:t>
      </w:r>
      <w:r>
        <w:rPr/>
        <w:t>件，其中发明专利</w:t>
      </w:r>
      <w:r>
        <w:rPr>
          <w:rFonts w:ascii="Times New Roman" w:hAnsi="Times New Roman" w:cs="Times New Roman" w:eastAsia="Times New Roman" w:hint="default"/>
        </w:rPr>
        <w:t>2</w:t>
      </w:r>
      <w:r>
        <w:rPr/>
        <w:t>件，实用新型专利</w:t>
      </w:r>
      <w:r>
        <w:rPr>
          <w:rFonts w:ascii="Times New Roman" w:hAnsi="Times New Roman" w:cs="Times New Roman" w:eastAsia="Times New Roman" w:hint="default"/>
        </w:rPr>
        <w:t>19</w:t>
      </w:r>
      <w:r>
        <w:rPr/>
        <w:t>件，外观专利</w:t>
      </w:r>
      <w:r>
        <w:rPr>
          <w:rFonts w:ascii="Times New Roman" w:hAnsi="Times New Roman" w:cs="Times New Roman" w:eastAsia="Times New Roman" w:hint="default"/>
        </w:rPr>
        <w:t>13</w:t>
      </w:r>
      <w:r>
        <w:rPr/>
        <w:t>件，取得计算机软件著作权证 书</w:t>
      </w:r>
      <w:r>
        <w:rPr>
          <w:rFonts w:ascii="Times New Roman" w:hAnsi="Times New Roman" w:cs="Times New Roman" w:eastAsia="Times New Roman" w:hint="default"/>
        </w:rPr>
        <w:t>35</w:t>
      </w:r>
      <w:r>
        <w:rPr/>
        <w:t>件。</w:t>
      </w:r>
    </w:p>
    <w:p>
      <w:pPr>
        <w:pStyle w:val="BodyText"/>
        <w:spacing w:line="300" w:lineRule="auto" w:before="13"/>
        <w:ind w:right="84" w:firstLine="360"/>
        <w:jc w:val="left"/>
      </w:pPr>
      <w:r>
        <w:rPr/>
        <w:t>报告期内，公司研发投入的主要项目包括：海外客户定制的符合</w:t>
      </w:r>
      <w:r>
        <w:rPr>
          <w:rFonts w:ascii="Times New Roman" w:hAnsi="Times New Roman" w:cs="Times New Roman" w:eastAsia="Times New Roman" w:hint="default"/>
        </w:rPr>
        <w:t>PCI3.0</w:t>
      </w:r>
      <w:r>
        <w:rPr/>
        <w:t>标准的加密键盘、</w:t>
      </w:r>
      <w:r>
        <w:rPr>
          <w:rFonts w:ascii="Times New Roman" w:hAnsi="Times New Roman" w:cs="Times New Roman" w:eastAsia="Times New Roman" w:hint="default"/>
        </w:rPr>
        <w:t>EPP</w:t>
      </w:r>
      <w:r>
        <w:rPr/>
        <w:t>自动化测试系统平台、符 合</w:t>
      </w:r>
      <w:r>
        <w:rPr>
          <w:rFonts w:ascii="Times New Roman" w:hAnsi="Times New Roman" w:cs="Times New Roman" w:eastAsia="Times New Roman" w:hint="default"/>
        </w:rPr>
        <w:t>PCI/PBOC</w:t>
      </w:r>
      <w:r>
        <w:rPr/>
        <w:t>认证的键盘模组、符合</w:t>
      </w:r>
      <w:r>
        <w:rPr>
          <w:rFonts w:ascii="Times New Roman" w:hAnsi="Times New Roman" w:cs="Times New Roman" w:eastAsia="Times New Roman" w:hint="default"/>
        </w:rPr>
        <w:t>PCI3.0</w:t>
      </w:r>
      <w:r>
        <w:rPr/>
        <w:t>标准的加密键盘安全芯片、金融</w:t>
      </w:r>
      <w:r>
        <w:rPr>
          <w:rFonts w:ascii="Times New Roman" w:hAnsi="Times New Roman" w:cs="Times New Roman" w:eastAsia="Times New Roman" w:hint="default"/>
        </w:rPr>
        <w:t>POS</w:t>
      </w:r>
      <w:r>
        <w:rPr/>
        <w:t>和商业</w:t>
      </w:r>
      <w:r>
        <w:rPr>
          <w:rFonts w:ascii="Times New Roman" w:hAnsi="Times New Roman" w:cs="Times New Roman" w:eastAsia="Times New Roman" w:hint="default"/>
        </w:rPr>
        <w:t>POS</w:t>
      </w:r>
      <w:r>
        <w:rPr/>
        <w:t>相结合的智能型多媒体支付终端、 基于云计算的安全支付平台、移动支付智能终端等。</w:t>
      </w:r>
    </w:p>
    <w:p>
      <w:pPr>
        <w:spacing w:line="240" w:lineRule="auto" w:before="7"/>
        <w:rPr>
          <w:rFonts w:ascii="宋体" w:hAnsi="宋体" w:cs="宋体" w:eastAsia="宋体" w:hint="default"/>
          <w:sz w:val="23"/>
          <w:szCs w:val="23"/>
        </w:rPr>
      </w:pPr>
    </w:p>
    <w:p>
      <w:pPr>
        <w:pStyle w:val="Heading3"/>
        <w:spacing w:line="240" w:lineRule="auto"/>
        <w:ind w:right="84"/>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7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629,239,422.44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728,323,042.69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596,431,243.70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695,858,967.61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32,808,178.74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32,464,075.08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7,558,550.00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88,230.00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8,466.87%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53,645,700.46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24,158,794.32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122.05%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-46,087,150.46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-24,070,564.32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91.47%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425,669,672.00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516,505,799.41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360,656,871.04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6,994,200.59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65,012,800.96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-89.24%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-6,323,199.66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73,406,311.72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-108.61%</w:t>
            </w:r>
          </w:p>
        </w:tc>
      </w:tr>
    </w:tbl>
    <w:p>
      <w:pPr>
        <w:pStyle w:val="BodyText"/>
        <w:spacing w:line="240" w:lineRule="auto" w:before="51"/>
        <w:ind w:right="84"/>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spacing w:after="0" w:line="240" w:lineRule="auto"/>
        <w:jc w:val="left"/>
        <w:sectPr>
          <w:pgSz w:w="11910" w:h="16840"/>
          <w:pgMar w:header="747" w:footer="982" w:top="1060" w:bottom="1180" w:left="980" w:right="960"/>
        </w:sectPr>
      </w:pPr>
    </w:p>
    <w:p>
      <w:pPr>
        <w:spacing w:line="240" w:lineRule="auto" w:before="13"/>
        <w:rPr>
          <w:rFonts w:ascii="宋体" w:hAnsi="宋体" w:cs="宋体" w:eastAsia="宋体" w:hint="default"/>
          <w:sz w:val="25"/>
          <w:szCs w:val="25"/>
        </w:rPr>
      </w:pPr>
    </w:p>
    <w:p>
      <w:pPr>
        <w:pStyle w:val="BodyText"/>
        <w:spacing w:line="240" w:lineRule="auto" w:before="44"/>
        <w:ind w:left="153" w:right="90"/>
        <w:jc w:val="left"/>
      </w:pPr>
      <w:r>
        <w:rPr/>
        <w:t>√ 适用 □ 不适用</w:t>
      </w:r>
    </w:p>
    <w:p>
      <w:pPr>
        <w:pStyle w:val="BodyText"/>
        <w:spacing w:line="300" w:lineRule="auto" w:before="115"/>
        <w:ind w:left="153" w:right="90" w:firstLine="360"/>
        <w:jc w:val="left"/>
      </w:pPr>
      <w:r>
        <w:rPr>
          <w:spacing w:val="-1"/>
        </w:rPr>
        <w:t>（</w:t>
      </w:r>
      <w:r>
        <w:rPr>
          <w:rFonts w:ascii="Times New Roman" w:hAnsi="Times New Roman" w:cs="Times New Roman" w:eastAsia="Times New Roman" w:hint="default"/>
          <w:spacing w:val="-1"/>
        </w:rPr>
        <w:t>1</w:t>
      </w:r>
      <w:r>
        <w:rPr>
          <w:spacing w:val="-1"/>
        </w:rPr>
        <w:t>）报告期内公司经营活动现金流量流入、流出较上年同期分别下降</w:t>
      </w:r>
      <w:r>
        <w:rPr>
          <w:rFonts w:ascii="Times New Roman" w:hAnsi="Times New Roman" w:cs="Times New Roman" w:eastAsia="Times New Roman" w:hint="default"/>
          <w:spacing w:val="-1"/>
        </w:rPr>
        <w:t>13.60%</w:t>
      </w:r>
      <w:r>
        <w:rPr>
          <w:spacing w:val="-1"/>
        </w:rPr>
        <w:t>和</w:t>
      </w:r>
      <w:r>
        <w:rPr>
          <w:rFonts w:ascii="Times New Roman" w:hAnsi="Times New Roman" w:cs="Times New Roman" w:eastAsia="Times New Roman" w:hint="default"/>
          <w:spacing w:val="-1"/>
        </w:rPr>
        <w:t>14.29%</w:t>
      </w:r>
      <w:r>
        <w:rPr>
          <w:spacing w:val="-1"/>
        </w:rPr>
        <w:t>。主要原因系报告期内公司收入</w:t>
      </w:r>
      <w:r>
        <w:rPr/>
        <w:t> 规模减少所致；</w:t>
      </w:r>
    </w:p>
    <w:p>
      <w:pPr>
        <w:pStyle w:val="BodyText"/>
        <w:spacing w:line="240" w:lineRule="auto" w:before="31"/>
        <w:ind w:left="513" w:right="0"/>
        <w:jc w:val="left"/>
      </w:pPr>
      <w:r>
        <w:rPr>
          <w:spacing w:val="-2"/>
        </w:rPr>
        <w:t>（</w:t>
      </w:r>
      <w:r>
        <w:rPr>
          <w:rFonts w:ascii="Times New Roman" w:hAnsi="Times New Roman" w:cs="Times New Roman" w:eastAsia="Times New Roman" w:hint="default"/>
          <w:spacing w:val="-2"/>
        </w:rPr>
        <w:t>2</w:t>
      </w:r>
      <w:r>
        <w:rPr>
          <w:spacing w:val="-2"/>
        </w:rPr>
        <w:t>）报告期内投资活动现金流入较上年同期增加，主要原因系报告期内公司收到投资单位现金分红及当期政府补贴款；</w:t>
      </w:r>
    </w:p>
    <w:p>
      <w:pPr>
        <w:pStyle w:val="BodyText"/>
        <w:spacing w:line="240" w:lineRule="auto" w:before="62"/>
        <w:ind w:left="513" w:right="90"/>
        <w:jc w:val="left"/>
      </w:pPr>
      <w:r>
        <w:rPr/>
        <w:t>（</w:t>
      </w:r>
      <w:r>
        <w:rPr>
          <w:rFonts w:ascii="Times New Roman" w:hAnsi="Times New Roman" w:cs="Times New Roman" w:eastAsia="Times New Roman" w:hint="default"/>
        </w:rPr>
        <w:t>3</w:t>
      </w:r>
      <w:r>
        <w:rPr/>
        <w:t>）报告期内投资活动现金流出较上年同期增加</w:t>
      </w:r>
      <w:r>
        <w:rPr>
          <w:rFonts w:ascii="Times New Roman" w:hAnsi="Times New Roman" w:cs="Times New Roman" w:eastAsia="Times New Roman" w:hint="default"/>
        </w:rPr>
        <w:t>122.05%</w:t>
      </w:r>
      <w:r>
        <w:rPr/>
        <w:t>，主要原因系报告期内公司投入</w:t>
      </w:r>
      <w:r>
        <w:rPr>
          <w:rFonts w:ascii="Times New Roman" w:hAnsi="Times New Roman" w:cs="Times New Roman" w:eastAsia="Times New Roman" w:hint="default"/>
        </w:rPr>
        <w:t>EMC</w:t>
      </w:r>
      <w:r>
        <w:rPr/>
        <w:t>项目支付工程款所致；</w:t>
      </w:r>
    </w:p>
    <w:p>
      <w:pPr>
        <w:pStyle w:val="BodyText"/>
        <w:spacing w:line="240" w:lineRule="auto" w:before="62"/>
        <w:ind w:left="513" w:right="90"/>
        <w:jc w:val="left"/>
      </w:pPr>
      <w:r>
        <w:rPr/>
        <w:t>（</w:t>
      </w:r>
      <w:r>
        <w:rPr>
          <w:rFonts w:ascii="Times New Roman" w:hAnsi="Times New Roman" w:cs="Times New Roman" w:eastAsia="Times New Roman" w:hint="default"/>
        </w:rPr>
        <w:t>4</w:t>
      </w:r>
      <w:r>
        <w:rPr/>
        <w:t>）报告期内公司筹资活动现金流入较上年同期增加</w:t>
      </w:r>
      <w:r>
        <w:rPr>
          <w:rFonts w:ascii="Times New Roman" w:hAnsi="Times New Roman" w:cs="Times New Roman" w:eastAsia="Times New Roman" w:hint="default"/>
        </w:rPr>
        <w:t>22.98%</w:t>
      </w:r>
      <w:r>
        <w:rPr/>
        <w:t>，主要原因系报告期内公司银行借款增加；</w:t>
      </w:r>
    </w:p>
    <w:p>
      <w:pPr>
        <w:pStyle w:val="BodyText"/>
        <w:spacing w:line="300" w:lineRule="auto" w:before="62"/>
        <w:ind w:left="153" w:right="90" w:firstLine="360"/>
        <w:jc w:val="left"/>
      </w:pPr>
      <w:r>
        <w:rPr>
          <w:spacing w:val="-1"/>
        </w:rPr>
        <w:t>（</w:t>
      </w:r>
      <w:r>
        <w:rPr>
          <w:rFonts w:ascii="Times New Roman" w:hAnsi="Times New Roman" w:cs="Times New Roman" w:eastAsia="Times New Roman" w:hint="default"/>
          <w:spacing w:val="-1"/>
        </w:rPr>
        <w:t>5</w:t>
      </w:r>
      <w:r>
        <w:rPr>
          <w:spacing w:val="-1"/>
        </w:rPr>
        <w:t>）报告期内公司筹资活动现金流出较上年同期增加</w:t>
      </w:r>
      <w:r>
        <w:rPr>
          <w:rFonts w:ascii="Times New Roman" w:hAnsi="Times New Roman" w:cs="Times New Roman" w:eastAsia="Times New Roman" w:hint="default"/>
          <w:spacing w:val="-1"/>
        </w:rPr>
        <w:t>43.21%</w:t>
      </w:r>
      <w:r>
        <w:rPr>
          <w:spacing w:val="-1"/>
        </w:rPr>
        <w:t>，主要原因系报告期内公司偿还银行借款及本年度实施利</w:t>
      </w:r>
      <w:r>
        <w:rPr/>
        <w:t> 润分配；</w:t>
      </w:r>
    </w:p>
    <w:p>
      <w:pPr>
        <w:pStyle w:val="BodyText"/>
        <w:spacing w:line="240" w:lineRule="auto" w:before="72"/>
        <w:ind w:left="153" w:right="90"/>
        <w:jc w:val="left"/>
      </w:pPr>
      <w:r>
        <w:rPr/>
        <w:t>报告期内公司经营活动的现金流量与本年度净利润存在重大差异的原因说明</w:t>
      </w:r>
    </w:p>
    <w:p>
      <w:pPr>
        <w:pStyle w:val="BodyText"/>
        <w:spacing w:line="240" w:lineRule="auto" w:before="117"/>
        <w:ind w:left="153" w:right="9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90"/>
        <w:jc w:val="left"/>
        <w:rPr>
          <w:b w:val="0"/>
          <w:bCs w:val="0"/>
        </w:rPr>
      </w:pPr>
      <w:r>
        <w:rPr/>
        <w:t>三、主营业务构成情况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3" w:right="47" w:hanging="16"/>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4" w:right="47" w:hanging="16"/>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56" w:right="48" w:hanging="105"/>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467,202,743.10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292,981,667.86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照明电子</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46,812,403.73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31,460,910.41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车载行业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4,521,591.10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4,131,124.19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64,647,459.02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44,955,116.76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234.76%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-28.37%</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467,202,743.10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292,981,667.86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照明电子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46,812,403.73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31,460,910.41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车载行业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4,521,591.10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4,131,124.19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64,647,459.02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44,955,116.76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234.76%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-28.37%</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507,831,632.53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344,491,865.80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0.62%</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75,352,564.42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29,036,953.42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w:t>
            </w:r>
          </w:p>
        </w:tc>
      </w:tr>
    </w:tbl>
    <w:p>
      <w:pPr>
        <w:pStyle w:val="BodyText"/>
        <w:spacing w:line="240" w:lineRule="auto" w:before="51"/>
        <w:ind w:right="9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left="153" w:right="9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0"/>
        <w:jc w:val="left"/>
        <w:rPr>
          <w:b w:val="0"/>
          <w:bCs w:val="0"/>
        </w:rPr>
      </w:pPr>
      <w:r>
        <w:rPr/>
        <w:t>四、资产、负债状况分析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260"/>
        <w:gridCol w:w="1063"/>
        <w:gridCol w:w="1195"/>
        <w:gridCol w:w="1063"/>
        <w:gridCol w:w="798"/>
        <w:gridCol w:w="291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3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2"/>
              <w:ind w:left="75" w:right="0"/>
              <w:jc w:val="left"/>
              <w:rPr>
                <w:rFonts w:ascii="宋体" w:hAnsi="宋体" w:cs="宋体" w:eastAsia="宋体" w:hint="default"/>
                <w:sz w:val="18"/>
                <w:szCs w:val="18"/>
              </w:rPr>
            </w:pPr>
            <w:r>
              <w:rPr>
                <w:rFonts w:ascii="宋体" w:hAnsi="宋体" w:cs="宋体" w:eastAsia="宋体" w:hint="default"/>
                <w:sz w:val="18"/>
                <w:szCs w:val="18"/>
              </w:rPr>
              <w:t>占总资产比</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2"/>
              <w:ind w:left="75" w:right="0"/>
              <w:jc w:val="left"/>
              <w:rPr>
                <w:rFonts w:ascii="宋体" w:hAnsi="宋体" w:cs="宋体" w:eastAsia="宋体" w:hint="default"/>
                <w:sz w:val="18"/>
                <w:szCs w:val="18"/>
              </w:rPr>
            </w:pPr>
            <w:r>
              <w:rPr>
                <w:rFonts w:ascii="宋体" w:hAnsi="宋体" w:cs="宋体" w:eastAsia="宋体" w:hint="default"/>
                <w:sz w:val="18"/>
                <w:szCs w:val="18"/>
              </w:rPr>
              <w:t>占总资产比</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5"/>
        <w:gridCol w:w="1272"/>
        <w:gridCol w:w="1063"/>
        <w:gridCol w:w="1195"/>
        <w:gridCol w:w="1063"/>
        <w:gridCol w:w="798"/>
        <w:gridCol w:w="2918"/>
      </w:tblGrid>
      <w:tr>
        <w:trPr>
          <w:trHeight w:val="36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81" w:right="0"/>
              <w:jc w:val="left"/>
              <w:rPr>
                <w:rFonts w:ascii="宋体" w:hAnsi="宋体" w:cs="宋体" w:eastAsia="宋体"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81" w:right="0"/>
              <w:jc w:val="left"/>
              <w:rPr>
                <w:rFonts w:ascii="宋体" w:hAnsi="宋体" w:cs="宋体" w:eastAsia="宋体"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179,550,268.21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170,394,685.91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2"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283,480,718.03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9" w:right="0"/>
              <w:jc w:val="left"/>
              <w:rPr>
                <w:rFonts w:ascii="Times New Roman" w:hAnsi="Times New Roman" w:cs="Times New Roman" w:eastAsia="Times New Roman" w:hint="default"/>
                <w:sz w:val="18"/>
                <w:szCs w:val="18"/>
              </w:rPr>
            </w:pPr>
            <w:r>
              <w:rPr>
                <w:rFonts w:ascii="Times New Roman"/>
                <w:sz w:val="18"/>
              </w:rPr>
              <w:t>25%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238,981,116.20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22.41%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2.59%</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主要是当期销售形成的应收账款未 能及时回收</w:t>
            </w:r>
          </w:p>
        </w:tc>
      </w:tr>
      <w:tr>
        <w:trPr>
          <w:trHeight w:val="392" w:hRule="exact"/>
        </w:trPr>
        <w:tc>
          <w:tcPr>
            <w:tcW w:w="13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2" w:type="dxa"/>
            <w:vMerge/>
            <w:tcBorders>
              <w:left w:val="single" w:sz="10"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3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2" w:type="dxa"/>
            <w:vMerge/>
            <w:tcBorders>
              <w:left w:val="single" w:sz="10"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202,671,209.43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264,130,438.88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主要是报告期末发出商品减少</w:t>
            </w: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48,257,764.16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49,516,321.58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2"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31,421,067.14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3" w:right="0"/>
              <w:jc w:val="left"/>
              <w:rPr>
                <w:rFonts w:ascii="Times New Roman" w:hAnsi="Times New Roman" w:cs="Times New Roman" w:eastAsia="Times New Roman" w:hint="default"/>
                <w:sz w:val="18"/>
                <w:szCs w:val="18"/>
              </w:rPr>
            </w:pPr>
            <w:r>
              <w:rPr>
                <w:rFonts w:ascii="Times New Roman"/>
                <w:sz w:val="18"/>
              </w:rPr>
              <w:t>2.77%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25,845,258.86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3" w:right="0"/>
              <w:jc w:val="left"/>
              <w:rPr>
                <w:rFonts w:ascii="Times New Roman" w:hAnsi="Times New Roman" w:cs="Times New Roman" w:eastAsia="Times New Roman" w:hint="default"/>
                <w:sz w:val="18"/>
                <w:szCs w:val="18"/>
              </w:rPr>
            </w:pPr>
            <w:r>
              <w:rPr>
                <w:rFonts w:ascii="Times New Roman"/>
                <w:sz w:val="18"/>
              </w:rPr>
              <w:t>2.42%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0.35%</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主要是报告期内通过对通新源增资 建设公司总部及研发中心</w:t>
            </w:r>
          </w:p>
        </w:tc>
      </w:tr>
      <w:tr>
        <w:trPr>
          <w:trHeight w:val="392" w:hRule="exact"/>
        </w:trPr>
        <w:tc>
          <w:tcPr>
            <w:tcW w:w="13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72" w:type="dxa"/>
            <w:vMerge/>
            <w:tcBorders>
              <w:left w:val="single" w:sz="10"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3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2" w:type="dxa"/>
            <w:vMerge/>
            <w:tcBorders>
              <w:left w:val="single" w:sz="10"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172,883,366.49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172,328,524.03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2"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16,235,093.44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3" w:right="0"/>
              <w:jc w:val="left"/>
              <w:rPr>
                <w:rFonts w:ascii="Times New Roman" w:hAnsi="Times New Roman" w:cs="Times New Roman" w:eastAsia="Times New Roman" w:hint="default"/>
                <w:sz w:val="18"/>
                <w:szCs w:val="18"/>
              </w:rPr>
            </w:pPr>
            <w:r>
              <w:rPr>
                <w:rFonts w:ascii="Times New Roman"/>
                <w:sz w:val="18"/>
              </w:rPr>
              <w:t>1.43%</w:t>
            </w:r>
          </w:p>
        </w:tc>
        <w:tc>
          <w:tcPr>
            <w:tcW w:w="1195"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1.43%</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主要是当期公司合同能源管理项目 在建工程增加</w:t>
            </w:r>
          </w:p>
        </w:tc>
      </w:tr>
      <w:tr>
        <w:trPr>
          <w:trHeight w:val="392" w:hRule="exact"/>
        </w:trPr>
        <w:tc>
          <w:tcPr>
            <w:tcW w:w="13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72" w:type="dxa"/>
            <w:vMerge/>
            <w:tcBorders>
              <w:left w:val="single" w:sz="10"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3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2" w:type="dxa"/>
            <w:vMerge/>
            <w:tcBorders>
              <w:left w:val="single" w:sz="10"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9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283"/>
        <w:gridCol w:w="1040"/>
        <w:gridCol w:w="1219"/>
        <w:gridCol w:w="1051"/>
        <w:gridCol w:w="799"/>
        <w:gridCol w:w="2918"/>
      </w:tblGrid>
      <w:tr>
        <w:trPr>
          <w:trHeight w:val="200" w:hRule="exact"/>
        </w:trPr>
        <w:tc>
          <w:tcPr>
            <w:tcW w:w="1345" w:type="dxa"/>
            <w:vMerge w:val="restart"/>
            <w:tcBorders>
              <w:top w:val="single" w:sz="4" w:space="0" w:color="000000"/>
              <w:left w:val="single" w:sz="4" w:space="0" w:color="000000"/>
              <w:right w:val="single" w:sz="4" w:space="0" w:color="000000"/>
            </w:tcBorders>
            <w:shd w:val="clear" w:color="auto" w:fill="D3D3D3"/>
          </w:tcPr>
          <w:p>
            <w:pPr/>
          </w:p>
        </w:tc>
        <w:tc>
          <w:tcPr>
            <w:tcW w:w="232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7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2918" w:type="dxa"/>
            <w:vMerge w:val="restart"/>
            <w:tcBorders>
              <w:top w:val="single" w:sz="4" w:space="0" w:color="000000"/>
              <w:left w:val="single" w:sz="4" w:space="0" w:color="000000"/>
              <w:right w:val="single" w:sz="4" w:space="0" w:color="000000"/>
            </w:tcBorders>
            <w:shd w:val="clear" w:color="auto" w:fill="D3D3D3"/>
          </w:tcPr>
          <w:p>
            <w:pPr/>
          </w:p>
        </w:tc>
      </w:tr>
      <w:tr>
        <w:trPr>
          <w:trHeight w:val="179" w:hRule="exact"/>
        </w:trPr>
        <w:tc>
          <w:tcPr>
            <w:tcW w:w="1345" w:type="dxa"/>
            <w:vMerge/>
            <w:tcBorders>
              <w:left w:val="single" w:sz="4" w:space="0" w:color="000000"/>
              <w:bottom w:val="nil" w:sz="6" w:space="0" w:color="auto"/>
              <w:right w:val="single" w:sz="4" w:space="0" w:color="000000"/>
            </w:tcBorders>
            <w:shd w:val="clear" w:color="auto" w:fill="D3D3D3"/>
          </w:tcPr>
          <w:p>
            <w:pPr/>
          </w:p>
        </w:tc>
        <w:tc>
          <w:tcPr>
            <w:tcW w:w="2323" w:type="dxa"/>
            <w:gridSpan w:val="2"/>
            <w:vMerge/>
            <w:tcBorders>
              <w:left w:val="single" w:sz="4" w:space="0" w:color="000000"/>
              <w:bottom w:val="single" w:sz="4" w:space="0" w:color="000000"/>
              <w:right w:val="single" w:sz="4" w:space="0" w:color="000000"/>
            </w:tcBorders>
            <w:shd w:val="clear" w:color="auto" w:fill="D3D3D3"/>
          </w:tcPr>
          <w:p>
            <w:pPr/>
          </w:p>
        </w:tc>
        <w:tc>
          <w:tcPr>
            <w:tcW w:w="2270" w:type="dxa"/>
            <w:gridSpan w:val="2"/>
            <w:vMerge/>
            <w:tcBorders>
              <w:left w:val="single" w:sz="4" w:space="0" w:color="000000"/>
              <w:bottom w:val="single" w:sz="4" w:space="0" w:color="000000"/>
              <w:right w:val="single" w:sz="4" w:space="0" w:color="000000"/>
            </w:tcBorders>
            <w:shd w:val="clear" w:color="auto" w:fill="D3D3D3"/>
          </w:tcPr>
          <w:p>
            <w:pPr/>
          </w:p>
        </w:tc>
        <w:tc>
          <w:tcPr>
            <w:tcW w:w="79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vMerge/>
            <w:tcBorders>
              <w:left w:val="single" w:sz="4" w:space="0" w:color="000000"/>
              <w:bottom w:val="nil" w:sz="6" w:space="0" w:color="auto"/>
              <w:right w:val="single" w:sz="4" w:space="0" w:color="000000"/>
            </w:tcBorders>
            <w:shd w:val="clear" w:color="auto" w:fill="D3D3D3"/>
          </w:tcPr>
          <w:p>
            <w:pPr/>
          </w:p>
        </w:tc>
      </w:tr>
      <w:tr>
        <w:trPr>
          <w:trHeight w:val="183" w:hRule="exact"/>
        </w:trPr>
        <w:tc>
          <w:tcPr>
            <w:tcW w:w="1345" w:type="dxa"/>
            <w:vMerge w:val="restart"/>
            <w:tcBorders>
              <w:top w:val="nil" w:sz="6" w:space="0" w:color="auto"/>
              <w:left w:val="single" w:sz="4" w:space="0" w:color="000000"/>
              <w:right w:val="single" w:sz="4" w:space="0" w:color="000000"/>
            </w:tcBorders>
            <w:shd w:val="clear" w:color="auto" w:fill="D3D3D3"/>
          </w:tcPr>
          <w:p>
            <w:pPr/>
          </w:p>
        </w:tc>
        <w:tc>
          <w:tcPr>
            <w:tcW w:w="1283" w:type="dxa"/>
            <w:tcBorders>
              <w:top w:val="single" w:sz="4" w:space="0" w:color="000000"/>
              <w:left w:val="single" w:sz="4" w:space="0" w:color="000000"/>
              <w:bottom w:val="nil" w:sz="6" w:space="0" w:color="auto"/>
              <w:right w:val="single" w:sz="4" w:space="0" w:color="000000"/>
            </w:tcBorders>
            <w:shd w:val="clear" w:color="auto" w:fill="D3D3D3"/>
          </w:tcPr>
          <w:p>
            <w:pPr/>
          </w:p>
        </w:tc>
        <w:tc>
          <w:tcPr>
            <w:tcW w:w="104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4"/>
              <w:ind w:left="169" w:right="6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19" w:type="dxa"/>
            <w:tcBorders>
              <w:top w:val="single" w:sz="4" w:space="0" w:color="000000"/>
              <w:left w:val="single" w:sz="4" w:space="0" w:color="000000"/>
              <w:bottom w:val="nil" w:sz="6" w:space="0" w:color="auto"/>
              <w:right w:val="single" w:sz="4" w:space="0" w:color="000000"/>
            </w:tcBorders>
            <w:shd w:val="clear" w:color="auto" w:fill="D3D3D3"/>
          </w:tcPr>
          <w:p>
            <w:pPr/>
          </w:p>
        </w:tc>
        <w:tc>
          <w:tcPr>
            <w:tcW w:w="105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4"/>
              <w:ind w:left="169"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3D3D3"/>
          </w:tcPr>
          <w:p>
            <w:pPr/>
          </w:p>
        </w:tc>
        <w:tc>
          <w:tcPr>
            <w:tcW w:w="291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6" w:hRule="exact"/>
        </w:trPr>
        <w:tc>
          <w:tcPr>
            <w:tcW w:w="1345" w:type="dxa"/>
            <w:vMerge/>
            <w:tcBorders>
              <w:left w:val="single" w:sz="4" w:space="0" w:color="000000"/>
              <w:bottom w:val="nil" w:sz="6" w:space="0" w:color="auto"/>
              <w:right w:val="single" w:sz="4" w:space="0" w:color="000000"/>
            </w:tcBorders>
            <w:shd w:val="clear" w:color="auto" w:fill="D3D3D3"/>
          </w:tcPr>
          <w:p>
            <w:pPr/>
          </w:p>
        </w:tc>
        <w:tc>
          <w:tcPr>
            <w:tcW w:w="12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40" w:type="dxa"/>
            <w:vMerge/>
            <w:tcBorders>
              <w:left w:val="single" w:sz="4" w:space="0" w:color="000000"/>
              <w:right w:val="single" w:sz="4" w:space="0" w:color="000000"/>
            </w:tcBorders>
            <w:shd w:val="clear" w:color="auto" w:fill="D3D3D3"/>
          </w:tcPr>
          <w:p>
            <w:pPr/>
          </w:p>
        </w:tc>
        <w:tc>
          <w:tcPr>
            <w:tcW w:w="121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2918" w:type="dxa"/>
            <w:vMerge/>
            <w:tcBorders>
              <w:left w:val="single" w:sz="4" w:space="0" w:color="000000"/>
              <w:bottom w:val="nil" w:sz="6" w:space="0" w:color="auto"/>
              <w:right w:val="single" w:sz="4" w:space="0" w:color="000000"/>
            </w:tcBorders>
            <w:shd w:val="clear" w:color="auto" w:fill="D3D3D3"/>
          </w:tcPr>
          <w:p>
            <w:pPr/>
          </w:p>
        </w:tc>
      </w:tr>
      <w:tr>
        <w:trPr>
          <w:trHeight w:val="181" w:hRule="exact"/>
        </w:trPr>
        <w:tc>
          <w:tcPr>
            <w:tcW w:w="1345" w:type="dxa"/>
            <w:vMerge w:val="restart"/>
            <w:tcBorders>
              <w:top w:val="nil" w:sz="6" w:space="0" w:color="auto"/>
              <w:left w:val="single" w:sz="4" w:space="0" w:color="000000"/>
              <w:right w:val="single" w:sz="4" w:space="0" w:color="000000"/>
            </w:tcBorders>
            <w:shd w:val="clear" w:color="auto" w:fill="D3D3D3"/>
          </w:tcPr>
          <w:p>
            <w:pPr/>
          </w:p>
        </w:tc>
        <w:tc>
          <w:tcPr>
            <w:tcW w:w="1283" w:type="dxa"/>
            <w:vMerge/>
            <w:tcBorders>
              <w:left w:val="single" w:sz="4" w:space="0" w:color="000000"/>
              <w:bottom w:val="nil" w:sz="6" w:space="0" w:color="auto"/>
              <w:right w:val="single" w:sz="4" w:space="0" w:color="000000"/>
            </w:tcBorders>
            <w:shd w:val="clear" w:color="auto" w:fill="D3D3D3"/>
          </w:tcPr>
          <w:p>
            <w:pPr/>
          </w:p>
        </w:tc>
        <w:tc>
          <w:tcPr>
            <w:tcW w:w="1040"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bottom w:val="nil" w:sz="6" w:space="0" w:color="auto"/>
              <w:right w:val="single" w:sz="4" w:space="0" w:color="000000"/>
            </w:tcBorders>
            <w:shd w:val="clear" w:color="auto" w:fill="D3D3D3"/>
          </w:tcPr>
          <w:p>
            <w:pPr/>
          </w:p>
        </w:tc>
        <w:tc>
          <w:tcPr>
            <w:tcW w:w="1051" w:type="dxa"/>
            <w:vMerge/>
            <w:tcBorders>
              <w:left w:val="single" w:sz="4" w:space="0" w:color="000000"/>
              <w:right w:val="single" w:sz="4" w:space="0" w:color="000000"/>
            </w:tcBorders>
            <w:shd w:val="clear" w:color="auto" w:fill="D3D3D3"/>
          </w:tcPr>
          <w:p>
            <w:pPr/>
          </w:p>
        </w:tc>
        <w:tc>
          <w:tcPr>
            <w:tcW w:w="799" w:type="dxa"/>
            <w:vMerge/>
            <w:tcBorders>
              <w:left w:val="single" w:sz="4" w:space="0" w:color="000000"/>
              <w:bottom w:val="nil" w:sz="6" w:space="0" w:color="auto"/>
              <w:right w:val="single" w:sz="4" w:space="0" w:color="000000"/>
            </w:tcBorders>
            <w:shd w:val="clear" w:color="auto" w:fill="D3D3D3"/>
          </w:tcPr>
          <w:p>
            <w:pPr/>
          </w:p>
        </w:tc>
        <w:tc>
          <w:tcPr>
            <w:tcW w:w="2918" w:type="dxa"/>
            <w:vMerge w:val="restart"/>
            <w:tcBorders>
              <w:top w:val="nil" w:sz="6" w:space="0" w:color="auto"/>
              <w:left w:val="single" w:sz="4" w:space="0" w:color="000000"/>
              <w:right w:val="single" w:sz="4" w:space="0" w:color="000000"/>
            </w:tcBorders>
            <w:shd w:val="clear" w:color="auto" w:fill="D3D3D3"/>
          </w:tcPr>
          <w:p>
            <w:pPr/>
          </w:p>
        </w:tc>
      </w:tr>
      <w:tr>
        <w:trPr>
          <w:trHeight w:val="174" w:hRule="exact"/>
        </w:trPr>
        <w:tc>
          <w:tcPr>
            <w:tcW w:w="1345" w:type="dxa"/>
            <w:vMerge/>
            <w:tcBorders>
              <w:left w:val="single" w:sz="4" w:space="0" w:color="000000"/>
              <w:bottom w:val="single" w:sz="4" w:space="0" w:color="000000"/>
              <w:right w:val="single" w:sz="4" w:space="0" w:color="000000"/>
            </w:tcBorders>
            <w:shd w:val="clear" w:color="auto" w:fill="D3D3D3"/>
          </w:tcPr>
          <w:p>
            <w:pPr/>
          </w:p>
        </w:tc>
        <w:tc>
          <w:tcPr>
            <w:tcW w:w="1283" w:type="dxa"/>
            <w:tcBorders>
              <w:top w:val="nil" w:sz="6" w:space="0" w:color="auto"/>
              <w:left w:val="single" w:sz="4" w:space="0" w:color="000000"/>
              <w:bottom w:val="single" w:sz="4" w:space="0" w:color="000000"/>
              <w:right w:val="single" w:sz="4" w:space="0" w:color="000000"/>
            </w:tcBorders>
            <w:shd w:val="clear" w:color="auto" w:fill="D3D3D3"/>
          </w:tcPr>
          <w:p>
            <w:pPr/>
          </w:p>
        </w:tc>
        <w:tc>
          <w:tcPr>
            <w:tcW w:w="1040" w:type="dxa"/>
            <w:vMerge/>
            <w:tcBorders>
              <w:left w:val="single" w:sz="4" w:space="0" w:color="000000"/>
              <w:bottom w:val="single" w:sz="4" w:space="0" w:color="000000"/>
              <w:right w:val="single" w:sz="4" w:space="0" w:color="000000"/>
            </w:tcBorders>
            <w:shd w:val="clear" w:color="auto" w:fill="D3D3D3"/>
          </w:tcPr>
          <w:p>
            <w:pPr/>
          </w:p>
        </w:tc>
        <w:tc>
          <w:tcPr>
            <w:tcW w:w="1219" w:type="dxa"/>
            <w:tcBorders>
              <w:top w:val="nil" w:sz="6" w:space="0" w:color="auto"/>
              <w:left w:val="single" w:sz="4" w:space="0" w:color="000000"/>
              <w:bottom w:val="single" w:sz="4" w:space="0" w:color="000000"/>
              <w:right w:val="single" w:sz="4" w:space="0" w:color="000000"/>
            </w:tcBorders>
            <w:shd w:val="clear" w:color="auto" w:fill="D3D3D3"/>
          </w:tcPr>
          <w:p>
            <w:pPr/>
          </w:p>
        </w:tc>
        <w:tc>
          <w:tcPr>
            <w:tcW w:w="1051" w:type="dxa"/>
            <w:vMerge/>
            <w:tcBorders>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1283"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375,000,000.00</w:t>
            </w:r>
          </w:p>
        </w:tc>
        <w:tc>
          <w:tcPr>
            <w:tcW w:w="10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2" w:right="0"/>
              <w:jc w:val="left"/>
              <w:rPr>
                <w:rFonts w:ascii="Times New Roman" w:hAnsi="Times New Roman" w:cs="Times New Roman" w:eastAsia="Times New Roman" w:hint="default"/>
                <w:sz w:val="18"/>
                <w:szCs w:val="18"/>
              </w:rPr>
            </w:pPr>
            <w:r>
              <w:rPr>
                <w:rFonts w:ascii="Times New Roman"/>
                <w:sz w:val="18"/>
              </w:rPr>
              <w:t>33.07%</w:t>
            </w:r>
          </w:p>
        </w:tc>
        <w:tc>
          <w:tcPr>
            <w:tcW w:w="12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310,000,000.00</w:t>
            </w:r>
          </w:p>
        </w:tc>
        <w:tc>
          <w:tcPr>
            <w:tcW w:w="10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2" w:right="0"/>
              <w:jc w:val="left"/>
              <w:rPr>
                <w:rFonts w:ascii="Times New Roman" w:hAnsi="Times New Roman" w:cs="Times New Roman" w:eastAsia="Times New Roman" w:hint="default"/>
                <w:sz w:val="18"/>
                <w:szCs w:val="18"/>
              </w:rPr>
            </w:pPr>
            <w:r>
              <w:rPr>
                <w:rFonts w:ascii="Times New Roman"/>
                <w:sz w:val="18"/>
              </w:rPr>
              <w:t>29.07%</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主要是当期生产经营需要导致银行 借款增加</w:t>
            </w:r>
          </w:p>
        </w:tc>
      </w:tr>
      <w:tr>
        <w:trPr>
          <w:trHeight w:val="392" w:hRule="exact"/>
        </w:trPr>
        <w:tc>
          <w:tcPr>
            <w:tcW w:w="13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83" w:type="dxa"/>
            <w:vMerge/>
            <w:tcBorders>
              <w:left w:val="single" w:sz="10" w:space="0" w:color="D3D3D3"/>
              <w:right w:val="single" w:sz="4" w:space="0" w:color="000000"/>
            </w:tcBorders>
          </w:tcPr>
          <w:p>
            <w:pPr/>
          </w:p>
        </w:tc>
        <w:tc>
          <w:tcPr>
            <w:tcW w:w="1040"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105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3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283" w:type="dxa"/>
            <w:vMerge/>
            <w:tcBorders>
              <w:left w:val="single" w:sz="10" w:space="0" w:color="D3D3D3"/>
              <w:bottom w:val="single" w:sz="4" w:space="0" w:color="000000"/>
              <w:right w:val="single" w:sz="4" w:space="0" w:color="000000"/>
            </w:tcBorders>
          </w:tcPr>
          <w:p>
            <w:pPr/>
          </w:p>
        </w:tc>
        <w:tc>
          <w:tcPr>
            <w:tcW w:w="1040" w:type="dxa"/>
            <w:vMerge/>
            <w:tcBorders>
              <w:left w:val="single" w:sz="4" w:space="0" w:color="000000"/>
              <w:bottom w:val="single" w:sz="4" w:space="0" w:color="000000"/>
              <w:right w:val="single" w:sz="4" w:space="0" w:color="000000"/>
            </w:tcBorders>
          </w:tcPr>
          <w:p>
            <w:pPr/>
          </w:p>
        </w:tc>
        <w:tc>
          <w:tcPr>
            <w:tcW w:w="1219"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90"/>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850"/>
        <w:jc w:val="left"/>
      </w:pPr>
      <w:r>
        <w:rPr/>
        <w:t>无 报告期内公司主要资产计量属性是否发生重大变化</w:t>
      </w:r>
    </w:p>
    <w:p>
      <w:pPr>
        <w:pStyle w:val="BodyText"/>
        <w:spacing w:line="240" w:lineRule="auto" w:before="27"/>
        <w:ind w:left="153" w:right="90"/>
        <w:jc w:val="left"/>
      </w:pPr>
      <w:r>
        <w:rPr/>
        <w:t>□ 是 √ 否</w:t>
      </w:r>
    </w:p>
    <w:p>
      <w:pPr>
        <w:spacing w:line="240" w:lineRule="auto" w:before="1"/>
        <w:rPr>
          <w:rFonts w:ascii="宋体" w:hAnsi="宋体" w:cs="宋体" w:eastAsia="宋体" w:hint="default"/>
          <w:sz w:val="25"/>
          <w:szCs w:val="25"/>
        </w:rPr>
      </w:pPr>
    </w:p>
    <w:p>
      <w:pPr>
        <w:pStyle w:val="Heading2"/>
        <w:spacing w:line="240" w:lineRule="auto"/>
        <w:ind w:right="90"/>
        <w:jc w:val="left"/>
        <w:rPr>
          <w:b w:val="0"/>
          <w:bCs w:val="0"/>
        </w:rPr>
      </w:pPr>
      <w:r>
        <w:rPr/>
        <w:t>五、核心竞争力分析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pPr>
      <w:r>
        <w:rPr/>
        <w:t>报告期内，公司核心竞争力未发生重大变化。</w:t>
      </w:r>
    </w:p>
    <w:p>
      <w:pPr>
        <w:pStyle w:val="BodyText"/>
        <w:spacing w:line="300" w:lineRule="auto" w:before="76"/>
        <w:ind w:left="513" w:right="90"/>
        <w:jc w:val="left"/>
      </w:pPr>
      <w:r>
        <w:rPr>
          <w:rFonts w:ascii="Times New Roman" w:hAnsi="Times New Roman" w:cs="Times New Roman" w:eastAsia="Times New Roman" w:hint="default"/>
        </w:rPr>
        <w:t>1</w:t>
      </w:r>
      <w:r>
        <w:rPr/>
        <w:t>、研发和技术优势 </w:t>
      </w:r>
      <w:r>
        <w:rPr>
          <w:spacing w:val="-2"/>
        </w:rPr>
        <w:t>证通电子是国内最早生产金融电子支付设备的高新技术企业之一，具有较强研发技术优势。截至目前公司共获得国家专</w:t>
      </w:r>
    </w:p>
    <w:p>
      <w:pPr>
        <w:pStyle w:val="BodyText"/>
        <w:spacing w:line="300" w:lineRule="auto" w:before="31"/>
        <w:ind w:left="153" w:right="90"/>
        <w:jc w:val="left"/>
      </w:pPr>
      <w:r>
        <w:rPr>
          <w:spacing w:val="-2"/>
        </w:rPr>
        <w:t>利</w:t>
      </w:r>
      <w:r>
        <w:rPr>
          <w:rFonts w:ascii="Times New Roman" w:hAnsi="Times New Roman" w:cs="Times New Roman" w:eastAsia="Times New Roman" w:hint="default"/>
          <w:spacing w:val="-2"/>
        </w:rPr>
        <w:t>135</w:t>
      </w:r>
      <w:r>
        <w:rPr>
          <w:spacing w:val="-2"/>
        </w:rPr>
        <w:t>项（其中发明专利</w:t>
      </w:r>
      <w:r>
        <w:rPr>
          <w:rFonts w:ascii="Times New Roman" w:hAnsi="Times New Roman" w:cs="Times New Roman" w:eastAsia="Times New Roman" w:hint="default"/>
          <w:spacing w:val="-2"/>
        </w:rPr>
        <w:t>11</w:t>
      </w:r>
      <w:r>
        <w:rPr>
          <w:spacing w:val="-2"/>
        </w:rPr>
        <w:t>项）；同时发行人十多年来积累了丰富的技术诀窍和专有技术，拥有多项能够大幅提高生产效率、</w:t>
      </w:r>
      <w:r>
        <w:rPr>
          <w:spacing w:val="-60"/>
        </w:rPr>
        <w:t> </w:t>
      </w:r>
      <w:r>
        <w:rPr>
          <w:spacing w:val="-60"/>
        </w:rPr>
      </w:r>
      <w:r>
        <w:rPr/>
        <w:t>降低生产成本的非专利技术，为准确快速制定应用方案、快捷提供优质产品提供了保障。</w:t>
      </w:r>
    </w:p>
    <w:p>
      <w:pPr>
        <w:pStyle w:val="BodyText"/>
        <w:spacing w:line="316" w:lineRule="auto" w:before="31"/>
        <w:ind w:left="153" w:right="189" w:firstLine="360"/>
        <w:jc w:val="both"/>
      </w:pPr>
      <w:r>
        <w:rPr>
          <w:spacing w:val="-2"/>
        </w:rPr>
        <w:t>公司为国家级高新技术企业，拥有深圳市市级研究开发中心；国家商用密码产品研发、生产、销售定点单位；国家高技</w:t>
      </w:r>
      <w:r>
        <w:rPr/>
        <w:t> </w:t>
      </w:r>
      <w:r>
        <w:rPr>
          <w:spacing w:val="-2"/>
        </w:rPr>
        <w:t>术产业化发展项目示范单位；国家金融支付信息安全产品产业化基地。发行人与同行业其他企业相比，在核心技术、知识产</w:t>
      </w:r>
      <w:r>
        <w:rPr>
          <w:spacing w:val="-66"/>
        </w:rPr>
        <w:t> </w:t>
      </w:r>
      <w:r>
        <w:rPr>
          <w:spacing w:val="-66"/>
        </w:rPr>
      </w:r>
      <w:r>
        <w:rPr/>
        <w:t>权等方面具有自身优势。</w:t>
      </w:r>
    </w:p>
    <w:p>
      <w:pPr>
        <w:pStyle w:val="BodyText"/>
        <w:spacing w:line="300" w:lineRule="auto" w:before="18"/>
        <w:ind w:left="513" w:right="90"/>
        <w:jc w:val="left"/>
      </w:pPr>
      <w:r>
        <w:rPr>
          <w:rFonts w:ascii="Times New Roman" w:hAnsi="Times New Roman" w:cs="Times New Roman" w:eastAsia="Times New Roman" w:hint="default"/>
        </w:rPr>
        <w:t>2</w:t>
      </w:r>
      <w:r>
        <w:rPr/>
        <w:t>、资质优势 </w:t>
      </w:r>
      <w:r>
        <w:rPr>
          <w:spacing w:val="-2"/>
        </w:rPr>
        <w:t>由于产品涉及金融信息安全，要进入某些重要的应用领域必须通过严格的安全、技术等方面的检测并取得入围许可的资</w:t>
      </w:r>
    </w:p>
    <w:p>
      <w:pPr>
        <w:pStyle w:val="BodyText"/>
        <w:spacing w:line="316" w:lineRule="auto" w:before="30"/>
        <w:ind w:left="153" w:right="90"/>
        <w:jc w:val="left"/>
      </w:pPr>
      <w:r>
        <w:rPr>
          <w:spacing w:val="-2"/>
        </w:rPr>
        <w:t>质。因此，资质是企业进入某些重要的细分市场的准入证，是企业获取更多市场份额的基础保证。公司凭借较强的技术研发</w:t>
      </w:r>
      <w:r>
        <w:rPr>
          <w:spacing w:val="-66"/>
        </w:rPr>
        <w:t> </w:t>
      </w:r>
      <w:r>
        <w:rPr>
          <w:spacing w:val="-66"/>
        </w:rPr>
      </w:r>
      <w:r>
        <w:rPr/>
        <w:t>能力、高品质的产品和周到的服务，先后进入了银行自助终端、</w:t>
      </w:r>
      <w:r>
        <w:rPr>
          <w:rFonts w:ascii="Times New Roman" w:hAnsi="Times New Roman" w:cs="Times New Roman" w:eastAsia="Times New Roman" w:hint="default"/>
        </w:rPr>
        <w:t>ATM</w:t>
      </w:r>
      <w:r>
        <w:rPr/>
        <w:t>机核心部件等进入门槛高、市场容量较大的重要应用</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90"/>
        <w:jc w:val="left"/>
      </w:pPr>
      <w:r>
        <w:rPr/>
        <w:t>领域，是目前国内同行业中拥有各类资质较多的企业之一。</w:t>
      </w:r>
    </w:p>
    <w:p>
      <w:pPr>
        <w:pStyle w:val="BodyText"/>
        <w:spacing w:line="300" w:lineRule="auto" w:before="76"/>
        <w:ind w:left="513" w:right="90"/>
        <w:jc w:val="left"/>
      </w:pPr>
      <w:r>
        <w:rPr>
          <w:rFonts w:ascii="Times New Roman" w:hAnsi="Times New Roman" w:cs="Times New Roman" w:eastAsia="Times New Roman" w:hint="default"/>
        </w:rPr>
        <w:t>3</w:t>
      </w:r>
      <w:r>
        <w:rPr/>
        <w:t>、产品优势 </w:t>
      </w:r>
      <w:r>
        <w:rPr>
          <w:spacing w:val="-2"/>
        </w:rPr>
        <w:t>公司是我国商用密码产品的先行者，早在</w:t>
      </w:r>
      <w:r>
        <w:rPr>
          <w:rFonts w:ascii="Times New Roman" w:hAnsi="Times New Roman" w:cs="Times New Roman" w:eastAsia="Times New Roman" w:hint="default"/>
          <w:spacing w:val="-2"/>
        </w:rPr>
        <w:t>1994</w:t>
      </w:r>
      <w:r>
        <w:rPr>
          <w:spacing w:val="-2"/>
        </w:rPr>
        <w:t>年就研制出我国第一代商用密码产品并开始从事加密键盘的生产，多款加</w:t>
      </w:r>
    </w:p>
    <w:p>
      <w:pPr>
        <w:pStyle w:val="BodyText"/>
        <w:spacing w:line="300" w:lineRule="auto" w:before="13"/>
        <w:ind w:left="153" w:right="101"/>
        <w:jc w:val="left"/>
      </w:pPr>
      <w:r>
        <w:rPr/>
        <w:t>密键盘获得国际权威</w:t>
      </w:r>
      <w:r>
        <w:rPr>
          <w:rFonts w:ascii="Times New Roman" w:hAnsi="Times New Roman" w:cs="Times New Roman" w:eastAsia="Times New Roman" w:hint="default"/>
        </w:rPr>
        <w:t>PCI</w:t>
      </w:r>
      <w:r>
        <w:rPr/>
        <w:t>组织的安全认证，部分产品通过了欧盟的</w:t>
      </w:r>
      <w:r>
        <w:rPr>
          <w:rFonts w:ascii="Times New Roman" w:hAnsi="Times New Roman" w:cs="Times New Roman" w:eastAsia="Times New Roman" w:hint="default"/>
        </w:rPr>
        <w:t>ROHS</w:t>
      </w:r>
      <w:r>
        <w:rPr/>
        <w:t>环保认证。同时，公司围绕核心技术不断进行产品 线的延伸和扩展，使产品由原来的相对单一的加密键盘扩展到自助终端和</w:t>
      </w:r>
      <w:r>
        <w:rPr>
          <w:rFonts w:ascii="Times New Roman" w:hAnsi="Times New Roman" w:cs="Times New Roman" w:eastAsia="Times New Roman" w:hint="default"/>
        </w:rPr>
        <w:t>POS</w:t>
      </w:r>
      <w:r>
        <w:rPr/>
        <w:t>支付产品，丰富的产品结构使公司具备较强的 </w:t>
      </w:r>
      <w:r>
        <w:rPr>
          <w:spacing w:val="-4"/>
        </w:rPr>
        <w:t>抵御单个应用行业市场波动风险的能力，公司的</w:t>
      </w:r>
      <w:r>
        <w:rPr>
          <w:rFonts w:ascii="Times New Roman" w:hAnsi="Times New Roman" w:cs="Times New Roman" w:eastAsia="Times New Roman" w:hint="default"/>
          <w:spacing w:val="-4"/>
        </w:rPr>
        <w:t>ATM</w:t>
      </w:r>
      <w:r>
        <w:rPr>
          <w:spacing w:val="-4"/>
        </w:rPr>
        <w:t>加密键盘、电话</w:t>
      </w:r>
      <w:r>
        <w:rPr>
          <w:rFonts w:ascii="Times New Roman" w:hAnsi="Times New Roman" w:cs="Times New Roman" w:eastAsia="Times New Roman" w:hint="default"/>
          <w:spacing w:val="-4"/>
        </w:rPr>
        <w:t>E-POS</w:t>
      </w:r>
      <w:r>
        <w:rPr>
          <w:spacing w:val="-4"/>
        </w:rPr>
        <w:t>、银行自助服务终端的市场份额均位居行业前列，</w:t>
      </w:r>
      <w:r>
        <w:rPr>
          <w:spacing w:val="-35"/>
        </w:rPr>
        <w:t> </w:t>
      </w:r>
      <w:r>
        <w:rPr>
          <w:spacing w:val="-35"/>
        </w:rPr>
      </w:r>
      <w:r>
        <w:rPr/>
        <w:t>保证公司整体盈利水平持续、稳定的提高。</w:t>
      </w:r>
    </w:p>
    <w:p>
      <w:pPr>
        <w:pStyle w:val="BodyText"/>
        <w:spacing w:line="300" w:lineRule="auto" w:before="31"/>
        <w:ind w:left="513" w:right="90"/>
        <w:jc w:val="left"/>
      </w:pPr>
      <w:r>
        <w:rPr>
          <w:rFonts w:ascii="Times New Roman" w:hAnsi="Times New Roman" w:cs="Times New Roman" w:eastAsia="Times New Roman" w:hint="default"/>
        </w:rPr>
        <w:t>4</w:t>
      </w:r>
      <w:r>
        <w:rPr/>
        <w:t>、客户资源优势 </w:t>
      </w:r>
      <w:r>
        <w:rPr>
          <w:spacing w:val="-2"/>
        </w:rPr>
        <w:t>金融电子支付设备具有较强的替代性壁垒。相关产品在进入应用前，客户会对其产品进行严格的测试或要求取得相关认</w:t>
      </w:r>
    </w:p>
    <w:p>
      <w:pPr>
        <w:pStyle w:val="BodyText"/>
        <w:spacing w:line="316" w:lineRule="auto" w:before="31"/>
        <w:ind w:left="153" w:right="91"/>
        <w:jc w:val="left"/>
      </w:pPr>
      <w:r>
        <w:rPr/>
        <w:t>证，其花费的时间较长。同时由于产品涉及安全保密的特殊性，这样从技术层面上客户对供应商就容易形成技术路径依赖， 因此一旦成为客户的供应商后，客户出于安全保密方面的考虑，不会轻易更换供应商，客户具有一定粘性。</w:t>
      </w:r>
    </w:p>
    <w:p>
      <w:pPr>
        <w:pStyle w:val="BodyText"/>
        <w:spacing w:line="314" w:lineRule="auto" w:before="18"/>
        <w:ind w:left="153" w:right="101" w:firstLine="360"/>
        <w:jc w:val="left"/>
      </w:pPr>
      <w:r>
        <w:rPr/>
        <w:t>公司在十八年的发展过程中，本着专业化经营和与客户精诚合作的战略思想，积累了一大批稳定并且优质的客户资源。 </w:t>
      </w:r>
      <w:r>
        <w:rPr>
          <w:spacing w:val="-2"/>
        </w:rPr>
        <w:t>公司多年来一直是中国银行总行、中国农业银行总行、中国建设银行总行、中国交通银行总行、中国邮政储蓄银行总行、中</w:t>
      </w:r>
      <w:r>
        <w:rPr>
          <w:spacing w:val="-66"/>
        </w:rPr>
        <w:t> </w:t>
      </w:r>
      <w:r>
        <w:rPr>
          <w:spacing w:val="-66"/>
        </w:rPr>
      </w:r>
      <w:r>
        <w:rPr/>
        <w:t>国银联等</w:t>
      </w:r>
      <w:r>
        <w:rPr>
          <w:rFonts w:ascii="Times New Roman" w:hAnsi="Times New Roman" w:cs="Times New Roman" w:eastAsia="Times New Roman" w:hint="default"/>
        </w:rPr>
        <w:t>20</w:t>
      </w:r>
      <w:r>
        <w:rPr/>
        <w:t>多家金融机构的金融自助终端、电话</w:t>
      </w:r>
      <w:r>
        <w:rPr>
          <w:rFonts w:ascii="Times New Roman" w:hAnsi="Times New Roman" w:cs="Times New Roman" w:eastAsia="Times New Roman" w:hint="default"/>
        </w:rPr>
        <w:t>E-POS</w:t>
      </w:r>
      <w:r>
        <w:rPr/>
        <w:t>等设备的供应商和系统集成商。近几年来公司与中国移动、中国电信 </w:t>
      </w:r>
      <w:r>
        <w:rPr>
          <w:spacing w:val="-7"/>
        </w:rPr>
        <w:t>展开了多项业务合作，是中国移动、中国电信等通信运营商的产品及系统集成提供商。海外市场方面，公司拥有日立（日本）、</w:t>
      </w:r>
      <w:r>
        <w:rPr>
          <w:spacing w:val="-52"/>
        </w:rPr>
        <w:t> </w:t>
      </w:r>
      <w:r>
        <w:rPr>
          <w:spacing w:val="-52"/>
        </w:rPr>
      </w:r>
      <w:r>
        <w:rPr>
          <w:rFonts w:ascii="Times New Roman" w:hAnsi="Times New Roman" w:cs="Times New Roman" w:eastAsia="Times New Roman" w:hint="default"/>
        </w:rPr>
        <w:t>OKI</w:t>
      </w:r>
      <w:r>
        <w:rPr/>
        <w:t>（日本）、富士通（日本）、</w:t>
      </w:r>
      <w:r>
        <w:rPr>
          <w:rFonts w:ascii="Times New Roman" w:hAnsi="Times New Roman" w:cs="Times New Roman" w:eastAsia="Times New Roman" w:hint="default"/>
        </w:rPr>
        <w:t>SYSTEMA</w:t>
      </w:r>
      <w:r>
        <w:rPr/>
        <w:t>（俄罗斯）等实力较为强大的客户。</w:t>
      </w:r>
    </w:p>
    <w:p>
      <w:pPr>
        <w:pStyle w:val="BodyText"/>
        <w:spacing w:line="300" w:lineRule="auto" w:before="1"/>
        <w:ind w:left="513" w:right="90"/>
        <w:jc w:val="left"/>
      </w:pPr>
      <w:r>
        <w:rPr>
          <w:rFonts w:ascii="Times New Roman" w:hAnsi="Times New Roman" w:cs="Times New Roman" w:eastAsia="Times New Roman" w:hint="default"/>
        </w:rPr>
        <w:t>5</w:t>
      </w:r>
      <w:r>
        <w:rPr/>
        <w:t>、营销网络优势 </w:t>
      </w:r>
      <w:r>
        <w:rPr>
          <w:spacing w:val="-2"/>
        </w:rPr>
        <w:t>公司经过多年的发展与积累，已成为行业内的知名品牌，拥有广东省著名商标。公司积极开拓国内外市场，在北京、上</w:t>
      </w:r>
    </w:p>
    <w:p>
      <w:pPr>
        <w:pStyle w:val="BodyText"/>
        <w:spacing w:line="300" w:lineRule="auto" w:before="31"/>
        <w:ind w:left="153" w:right="97"/>
        <w:jc w:val="left"/>
      </w:pPr>
      <w:r>
        <w:rPr>
          <w:spacing w:val="-1"/>
        </w:rPr>
        <w:t>海、深圳、武汉、长沙、西安、成都等地成立了</w:t>
      </w:r>
      <w:r>
        <w:rPr>
          <w:rFonts w:ascii="Times New Roman" w:hAnsi="Times New Roman" w:cs="Times New Roman" w:eastAsia="Times New Roman" w:hint="default"/>
          <w:spacing w:val="-1"/>
        </w:rPr>
        <w:t>20</w:t>
      </w:r>
      <w:r>
        <w:rPr>
          <w:spacing w:val="-1"/>
        </w:rPr>
        <w:t>个销售分公司</w:t>
      </w:r>
      <w:r>
        <w:rPr>
          <w:rFonts w:ascii="Times New Roman" w:hAnsi="Times New Roman" w:cs="Times New Roman" w:eastAsia="Times New Roman" w:hint="default"/>
          <w:spacing w:val="-1"/>
        </w:rPr>
        <w:t>/</w:t>
      </w:r>
      <w:r>
        <w:rPr>
          <w:spacing w:val="-1"/>
        </w:rPr>
        <w:t>办事处；在北京、上海、深圳、武汉、广州、长沙、西安、</w:t>
      </w:r>
      <w:r>
        <w:rPr>
          <w:spacing w:val="-82"/>
        </w:rPr>
        <w:t> </w:t>
      </w:r>
      <w:r>
        <w:rPr>
          <w:spacing w:val="-82"/>
        </w:rPr>
      </w:r>
      <w:r>
        <w:rPr/>
        <w:t>沈阳、成都等地成立了</w:t>
      </w:r>
      <w:r>
        <w:rPr>
          <w:rFonts w:ascii="Times New Roman" w:hAnsi="Times New Roman" w:cs="Times New Roman" w:eastAsia="Times New Roman" w:hint="default"/>
        </w:rPr>
        <w:t>27</w:t>
      </w:r>
      <w:r>
        <w:rPr/>
        <w:t>个售后服务中心，建立了覆盖全国的营销和售后服务网络。</w:t>
      </w:r>
    </w:p>
    <w:p>
      <w:pPr>
        <w:pStyle w:val="BodyText"/>
        <w:spacing w:line="300" w:lineRule="auto" w:before="13"/>
        <w:ind w:left="153" w:right="90" w:firstLine="360"/>
        <w:jc w:val="left"/>
      </w:pPr>
      <w:r>
        <w:rPr>
          <w:spacing w:val="-2"/>
        </w:rPr>
        <w:t>作为国内金融电子设备行业的一线提供商，公司产品足迹遍布全国</w:t>
      </w:r>
      <w:r>
        <w:rPr>
          <w:rFonts w:ascii="Times New Roman" w:hAnsi="Times New Roman" w:cs="Times New Roman" w:eastAsia="Times New Roman" w:hint="default"/>
          <w:spacing w:val="-2"/>
        </w:rPr>
        <w:t>31</w:t>
      </w:r>
      <w:r>
        <w:rPr>
          <w:spacing w:val="-2"/>
        </w:rPr>
        <w:t>个省市自治区，多项具有国际竞争力的产品出口到</w:t>
      </w:r>
      <w:r>
        <w:rPr/>
        <w:t> 全球多个国家和地区。</w:t>
      </w:r>
    </w:p>
    <w:p>
      <w:pPr>
        <w:pStyle w:val="BodyText"/>
        <w:spacing w:line="300" w:lineRule="auto" w:before="31"/>
        <w:ind w:left="513" w:right="90"/>
        <w:jc w:val="left"/>
      </w:pPr>
      <w:r>
        <w:rPr>
          <w:rFonts w:ascii="Times New Roman" w:hAnsi="Times New Roman" w:cs="Times New Roman" w:eastAsia="Times New Roman" w:hint="default"/>
        </w:rPr>
        <w:t>6</w:t>
      </w:r>
      <w:r>
        <w:rPr/>
        <w:t>、研发、生产和产品维护一体化的优势 </w:t>
      </w:r>
      <w:r>
        <w:rPr>
          <w:spacing w:val="-2"/>
        </w:rPr>
        <w:t>公司是目前国内为数不多的，同时拥有设计研发、钣金、电子装配、精密制造的金融电子支付设备厂家，与主要竞争对</w:t>
      </w:r>
    </w:p>
    <w:p>
      <w:pPr>
        <w:pStyle w:val="BodyText"/>
        <w:spacing w:line="316" w:lineRule="auto" w:before="31"/>
        <w:ind w:left="153" w:right="90"/>
        <w:jc w:val="left"/>
      </w:pPr>
      <w:r>
        <w:rPr>
          <w:spacing w:val="-4"/>
        </w:rPr>
        <w:t>手相比，公司拥有较为明显的研发、制造和产品服务一体化的优势，形成了较强的快速开发、度身定制、高质量维护的能力，</w:t>
      </w:r>
      <w:r>
        <w:rPr>
          <w:spacing w:val="-44"/>
        </w:rPr>
        <w:t> </w:t>
      </w:r>
      <w:r>
        <w:rPr>
          <w:spacing w:val="-44"/>
        </w:rPr>
      </w:r>
      <w:r>
        <w:rPr/>
        <w:t>而且具有较强的市场定价优势。</w:t>
      </w:r>
    </w:p>
    <w:p>
      <w:pPr>
        <w:spacing w:line="240" w:lineRule="auto" w:before="11"/>
        <w:rPr>
          <w:rFonts w:ascii="宋体" w:hAnsi="宋体" w:cs="宋体" w:eastAsia="宋体" w:hint="default"/>
          <w:sz w:val="20"/>
          <w:szCs w:val="20"/>
        </w:rPr>
      </w:pPr>
    </w:p>
    <w:p>
      <w:pPr>
        <w:pStyle w:val="Heading2"/>
        <w:spacing w:line="240" w:lineRule="auto"/>
        <w:ind w:right="90"/>
        <w:jc w:val="left"/>
        <w:rPr>
          <w:b w:val="0"/>
          <w:bCs w:val="0"/>
        </w:rPr>
      </w:pPr>
      <w:r>
        <w:rPr/>
        <w:t>六、投资状况分析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4,965,400.00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18.46%</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right"/>
              <w:rPr>
                <w:rFonts w:ascii="宋体" w:hAnsi="宋体" w:cs="宋体" w:eastAsia="宋体" w:hint="default"/>
                <w:sz w:val="18"/>
                <w:szCs w:val="18"/>
              </w:rPr>
            </w:pPr>
            <w:r>
              <w:rPr>
                <w:rFonts w:ascii="宋体" w:hAnsi="宋体" w:cs="宋体" w:eastAsia="宋体" w:hint="default"/>
                <w:sz w:val="18"/>
                <w:szCs w:val="18"/>
              </w:rPr>
              <w:t>上市公司占被投资公司权益比例（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29.41%</w:t>
            </w:r>
          </w:p>
        </w:tc>
      </w:tr>
    </w:tbl>
    <w:p>
      <w:pPr>
        <w:spacing w:line="240" w:lineRule="auto" w:before="2"/>
        <w:rPr>
          <w:rFonts w:ascii="宋体" w:hAnsi="宋体" w:cs="宋体" w:eastAsia="宋体" w:hint="default"/>
          <w:b/>
          <w:bCs/>
          <w:sz w:val="19"/>
          <w:szCs w:val="19"/>
        </w:rPr>
      </w:pPr>
    </w:p>
    <w:p>
      <w:pPr>
        <w:pStyle w:val="Heading3"/>
        <w:spacing w:line="240" w:lineRule="auto" w:before="35"/>
        <w:ind w:right="90"/>
        <w:jc w:val="left"/>
        <w:rPr>
          <w:b w:val="0"/>
          <w:bCs w:val="0"/>
        </w:rPr>
      </w:pP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0"/>
        <w:jc w:val="left"/>
      </w:pPr>
      <w:r>
        <w:rPr/>
        <w:t>无</w:t>
      </w:r>
    </w:p>
    <w:p>
      <w:pPr>
        <w:spacing w:after="0" w:line="240" w:lineRule="auto"/>
        <w:jc w:val="left"/>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3</w:t>
      </w:r>
      <w:r>
        <w:rPr/>
        <w:t>）证券投资情况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070"/>
        <w:jc w:val="left"/>
      </w:pPr>
      <w:r>
        <w:rPr/>
        <w:t>无 持有其他上市公司股权情况的说明</w:t>
      </w:r>
    </w:p>
    <w:p>
      <w:pPr>
        <w:pStyle w:val="BodyText"/>
        <w:spacing w:line="240" w:lineRule="auto" w:before="29"/>
        <w:ind w:left="153" w:right="149"/>
        <w:jc w:val="left"/>
      </w:pPr>
      <w:r>
        <w:rPr/>
        <w:t>报告期内公司不存在持有上市公司股权情况。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149"/>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9"/>
        <w:jc w:val="left"/>
      </w:pPr>
      <w:r>
        <w:rPr/>
        <w:t>报告期内公司不存在委托理财、衍生品投资和委托贷款情况。</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49" w:firstLine="360"/>
        <w:jc w:val="left"/>
      </w:pPr>
      <w:r>
        <w:rPr>
          <w:spacing w:val="-1"/>
        </w:rPr>
        <w:t>报告期，公司不存在募集资金使用情况。截止</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11</w:t>
      </w:r>
      <w:r>
        <w:rPr>
          <w:spacing w:val="-1"/>
        </w:rPr>
        <w:t>日，公司</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IPO</w:t>
      </w:r>
      <w:r>
        <w:rPr>
          <w:spacing w:val="-1"/>
        </w:rPr>
        <w:t>募集资金已全部使用完毕，募集资金专</w:t>
      </w:r>
      <w:r>
        <w:rPr/>
        <w:t> 户已办理销户。</w:t>
      </w:r>
    </w:p>
    <w:p>
      <w:pPr>
        <w:spacing w:line="240" w:lineRule="auto" w:before="6"/>
        <w:rPr>
          <w:rFonts w:ascii="宋体" w:hAnsi="宋体" w:cs="宋体" w:eastAsia="宋体" w:hint="default"/>
          <w:sz w:val="23"/>
          <w:szCs w:val="23"/>
        </w:rPr>
      </w:pPr>
    </w:p>
    <w:p>
      <w:pPr>
        <w:pStyle w:val="Heading3"/>
        <w:spacing w:line="240" w:lineRule="auto"/>
        <w:ind w:right="149"/>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9"/>
        <w:jc w:val="left"/>
      </w:pPr>
      <w:r>
        <w:rPr/>
        <w:pict>
          <v:group style="position:absolute;margin-left:219.779999pt;margin-top:61.032021pt;width:30.85pt;height:17.6pt;mso-position-horizontal-relative:page;mso-position-vertical-relative:paragraph;z-index:-858256" coordorigin="4396,1221" coordsize="617,352">
            <v:shape style="position:absolute;left:4396;top:1221;width:617;height:352" coordorigin="4396,1221" coordsize="617,352" path="m4396,1572l5012,1572,5012,1221,4396,1221,4396,1572xe" filled="true" fillcolor="#ffffff" stroked="false">
              <v:path arrowok="t"/>
              <v:fill type="solid"/>
            </v:shape>
            <w10:wrap type="none"/>
          </v:group>
        </w:pict>
      </w:r>
      <w:r>
        <w:rPr/>
        <w:t>主要子公司、参股公司情况</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111"/>
        <w:gridCol w:w="456"/>
        <w:gridCol w:w="718"/>
        <w:gridCol w:w="977"/>
        <w:gridCol w:w="673"/>
        <w:gridCol w:w="1184"/>
        <w:gridCol w:w="1186"/>
        <w:gridCol w:w="1184"/>
        <w:gridCol w:w="1093"/>
        <w:gridCol w:w="1111"/>
      </w:tblGrid>
      <w:tr>
        <w:trPr>
          <w:trHeight w:val="714" w:hRule="exact"/>
        </w:trPr>
        <w:tc>
          <w:tcPr>
            <w:tcW w:w="1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4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 w:right="41"/>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3" w:right="83" w:hanging="180"/>
              <w:jc w:val="left"/>
              <w:rPr>
                <w:rFonts w:ascii="宋体" w:hAnsi="宋体" w:cs="宋体" w:eastAsia="宋体" w:hint="default"/>
                <w:sz w:val="18"/>
                <w:szCs w:val="18"/>
              </w:rPr>
            </w:pPr>
            <w:r>
              <w:rPr>
                <w:rFonts w:ascii="宋体" w:hAnsi="宋体" w:cs="宋体" w:eastAsia="宋体" w:hint="default"/>
                <w:sz w:val="18"/>
                <w:szCs w:val="18"/>
              </w:rPr>
              <w:t>所处行 业</w:t>
            </w:r>
          </w:p>
        </w:tc>
        <w:tc>
          <w:tcPr>
            <w:tcW w:w="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03" w:right="31"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1" w:right="60"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总资产（元）</w:t>
            </w:r>
          </w:p>
        </w:tc>
        <w:tc>
          <w:tcPr>
            <w:tcW w:w="1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净资产（元）</w:t>
            </w:r>
          </w:p>
        </w:tc>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3"/>
              <w:jc w:val="center"/>
              <w:rPr>
                <w:rFonts w:ascii="宋体" w:hAnsi="宋体" w:cs="宋体" w:eastAsia="宋体" w:hint="default"/>
                <w:sz w:val="18"/>
                <w:szCs w:val="18"/>
              </w:rPr>
            </w:pPr>
            <w:r>
              <w:rPr>
                <w:rFonts w:ascii="宋体" w:hAnsi="宋体" w:cs="宋体" w:eastAsia="宋体" w:hint="default"/>
                <w:sz w:val="18"/>
                <w:szCs w:val="18"/>
              </w:rPr>
              <w:t>净利润（元）</w:t>
            </w:r>
          </w:p>
        </w:tc>
      </w:tr>
      <w:tr>
        <w:trPr>
          <w:trHeight w:val="1026"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深圳市证通 金信科技有 限公司</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子公 司</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43"/>
              <w:jc w:val="left"/>
              <w:rPr>
                <w:rFonts w:ascii="宋体" w:hAnsi="宋体" w:cs="宋体" w:eastAsia="宋体" w:hint="default"/>
                <w:sz w:val="18"/>
                <w:szCs w:val="18"/>
              </w:rPr>
            </w:pPr>
            <w:r>
              <w:rPr>
                <w:rFonts w:ascii="宋体" w:hAnsi="宋体" w:cs="宋体" w:eastAsia="宋体" w:hint="default"/>
                <w:sz w:val="18"/>
                <w:szCs w:val="18"/>
              </w:rPr>
              <w:t>金融电 子</w:t>
            </w:r>
          </w:p>
        </w:tc>
        <w:tc>
          <w:tcPr>
            <w:tcW w:w="97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宋体" w:hAnsi="宋体" w:cs="宋体" w:eastAsia="宋体" w:hint="default"/>
                <w:spacing w:val="-57"/>
                <w:sz w:val="18"/>
                <w:szCs w:val="18"/>
              </w:rPr>
              <w:t> </w:t>
            </w:r>
            <w:r>
              <w:rPr>
                <w:rFonts w:ascii="Times New Roman" w:hAnsi="Times New Roman" w:cs="Times New Roman" w:eastAsia="Times New Roman" w:hint="default"/>
                <w:spacing w:val="-8"/>
                <w:sz w:val="18"/>
                <w:szCs w:val="18"/>
              </w:rPr>
              <w:t>EPOS</w:t>
            </w:r>
            <w:r>
              <w:rPr>
                <w:rFonts w:ascii="宋体" w:hAnsi="宋体" w:cs="宋体" w:eastAsia="宋体" w:hint="default"/>
                <w:spacing w:val="-8"/>
                <w:sz w:val="18"/>
                <w:szCs w:val="18"/>
              </w:rPr>
              <w:t>、</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POS</w:t>
            </w:r>
          </w:p>
        </w:tc>
        <w:tc>
          <w:tcPr>
            <w:tcW w:w="67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65"/>
              <w:ind w:left="1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308,199,653.01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231,959,749.25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159,357,614.50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27,873,356.74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30,559,604.41</w:t>
            </w:r>
          </w:p>
        </w:tc>
      </w:tr>
      <w:tr>
        <w:trPr>
          <w:trHeight w:val="1026"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深圳市证通 佳明光电有 限公司</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子公 司</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明电子</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路灯</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49,674,597.49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17,610,325.61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43,460,574.25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-1,508,646.94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-1,395,536.27</w:t>
            </w:r>
          </w:p>
        </w:tc>
      </w:tr>
    </w:tbl>
    <w:p>
      <w:pPr>
        <w:pStyle w:val="BodyText"/>
        <w:spacing w:line="357" w:lineRule="auto" w:before="51"/>
        <w:ind w:left="513" w:right="216" w:hanging="360"/>
        <w:jc w:val="left"/>
      </w:pPr>
      <w:r>
        <w:rPr/>
        <w:t>主要子公司、参股公司情况说明 报告期内，公司子公司证通金信实现营业收入</w:t>
      </w:r>
      <w:r>
        <w:rPr>
          <w:rFonts w:ascii="Times New Roman" w:hAnsi="Times New Roman" w:cs="Times New Roman" w:eastAsia="Times New Roman" w:hint="default"/>
        </w:rPr>
        <w:t>1.59</w:t>
      </w:r>
      <w:r>
        <w:rPr/>
        <w:t>亿元，较</w:t>
      </w:r>
      <w:r>
        <w:rPr>
          <w:rFonts w:ascii="Times New Roman" w:hAnsi="Times New Roman" w:cs="Times New Roman" w:eastAsia="Times New Roman" w:hint="default"/>
        </w:rPr>
        <w:t>2011</w:t>
      </w:r>
      <w:r>
        <w:rPr/>
        <w:t>年同期下降</w:t>
      </w:r>
      <w:r>
        <w:rPr>
          <w:rFonts w:ascii="Times New Roman" w:hAnsi="Times New Roman" w:cs="Times New Roman" w:eastAsia="Times New Roman" w:hint="default"/>
        </w:rPr>
        <w:t>33.55%</w:t>
      </w:r>
      <w:r>
        <w:rPr/>
        <w:t>，实现净利润</w:t>
      </w:r>
      <w:r>
        <w:rPr>
          <w:rFonts w:ascii="Times New Roman" w:hAnsi="Times New Roman" w:cs="Times New Roman" w:eastAsia="Times New Roman" w:hint="default"/>
        </w:rPr>
        <w:t>3,056</w:t>
      </w:r>
      <w:r>
        <w:rPr/>
        <w:t>万元，较</w:t>
      </w:r>
      <w:r>
        <w:rPr>
          <w:rFonts w:ascii="Times New Roman" w:hAnsi="Times New Roman" w:cs="Times New Roman" w:eastAsia="Times New Roman" w:hint="default"/>
        </w:rPr>
        <w:t>2011</w:t>
      </w:r>
      <w:r>
        <w:rPr/>
        <w:t>年</w:t>
      </w:r>
    </w:p>
    <w:p>
      <w:pPr>
        <w:pStyle w:val="BodyText"/>
        <w:spacing w:line="214" w:lineRule="exact"/>
        <w:ind w:left="153" w:right="0"/>
        <w:jc w:val="left"/>
      </w:pPr>
      <w:r>
        <w:rPr/>
        <w:t>同期下降</w:t>
      </w:r>
      <w:r>
        <w:rPr>
          <w:rFonts w:ascii="Times New Roman" w:hAnsi="Times New Roman" w:cs="Times New Roman" w:eastAsia="Times New Roman" w:hint="default"/>
        </w:rPr>
        <w:t>40.36%</w:t>
      </w:r>
      <w:r>
        <w:rPr/>
        <w:t>，主要原因是其产品电话</w:t>
      </w:r>
      <w:r>
        <w:rPr>
          <w:rFonts w:ascii="Times New Roman" w:hAnsi="Times New Roman" w:cs="Times New Roman" w:eastAsia="Times New Roman" w:hint="default"/>
        </w:rPr>
        <w:t>E-POS</w:t>
      </w:r>
      <w:r>
        <w:rPr/>
        <w:t>受到主要商业银行客户清理库存的影响，销售量显著下降，而新产品移动支</w:t>
      </w:r>
    </w:p>
    <w:p>
      <w:pPr>
        <w:pStyle w:val="BodyText"/>
        <w:spacing w:line="360" w:lineRule="auto" w:before="62"/>
        <w:ind w:left="153" w:right="4011"/>
        <w:jc w:val="left"/>
      </w:pPr>
      <w:r>
        <w:rPr/>
        <w:t>付终端、个人支付终端尚未实现规模销售，导致收入和净利润下降较大。 报告期内取得和处置子公司的情况</w:t>
      </w:r>
    </w:p>
    <w:p>
      <w:pPr>
        <w:pStyle w:val="BodyText"/>
        <w:spacing w:line="240" w:lineRule="auto" w:before="26"/>
        <w:ind w:left="153"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49"/>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1" w:right="71" w:hanging="360"/>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深圳市通新源物业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1,176.4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1,176.4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center"/>
              <w:rPr>
                <w:rFonts w:ascii="宋体" w:hAnsi="宋体" w:cs="宋体" w:eastAsia="宋体" w:hint="default"/>
                <w:sz w:val="18"/>
                <w:szCs w:val="18"/>
              </w:rPr>
            </w:pPr>
            <w:r>
              <w:rPr>
                <w:rFonts w:ascii="宋体" w:hAnsi="宋体" w:cs="宋体" w:eastAsia="宋体" w:hint="default"/>
                <w:sz w:val="18"/>
                <w:szCs w:val="18"/>
              </w:rPr>
              <w:t>中科恒源科技股份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1,982.5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36.42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4"/>
        <w:gridCol w:w="1606"/>
        <w:gridCol w:w="1595"/>
        <w:gridCol w:w="1605"/>
        <w:gridCol w:w="1571"/>
        <w:gridCol w:w="1606"/>
      </w:tblGrid>
      <w:tr>
        <w:trPr>
          <w:trHeight w:val="362"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0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605"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020" w:right="0"/>
              <w:jc w:val="left"/>
              <w:rPr>
                <w:rFonts w:ascii="Times New Roman" w:hAnsi="Times New Roman" w:cs="Times New Roman" w:eastAsia="Times New Roman" w:hint="default"/>
                <w:sz w:val="18"/>
                <w:szCs w:val="18"/>
              </w:rPr>
            </w:pPr>
            <w:r>
              <w:rPr>
                <w:rFonts w:ascii="Times New Roman"/>
                <w:sz w:val="18"/>
              </w:rPr>
              <w:t>3,158.9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588.2</w:t>
            </w:r>
          </w:p>
        </w:tc>
        <w:tc>
          <w:tcPr>
            <w:tcW w:w="1605"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left="1020" w:right="0"/>
              <w:jc w:val="left"/>
              <w:rPr>
                <w:rFonts w:ascii="Times New Roman" w:hAnsi="Times New Roman" w:cs="Times New Roman" w:eastAsia="Times New Roman" w:hint="default"/>
                <w:sz w:val="18"/>
                <w:szCs w:val="18"/>
              </w:rPr>
            </w:pPr>
            <w:r>
              <w:rPr>
                <w:rFonts w:ascii="Times New Roman"/>
                <w:sz w:val="18"/>
              </w:rPr>
              <w:t>3,158.9</w:t>
            </w:r>
          </w:p>
        </w:tc>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r>
        <w:trPr>
          <w:trHeight w:val="2626" w:hRule="exact"/>
        </w:trPr>
        <w:tc>
          <w:tcPr>
            <w:tcW w:w="95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公司通过对通新源公司出资在深圳市南山区建设公司的总部及研发中心，预计建设项目总投资为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亿元，根据公司</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在通新源公司出资比例</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29.41%</w:t>
            </w:r>
            <w:r>
              <w:rPr>
                <w:rFonts w:ascii="宋体" w:hAnsi="宋体" w:cs="宋体" w:eastAsia="宋体" w:hint="default"/>
                <w:spacing w:val="-3"/>
                <w:sz w:val="18"/>
                <w:szCs w:val="18"/>
              </w:rPr>
              <w:t>，公司投资总额为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4411.50 </w:t>
            </w:r>
            <w:r>
              <w:rPr>
                <w:rFonts w:ascii="宋体" w:hAnsi="宋体" w:cs="宋体" w:eastAsia="宋体" w:hint="default"/>
                <w:spacing w:val="-4"/>
                <w:sz w:val="18"/>
                <w:szCs w:val="18"/>
              </w:rPr>
              <w:t>万元。截至本报告披露之日，公司对通新源的投资总额为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1176.40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万元，其中本年度对通新源增资金额为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588.20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万元。该事项详见公司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日于于《证券时报》与巨潮资讯网上</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2012-040</w:t>
            </w:r>
            <w:r>
              <w:rPr>
                <w:rFonts w:ascii="Times New Roman" w:hAnsi="Times New Roman" w:cs="Times New Roman" w:eastAsia="Times New Roman" w:hint="default"/>
                <w:spacing w:val="-1"/>
                <w:sz w:val="18"/>
                <w:szCs w:val="18"/>
              </w:rPr>
              <w:t> </w:t>
            </w:r>
            <w:r>
              <w:rPr>
                <w:rFonts w:ascii="宋体" w:hAnsi="宋体" w:cs="宋体" w:eastAsia="宋体" w:hint="default"/>
                <w:spacing w:val="-22"/>
                <w:sz w:val="18"/>
                <w:szCs w:val="18"/>
              </w:rPr>
              <w:t>号</w:t>
            </w:r>
            <w:r>
              <w:rPr>
                <w:rFonts w:ascii="宋体" w:hAnsi="宋体" w:cs="宋体" w:eastAsia="宋体" w:hint="default"/>
                <w:sz w:val="18"/>
                <w:szCs w:val="18"/>
              </w:rPr>
              <w:t>《公司关于向联营企业深圳市通新源物业管理有限公司增资的公告</w:t>
            </w:r>
            <w:r>
              <w:rPr>
                <w:rFonts w:ascii="宋体" w:hAnsi="宋体" w:cs="宋体" w:eastAsia="宋体" w:hint="default"/>
                <w:spacing w:val="-90"/>
                <w:sz w:val="18"/>
                <w:szCs w:val="18"/>
              </w:rPr>
              <w:t>》</w:t>
            </w:r>
            <w:r>
              <w:rPr>
                <w:rFonts w:ascii="宋体" w:hAnsi="宋体" w:cs="宋体" w:eastAsia="宋体" w:hint="default"/>
                <w:spacing w:val="-23"/>
                <w:sz w:val="18"/>
                <w:szCs w:val="18"/>
              </w:rPr>
              <w:t>。</w:t>
            </w:r>
            <w:r>
              <w:rPr>
                <w:rFonts w:ascii="宋体" w:hAnsi="宋体" w:cs="宋体" w:eastAsia="宋体" w:hint="default"/>
                <w:sz w:val="18"/>
                <w:szCs w:val="18"/>
              </w:rPr>
              <w:t>该总部及研发中心大厦预计将于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月主体建筑结构封顶。</w:t>
            </w:r>
          </w:p>
          <w:p>
            <w:pPr>
              <w:pStyle w:val="TableParagraph"/>
              <w:spacing w:line="240" w:lineRule="auto" w:before="101"/>
              <w:ind w:left="38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日与</w:t>
            </w:r>
            <w:r>
              <w:rPr>
                <w:rFonts w:ascii="宋体" w:hAnsi="宋体" w:cs="宋体" w:eastAsia="宋体" w:hint="default"/>
                <w:spacing w:val="1"/>
                <w:sz w:val="18"/>
                <w:szCs w:val="18"/>
              </w:rPr>
              <w:t>中</w:t>
            </w:r>
            <w:r>
              <w:rPr>
                <w:rFonts w:ascii="宋体" w:hAnsi="宋体" w:cs="宋体" w:eastAsia="宋体" w:hint="default"/>
                <w:sz w:val="18"/>
                <w:szCs w:val="18"/>
              </w:rPr>
              <w:t>科恒源正式签</w:t>
            </w:r>
            <w:r>
              <w:rPr>
                <w:rFonts w:ascii="宋体" w:hAnsi="宋体" w:cs="宋体" w:eastAsia="宋体" w:hint="default"/>
                <w:spacing w:val="-10"/>
                <w:sz w:val="18"/>
                <w:szCs w:val="18"/>
              </w:rPr>
              <w:t>署</w:t>
            </w:r>
            <w:r>
              <w:rPr>
                <w:rFonts w:ascii="宋体" w:hAnsi="宋体" w:cs="宋体" w:eastAsia="宋体" w:hint="default"/>
                <w:sz w:val="18"/>
                <w:szCs w:val="18"/>
              </w:rPr>
              <w:t>《股份认购协议</w:t>
            </w:r>
            <w:r>
              <w:rPr>
                <w:rFonts w:ascii="宋体" w:hAnsi="宋体" w:cs="宋体" w:eastAsia="宋体" w:hint="default"/>
                <w:spacing w:val="-91"/>
                <w:sz w:val="18"/>
                <w:szCs w:val="18"/>
              </w:rPr>
              <w:t>》</w:t>
            </w:r>
            <w:r>
              <w:rPr>
                <w:rFonts w:ascii="宋体" w:hAnsi="宋体" w:cs="宋体" w:eastAsia="宋体" w:hint="default"/>
                <w:spacing w:val="-10"/>
                <w:sz w:val="18"/>
                <w:szCs w:val="18"/>
              </w:rPr>
              <w:t>，</w:t>
            </w:r>
            <w:r>
              <w:rPr>
                <w:rFonts w:ascii="宋体" w:hAnsi="宋体" w:cs="宋体" w:eastAsia="宋体" w:hint="default"/>
                <w:spacing w:val="-1"/>
                <w:sz w:val="18"/>
                <w:szCs w:val="18"/>
              </w:rPr>
              <w:t>出</w:t>
            </w:r>
            <w:r>
              <w:rPr>
                <w:rFonts w:ascii="宋体" w:hAnsi="宋体" w:cs="宋体" w:eastAsia="宋体" w:hint="default"/>
                <w:sz w:val="18"/>
                <w:szCs w:val="18"/>
              </w:rPr>
              <w:t>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82.50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0"/>
                <w:sz w:val="18"/>
                <w:szCs w:val="18"/>
              </w:rPr>
              <w:t>，</w:t>
            </w:r>
            <w:r>
              <w:rPr>
                <w:rFonts w:ascii="宋体" w:hAnsi="宋体" w:cs="宋体" w:eastAsia="宋体" w:hint="default"/>
                <w:sz w:val="18"/>
                <w:szCs w:val="18"/>
              </w:rPr>
              <w:t>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股的价格认购中科恒源</w:t>
            </w:r>
          </w:p>
          <w:p>
            <w:pPr>
              <w:pStyle w:val="TableParagraph"/>
              <w:spacing w:line="302" w:lineRule="auto" w:before="63"/>
              <w:ind w:left="22" w:right="81"/>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396.50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万股。该事项详见公司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日于《证券时报》与巨潮资讯网上的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2011-001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号《公司对外投资进展 </w:t>
            </w:r>
            <w:r>
              <w:rPr>
                <w:rFonts w:ascii="宋体" w:hAnsi="宋体" w:cs="宋体" w:eastAsia="宋体" w:hint="default"/>
                <w:spacing w:val="-12"/>
                <w:sz w:val="18"/>
                <w:szCs w:val="18"/>
              </w:rPr>
              <w:t>公告》，</w:t>
            </w:r>
            <w:r>
              <w:rPr>
                <w:rFonts w:ascii="Times New Roman" w:hAnsi="Times New Roman" w:cs="Times New Roman" w:eastAsia="Times New Roman" w:hint="default"/>
                <w:spacing w:val="-12"/>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年度公司收到中科恒源分红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277,550.00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r>
        <w:rPr/>
        <w:t>七、公司控制的特殊目的主体情况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公司无控制下的特殊目的主体。</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八、公司未来发展的展望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49"/>
        <w:jc w:val="left"/>
      </w:pPr>
      <w:r>
        <w:rPr>
          <w:rFonts w:ascii="Times New Roman" w:hAnsi="Times New Roman" w:cs="Times New Roman" w:eastAsia="Times New Roman" w:hint="default"/>
        </w:rPr>
        <w:t>1</w:t>
      </w:r>
      <w:r>
        <w:rPr/>
        <w:t>、行业发展趋势和竞争格局</w:t>
      </w:r>
    </w:p>
    <w:p>
      <w:pPr>
        <w:pStyle w:val="BodyText"/>
        <w:spacing w:line="240" w:lineRule="auto" w:before="102"/>
        <w:ind w:left="513" w:right="149"/>
        <w:jc w:val="left"/>
      </w:pPr>
      <w:r>
        <w:rPr/>
        <w:t>（</w:t>
      </w:r>
      <w:r>
        <w:rPr>
          <w:rFonts w:ascii="Times New Roman" w:hAnsi="Times New Roman" w:cs="Times New Roman" w:eastAsia="Times New Roman" w:hint="default"/>
        </w:rPr>
        <w:t>1</w:t>
      </w:r>
      <w:r>
        <w:rPr/>
        <w:t>）行业发展趋势</w:t>
      </w:r>
    </w:p>
    <w:p>
      <w:pPr>
        <w:pStyle w:val="BodyText"/>
        <w:spacing w:line="240" w:lineRule="auto" w:before="62"/>
        <w:ind w:left="513" w:right="149"/>
        <w:jc w:val="left"/>
      </w:pPr>
      <w:r>
        <w:rPr/>
        <w:t>①银行卡产业快速发展，金融</w:t>
      </w:r>
      <w:r>
        <w:rPr>
          <w:rFonts w:ascii="Times New Roman" w:hAnsi="Times New Roman" w:cs="Times New Roman" w:eastAsia="Times New Roman" w:hint="default"/>
        </w:rPr>
        <w:t>IC</w:t>
      </w:r>
      <w:r>
        <w:rPr/>
        <w:t>卡推广加速</w:t>
      </w:r>
    </w:p>
    <w:p>
      <w:pPr>
        <w:pStyle w:val="BodyText"/>
        <w:spacing w:line="300" w:lineRule="auto" w:before="62"/>
        <w:ind w:right="137" w:firstLine="359"/>
        <w:jc w:val="left"/>
        <w:rPr>
          <w:rFonts w:ascii="Times New Roman" w:hAnsi="Times New Roman" w:cs="Times New Roman" w:eastAsia="Times New Roman" w:hint="default"/>
        </w:rPr>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月国务院批准的《金融业发展和改革</w:t>
      </w:r>
      <w:r>
        <w:rPr>
          <w:rFonts w:ascii="Times New Roman" w:hAnsi="Times New Roman" w:cs="Times New Roman" w:eastAsia="Times New Roman" w:hint="default"/>
          <w:spacing w:val="-1"/>
        </w:rPr>
        <w:t>“</w:t>
      </w:r>
      <w:r>
        <w:rPr>
          <w:spacing w:val="-1"/>
        </w:rPr>
        <w:t>十二五</w:t>
      </w:r>
      <w:r>
        <w:rPr>
          <w:rFonts w:ascii="Times New Roman" w:hAnsi="Times New Roman" w:cs="Times New Roman" w:eastAsia="Times New Roman" w:hint="default"/>
          <w:spacing w:val="-1"/>
        </w:rPr>
        <w:t>”</w:t>
      </w:r>
      <w:r>
        <w:rPr>
          <w:spacing w:val="-1"/>
        </w:rPr>
        <w:t>规划》中提出：</w:t>
      </w:r>
      <w:r>
        <w:rPr>
          <w:rFonts w:ascii="Times New Roman" w:hAnsi="Times New Roman" w:cs="Times New Roman" w:eastAsia="Times New Roman" w:hint="default"/>
          <w:spacing w:val="-1"/>
        </w:rPr>
        <w:t>“</w:t>
      </w:r>
      <w:r>
        <w:rPr>
          <w:spacing w:val="-1"/>
        </w:rPr>
        <w:t>以科技手段促进金融服务与管理创新，提高金融</w:t>
      </w:r>
      <w:r>
        <w:rPr/>
        <w:t> 信息化水平。推广电子交易，不断提升金融业电子渠道交易替代率。全面实施银行卡芯片化迁移工作。</w:t>
      </w:r>
      <w:r>
        <w:rPr>
          <w:rFonts w:ascii="Times New Roman" w:hAnsi="Times New Roman" w:cs="Times New Roman" w:eastAsia="Times New Roman" w:hint="default"/>
        </w:rPr>
        <w:t>”</w:t>
      </w:r>
    </w:p>
    <w:p>
      <w:pPr>
        <w:pStyle w:val="BodyText"/>
        <w:spacing w:line="300" w:lineRule="auto" w:before="13"/>
        <w:ind w:right="95" w:firstLine="36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月中国人民银行发布的《</w:t>
      </w:r>
      <w:r>
        <w:rPr>
          <w:rFonts w:ascii="Times New Roman" w:hAnsi="Times New Roman" w:cs="Times New Roman" w:eastAsia="Times New Roman" w:hint="default"/>
        </w:rPr>
        <w:t>2012</w:t>
      </w:r>
      <w:r>
        <w:rPr/>
        <w:t>年支付体系运行总体情况》显示，截至</w:t>
      </w:r>
      <w:r>
        <w:rPr>
          <w:rFonts w:ascii="Times New Roman" w:hAnsi="Times New Roman" w:cs="Times New Roman" w:eastAsia="Times New Roman" w:hint="default"/>
        </w:rPr>
        <w:t>2012</w:t>
      </w:r>
      <w:r>
        <w:rPr/>
        <w:t>年末全国累计发行银行卡</w:t>
      </w:r>
      <w:r>
        <w:rPr>
          <w:rFonts w:ascii="Times New Roman" w:hAnsi="Times New Roman" w:cs="Times New Roman" w:eastAsia="Times New Roman" w:hint="default"/>
        </w:rPr>
        <w:t>35.34</w:t>
      </w:r>
      <w:r>
        <w:rPr/>
        <w:t>亿张， 银行卡渗透率已经达到</w:t>
      </w:r>
      <w:r>
        <w:rPr>
          <w:rFonts w:ascii="Times New Roman" w:hAnsi="Times New Roman" w:cs="Times New Roman" w:eastAsia="Times New Roman" w:hint="default"/>
        </w:rPr>
        <w:t>43.5%</w:t>
      </w:r>
      <w:r>
        <w:rPr/>
        <w:t>，同比提高了</w:t>
      </w:r>
      <w:r>
        <w:rPr>
          <w:rFonts w:ascii="Times New Roman" w:hAnsi="Times New Roman" w:cs="Times New Roman" w:eastAsia="Times New Roman" w:hint="default"/>
        </w:rPr>
        <w:t>4.9</w:t>
      </w:r>
      <w:r>
        <w:rPr/>
        <w:t>个百分点。</w:t>
      </w:r>
    </w:p>
    <w:p>
      <w:pPr>
        <w:pStyle w:val="BodyText"/>
        <w:spacing w:line="240" w:lineRule="auto" w:before="13"/>
        <w:ind w:left="514" w:right="149"/>
        <w:jc w:val="left"/>
      </w:pPr>
      <w:r>
        <w:rPr/>
        <w:t>另有数据显示，</w:t>
      </w:r>
      <w:r>
        <w:rPr>
          <w:rFonts w:ascii="Times New Roman" w:hAnsi="Times New Roman" w:cs="Times New Roman" w:eastAsia="Times New Roman" w:hint="default"/>
        </w:rPr>
        <w:t>2012</w:t>
      </w:r>
      <w:r>
        <w:rPr/>
        <w:t>年前三季度全国金融</w:t>
      </w:r>
      <w:r>
        <w:rPr>
          <w:rFonts w:ascii="Times New Roman" w:hAnsi="Times New Roman" w:cs="Times New Roman" w:eastAsia="Times New Roman" w:hint="default"/>
        </w:rPr>
        <w:t>IC</w:t>
      </w:r>
      <w:r>
        <w:rPr/>
        <w:t>卡发卡总量已经达到</w:t>
      </w:r>
      <w:r>
        <w:rPr>
          <w:rFonts w:ascii="Times New Roman" w:hAnsi="Times New Roman" w:cs="Times New Roman" w:eastAsia="Times New Roman" w:hint="default"/>
        </w:rPr>
        <w:t>7,458</w:t>
      </w:r>
      <w:r>
        <w:rPr/>
        <w:t>万张，而</w:t>
      </w:r>
      <w:r>
        <w:rPr>
          <w:rFonts w:ascii="Times New Roman" w:hAnsi="Times New Roman" w:cs="Times New Roman" w:eastAsia="Times New Roman" w:hint="default"/>
        </w:rPr>
        <w:t>2011</w:t>
      </w:r>
      <w:r>
        <w:rPr/>
        <w:t>年底国内银行</w:t>
      </w:r>
      <w:r>
        <w:rPr>
          <w:rFonts w:ascii="Times New Roman" w:hAnsi="Times New Roman" w:cs="Times New Roman" w:eastAsia="Times New Roman" w:hint="default"/>
        </w:rPr>
        <w:t>IC</w:t>
      </w:r>
      <w:r>
        <w:rPr/>
        <w:t>卡累计发行量仅有</w:t>
      </w:r>
    </w:p>
    <w:p>
      <w:pPr>
        <w:pStyle w:val="BodyText"/>
        <w:spacing w:line="300" w:lineRule="auto" w:before="62"/>
        <w:ind w:left="513" w:right="149" w:hanging="360"/>
        <w:jc w:val="left"/>
      </w:pPr>
      <w:r>
        <w:rPr>
          <w:rFonts w:ascii="Times New Roman" w:hAnsi="Times New Roman" w:cs="Times New Roman" w:eastAsia="Times New Roman" w:hint="default"/>
        </w:rPr>
        <w:t>2,430</w:t>
      </w:r>
      <w:r>
        <w:rPr/>
        <w:t>万张，金融</w:t>
      </w:r>
      <w:r>
        <w:rPr>
          <w:rFonts w:ascii="Times New Roman" w:hAnsi="Times New Roman" w:cs="Times New Roman" w:eastAsia="Times New Roman" w:hint="default"/>
        </w:rPr>
        <w:t>IC</w:t>
      </w:r>
      <w:r>
        <w:rPr/>
        <w:t>卡的发卡数量急剧增长。 </w:t>
      </w:r>
      <w:r>
        <w:rPr>
          <w:spacing w:val="-2"/>
        </w:rPr>
        <w:t>随着银行卡产业的不断发展和居民支付习惯的改变，我国银行卡业务，尤其是银行卡消费业务保持持续快速增长，对金</w:t>
      </w:r>
    </w:p>
    <w:p>
      <w:pPr>
        <w:pStyle w:val="BodyText"/>
        <w:spacing w:line="240" w:lineRule="auto" w:before="31"/>
        <w:ind w:left="153" w:right="0"/>
        <w:jc w:val="both"/>
      </w:pPr>
      <w:r>
        <w:rPr/>
        <w:t>融电子支付设备及相关支付技术服务的需求日益广泛。</w:t>
      </w:r>
    </w:p>
    <w:p>
      <w:pPr>
        <w:pStyle w:val="BodyText"/>
        <w:spacing w:line="316" w:lineRule="auto" w:before="76"/>
        <w:ind w:left="513" w:right="149"/>
        <w:jc w:val="left"/>
      </w:pPr>
      <w:r>
        <w:rPr/>
        <w:t>②电子支付将向农村地区延伸 </w:t>
      </w:r>
      <w:r>
        <w:rPr>
          <w:spacing w:val="-2"/>
        </w:rPr>
        <w:t>近年来，随着农村经济建设的发展和国家各类惠农政策的不断出台，农村地区消费能力逐年提升，农村地区的支付需求</w:t>
      </w:r>
    </w:p>
    <w:p>
      <w:pPr>
        <w:pStyle w:val="BodyText"/>
        <w:spacing w:line="316" w:lineRule="auto" w:before="18"/>
        <w:ind w:left="153" w:right="149"/>
        <w:jc w:val="both"/>
      </w:pPr>
      <w:r>
        <w:rPr>
          <w:spacing w:val="-2"/>
        </w:rPr>
        <w:t>日益增多。但是农村地区受经济发展水平、用户文化水平、互联网基础设施等一系列因素的影响，广大用户基本还在依靠银</w:t>
      </w:r>
      <w:r>
        <w:rPr>
          <w:spacing w:val="-66"/>
        </w:rPr>
        <w:t> </w:t>
      </w:r>
      <w:r>
        <w:rPr>
          <w:spacing w:val="-66"/>
        </w:rPr>
      </w:r>
      <w:r>
        <w:rPr>
          <w:spacing w:val="-2"/>
        </w:rPr>
        <w:t>行网点进行各种金融业务；与此同时，由于银行对于农村地区的资源倾斜不够，农村地区的网点覆盖不够完善，广大的农村</w:t>
      </w:r>
      <w:r>
        <w:rPr>
          <w:spacing w:val="-66"/>
        </w:rPr>
        <w:t> </w:t>
      </w:r>
      <w:r>
        <w:rPr>
          <w:spacing w:val="-66"/>
        </w:rPr>
      </w:r>
      <w:r>
        <w:rPr>
          <w:spacing w:val="-2"/>
        </w:rPr>
        <w:t>用户还不能享受到良好的现代化的支付服务。随着农村经济的不断发展和农民的持续增收，农村地区对金融服务的需求多元</w:t>
      </w:r>
      <w:r>
        <w:rPr>
          <w:spacing w:val="-64"/>
        </w:rPr>
        <w:t> </w:t>
      </w:r>
      <w:r>
        <w:rPr>
          <w:spacing w:val="-64"/>
        </w:rPr>
      </w:r>
      <w:r>
        <w:rPr/>
        <w:t>化、多层次特征将越来越明显。</w:t>
      </w:r>
    </w:p>
    <w:p>
      <w:pPr>
        <w:pStyle w:val="BodyText"/>
        <w:spacing w:line="312" w:lineRule="auto" w:before="18"/>
        <w:ind w:left="153" w:right="151" w:firstLine="360"/>
        <w:jc w:val="both"/>
        <w:rPr>
          <w:rFonts w:ascii="Times New Roman" w:hAnsi="Times New Roman" w:cs="Times New Roman" w:eastAsia="Times New Roman" w:hint="default"/>
        </w:rPr>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月中国人民银行发布的《关于中国支付体系发展（</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-2015</w:t>
      </w:r>
      <w:r>
        <w:rPr/>
        <w:t>年）的指导意见》提出：</w:t>
      </w:r>
      <w:r>
        <w:rPr>
          <w:rFonts w:ascii="Times New Roman" w:hAnsi="Times New Roman" w:cs="Times New Roman" w:eastAsia="Times New Roman" w:hint="default"/>
        </w:rPr>
        <w:t>“</w:t>
      </w:r>
      <w:r>
        <w:rPr/>
        <w:t>加大支付结算知识宣 </w:t>
      </w:r>
      <w:r>
        <w:rPr>
          <w:spacing w:val="-2"/>
        </w:rPr>
        <w:t>传普及力度，推动银行业金融机构加大非现金支付工具配套设施布放力度，引导和鼓励社会公众使用非现金支付工具。紧密</w:t>
      </w:r>
      <w:r>
        <w:rPr>
          <w:spacing w:val="-66"/>
        </w:rPr>
        <w:t> </w:t>
      </w:r>
      <w:r>
        <w:rPr>
          <w:spacing w:val="-66"/>
        </w:rPr>
      </w:r>
      <w:r>
        <w:rPr>
          <w:spacing w:val="-2"/>
        </w:rPr>
        <w:t>结合农村实际，充分利用农村地区网络通信设施，推动切合农村实际的电子支付工具在农村地区的应用和普及。鼓励和推动</w:t>
      </w:r>
      <w:r>
        <w:rPr>
          <w:spacing w:val="-66"/>
        </w:rPr>
        <w:t> </w:t>
      </w:r>
      <w:r>
        <w:rPr>
          <w:spacing w:val="-66"/>
        </w:rPr>
      </w:r>
      <w:r>
        <w:rPr/>
        <w:t>非现金支付工具在国家粮食、农副产品收购以及果蔬、农业生产资料等各类专业市场的广泛应用。</w:t>
      </w:r>
      <w:r>
        <w:rPr>
          <w:rFonts w:ascii="Times New Roman" w:hAnsi="Times New Roman" w:cs="Times New Roman" w:eastAsia="Times New Roman" w:hint="default"/>
        </w:rPr>
        <w:t>”</w:t>
      </w:r>
    </w:p>
    <w:p>
      <w:pPr>
        <w:pStyle w:val="BodyText"/>
        <w:spacing w:line="316" w:lineRule="auto" w:before="44"/>
        <w:ind w:left="153" w:right="149" w:firstLine="360"/>
        <w:jc w:val="left"/>
      </w:pPr>
      <w:r>
        <w:rPr>
          <w:spacing w:val="-2"/>
        </w:rPr>
        <w:t>在建设农村支付服务环境，提高农村地区非现金支付工具使用率，满足广大农村多层次、全方位的金融服务需求中的大</w:t>
      </w:r>
      <w:r>
        <w:rPr/>
        <w:t> 环境下，必然会拓展金融电子支付设备的市场空间。</w:t>
      </w:r>
    </w:p>
    <w:p>
      <w:pPr>
        <w:pStyle w:val="BodyText"/>
        <w:spacing w:line="316" w:lineRule="auto" w:before="57"/>
        <w:ind w:left="513" w:right="0"/>
        <w:jc w:val="left"/>
      </w:pPr>
      <w:r>
        <w:rPr/>
        <w:t>③电子支付商业模式和电子支付设备不断创新 </w:t>
      </w:r>
      <w:r>
        <w:rPr>
          <w:spacing w:val="-2"/>
        </w:rPr>
        <w:t>随着互联网的普及和电子商务的深入发展，消费者对便利、安全、高效的创新电子支付需求日趋强烈；同时现代科学技</w:t>
      </w:r>
    </w:p>
    <w:p>
      <w:pPr>
        <w:spacing w:after="0" w:line="316"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6" w:lineRule="auto" w:before="44"/>
        <w:ind w:left="153" w:right="108"/>
        <w:jc w:val="both"/>
      </w:pPr>
      <w:r>
        <w:rPr/>
        <w:t>术的进步使电子支付处于前所未有快速发展中，芯片技术、生物识别、移动通信等技术的进步时刻影响着电子支付的发展， 电子支付产品、电子支付商业模式会发生不断的变化。</w:t>
      </w:r>
    </w:p>
    <w:p>
      <w:pPr>
        <w:pStyle w:val="BodyText"/>
        <w:spacing w:line="309" w:lineRule="auto" w:before="18"/>
        <w:ind w:left="153" w:right="91" w:firstLine="360"/>
        <w:jc w:val="left"/>
      </w:pPr>
      <w:r>
        <w:rPr>
          <w:spacing w:val="-2"/>
        </w:rPr>
        <w:t>一方面随着嵌入式技术在</w:t>
      </w:r>
      <w:r>
        <w:rPr>
          <w:rFonts w:ascii="Times New Roman" w:hAnsi="Times New Roman" w:cs="Times New Roman" w:eastAsia="Times New Roman" w:hint="default"/>
          <w:spacing w:val="-2"/>
        </w:rPr>
        <w:t>CPU</w:t>
      </w:r>
      <w:r>
        <w:rPr>
          <w:spacing w:val="-2"/>
        </w:rPr>
        <w:t>运算能力和操作系统方面的突飞猛进，金融电子支付受理设备在行业应用方面出现了大屏</w:t>
      </w:r>
      <w:r>
        <w:rPr/>
        <w:t> 幕、多媒体、多应用的趋势，即电子支付终端设备不再仅仅局限于银行卡受理支付这一单一应用，而是更多的和诸如通信、 交通、公共事业部门、烟草等一种或多种行业应用相结合，成为带有支付功能的行业应用终端。</w:t>
      </w:r>
    </w:p>
    <w:p>
      <w:pPr>
        <w:pStyle w:val="BodyText"/>
        <w:spacing w:line="300" w:lineRule="auto" w:before="24"/>
        <w:ind w:left="153" w:right="191" w:firstLine="360"/>
        <w:jc w:val="both"/>
      </w:pPr>
      <w:r>
        <w:rPr>
          <w:spacing w:val="-1"/>
        </w:rPr>
        <w:t>另外，随着移动互联网时代的到来，个人运算中心已经从</w:t>
      </w:r>
      <w:r>
        <w:rPr>
          <w:rFonts w:ascii="Times New Roman" w:hAnsi="Times New Roman" w:cs="Times New Roman" w:eastAsia="Times New Roman" w:hint="default"/>
          <w:spacing w:val="-1"/>
        </w:rPr>
        <w:t>PC</w:t>
      </w:r>
      <w:r>
        <w:rPr>
          <w:spacing w:val="-1"/>
        </w:rPr>
        <w:t>机过渡到手机或</w:t>
      </w:r>
      <w:r>
        <w:rPr>
          <w:rFonts w:ascii="Times New Roman" w:hAnsi="Times New Roman" w:cs="Times New Roman" w:eastAsia="Times New Roman" w:hint="default"/>
          <w:spacing w:val="-1"/>
        </w:rPr>
        <w:t>Pad</w:t>
      </w:r>
      <w:r>
        <w:rPr>
          <w:spacing w:val="-1"/>
        </w:rPr>
        <w:t>等形态的产品上，支付工具做为计算机</w:t>
      </w:r>
      <w:r>
        <w:rPr/>
        <w:t> 应用的一个分支的形态也必将发生重大改变，向更小型、更便携的方向发展，做为配合手机或</w:t>
      </w:r>
      <w:r>
        <w:rPr>
          <w:rFonts w:ascii="Times New Roman" w:hAnsi="Times New Roman" w:cs="Times New Roman" w:eastAsia="Times New Roman" w:hint="default"/>
        </w:rPr>
        <w:t>Pad</w:t>
      </w:r>
      <w:r>
        <w:rPr/>
        <w:t>共同完成支付功能的外设 产品，广泛应用于物流行业的</w:t>
      </w:r>
      <w:r>
        <w:rPr>
          <w:rFonts w:ascii="Times New Roman" w:hAnsi="Times New Roman" w:cs="Times New Roman" w:eastAsia="Times New Roman" w:hint="default"/>
        </w:rPr>
        <w:t>COD</w:t>
      </w:r>
      <w:r>
        <w:rPr/>
        <w:t>收款和各行各业的移动营销。</w:t>
      </w:r>
    </w:p>
    <w:p>
      <w:pPr>
        <w:pStyle w:val="BodyText"/>
        <w:spacing w:line="316" w:lineRule="auto" w:before="13"/>
        <w:ind w:left="514" w:right="90"/>
        <w:jc w:val="left"/>
      </w:pPr>
      <w:r>
        <w:rPr/>
        <w:t>④自助终端行业发展趋势 </w:t>
      </w:r>
      <w:r>
        <w:rPr>
          <w:spacing w:val="-2"/>
        </w:rPr>
        <w:t>自助终端经过多年的发展，其定位从柜台简单业务的分流已经进一步发展到商业银行和通信运营商渠道建设的一个重要</w:t>
      </w:r>
    </w:p>
    <w:p>
      <w:pPr>
        <w:pStyle w:val="BodyText"/>
        <w:spacing w:line="309" w:lineRule="auto" w:before="18"/>
        <w:ind w:right="188"/>
        <w:jc w:val="both"/>
      </w:pPr>
      <w:r>
        <w:rPr>
          <w:spacing w:val="-2"/>
        </w:rPr>
        <w:t>组成部分。我们认为目前在商业银行领域的应用有如下三个重要的趋势：首先，自助终端做为柜台业务分流的重要工具，随</w:t>
      </w:r>
      <w:r>
        <w:rPr>
          <w:spacing w:val="-66"/>
        </w:rPr>
        <w:t> </w:t>
      </w:r>
      <w:r>
        <w:rPr>
          <w:spacing w:val="-66"/>
        </w:rPr>
      </w:r>
      <w:r>
        <w:rPr>
          <w:spacing w:val="-1"/>
        </w:rPr>
        <w:t>着技术进步已经不仅仅满足于只承载缴费，转账等简单业务。通过远程视频授权将发卡，开户，签约网银，领取</w:t>
      </w:r>
      <w:r>
        <w:rPr>
          <w:rFonts w:ascii="Times New Roman" w:hAnsi="Times New Roman" w:cs="Times New Roman" w:eastAsia="Times New Roman" w:hint="default"/>
          <w:spacing w:val="-1"/>
        </w:rPr>
        <w:t>U-Key</w:t>
      </w:r>
      <w:r>
        <w:rPr>
          <w:spacing w:val="-1"/>
        </w:rPr>
        <w:t>等以</w:t>
      </w:r>
      <w:r>
        <w:rPr>
          <w:spacing w:val="-69"/>
        </w:rPr>
        <w:t> </w:t>
      </w:r>
      <w:r>
        <w:rPr/>
        <w:t>前只能在柜面办理的业务全部整合到自助终端上，再结合</w:t>
      </w:r>
      <w:r>
        <w:rPr>
          <w:rFonts w:ascii="Times New Roman" w:hAnsi="Times New Roman" w:cs="Times New Roman" w:eastAsia="Times New Roman" w:hint="default"/>
        </w:rPr>
        <w:t>ATM</w:t>
      </w:r>
      <w:r>
        <w:rPr/>
        <w:t>上成熟的现金业务已经使自助终端具备了完全替代柜面台席 的能力。成为了新一代的自助终端</w:t>
      </w:r>
      <w:r>
        <w:rPr>
          <w:rFonts w:ascii="Times New Roman" w:hAnsi="Times New Roman" w:cs="Times New Roman" w:eastAsia="Times New Roman" w:hint="default"/>
        </w:rPr>
        <w:t>——VTM</w:t>
      </w:r>
      <w:r>
        <w:rPr/>
        <w:t>。可以预计，通过布设</w:t>
      </w:r>
      <w:r>
        <w:rPr>
          <w:rFonts w:ascii="Times New Roman" w:hAnsi="Times New Roman" w:cs="Times New Roman" w:eastAsia="Times New Roman" w:hint="default"/>
        </w:rPr>
        <w:t>VTM</w:t>
      </w:r>
      <w:r>
        <w:rPr/>
        <w:t>实现全功能的</w:t>
      </w:r>
      <w:r>
        <w:rPr>
          <w:rFonts w:ascii="Times New Roman" w:hAnsi="Times New Roman" w:cs="Times New Roman" w:eastAsia="Times New Roman" w:hint="default"/>
        </w:rPr>
        <w:t>24</w:t>
      </w:r>
      <w:r>
        <w:rPr/>
        <w:t>小时自助银行实现对传统网点的优 </w:t>
      </w:r>
      <w:r>
        <w:rPr>
          <w:spacing w:val="-2"/>
        </w:rPr>
        <w:t>化升级甚至于替代指日可待。其次，随着金融</w:t>
      </w:r>
      <w:r>
        <w:rPr>
          <w:rFonts w:ascii="Times New Roman" w:hAnsi="Times New Roman" w:cs="Times New Roman" w:eastAsia="Times New Roman" w:hint="default"/>
          <w:spacing w:val="-2"/>
        </w:rPr>
        <w:t>IC</w:t>
      </w:r>
      <w:r>
        <w:rPr>
          <w:spacing w:val="-2"/>
        </w:rPr>
        <w:t>卡的发行和应用，对金融</w:t>
      </w:r>
      <w:r>
        <w:rPr>
          <w:rFonts w:ascii="Times New Roman" w:hAnsi="Times New Roman" w:cs="Times New Roman" w:eastAsia="Times New Roman" w:hint="default"/>
          <w:spacing w:val="-2"/>
        </w:rPr>
        <w:t>IC</w:t>
      </w:r>
      <w:r>
        <w:rPr>
          <w:spacing w:val="-2"/>
        </w:rPr>
        <w:t>卡上承载的公交，社保，高速公路交费等账户的</w:t>
      </w:r>
      <w:r>
        <w:rPr>
          <w:spacing w:val="-64"/>
        </w:rPr>
        <w:t> </w:t>
      </w:r>
      <w:r>
        <w:rPr>
          <w:spacing w:val="-64"/>
        </w:rPr>
      </w:r>
      <w:r>
        <w:rPr>
          <w:spacing w:val="-2"/>
        </w:rPr>
        <w:t>充值和圈存的需求将迫使商业银行布放大量离行式的自助终端来缓解网点的业务压力；同时随着传统自助终端技术标准的演</w:t>
      </w:r>
      <w:r>
        <w:rPr>
          <w:spacing w:val="-64"/>
        </w:rPr>
        <w:t> </w:t>
      </w:r>
      <w:r>
        <w:rPr>
          <w:spacing w:val="-64"/>
        </w:rPr>
      </w:r>
      <w:r>
        <w:rPr>
          <w:spacing w:val="-2"/>
        </w:rPr>
        <w:t>进，很可能会推动自助终端市场的参与者与电子支付受理终端市场参与者发生相互渗透。再次，通过为行业客户布放自助终</w:t>
      </w:r>
      <w:r>
        <w:rPr>
          <w:spacing w:val="-66"/>
        </w:rPr>
        <w:t> </w:t>
      </w:r>
      <w:r>
        <w:rPr>
          <w:spacing w:val="-66"/>
        </w:rPr>
      </w:r>
      <w:r>
        <w:rPr>
          <w:spacing w:val="-2"/>
        </w:rPr>
        <w:t>端解决管理和收费中的部分问题已经成为商业银行营销行业客户的一种通用手段。比如在医疗行业，商业银行通过在医院布</w:t>
      </w:r>
      <w:r>
        <w:rPr>
          <w:spacing w:val="-64"/>
        </w:rPr>
        <w:t> </w:t>
      </w:r>
      <w:r>
        <w:rPr>
          <w:spacing w:val="-64"/>
        </w:rPr>
      </w:r>
      <w:r>
        <w:rPr>
          <w:spacing w:val="-2"/>
        </w:rPr>
        <w:t>放</w:t>
      </w:r>
      <w:r>
        <w:rPr>
          <w:rFonts w:ascii="Times New Roman" w:hAnsi="Times New Roman" w:cs="Times New Roman" w:eastAsia="Times New Roman" w:hint="default"/>
          <w:spacing w:val="-2"/>
        </w:rPr>
        <w:t>“</w:t>
      </w:r>
      <w:r>
        <w:rPr>
          <w:spacing w:val="-2"/>
        </w:rPr>
        <w:t>银医自助终端</w:t>
      </w:r>
      <w:r>
        <w:rPr>
          <w:rFonts w:ascii="Times New Roman" w:hAnsi="Times New Roman" w:cs="Times New Roman" w:eastAsia="Times New Roman" w:hint="default"/>
          <w:spacing w:val="-2"/>
        </w:rPr>
        <w:t>”</w:t>
      </w:r>
      <w:r>
        <w:rPr>
          <w:spacing w:val="-2"/>
        </w:rPr>
        <w:t>即缓解了医院挂号和交费的排队问题，也为银行带来了可观的资金沉淀，开创了双赢的局面。同样的模式</w:t>
      </w:r>
      <w:r>
        <w:rPr>
          <w:spacing w:val="-43"/>
        </w:rPr>
        <w:t> </w:t>
      </w:r>
      <w:r>
        <w:rPr>
          <w:spacing w:val="-43"/>
        </w:rPr>
      </w:r>
      <w:r>
        <w:rPr>
          <w:spacing w:val="-2"/>
        </w:rPr>
        <w:t>也适用于商业银行营销电力，保险，交通等领域的行业客户。在通信运营商领域，在传统缴费终端上，通过提升人机交互界</w:t>
      </w:r>
      <w:r>
        <w:rPr>
          <w:spacing w:val="-66"/>
        </w:rPr>
        <w:t> </w:t>
      </w:r>
      <w:r>
        <w:rPr>
          <w:spacing w:val="-66"/>
        </w:rPr>
      </w:r>
      <w:r>
        <w:rPr>
          <w:spacing w:val="-2"/>
        </w:rPr>
        <w:t>面的水平承载更多的增值业务体验功能成为一个重要的发展趋势。同时，为加强通信运营商社会加盟渠道对新业务的把握和</w:t>
      </w:r>
      <w:r>
        <w:rPr>
          <w:spacing w:val="-64"/>
        </w:rPr>
        <w:t> </w:t>
      </w:r>
      <w:r>
        <w:rPr>
          <w:spacing w:val="-64"/>
        </w:rPr>
      </w:r>
      <w:r>
        <w:rPr/>
        <w:t>理解，新一代的业务体验办理终端将不仅仅布放在自有营业厅内，而是更大程度的布放在社会加盟渠道中。</w:t>
      </w:r>
    </w:p>
    <w:p>
      <w:pPr>
        <w:pStyle w:val="BodyText"/>
        <w:spacing w:line="316" w:lineRule="auto" w:before="24"/>
        <w:ind w:right="90" w:firstLine="360"/>
        <w:jc w:val="left"/>
      </w:pPr>
      <w:r>
        <w:rPr/>
        <w:t>总体上看，金融电子支付设备行业广阔的发展空间，给公司未来发展带来良好的机遇，但是公司也面临着全新的挑战， </w:t>
      </w:r>
      <w:r>
        <w:rPr>
          <w:spacing w:val="-2"/>
        </w:rPr>
        <w:t>需要公司准确把握市场需求，开发出符合市场发展趋势的创新产品，并在产品推广中与市场参与者之间寻找出共赢的商业盈</w:t>
      </w:r>
      <w:r>
        <w:rPr>
          <w:spacing w:val="-64"/>
        </w:rPr>
        <w:t> </w:t>
      </w:r>
      <w:r>
        <w:rPr>
          <w:spacing w:val="-64"/>
        </w:rPr>
      </w:r>
      <w:r>
        <w:rPr/>
        <w:t>利模式。</w:t>
      </w:r>
    </w:p>
    <w:p>
      <w:pPr>
        <w:pStyle w:val="BodyText"/>
        <w:spacing w:line="240" w:lineRule="auto" w:before="18"/>
        <w:ind w:left="514" w:right="90"/>
        <w:jc w:val="left"/>
      </w:pPr>
      <w:r>
        <w:rPr/>
        <w:t>（</w:t>
      </w:r>
      <w:r>
        <w:rPr>
          <w:rFonts w:ascii="Times New Roman" w:hAnsi="Times New Roman" w:cs="Times New Roman" w:eastAsia="Times New Roman" w:hint="default"/>
        </w:rPr>
        <w:t>2</w:t>
      </w:r>
      <w:r>
        <w:rPr/>
        <w:t>）竞争格局</w:t>
      </w:r>
    </w:p>
    <w:p>
      <w:pPr>
        <w:pStyle w:val="BodyText"/>
        <w:spacing w:line="316" w:lineRule="auto" w:before="62"/>
        <w:ind w:left="514" w:right="180"/>
        <w:jc w:val="left"/>
      </w:pPr>
      <w:r>
        <w:rPr/>
        <w:t>①加密键盘现有竞争对手情况 深圳市九思泰达科技有限公司：主要产品有密码键盘、</w:t>
      </w:r>
      <w:r>
        <w:rPr>
          <w:rFonts w:ascii="Times New Roman" w:hAnsi="Times New Roman" w:cs="Times New Roman" w:eastAsia="Times New Roman" w:hint="default"/>
        </w:rPr>
        <w:t>SMKEY</w:t>
      </w:r>
      <w:r>
        <w:rPr/>
        <w:t>移动支付终端等产品，与公司在高端加密键盘产品上产</w:t>
      </w:r>
    </w:p>
    <w:p>
      <w:pPr>
        <w:pStyle w:val="BodyText"/>
        <w:spacing w:line="235" w:lineRule="exact"/>
        <w:ind w:right="90"/>
        <w:jc w:val="left"/>
      </w:pPr>
      <w:r>
        <w:rPr/>
        <w:t>生竞争。</w:t>
      </w:r>
    </w:p>
    <w:p>
      <w:pPr>
        <w:pStyle w:val="BodyText"/>
        <w:spacing w:line="316" w:lineRule="auto" w:before="76"/>
        <w:ind w:right="90" w:firstLine="360"/>
        <w:jc w:val="left"/>
      </w:pPr>
      <w:r>
        <w:rPr>
          <w:spacing w:val="-2"/>
        </w:rPr>
        <w:t>深圳市旭子金融设备有限公司：主要开发金属键盘系列、轨迹球系列、触控板系列、自助服务终端及配件等产品，与公</w:t>
      </w:r>
      <w:r>
        <w:rPr/>
        <w:t> 司在非金融行业、通用加密键盘产品方面产生竞争。</w:t>
      </w:r>
    </w:p>
    <w:p>
      <w:pPr>
        <w:pStyle w:val="BodyText"/>
        <w:spacing w:line="300" w:lineRule="auto" w:before="18"/>
        <w:ind w:right="186" w:firstLine="360"/>
        <w:jc w:val="left"/>
      </w:pPr>
      <w:r>
        <w:rPr>
          <w:spacing w:val="-1"/>
        </w:rPr>
        <w:t>美国</w:t>
      </w:r>
      <w:r>
        <w:rPr>
          <w:rFonts w:ascii="Times New Roman" w:hAnsi="Times New Roman" w:cs="Times New Roman" w:eastAsia="Times New Roman" w:hint="default"/>
          <w:spacing w:val="-1"/>
        </w:rPr>
        <w:t>VeriFone</w:t>
      </w:r>
      <w:r>
        <w:rPr>
          <w:spacing w:val="-1"/>
        </w:rPr>
        <w:t>公司：全球安全电子支付解决方案市场的提供商，包括金融、电信、零售、交通、石油、快速服务、保险</w:t>
      </w:r>
      <w:r>
        <w:rPr/>
        <w:t> 等行业市场，产品应用于</w:t>
      </w:r>
      <w:r>
        <w:rPr>
          <w:rFonts w:ascii="Times New Roman" w:hAnsi="Times New Roman" w:cs="Times New Roman" w:eastAsia="Times New Roman" w:hint="default"/>
        </w:rPr>
        <w:t>120</w:t>
      </w:r>
      <w:r>
        <w:rPr/>
        <w:t>多个国家，在全球</w:t>
      </w:r>
      <w:r>
        <w:rPr>
          <w:rFonts w:ascii="Times New Roman" w:hAnsi="Times New Roman" w:cs="Times New Roman" w:eastAsia="Times New Roman" w:hint="default"/>
        </w:rPr>
        <w:t>40</w:t>
      </w:r>
      <w:r>
        <w:rPr/>
        <w:t>余个国家设有分支机构，拥有</w:t>
      </w:r>
      <w:r>
        <w:rPr>
          <w:rFonts w:ascii="Times New Roman" w:hAnsi="Times New Roman" w:cs="Times New Roman" w:eastAsia="Times New Roman" w:hint="default"/>
        </w:rPr>
        <w:t>1000</w:t>
      </w:r>
      <w:r>
        <w:rPr/>
        <w:t>多家合作伙伴。</w:t>
      </w:r>
    </w:p>
    <w:p>
      <w:pPr>
        <w:pStyle w:val="BodyText"/>
        <w:spacing w:line="300" w:lineRule="auto" w:before="13"/>
        <w:ind w:right="180" w:firstLine="360"/>
        <w:jc w:val="left"/>
      </w:pPr>
      <w:r>
        <w:rPr/>
        <w:t>丹麦</w:t>
      </w:r>
      <w:r>
        <w:rPr>
          <w:rFonts w:ascii="Times New Roman" w:hAnsi="Times New Roman" w:cs="Times New Roman" w:eastAsia="Times New Roman" w:hint="default"/>
        </w:rPr>
        <w:t>Cryptera</w:t>
      </w:r>
      <w:r>
        <w:rPr/>
        <w:t>公司：在安全支付领域一直保持世界领先，总部设在丹麦首都哥本哈根，主要产品包括加密键盘、自助服 务终端等。</w:t>
      </w:r>
    </w:p>
    <w:p>
      <w:pPr>
        <w:pStyle w:val="BodyText"/>
        <w:spacing w:line="316" w:lineRule="auto" w:before="31"/>
        <w:ind w:left="514" w:right="230"/>
        <w:jc w:val="left"/>
      </w:pPr>
      <w:r>
        <w:rPr/>
        <w:t>②自助服务终端现有竞争对手情况 南天电子信息产业股份有限公司：深圳证券交易所上市公司，主要产品包括存折打印机、自助服务设备、</w:t>
      </w:r>
      <w:r>
        <w:rPr>
          <w:rFonts w:ascii="Times New Roman" w:hAnsi="Times New Roman" w:cs="Times New Roman" w:eastAsia="Times New Roman" w:hint="default"/>
        </w:rPr>
        <w:t>ATM</w:t>
      </w:r>
      <w:r>
        <w:rPr/>
        <w:t>等各类</w:t>
      </w:r>
    </w:p>
    <w:p>
      <w:pPr>
        <w:pStyle w:val="BodyText"/>
        <w:spacing w:line="316" w:lineRule="auto"/>
        <w:ind w:left="514" w:right="90" w:hanging="360"/>
        <w:jc w:val="left"/>
      </w:pPr>
      <w:r>
        <w:rPr/>
        <w:t>信息设备产品及解决方案。 </w:t>
      </w:r>
      <w:r>
        <w:rPr>
          <w:spacing w:val="-2"/>
        </w:rPr>
        <w:t>长城信息产业股份有限公司：深圳证券交易所上市公司，业务涵盖金融电子、高新电子、医疗电子、软件园区开发、软</w:t>
      </w:r>
    </w:p>
    <w:p>
      <w:pPr>
        <w:pStyle w:val="BodyText"/>
        <w:spacing w:line="316" w:lineRule="auto" w:before="18"/>
        <w:ind w:left="514" w:right="90" w:hanging="360"/>
        <w:jc w:val="left"/>
      </w:pPr>
      <w:r>
        <w:rPr/>
        <w:t>件系统集成与服务及电子产品制造。 </w:t>
      </w:r>
      <w:r>
        <w:rPr>
          <w:spacing w:val="-2"/>
        </w:rPr>
        <w:t>浪潮集团有限公司：中国领先的云计算整体解决方案供应商，拥有浪潮信息、浪潮软件、浪潮国际三家上市公司，业务</w:t>
      </w:r>
    </w:p>
    <w:p>
      <w:pPr>
        <w:pStyle w:val="BodyText"/>
        <w:spacing w:line="316" w:lineRule="auto" w:before="18"/>
        <w:ind w:left="514" w:right="90" w:hanging="360"/>
        <w:jc w:val="left"/>
      </w:pPr>
      <w:r>
        <w:rPr/>
        <w:t>涵盖计算机、软件、智能终端、移动通信、半导体五大产业群组。 </w:t>
      </w:r>
      <w:r>
        <w:rPr>
          <w:spacing w:val="-2"/>
        </w:rPr>
        <w:t>江苏国光信息产业股份有限公司：在常州国光电子总公司基础上组建的高科技企业，已经形成软件开发与系统集成、计</w:t>
      </w:r>
    </w:p>
    <w:p>
      <w:pPr>
        <w:pStyle w:val="BodyText"/>
        <w:spacing w:line="240" w:lineRule="auto" w:before="18"/>
        <w:ind w:right="0"/>
        <w:jc w:val="left"/>
      </w:pPr>
      <w:r>
        <w:rPr/>
        <w:t>算机外设、网络通信设备、金融机具设备、电磁屏蔽设备的经营格局，产品与系统广泛应用于政府、部队、金融、电信、电</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both"/>
      </w:pPr>
      <w:r>
        <w:rPr/>
        <w:t>力、铁路、邮政等领域。</w:t>
      </w:r>
    </w:p>
    <w:p>
      <w:pPr>
        <w:pStyle w:val="BodyText"/>
        <w:spacing w:line="300" w:lineRule="auto" w:before="76"/>
        <w:ind w:left="514" w:right="90" w:hanging="1"/>
        <w:jc w:val="left"/>
      </w:pPr>
      <w:r>
        <w:rPr/>
        <w:t>③</w:t>
      </w:r>
      <w:r>
        <w:rPr>
          <w:rFonts w:ascii="Times New Roman" w:hAnsi="Times New Roman" w:cs="Times New Roman" w:eastAsia="Times New Roman" w:hint="default"/>
        </w:rPr>
        <w:t>POS</w:t>
      </w:r>
      <w:r>
        <w:rPr/>
        <w:t>支付设备现有竞争对手情况 </w:t>
      </w:r>
      <w:r>
        <w:rPr>
          <w:spacing w:val="-2"/>
        </w:rPr>
        <w:t>联迪商用设备有限公司：是一家集研发、生产、销售和服务于一体的高新技术企业，产品涵盖金融</w:t>
      </w:r>
      <w:r>
        <w:rPr>
          <w:rFonts w:ascii="Times New Roman" w:hAnsi="Times New Roman" w:cs="Times New Roman" w:eastAsia="Times New Roman" w:hint="default"/>
          <w:spacing w:val="-2"/>
        </w:rPr>
        <w:t>POS</w:t>
      </w:r>
      <w:r>
        <w:rPr>
          <w:spacing w:val="-2"/>
        </w:rPr>
        <w:t>、金融自助服务</w:t>
      </w:r>
    </w:p>
    <w:p>
      <w:pPr>
        <w:pStyle w:val="BodyText"/>
        <w:spacing w:line="300" w:lineRule="auto" w:before="13"/>
        <w:ind w:left="514" w:right="90" w:hanging="360"/>
        <w:jc w:val="left"/>
      </w:pPr>
      <w:r>
        <w:rPr/>
        <w:t>终端、</w:t>
      </w:r>
      <w:r>
        <w:rPr>
          <w:rFonts w:ascii="Times New Roman" w:hAnsi="Times New Roman" w:cs="Times New Roman" w:eastAsia="Times New Roman" w:hint="default"/>
        </w:rPr>
        <w:t>IC</w:t>
      </w:r>
      <w:r>
        <w:rPr/>
        <w:t>卡机具等多个种类。 </w:t>
      </w:r>
      <w:r>
        <w:rPr>
          <w:spacing w:val="-3"/>
        </w:rPr>
        <w:t>深圳市新国都技术股份有限公司：深圳证券交易所上市公司，成立于</w:t>
      </w:r>
      <w:r>
        <w:rPr>
          <w:rFonts w:ascii="Times New Roman" w:hAnsi="Times New Roman" w:cs="Times New Roman" w:eastAsia="Times New Roman" w:hint="default"/>
          <w:spacing w:val="-3"/>
        </w:rPr>
        <w:t>2001</w:t>
      </w:r>
      <w:r>
        <w:rPr>
          <w:spacing w:val="-3"/>
        </w:rPr>
        <w:t>年，专业从事金融</w:t>
      </w:r>
      <w:r>
        <w:rPr>
          <w:rFonts w:ascii="Times New Roman" w:hAnsi="Times New Roman" w:cs="Times New Roman" w:eastAsia="Times New Roman" w:hint="default"/>
          <w:spacing w:val="-3"/>
        </w:rPr>
        <w:t>POS</w:t>
      </w:r>
      <w:r>
        <w:rPr>
          <w:spacing w:val="-3"/>
        </w:rPr>
        <w:t>机的设计、研发、生产、</w:t>
      </w:r>
    </w:p>
    <w:p>
      <w:pPr>
        <w:pStyle w:val="BodyText"/>
        <w:spacing w:line="240" w:lineRule="auto" w:before="13"/>
        <w:ind w:right="0"/>
        <w:jc w:val="both"/>
      </w:pPr>
      <w:r>
        <w:rPr/>
        <w:t>销售。</w:t>
      </w:r>
    </w:p>
    <w:p>
      <w:pPr>
        <w:pStyle w:val="BodyText"/>
        <w:spacing w:line="300" w:lineRule="auto" w:before="76"/>
        <w:ind w:left="153" w:right="90" w:firstLine="360"/>
        <w:jc w:val="left"/>
      </w:pPr>
      <w:r>
        <w:rPr>
          <w:spacing w:val="-2"/>
        </w:rPr>
        <w:t>百富计算机技术</w:t>
      </w:r>
      <w:r>
        <w:rPr>
          <w:rFonts w:ascii="Times New Roman" w:hAnsi="Times New Roman" w:cs="Times New Roman" w:eastAsia="Times New Roman" w:hint="default"/>
          <w:spacing w:val="-2"/>
        </w:rPr>
        <w:t>(</w:t>
      </w:r>
      <w:r>
        <w:rPr>
          <w:spacing w:val="-2"/>
        </w:rPr>
        <w:t>深圳</w:t>
      </w:r>
      <w:r>
        <w:rPr>
          <w:rFonts w:ascii="Times New Roman" w:hAnsi="Times New Roman" w:cs="Times New Roman" w:eastAsia="Times New Roman" w:hint="default"/>
          <w:spacing w:val="-2"/>
        </w:rPr>
        <w:t>)</w:t>
      </w:r>
      <w:r>
        <w:rPr>
          <w:spacing w:val="-2"/>
        </w:rPr>
        <w:t>有限公司：香港联交所上市公司，成立于</w:t>
      </w:r>
      <w:r>
        <w:rPr>
          <w:rFonts w:ascii="Times New Roman" w:hAnsi="Times New Roman" w:cs="Times New Roman" w:eastAsia="Times New Roman" w:hint="default"/>
          <w:spacing w:val="-2"/>
        </w:rPr>
        <w:t>2001</w:t>
      </w:r>
      <w:r>
        <w:rPr>
          <w:spacing w:val="-2"/>
        </w:rPr>
        <w:t>年，主要从事</w:t>
      </w:r>
      <w:r>
        <w:rPr>
          <w:rFonts w:ascii="Times New Roman" w:hAnsi="Times New Roman" w:cs="Times New Roman" w:eastAsia="Times New Roman" w:hint="default"/>
          <w:spacing w:val="-2"/>
        </w:rPr>
        <w:t>POS</w:t>
      </w:r>
      <w:r>
        <w:rPr>
          <w:spacing w:val="-2"/>
        </w:rPr>
        <w:t>终端的设计、研发、生产、销售，</w:t>
      </w:r>
      <w:r>
        <w:rPr/>
        <w:t> 客户遍及</w:t>
      </w:r>
      <w:r>
        <w:rPr>
          <w:rFonts w:ascii="Times New Roman" w:hAnsi="Times New Roman" w:cs="Times New Roman" w:eastAsia="Times New Roman" w:hint="default"/>
        </w:rPr>
        <w:t>50</w:t>
      </w:r>
      <w:r>
        <w:rPr/>
        <w:t>多个国家和地区。</w:t>
      </w:r>
    </w:p>
    <w:p>
      <w:pPr>
        <w:pStyle w:val="BodyText"/>
        <w:spacing w:line="316" w:lineRule="auto" w:before="13"/>
        <w:ind w:left="153" w:right="90" w:firstLine="360"/>
        <w:jc w:val="left"/>
      </w:pPr>
      <w:r>
        <w:rPr>
          <w:spacing w:val="-2"/>
        </w:rPr>
        <w:t>新大陆：深圳证券交易所上市公司，主要产品包括电子支付产品、信息识读产品、行业应用软件开发及服务（含硬件配</w:t>
      </w:r>
      <w:r>
        <w:rPr/>
        <w:t> 套）等。</w:t>
      </w:r>
    </w:p>
    <w:p>
      <w:pPr>
        <w:pStyle w:val="BodyText"/>
        <w:spacing w:line="300" w:lineRule="auto" w:before="18"/>
        <w:ind w:left="153" w:right="90" w:firstLine="360"/>
        <w:jc w:val="left"/>
      </w:pPr>
      <w:r>
        <w:rPr>
          <w:spacing w:val="-2"/>
        </w:rPr>
        <w:t>江苏东大集成电路系统工程技术有限公司：该公司成立于</w:t>
      </w:r>
      <w:r>
        <w:rPr>
          <w:rFonts w:ascii="Times New Roman" w:hAnsi="Times New Roman" w:cs="Times New Roman" w:eastAsia="Times New Roman" w:hint="default"/>
          <w:spacing w:val="-2"/>
        </w:rPr>
        <w:t>2002</w:t>
      </w:r>
      <w:r>
        <w:rPr>
          <w:spacing w:val="-2"/>
        </w:rPr>
        <w:t>年，主要是提供专用集成电路设计和服务，嵌入式操作系</w:t>
      </w:r>
      <w:r>
        <w:rPr/>
        <w:t> 统软硬件开发，主要产品包括金融支付产品和自动识别产品两个系列。</w:t>
      </w:r>
    </w:p>
    <w:p>
      <w:pPr>
        <w:pStyle w:val="BodyText"/>
        <w:spacing w:line="300" w:lineRule="auto" w:before="31"/>
        <w:ind w:left="513" w:right="191"/>
        <w:jc w:val="left"/>
      </w:pPr>
      <w:r>
        <w:rPr/>
        <w:t>福建升腾资讯有限公司：成立于</w:t>
      </w:r>
      <w:r>
        <w:rPr>
          <w:rFonts w:ascii="Times New Roman" w:hAnsi="Times New Roman" w:cs="Times New Roman" w:eastAsia="Times New Roman" w:hint="default"/>
        </w:rPr>
        <w:t>2002</w:t>
      </w:r>
      <w:r>
        <w:rPr/>
        <w:t>年，从事瘦客户机及电话支付终端的研发、销售和服务的高新技术企业。 </w:t>
      </w:r>
      <w:r>
        <w:rPr>
          <w:rFonts w:ascii="Times New Roman" w:hAnsi="Times New Roman" w:cs="Times New Roman" w:eastAsia="Times New Roman" w:hint="default"/>
        </w:rPr>
        <w:t>2</w:t>
      </w:r>
      <w:r>
        <w:rPr/>
        <w:t>、公司发展战略 公司将围绕金融电子支付设备行业求发展，坚持</w:t>
      </w:r>
      <w:r>
        <w:rPr>
          <w:rFonts w:ascii="Times New Roman" w:hAnsi="Times New Roman" w:cs="Times New Roman" w:eastAsia="Times New Roman" w:hint="default"/>
        </w:rPr>
        <w:t>“</w:t>
      </w:r>
      <w:r>
        <w:rPr/>
        <w:t>以市场和客户为导向，以产品和服务为基础，以产能和质量为保障，</w:t>
      </w:r>
    </w:p>
    <w:p>
      <w:pPr>
        <w:pStyle w:val="BodyText"/>
        <w:spacing w:line="300" w:lineRule="auto" w:before="13"/>
        <w:ind w:left="153" w:right="208"/>
        <w:jc w:val="both"/>
      </w:pPr>
      <w:r>
        <w:rPr/>
        <w:t>以管理和内控促效益</w:t>
      </w:r>
      <w:r>
        <w:rPr>
          <w:rFonts w:ascii="Times New Roman" w:hAnsi="Times New Roman" w:cs="Times New Roman" w:eastAsia="Times New Roman" w:hint="default"/>
        </w:rPr>
        <w:t>”</w:t>
      </w:r>
      <w:r>
        <w:rPr/>
        <w:t>的经营方针，通过进一步加大主业的研发投入和产能建设，加大市场营销力度，创新市场营销方法， 扩大市场规模和市场占有率，构建企业持续稳定发展的基础，实现公司</w:t>
      </w:r>
      <w:r>
        <w:rPr>
          <w:rFonts w:ascii="Times New Roman" w:hAnsi="Times New Roman" w:cs="Times New Roman" w:eastAsia="Times New Roman" w:hint="default"/>
        </w:rPr>
        <w:t>“</w:t>
      </w:r>
      <w:r>
        <w:rPr/>
        <w:t>国内一流、国际知名的金融电子支付设备行业产品 和解决方案供应商</w:t>
      </w:r>
      <w:r>
        <w:rPr>
          <w:rFonts w:ascii="Times New Roman" w:hAnsi="Times New Roman" w:cs="Times New Roman" w:eastAsia="Times New Roman" w:hint="default"/>
        </w:rPr>
        <w:t>”</w:t>
      </w:r>
      <w:r>
        <w:rPr/>
        <w:t>的愿景。</w:t>
      </w:r>
    </w:p>
    <w:p>
      <w:pPr>
        <w:pStyle w:val="BodyText"/>
        <w:spacing w:line="300" w:lineRule="auto" w:before="13"/>
        <w:ind w:left="513" w:right="9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2013</w:t>
      </w:r>
      <w:r>
        <w:rPr/>
        <w:t>年度经营计划 </w:t>
      </w:r>
      <w:r>
        <w:rPr>
          <w:spacing w:val="-2"/>
        </w:rPr>
        <w:t>公司在</w:t>
      </w:r>
      <w:r>
        <w:rPr>
          <w:rFonts w:ascii="Times New Roman" w:hAnsi="Times New Roman" w:cs="Times New Roman" w:eastAsia="Times New Roman" w:hint="default"/>
          <w:spacing w:val="-2"/>
        </w:rPr>
        <w:t>2013</w:t>
      </w:r>
      <w:r>
        <w:rPr>
          <w:spacing w:val="-2"/>
        </w:rPr>
        <w:t>年将以三年战略规划为指引，团结协作，通过内抓管理保增长，外拓市场促发展，提升工作效率，全力抓好</w:t>
      </w:r>
    </w:p>
    <w:p>
      <w:pPr>
        <w:pStyle w:val="BodyText"/>
        <w:spacing w:line="240" w:lineRule="auto" w:before="13"/>
        <w:ind w:left="153" w:right="0"/>
        <w:jc w:val="both"/>
      </w:pPr>
      <w:r>
        <w:rPr/>
        <w:t>全面各项经营工作。为了完成年度经营计划及主要目标，公司将重点抓好以下工作：</w:t>
      </w:r>
    </w:p>
    <w:p>
      <w:pPr>
        <w:pStyle w:val="BodyText"/>
        <w:spacing w:line="300" w:lineRule="auto" w:before="76"/>
        <w:ind w:left="513" w:right="90"/>
        <w:jc w:val="left"/>
      </w:pPr>
      <w:r>
        <w:rPr/>
        <w:t>（</w:t>
      </w:r>
      <w:r>
        <w:rPr>
          <w:rFonts w:ascii="Times New Roman" w:hAnsi="Times New Roman" w:cs="Times New Roman" w:eastAsia="Times New Roman" w:hint="default"/>
        </w:rPr>
        <w:t>1</w:t>
      </w:r>
      <w:r>
        <w:rPr/>
        <w:t>）严格控制销售费用，巩固和提高传统产品的市场占有率，加强新产品营销和新业务领域开拓 </w:t>
      </w:r>
      <w:r>
        <w:rPr>
          <w:spacing w:val="-4"/>
        </w:rPr>
        <w:t>进一步理顺总部销售管理部门与销售分公司的关系，深耕传统产品和传统客户，制定切实可行并具有针对性的营销策略，</w:t>
      </w:r>
    </w:p>
    <w:p>
      <w:pPr>
        <w:pStyle w:val="BodyText"/>
        <w:spacing w:line="316" w:lineRule="auto" w:before="31"/>
        <w:ind w:left="153" w:right="90"/>
        <w:jc w:val="left"/>
      </w:pPr>
      <w:r>
        <w:rPr>
          <w:spacing w:val="-2"/>
        </w:rPr>
        <w:t>巩固并提升公司在农行、建行、邮储银行的市场占有率；做好整体销售费用和客服费用的监控和管理；加强应收账款的管理</w:t>
      </w:r>
      <w:r>
        <w:rPr>
          <w:spacing w:val="-66"/>
        </w:rPr>
        <w:t> </w:t>
      </w:r>
      <w:r>
        <w:rPr>
          <w:spacing w:val="-66"/>
        </w:rPr>
      </w:r>
      <w:r>
        <w:rPr/>
        <w:t>和催收工作。</w:t>
      </w:r>
    </w:p>
    <w:p>
      <w:pPr>
        <w:pStyle w:val="BodyText"/>
        <w:spacing w:line="316" w:lineRule="auto" w:before="18"/>
        <w:ind w:left="153" w:right="90" w:firstLine="360"/>
        <w:jc w:val="left"/>
      </w:pPr>
      <w:r>
        <w:rPr>
          <w:spacing w:val="-4"/>
        </w:rPr>
        <w:t>市场部加强对国内银行等直销客户的业务状况和发展趋势研究，积极寻找新产品、新业务领域、新销售模式的试点机会；</w:t>
      </w:r>
      <w:r>
        <w:rPr/>
        <w:t> 大客户部与销售分公司紧密配合，确保公司产品在重点客户的集中采购和入围选型工作。</w:t>
      </w:r>
    </w:p>
    <w:p>
      <w:pPr>
        <w:pStyle w:val="BodyText"/>
        <w:spacing w:line="300" w:lineRule="auto" w:before="18"/>
        <w:ind w:left="513" w:right="90"/>
        <w:jc w:val="left"/>
      </w:pPr>
      <w:r>
        <w:rPr/>
        <w:t>（</w:t>
      </w:r>
      <w:r>
        <w:rPr>
          <w:rFonts w:ascii="Times New Roman" w:hAnsi="Times New Roman" w:cs="Times New Roman" w:eastAsia="Times New Roman" w:hint="default"/>
        </w:rPr>
        <w:t>2</w:t>
      </w:r>
      <w:r>
        <w:rPr/>
        <w:t>）加大国际市场开发力度，实现海外业务稳步增长 </w:t>
      </w:r>
      <w:r>
        <w:rPr>
          <w:spacing w:val="-1"/>
        </w:rPr>
        <w:t>以现有海外主要客户为基础，建立与客户良好的长期合作关系，重点开发新的海外大客户，进一步维持</w:t>
      </w:r>
      <w:r>
        <w:rPr>
          <w:rFonts w:ascii="Times New Roman" w:hAnsi="Times New Roman" w:cs="Times New Roman" w:eastAsia="Times New Roman" w:hint="default"/>
          <w:spacing w:val="-1"/>
        </w:rPr>
        <w:t>EPP</w:t>
      </w:r>
      <w:r>
        <w:rPr>
          <w:spacing w:val="-1"/>
        </w:rPr>
        <w:t>国内市场领</w:t>
      </w:r>
    </w:p>
    <w:p>
      <w:pPr>
        <w:pStyle w:val="BodyText"/>
        <w:spacing w:line="316" w:lineRule="auto" w:before="13"/>
        <w:ind w:left="153" w:right="90"/>
        <w:jc w:val="left"/>
      </w:pPr>
      <w:r>
        <w:rPr>
          <w:spacing w:val="-2"/>
        </w:rPr>
        <w:t>域的现有优势地位，在海外市场积极发展大的客户，挖掘印度、东欧市场的销售机会；加大俄罗斯、印度、东欧的营销和市</w:t>
      </w:r>
      <w:r>
        <w:rPr>
          <w:spacing w:val="-68"/>
        </w:rPr>
        <w:t> </w:t>
      </w:r>
      <w:r>
        <w:rPr>
          <w:spacing w:val="-68"/>
        </w:rPr>
      </w:r>
      <w:r>
        <w:rPr/>
        <w:t>场拓展工作，实现海外业务的新突破。</w:t>
      </w:r>
    </w:p>
    <w:p>
      <w:pPr>
        <w:pStyle w:val="BodyText"/>
        <w:spacing w:line="302" w:lineRule="auto" w:before="18"/>
        <w:ind w:left="513" w:right="271"/>
        <w:jc w:val="left"/>
      </w:pPr>
      <w:r>
        <w:rPr/>
        <w:t>（</w:t>
      </w:r>
      <w:r>
        <w:rPr>
          <w:rFonts w:ascii="Times New Roman" w:hAnsi="Times New Roman" w:cs="Times New Roman" w:eastAsia="Times New Roman" w:hint="default"/>
        </w:rPr>
        <w:t>3</w:t>
      </w:r>
      <w:r>
        <w:rPr/>
        <w:t>）保证业务规范，同时提高项目实施能力，在</w:t>
      </w:r>
      <w:r>
        <w:rPr>
          <w:rFonts w:ascii="Times New Roman" w:hAnsi="Times New Roman" w:cs="Times New Roman" w:eastAsia="Times New Roman" w:hint="default"/>
        </w:rPr>
        <w:t>EMC</w:t>
      </w:r>
      <w:r>
        <w:rPr/>
        <w:t>业务上取得突破 抓住国内全面推行节能照明合同能源管理的有利时期，按照公司的相关业务操作指引，在保证业务规范的基础上提高</w:t>
      </w:r>
    </w:p>
    <w:p>
      <w:pPr>
        <w:pStyle w:val="BodyText"/>
        <w:spacing w:line="240" w:lineRule="auto" w:before="29"/>
        <w:ind w:left="153" w:right="0"/>
        <w:jc w:val="both"/>
      </w:pPr>
      <w:r>
        <w:rPr>
          <w:rFonts w:ascii="Times New Roman" w:hAnsi="Times New Roman" w:cs="Times New Roman" w:eastAsia="Times New Roman" w:hint="default"/>
        </w:rPr>
        <w:t>EMC</w:t>
      </w:r>
      <w:r>
        <w:rPr/>
        <w:t>项目实施能力，并确保按时回收已实施项目的节能投资收益。</w:t>
      </w:r>
    </w:p>
    <w:p>
      <w:pPr>
        <w:pStyle w:val="BodyText"/>
        <w:spacing w:line="300" w:lineRule="auto" w:before="62"/>
        <w:ind w:left="513" w:right="91"/>
        <w:jc w:val="left"/>
      </w:pPr>
      <w:r>
        <w:rPr/>
        <w:t>（</w:t>
      </w:r>
      <w:r>
        <w:rPr>
          <w:rFonts w:ascii="Times New Roman" w:hAnsi="Times New Roman" w:cs="Times New Roman" w:eastAsia="Times New Roman" w:hint="default"/>
        </w:rPr>
        <w:t>4</w:t>
      </w:r>
      <w:r>
        <w:rPr/>
        <w:t>）加强项目管理、提高研发产品效率 研发部门与销售体系、市场体系紧密配合，解决研发与市场和客户需求的脱节问题，使公司技术规划与产品规划同步，</w:t>
      </w:r>
    </w:p>
    <w:p>
      <w:pPr>
        <w:pStyle w:val="BodyText"/>
        <w:spacing w:line="316" w:lineRule="auto" w:before="31"/>
        <w:ind w:left="153" w:right="90"/>
        <w:jc w:val="left"/>
      </w:pPr>
      <w:r>
        <w:rPr>
          <w:spacing w:val="-2"/>
        </w:rPr>
        <w:t>达到减少研发投入浪费的目标；加强核心技术开发能力，提高项目管理水平，为推出低成本、高可靠性、高安全性产品奠定</w:t>
      </w:r>
      <w:r>
        <w:rPr>
          <w:spacing w:val="-66"/>
        </w:rPr>
        <w:t> </w:t>
      </w:r>
      <w:r>
        <w:rPr>
          <w:spacing w:val="-66"/>
        </w:rPr>
      </w:r>
      <w:r>
        <w:rPr/>
        <w:t>技术基础。</w:t>
      </w:r>
    </w:p>
    <w:p>
      <w:pPr>
        <w:pStyle w:val="BodyText"/>
        <w:spacing w:line="300" w:lineRule="auto" w:before="18"/>
        <w:ind w:left="513" w:right="90"/>
        <w:jc w:val="left"/>
      </w:pPr>
      <w:r>
        <w:rPr/>
        <w:t>（</w:t>
      </w:r>
      <w:r>
        <w:rPr>
          <w:rFonts w:ascii="Times New Roman" w:hAnsi="Times New Roman" w:cs="Times New Roman" w:eastAsia="Times New Roman" w:hint="default"/>
        </w:rPr>
        <w:t>5</w:t>
      </w:r>
      <w:r>
        <w:rPr/>
        <w:t>）推行扁平化管理，建立直接对接销售端的小工厂模式，加强质量控制、降低生产成本 </w:t>
      </w:r>
      <w:r>
        <w:rPr>
          <w:spacing w:val="-2"/>
        </w:rPr>
        <w:t>制造部门调整职能型组织架构，实行扁平化管理，针对不同的产品类型，建立类</w:t>
      </w:r>
      <w:r>
        <w:rPr>
          <w:rFonts w:ascii="Times New Roman" w:hAnsi="Times New Roman" w:cs="Times New Roman" w:eastAsia="Times New Roman" w:hint="default"/>
          <w:spacing w:val="-2"/>
        </w:rPr>
        <w:t>“</w:t>
      </w:r>
      <w:r>
        <w:rPr>
          <w:spacing w:val="-2"/>
        </w:rPr>
        <w:t>小工厂</w:t>
      </w:r>
      <w:r>
        <w:rPr>
          <w:rFonts w:ascii="Times New Roman" w:hAnsi="Times New Roman" w:cs="Times New Roman" w:eastAsia="Times New Roman" w:hint="default"/>
          <w:spacing w:val="-2"/>
        </w:rPr>
        <w:t>”</w:t>
      </w:r>
      <w:r>
        <w:rPr>
          <w:spacing w:val="-2"/>
        </w:rPr>
        <w:t>制造部门，提升生产效率；加</w:t>
      </w:r>
    </w:p>
    <w:p>
      <w:pPr>
        <w:pStyle w:val="BodyText"/>
        <w:spacing w:line="240" w:lineRule="auto" w:before="13"/>
        <w:ind w:left="153" w:right="0"/>
        <w:jc w:val="both"/>
      </w:pPr>
      <w:r>
        <w:rPr/>
        <w:t>强采购计划管理，保障生产交付与效率提升，降低库存成本，组建跨部门成本降低小组，降低产品成本。</w:t>
      </w:r>
    </w:p>
    <w:p>
      <w:pPr>
        <w:pStyle w:val="BodyText"/>
        <w:spacing w:line="300" w:lineRule="auto" w:before="76"/>
        <w:ind w:left="513" w:right="90"/>
        <w:jc w:val="left"/>
      </w:pPr>
      <w:r>
        <w:rPr/>
        <w:t>（</w:t>
      </w:r>
      <w:r>
        <w:rPr>
          <w:rFonts w:ascii="Times New Roman" w:hAnsi="Times New Roman" w:cs="Times New Roman" w:eastAsia="Times New Roman" w:hint="default"/>
        </w:rPr>
        <w:t>6</w:t>
      </w:r>
      <w:r>
        <w:rPr/>
        <w:t>）提高管理能力与水平，保障公司持续稳定发展 </w:t>
      </w:r>
      <w:r>
        <w:rPr>
          <w:spacing w:val="-2"/>
        </w:rPr>
        <w:t>围绕达成年度经营目标，做好季度经营管理目标的分解、下达及落实工作，完善相应考核；进一步推进预算管理，提高</w:t>
      </w:r>
    </w:p>
    <w:p>
      <w:pPr>
        <w:pStyle w:val="BodyText"/>
        <w:spacing w:line="240" w:lineRule="auto" w:before="31"/>
        <w:ind w:left="153" w:right="0"/>
        <w:jc w:val="both"/>
      </w:pPr>
      <w:r>
        <w:rPr/>
        <w:t>费用管理水平；积极应对公司业务规模增长和新业务拓展带来的挑战，在解决业务发展的资金需求的同时防范财务风险；加</w:t>
      </w:r>
    </w:p>
    <w:p>
      <w:pPr>
        <w:spacing w:after="0" w:line="240"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9" w:lineRule="auto" w:before="44"/>
        <w:ind w:left="513" w:right="91" w:hanging="360"/>
        <w:jc w:val="left"/>
      </w:pPr>
      <w:r>
        <w:rPr/>
        <w:t>强对财务核算、销售和采购管理、建设投资项目等工作的监督、检查、评价，完善公司内控管理体系，提高风险防范能力。 </w:t>
      </w:r>
      <w:r>
        <w:rPr>
          <w:rFonts w:ascii="Times New Roman" w:hAnsi="Times New Roman" w:cs="Times New Roman" w:eastAsia="Times New Roman" w:hint="default"/>
        </w:rPr>
        <w:t>4</w:t>
      </w:r>
      <w:r>
        <w:rPr/>
        <w:t>、资金需求及使用计划 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日召开的</w:t>
      </w:r>
      <w:r>
        <w:rPr>
          <w:rFonts w:ascii="Times New Roman" w:hAnsi="Times New Roman" w:cs="Times New Roman" w:eastAsia="Times New Roman" w:hint="default"/>
        </w:rPr>
        <w:t>2012</w:t>
      </w:r>
      <w:r>
        <w:rPr/>
        <w:t>年第二次临时股东大会审议通过了公司非公开发行有关事项，为了更好的抓住金融电</w:t>
      </w:r>
    </w:p>
    <w:p>
      <w:pPr>
        <w:pStyle w:val="BodyText"/>
        <w:spacing w:line="292" w:lineRule="exact" w:before="2"/>
        <w:ind w:right="211" w:hanging="1"/>
        <w:jc w:val="left"/>
      </w:pPr>
      <w:r>
        <w:rPr/>
        <w:t>子支付设备领域的发展机遇，丰富公司产品品种，完善公司的产品布局、抢占市场机会</w:t>
      </w:r>
      <w:r>
        <w:rPr>
          <w:sz w:val="24"/>
          <w:szCs w:val="24"/>
        </w:rPr>
        <w:t>，</w:t>
      </w:r>
      <w:r>
        <w:rPr/>
        <w:t>在本次非公开发行股票次募集资</w:t>
      </w:r>
      <w:r>
        <w:rPr/>
        <w:t> 金到位前，公司会根据实际情况以自有资金、银行贷款或其他方式筹集资金先行投入。</w:t>
      </w:r>
    </w:p>
    <w:p>
      <w:pPr>
        <w:pStyle w:val="BodyText"/>
        <w:spacing w:line="316" w:lineRule="auto" w:before="43"/>
        <w:ind w:right="90" w:firstLine="360"/>
        <w:jc w:val="left"/>
      </w:pPr>
      <w:r>
        <w:rPr>
          <w:spacing w:val="-2"/>
        </w:rPr>
        <w:t>此外，随着公司业务的发展，相应资金需求增加，公司会根据生产经营的实际需要和业务发展的实际情况，结合自身财</w:t>
      </w:r>
      <w:r>
        <w:rPr/>
        <w:t> 务状况，合理利用各种融资方式，确保未来发展的资金需求，</w:t>
      </w:r>
    </w:p>
    <w:p>
      <w:pPr>
        <w:pStyle w:val="BodyText"/>
        <w:spacing w:line="240" w:lineRule="auto" w:before="18"/>
        <w:ind w:left="514" w:right="90"/>
        <w:jc w:val="left"/>
      </w:pPr>
      <w:r>
        <w:rPr>
          <w:rFonts w:ascii="Times New Roman" w:hAnsi="Times New Roman" w:cs="Times New Roman" w:eastAsia="Times New Roman" w:hint="default"/>
        </w:rPr>
        <w:t>5</w:t>
      </w:r>
      <w:r>
        <w:rPr/>
        <w:t>、风险因素</w:t>
      </w:r>
    </w:p>
    <w:p>
      <w:pPr>
        <w:pStyle w:val="BodyText"/>
        <w:spacing w:line="300" w:lineRule="auto" w:before="62"/>
        <w:ind w:left="514" w:right="90"/>
        <w:jc w:val="left"/>
      </w:pPr>
      <w:r>
        <w:rPr/>
        <w:t>（</w:t>
      </w:r>
      <w:r>
        <w:rPr>
          <w:rFonts w:ascii="Times New Roman" w:hAnsi="Times New Roman" w:cs="Times New Roman" w:eastAsia="Times New Roman" w:hint="default"/>
        </w:rPr>
        <w:t>1</w:t>
      </w:r>
      <w:r>
        <w:rPr/>
        <w:t>）市场竞争风险 </w:t>
      </w:r>
      <w:r>
        <w:rPr>
          <w:spacing w:val="-2"/>
        </w:rPr>
        <w:t>金融电子支付设备行业虽然存在一定的进入壁垒，但是一方面由于市场参与者在现有产品和技术方面日益趋同，同质化</w:t>
      </w:r>
    </w:p>
    <w:p>
      <w:pPr>
        <w:pStyle w:val="BodyText"/>
        <w:spacing w:line="316" w:lineRule="auto" w:before="31"/>
        <w:ind w:right="190"/>
        <w:jc w:val="both"/>
      </w:pPr>
      <w:r>
        <w:rPr>
          <w:spacing w:val="-2"/>
        </w:rPr>
        <w:t>导致价格竞争激烈，公司市场占有率和盈利能力存在下降的风险；另一方面电子支付产品、电子支付商业模式会发生不断的</w:t>
      </w:r>
      <w:r>
        <w:rPr>
          <w:spacing w:val="-66"/>
        </w:rPr>
        <w:t> </w:t>
      </w:r>
      <w:r>
        <w:rPr>
          <w:spacing w:val="-66"/>
        </w:rPr>
      </w:r>
      <w:r>
        <w:rPr>
          <w:spacing w:val="-2"/>
        </w:rPr>
        <w:t>变化，需要设备供应商在产品和应用方面不断创新，能否开发出符合市场发展趋势的创新产品和服务，并与市场参与者之间</w:t>
      </w:r>
      <w:r>
        <w:rPr>
          <w:spacing w:val="-66"/>
        </w:rPr>
        <w:t> </w:t>
      </w:r>
      <w:r>
        <w:rPr>
          <w:spacing w:val="-66"/>
        </w:rPr>
      </w:r>
      <w:r>
        <w:rPr>
          <w:spacing w:val="-2"/>
        </w:rPr>
        <w:t>探索出共赢的商业盈利模式是公司今后发展的关键。如果公司不能及时跟上行业发展的步伐，在产品、技术和服务创新方面</w:t>
      </w:r>
      <w:r>
        <w:rPr>
          <w:spacing w:val="-66"/>
        </w:rPr>
        <w:t> </w:t>
      </w:r>
      <w:r>
        <w:rPr>
          <w:spacing w:val="-66"/>
        </w:rPr>
      </w:r>
      <w:r>
        <w:rPr>
          <w:spacing w:val="-2"/>
        </w:rPr>
        <w:t>不能适应客户和市场的需求，则可能面临公司产品、技术、服务与市场需求脱节，无法把握住行业发展的机会，造成公司竞</w:t>
      </w:r>
      <w:r>
        <w:rPr>
          <w:spacing w:val="-66"/>
        </w:rPr>
        <w:t> </w:t>
      </w:r>
      <w:r>
        <w:rPr>
          <w:spacing w:val="-66"/>
        </w:rPr>
      </w:r>
      <w:r>
        <w:rPr/>
        <w:t>争力下降的风险。</w:t>
      </w:r>
    </w:p>
    <w:p>
      <w:pPr>
        <w:pStyle w:val="BodyText"/>
        <w:spacing w:line="316" w:lineRule="auto" w:before="18"/>
        <w:ind w:right="90" w:firstLine="360"/>
        <w:jc w:val="left"/>
      </w:pPr>
      <w:r>
        <w:rPr>
          <w:spacing w:val="-2"/>
        </w:rPr>
        <w:t>公司将通过一方面加大市场拓展力度，深耕传统产品和传统客户，努力抢占市场份额，扩大销量；另一方面加强市场体</w:t>
      </w:r>
      <w:r>
        <w:rPr/>
        <w:t> 系力量，注重对客户的业务发展趋势、电子支付产品和商业模式的研究，全力开拓新产品、新市场，挖掘新的利润增长点， 以降低市场竞争风险。</w:t>
      </w:r>
    </w:p>
    <w:p>
      <w:pPr>
        <w:pStyle w:val="BodyText"/>
        <w:spacing w:line="300" w:lineRule="auto" w:before="18"/>
        <w:ind w:left="514" w:right="90"/>
        <w:jc w:val="left"/>
      </w:pPr>
      <w:r>
        <w:rPr/>
        <w:t>（</w:t>
      </w:r>
      <w:r>
        <w:rPr>
          <w:rFonts w:ascii="Times New Roman" w:hAnsi="Times New Roman" w:cs="Times New Roman" w:eastAsia="Times New Roman" w:hint="default"/>
        </w:rPr>
        <w:t>2</w:t>
      </w:r>
      <w:r>
        <w:rPr/>
        <w:t>）经营成本上升风险 </w:t>
      </w:r>
      <w:r>
        <w:rPr>
          <w:spacing w:val="-2"/>
        </w:rPr>
        <w:t>随着公司持续发展的需要，公司销售费用、研发费用不断增加，同时用工成本、运输费用等快速上涨，进一步提高了企</w:t>
      </w:r>
    </w:p>
    <w:p>
      <w:pPr>
        <w:pStyle w:val="BodyText"/>
        <w:spacing w:line="316" w:lineRule="auto" w:before="31"/>
        <w:ind w:right="90"/>
        <w:jc w:val="left"/>
      </w:pPr>
      <w:r>
        <w:rPr>
          <w:spacing w:val="-4"/>
        </w:rPr>
        <w:t>业的经营成本，而公司现有产品价格因为不断增强的市场竞争逐步下降，双重压力下，将会对公司的盈利能力造成较大影响。</w:t>
      </w:r>
      <w:r>
        <w:rPr>
          <w:spacing w:val="-44"/>
        </w:rPr>
        <w:t> </w:t>
      </w:r>
      <w:r>
        <w:rPr>
          <w:spacing w:val="-44"/>
        </w:rPr>
      </w:r>
      <w:r>
        <w:rPr>
          <w:spacing w:val="-2"/>
        </w:rPr>
        <w:t>如果公司现有新产品的客户认知、市场接受程度不高，公司又不能根据市场需求及时推出其他新产品，将会导致公司的经营</w:t>
      </w:r>
      <w:r>
        <w:rPr>
          <w:spacing w:val="-66"/>
        </w:rPr>
        <w:t> </w:t>
      </w:r>
      <w:r>
        <w:rPr>
          <w:spacing w:val="-66"/>
        </w:rPr>
      </w:r>
      <w:r>
        <w:rPr/>
        <w:t>业绩可能面临进一步下降的风险。</w:t>
      </w:r>
    </w:p>
    <w:p>
      <w:pPr>
        <w:pStyle w:val="BodyText"/>
        <w:spacing w:line="300" w:lineRule="auto" w:before="18"/>
        <w:ind w:right="90" w:firstLine="359"/>
        <w:jc w:val="left"/>
      </w:pPr>
      <w:r>
        <w:rPr>
          <w:spacing w:val="-2"/>
        </w:rPr>
        <w:t>公司将进一步挖掘供应商资源，努力降低各项采购成本；建立类</w:t>
      </w:r>
      <w:r>
        <w:rPr>
          <w:rFonts w:ascii="Times New Roman" w:hAnsi="Times New Roman" w:cs="Times New Roman" w:eastAsia="Times New Roman" w:hint="default"/>
          <w:spacing w:val="-2"/>
        </w:rPr>
        <w:t>“</w:t>
      </w:r>
      <w:r>
        <w:rPr>
          <w:spacing w:val="-2"/>
        </w:rPr>
        <w:t>小工厂</w:t>
      </w:r>
      <w:r>
        <w:rPr>
          <w:rFonts w:ascii="Times New Roman" w:hAnsi="Times New Roman" w:cs="Times New Roman" w:eastAsia="Times New Roman" w:hint="default"/>
          <w:spacing w:val="-2"/>
        </w:rPr>
        <w:t>”</w:t>
      </w:r>
      <w:r>
        <w:rPr>
          <w:spacing w:val="-2"/>
        </w:rPr>
        <w:t>制造部门，推行不变单价产值考核，以降低生</w:t>
      </w:r>
      <w:r>
        <w:rPr/>
        <w:t> 产成本；提高企业管理水平，强化预算管控和监督考核机制，降低费用成本，以降低经营成本上升风险。</w:t>
      </w:r>
    </w:p>
    <w:p>
      <w:pPr>
        <w:pStyle w:val="BodyText"/>
        <w:spacing w:line="300" w:lineRule="auto" w:before="31"/>
        <w:ind w:left="514" w:right="90"/>
        <w:jc w:val="left"/>
      </w:pPr>
      <w:r>
        <w:rPr/>
        <w:t>（</w:t>
      </w:r>
      <w:r>
        <w:rPr>
          <w:rFonts w:ascii="Times New Roman" w:hAnsi="Times New Roman" w:cs="Times New Roman" w:eastAsia="Times New Roman" w:hint="default"/>
        </w:rPr>
        <w:t>3</w:t>
      </w:r>
      <w:r>
        <w:rPr/>
        <w:t>）应收账款和现金流的风险 </w:t>
      </w:r>
      <w:r>
        <w:rPr>
          <w:spacing w:val="-2"/>
        </w:rPr>
        <w:t>随着公司业务的发展，人员机构、生产规模、投资项目不断增加，对公司现金流提出了更高要求，如果公司现金流不能</w:t>
      </w:r>
    </w:p>
    <w:p>
      <w:pPr>
        <w:pStyle w:val="BodyText"/>
        <w:spacing w:line="316" w:lineRule="auto" w:before="31"/>
        <w:ind w:right="90"/>
        <w:jc w:val="left"/>
      </w:pPr>
      <w:r>
        <w:rPr>
          <w:spacing w:val="-2"/>
        </w:rPr>
        <w:t>支撑公司业务快速扩张将对公司造成很大财务风险，影响公司未来发展。随着公司业务规模的不断扩大和销售收入的不断增</w:t>
      </w:r>
      <w:r>
        <w:rPr>
          <w:spacing w:val="-64"/>
        </w:rPr>
        <w:t> </w:t>
      </w:r>
      <w:r>
        <w:rPr>
          <w:spacing w:val="-64"/>
        </w:rPr>
      </w:r>
      <w:r>
        <w:rPr/>
        <w:t>加，公司应收账款也有较大增长。如果出现应收账款无法收回而发生坏账的情况，将对公司业绩和生产经营产生不利影响。</w:t>
      </w:r>
    </w:p>
    <w:p>
      <w:pPr>
        <w:pStyle w:val="BodyText"/>
        <w:spacing w:line="316" w:lineRule="auto" w:before="18"/>
        <w:ind w:right="90" w:firstLine="360"/>
        <w:jc w:val="left"/>
      </w:pPr>
      <w:r>
        <w:rPr>
          <w:spacing w:val="-2"/>
        </w:rPr>
        <w:t>公司将加强应收账款风险的管理，包括应收账款金额核对、账期管理等工作，将应收账款的催收与销售人员业绩考核挂</w:t>
      </w:r>
      <w:r>
        <w:rPr/>
        <w:t> 钩，以降低应收账款风险。</w:t>
      </w:r>
    </w:p>
    <w:p>
      <w:pPr>
        <w:spacing w:line="240" w:lineRule="auto" w:before="11"/>
        <w:rPr>
          <w:rFonts w:ascii="宋体" w:hAnsi="宋体" w:cs="宋体" w:eastAsia="宋体" w:hint="default"/>
          <w:sz w:val="20"/>
          <w:szCs w:val="20"/>
        </w:rPr>
      </w:pPr>
    </w:p>
    <w:p>
      <w:pPr>
        <w:pStyle w:val="Heading2"/>
        <w:spacing w:line="240" w:lineRule="auto"/>
        <w:ind w:right="90"/>
        <w:jc w:val="left"/>
        <w:rPr>
          <w:b w:val="0"/>
          <w:bCs w:val="0"/>
        </w:rPr>
      </w:pPr>
      <w:r>
        <w:rPr/>
        <w:t>九、董事会对会计师事务所本报告期“非标准审计报告”的说明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0"/>
        <w:jc w:val="left"/>
      </w:pPr>
      <w:r>
        <w:rPr/>
        <w:t>公司本年度财务报告未被会计师事务所出具非标准审计报告。</w:t>
      </w:r>
    </w:p>
    <w:p>
      <w:pPr>
        <w:spacing w:line="240" w:lineRule="auto" w:before="2"/>
        <w:rPr>
          <w:rFonts w:ascii="宋体" w:hAnsi="宋体" w:cs="宋体" w:eastAsia="宋体" w:hint="default"/>
          <w:sz w:val="25"/>
          <w:szCs w:val="25"/>
        </w:rPr>
      </w:pPr>
    </w:p>
    <w:p>
      <w:pPr>
        <w:pStyle w:val="Heading2"/>
        <w:spacing w:line="240" w:lineRule="auto"/>
        <w:ind w:right="90"/>
        <w:jc w:val="left"/>
        <w:rPr>
          <w:b w:val="0"/>
          <w:bCs w:val="0"/>
        </w:rPr>
      </w:pPr>
      <w:r>
        <w:rPr/>
        <w:t>十、与上年度财务报告相比，会计政策、会计估计和核算方法发生变化的情况说明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0"/>
        <w:jc w:val="left"/>
      </w:pPr>
      <w:r>
        <w:rPr/>
        <w:t>公司本年度财务报告与上年度相比会计政策、会计估算和核算方法未发生变化。</w:t>
      </w:r>
    </w:p>
    <w:p>
      <w:pPr>
        <w:spacing w:line="240" w:lineRule="auto" w:before="2"/>
        <w:rPr>
          <w:rFonts w:ascii="宋体" w:hAnsi="宋体" w:cs="宋体" w:eastAsia="宋体" w:hint="default"/>
          <w:sz w:val="25"/>
          <w:szCs w:val="25"/>
        </w:rPr>
      </w:pPr>
    </w:p>
    <w:p>
      <w:pPr>
        <w:pStyle w:val="Heading2"/>
        <w:spacing w:line="240" w:lineRule="auto"/>
        <w:ind w:right="90"/>
        <w:jc w:val="left"/>
        <w:rPr>
          <w:b w:val="0"/>
          <w:bCs w:val="0"/>
        </w:rPr>
      </w:pPr>
      <w:r>
        <w:rPr/>
        <w:t>十一、报告期内发生重大会计差错更正需追溯重述的情况说明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3" w:right="241"/>
        <w:jc w:val="left"/>
      </w:pPr>
      <w:r>
        <w:rPr>
          <w:rFonts w:ascii="Times New Roman" w:hAnsi="Times New Roman" w:cs="Times New Roman" w:eastAsia="Times New Roman" w:hint="default"/>
        </w:rPr>
        <w:t>1</w:t>
      </w:r>
      <w:r>
        <w:rPr/>
        <w:t>、会计差错更正事项性质及原因的说明 </w:t>
      </w:r>
      <w:r>
        <w:rPr>
          <w:rFonts w:ascii="Times New Roman" w:hAnsi="Times New Roman" w:cs="Times New Roman" w:eastAsia="Times New Roman" w:hint="default"/>
        </w:rPr>
        <w:t>(1)</w:t>
      </w:r>
      <w:r>
        <w:rPr/>
        <w:t>、公司销售自助产品合同约定有一定年限的免费维修，出于谨慎性考虑，应当预计产品保修费。本次补提公司截止</w:t>
      </w:r>
    </w:p>
    <w:p>
      <w:pPr>
        <w:pStyle w:val="BodyText"/>
        <w:spacing w:line="240" w:lineRule="auto" w:before="13"/>
        <w:ind w:left="153" w:right="0"/>
        <w:jc w:val="left"/>
      </w:pPr>
      <w:r>
        <w:rPr>
          <w:rFonts w:ascii="Times New Roman" w:hAnsi="Times New Roman" w:cs="Times New Roman" w:eastAsia="Times New Roman" w:hint="default"/>
        </w:rPr>
        <w:t>2011</w:t>
      </w:r>
      <w:r>
        <w:rPr/>
        <w:t>年末应承担的产品保修费</w:t>
      </w:r>
      <w:r>
        <w:rPr>
          <w:rFonts w:ascii="Times New Roman" w:hAnsi="Times New Roman" w:cs="Times New Roman" w:eastAsia="Times New Roman" w:hint="default"/>
        </w:rPr>
        <w:t>4,348,950.00</w:t>
      </w:r>
      <w:r>
        <w:rPr/>
        <w:t>元，调增</w:t>
      </w:r>
      <w:r>
        <w:rPr>
          <w:rFonts w:ascii="Times New Roman" w:hAnsi="Times New Roman" w:cs="Times New Roman" w:eastAsia="Times New Roman" w:hint="default"/>
        </w:rPr>
        <w:t>2012</w:t>
      </w:r>
      <w:r>
        <w:rPr/>
        <w:t>年初预计负债</w:t>
      </w:r>
      <w:r>
        <w:rPr>
          <w:rFonts w:ascii="Times New Roman" w:hAnsi="Times New Roman" w:cs="Times New Roman" w:eastAsia="Times New Roman" w:hint="default"/>
        </w:rPr>
        <w:t>4,348,950.00</w:t>
      </w:r>
      <w:r>
        <w:rPr/>
        <w:t>元，调增递延所得税资产</w:t>
      </w:r>
      <w:r>
        <w:rPr>
          <w:rFonts w:ascii="Times New Roman" w:hAnsi="Times New Roman" w:cs="Times New Roman" w:eastAsia="Times New Roman" w:hint="default"/>
        </w:rPr>
        <w:t>652,342.50</w:t>
      </w:r>
      <w:r>
        <w:rPr/>
        <w:t>元，调</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90"/>
        <w:jc w:val="left"/>
      </w:pPr>
      <w:r>
        <w:rPr/>
        <w:t>减</w:t>
      </w:r>
      <w:r>
        <w:rPr>
          <w:rFonts w:ascii="Times New Roman" w:hAnsi="Times New Roman" w:cs="Times New Roman" w:eastAsia="Times New Roman" w:hint="default"/>
        </w:rPr>
        <w:t>2012</w:t>
      </w:r>
      <w:r>
        <w:rPr/>
        <w:t>年初未分配利润</w:t>
      </w:r>
      <w:r>
        <w:rPr>
          <w:rFonts w:ascii="Times New Roman" w:hAnsi="Times New Roman" w:cs="Times New Roman" w:eastAsia="Times New Roman" w:hint="default"/>
        </w:rPr>
        <w:t>3,326,946.75</w:t>
      </w:r>
      <w:r>
        <w:rPr/>
        <w:t>元，调减盈余公积</w:t>
      </w:r>
      <w:r>
        <w:rPr>
          <w:rFonts w:ascii="Times New Roman" w:hAnsi="Times New Roman" w:cs="Times New Roman" w:eastAsia="Times New Roman" w:hint="default"/>
        </w:rPr>
        <w:t>369,660.75</w:t>
      </w:r>
      <w:r>
        <w:rPr/>
        <w:t>元。</w:t>
      </w:r>
    </w:p>
    <w:p>
      <w:pPr>
        <w:pStyle w:val="BodyText"/>
        <w:spacing w:line="307" w:lineRule="auto" w:before="62"/>
        <w:ind w:left="153" w:right="190" w:firstLine="360"/>
        <w:jc w:val="both"/>
      </w:pPr>
      <w:r>
        <w:rPr>
          <w:rFonts w:ascii="Times New Roman" w:hAnsi="Times New Roman" w:cs="Times New Roman" w:eastAsia="Times New Roman" w:hint="default"/>
          <w:spacing w:val="-2"/>
        </w:rPr>
        <w:t>(2)</w:t>
      </w:r>
      <w:r>
        <w:rPr>
          <w:spacing w:val="-2"/>
        </w:rPr>
        <w:t>、公司将位于深圳市光明新区的证通产业园和西海岸大厦十八楼用于出租目的，根据《企业会计准则第</w:t>
      </w:r>
      <w:r>
        <w:rPr>
          <w:rFonts w:ascii="Times New Roman" w:hAnsi="Times New Roman" w:cs="Times New Roman" w:eastAsia="Times New Roman" w:hint="default"/>
          <w:spacing w:val="-2"/>
        </w:rPr>
        <w:t>3</w:t>
      </w:r>
      <w:r>
        <w:rPr>
          <w:spacing w:val="-2"/>
        </w:rPr>
        <w:t>号</w:t>
      </w:r>
      <w:r>
        <w:rPr>
          <w:rFonts w:ascii="Times New Roman" w:hAnsi="Times New Roman" w:cs="Times New Roman" w:eastAsia="Times New Roman" w:hint="default"/>
          <w:spacing w:val="-2"/>
        </w:rPr>
        <w:t>-</w:t>
      </w:r>
      <w:r>
        <w:rPr>
          <w:spacing w:val="-2"/>
        </w:rPr>
        <w:t>投资性房</w:t>
      </w:r>
      <w:r>
        <w:rPr/>
        <w:t> </w:t>
      </w:r>
      <w:r>
        <w:rPr>
          <w:spacing w:val="-2"/>
        </w:rPr>
        <w:t>地产》的规定，上述出租房产应列示于投资性房地产科目，公司董事会确认投资性房地产采用成本法模式核算，此事项导致</w:t>
      </w:r>
      <w:r>
        <w:rPr>
          <w:spacing w:val="-66"/>
        </w:rPr>
        <w:t> </w:t>
      </w:r>
      <w:r>
        <w:rPr>
          <w:spacing w:val="-66"/>
        </w:rPr>
      </w:r>
      <w:r>
        <w:rPr>
          <w:rFonts w:ascii="Times New Roman" w:hAnsi="Times New Roman" w:cs="Times New Roman" w:eastAsia="Times New Roman" w:hint="default"/>
          <w:spacing w:val="-1"/>
        </w:rPr>
        <w:t>2012</w:t>
      </w:r>
      <w:r>
        <w:rPr>
          <w:spacing w:val="-1"/>
        </w:rPr>
        <w:t>年年初固定资产原值减少</w:t>
      </w:r>
      <w:r>
        <w:rPr>
          <w:rFonts w:ascii="Times New Roman" w:hAnsi="Times New Roman" w:cs="Times New Roman" w:eastAsia="Times New Roman" w:hint="default"/>
          <w:spacing w:val="-1"/>
        </w:rPr>
        <w:t>52,443,521.60</w:t>
      </w:r>
      <w:r>
        <w:rPr>
          <w:spacing w:val="-1"/>
        </w:rPr>
        <w:t>元，累计折旧减少</w:t>
      </w:r>
      <w:r>
        <w:rPr>
          <w:rFonts w:ascii="Times New Roman" w:hAnsi="Times New Roman" w:cs="Times New Roman" w:eastAsia="Times New Roman" w:hint="default"/>
          <w:spacing w:val="-1"/>
        </w:rPr>
        <w:t>2,927,200.02</w:t>
      </w:r>
      <w:r>
        <w:rPr>
          <w:spacing w:val="-1"/>
        </w:rPr>
        <w:t>元，固定资产净值减少</w:t>
      </w:r>
      <w:r>
        <w:rPr>
          <w:rFonts w:ascii="Times New Roman" w:hAnsi="Times New Roman" w:cs="Times New Roman" w:eastAsia="Times New Roman" w:hint="default"/>
          <w:spacing w:val="-1"/>
        </w:rPr>
        <w:t>49,516,321.58</w:t>
      </w:r>
      <w:r>
        <w:rPr>
          <w:spacing w:val="-1"/>
        </w:rPr>
        <w:t>元；投资性房</w:t>
      </w:r>
      <w:r>
        <w:rPr>
          <w:spacing w:val="-64"/>
        </w:rPr>
        <w:t> </w:t>
      </w:r>
      <w:r>
        <w:rPr>
          <w:spacing w:val="-64"/>
        </w:rPr>
      </w:r>
      <w:r>
        <w:rPr/>
        <w:t>地产成本增加</w:t>
      </w:r>
      <w:r>
        <w:rPr>
          <w:rFonts w:ascii="Times New Roman" w:hAnsi="Times New Roman" w:cs="Times New Roman" w:eastAsia="Times New Roman" w:hint="default"/>
        </w:rPr>
        <w:t>52,443,521.60</w:t>
      </w:r>
      <w:r>
        <w:rPr/>
        <w:t>元，投资性房地产累计折旧增加</w:t>
      </w:r>
      <w:r>
        <w:rPr>
          <w:rFonts w:ascii="Times New Roman" w:hAnsi="Times New Roman" w:cs="Times New Roman" w:eastAsia="Times New Roman" w:hint="default"/>
        </w:rPr>
        <w:t>2,927,200.02</w:t>
      </w:r>
      <w:r>
        <w:rPr/>
        <w:t>元，投资性房地产净值增加</w:t>
      </w:r>
      <w:r>
        <w:rPr>
          <w:rFonts w:ascii="Times New Roman" w:hAnsi="Times New Roman" w:cs="Times New Roman" w:eastAsia="Times New Roman" w:hint="default"/>
        </w:rPr>
        <w:t>49,516,321.58</w:t>
      </w:r>
      <w:r>
        <w:rPr/>
        <w:t>元。</w:t>
      </w:r>
    </w:p>
    <w:p>
      <w:pPr>
        <w:pStyle w:val="BodyText"/>
        <w:spacing w:line="240" w:lineRule="auto" w:before="7"/>
        <w:ind w:left="513" w:right="90"/>
        <w:jc w:val="left"/>
      </w:pPr>
      <w:r>
        <w:rPr>
          <w:rFonts w:ascii="Times New Roman" w:hAnsi="Times New Roman" w:cs="Times New Roman" w:eastAsia="Times New Roman" w:hint="default"/>
        </w:rPr>
        <w:t>2</w:t>
      </w:r>
      <w:r>
        <w:rPr/>
        <w:t>、前期会计差错更正追溯调整对公司</w:t>
      </w:r>
      <w:r>
        <w:rPr>
          <w:rFonts w:ascii="Times New Roman" w:hAnsi="Times New Roman" w:cs="Times New Roman" w:eastAsia="Times New Roman" w:hint="default"/>
        </w:rPr>
        <w:t>2011</w:t>
      </w:r>
      <w:r>
        <w:rPr/>
        <w:t>年度合并财务报表的影响</w:t>
      </w:r>
    </w:p>
    <w:p>
      <w:pPr>
        <w:spacing w:line="240" w:lineRule="auto" w:before="0"/>
        <w:rPr>
          <w:rFonts w:ascii="宋体" w:hAnsi="宋体" w:cs="宋体" w:eastAsia="宋体" w:hint="default"/>
          <w:sz w:val="4"/>
          <w:szCs w:val="4"/>
        </w:rPr>
      </w:pPr>
    </w:p>
    <w:tbl>
      <w:tblPr>
        <w:tblW w:w="0" w:type="auto"/>
        <w:jc w:val="left"/>
        <w:tblInd w:w="137" w:type="dxa"/>
        <w:tblLayout w:type="fixed"/>
        <w:tblCellMar>
          <w:top w:w="0" w:type="dxa"/>
          <w:left w:w="0" w:type="dxa"/>
          <w:bottom w:w="0" w:type="dxa"/>
          <w:right w:w="0" w:type="dxa"/>
        </w:tblCellMar>
        <w:tblLook w:val="01E0"/>
      </w:tblPr>
      <w:tblGrid>
        <w:gridCol w:w="3257"/>
        <w:gridCol w:w="1831"/>
        <w:gridCol w:w="2738"/>
        <w:gridCol w:w="1831"/>
      </w:tblGrid>
      <w:tr>
        <w:trPr>
          <w:trHeight w:val="347" w:hRule="exact"/>
        </w:trPr>
        <w:tc>
          <w:tcPr>
            <w:tcW w:w="3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报表项目</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调整前金额</w:t>
            </w:r>
          </w:p>
        </w:tc>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前期会计出错更正调整</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调整后金额</w:t>
            </w:r>
          </w:p>
        </w:tc>
      </w:tr>
      <w:tr>
        <w:trPr>
          <w:trHeight w:val="347" w:hRule="exact"/>
        </w:trPr>
        <w:tc>
          <w:tcPr>
            <w:tcW w:w="3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49,516,321.58</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49,516,321.58</w:t>
            </w:r>
          </w:p>
        </w:tc>
      </w:tr>
      <w:tr>
        <w:trPr>
          <w:trHeight w:val="347" w:hRule="exact"/>
        </w:trPr>
        <w:tc>
          <w:tcPr>
            <w:tcW w:w="3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221,844,845.61</w:t>
            </w:r>
          </w:p>
        </w:tc>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-49,516,321.58</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172,328,524.03</w:t>
            </w:r>
          </w:p>
        </w:tc>
      </w:tr>
      <w:tr>
        <w:trPr>
          <w:trHeight w:val="348" w:hRule="exact"/>
        </w:trPr>
        <w:tc>
          <w:tcPr>
            <w:tcW w:w="3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3,385,604.25</w:t>
            </w:r>
          </w:p>
        </w:tc>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652,342.50</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4,037,946.75</w:t>
            </w:r>
          </w:p>
        </w:tc>
      </w:tr>
      <w:tr>
        <w:trPr>
          <w:trHeight w:val="347" w:hRule="exact"/>
        </w:trPr>
        <w:tc>
          <w:tcPr>
            <w:tcW w:w="3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1,065,681,486.66</w:t>
            </w:r>
          </w:p>
        </w:tc>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652,342.50</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1,066,333,829.16</w:t>
            </w:r>
          </w:p>
        </w:tc>
      </w:tr>
      <w:tr>
        <w:trPr>
          <w:trHeight w:val="347" w:hRule="exact"/>
        </w:trPr>
        <w:tc>
          <w:tcPr>
            <w:tcW w:w="3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4,348,950.00</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4,348,950.00</w:t>
            </w:r>
          </w:p>
        </w:tc>
      </w:tr>
      <w:tr>
        <w:trPr>
          <w:trHeight w:val="347" w:hRule="exact"/>
        </w:trPr>
        <w:tc>
          <w:tcPr>
            <w:tcW w:w="3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542,365,205.49</w:t>
            </w:r>
          </w:p>
        </w:tc>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4,348,950.00</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546,714,155.49</w:t>
            </w:r>
          </w:p>
        </w:tc>
      </w:tr>
      <w:tr>
        <w:trPr>
          <w:trHeight w:val="347" w:hRule="exact"/>
        </w:trPr>
        <w:tc>
          <w:tcPr>
            <w:tcW w:w="3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12,304,375.50</w:t>
            </w:r>
          </w:p>
        </w:tc>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-369,660.75</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11,934,714.75</w:t>
            </w:r>
          </w:p>
        </w:tc>
      </w:tr>
      <w:tr>
        <w:trPr>
          <w:trHeight w:val="347" w:hRule="exact"/>
        </w:trPr>
        <w:tc>
          <w:tcPr>
            <w:tcW w:w="3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214,042,809.85</w:t>
            </w:r>
          </w:p>
        </w:tc>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-3,326,946.75</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210,715,863.10</w:t>
            </w:r>
          </w:p>
        </w:tc>
      </w:tr>
      <w:tr>
        <w:trPr>
          <w:trHeight w:val="348" w:hRule="exact"/>
        </w:trPr>
        <w:tc>
          <w:tcPr>
            <w:tcW w:w="3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525,217,384.13</w:t>
            </w:r>
          </w:p>
        </w:tc>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-3,696,607.50</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521,520,776.63</w:t>
            </w:r>
          </w:p>
        </w:tc>
      </w:tr>
      <w:tr>
        <w:trPr>
          <w:trHeight w:val="347" w:hRule="exact"/>
        </w:trPr>
        <w:tc>
          <w:tcPr>
            <w:tcW w:w="3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523,316,281.17</w:t>
            </w:r>
          </w:p>
        </w:tc>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-3,696,607.50</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519,619,673.67</w:t>
            </w:r>
          </w:p>
        </w:tc>
      </w:tr>
      <w:tr>
        <w:trPr>
          <w:trHeight w:val="347" w:hRule="exact"/>
        </w:trPr>
        <w:tc>
          <w:tcPr>
            <w:tcW w:w="3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1,065,681,486.66</w:t>
            </w:r>
          </w:p>
        </w:tc>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652,342.50</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1,066,333,829.16</w:t>
            </w:r>
          </w:p>
        </w:tc>
      </w:tr>
      <w:tr>
        <w:trPr>
          <w:trHeight w:val="347" w:hRule="exact"/>
        </w:trPr>
        <w:tc>
          <w:tcPr>
            <w:tcW w:w="3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443,716,363.75</w:t>
            </w:r>
          </w:p>
        </w:tc>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1,258,557.42</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444,974,921.17</w:t>
            </w:r>
          </w:p>
        </w:tc>
      </w:tr>
      <w:tr>
        <w:trPr>
          <w:trHeight w:val="347" w:hRule="exact"/>
        </w:trPr>
        <w:tc>
          <w:tcPr>
            <w:tcW w:w="3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63,032,136.21</w:t>
            </w:r>
          </w:p>
        </w:tc>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2,414,700.00</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65,446,836.21</w:t>
            </w:r>
          </w:p>
        </w:tc>
      </w:tr>
      <w:tr>
        <w:trPr>
          <w:trHeight w:val="347" w:hRule="exact"/>
        </w:trPr>
        <w:tc>
          <w:tcPr>
            <w:tcW w:w="3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61,653,477.04</w:t>
            </w:r>
          </w:p>
        </w:tc>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-1,258,557.42</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60,394,919.62</w:t>
            </w:r>
          </w:p>
        </w:tc>
      </w:tr>
      <w:tr>
        <w:trPr>
          <w:trHeight w:val="348" w:hRule="exact"/>
        </w:trPr>
        <w:tc>
          <w:tcPr>
            <w:tcW w:w="3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78,001,483.76</w:t>
            </w:r>
          </w:p>
        </w:tc>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-2,414,700.00</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75,586,783.76</w:t>
            </w:r>
          </w:p>
        </w:tc>
      </w:tr>
      <w:tr>
        <w:trPr>
          <w:trHeight w:val="347" w:hRule="exact"/>
        </w:trPr>
        <w:tc>
          <w:tcPr>
            <w:tcW w:w="3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83,891,982.98</w:t>
            </w:r>
          </w:p>
        </w:tc>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-2,414,700.00</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81,477,282.98</w:t>
            </w:r>
          </w:p>
        </w:tc>
      </w:tr>
      <w:tr>
        <w:trPr>
          <w:trHeight w:val="347" w:hRule="exact"/>
        </w:trPr>
        <w:tc>
          <w:tcPr>
            <w:tcW w:w="3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12,571,722.55</w:t>
            </w:r>
          </w:p>
        </w:tc>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-362,205.00</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12,209,517.55</w:t>
            </w:r>
          </w:p>
        </w:tc>
      </w:tr>
      <w:tr>
        <w:trPr>
          <w:trHeight w:val="348" w:hRule="exact"/>
        </w:trPr>
        <w:tc>
          <w:tcPr>
            <w:tcW w:w="3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71,320,260.43</w:t>
            </w:r>
          </w:p>
        </w:tc>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-2,052,495.00</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69,267,765.43</w:t>
            </w:r>
          </w:p>
        </w:tc>
      </w:tr>
    </w:tbl>
    <w:p>
      <w:pPr>
        <w:spacing w:line="240" w:lineRule="auto" w:before="2"/>
        <w:rPr>
          <w:rFonts w:ascii="宋体" w:hAnsi="宋体" w:cs="宋体" w:eastAsia="宋体" w:hint="default"/>
          <w:sz w:val="18"/>
          <w:szCs w:val="18"/>
        </w:rPr>
      </w:pPr>
    </w:p>
    <w:p>
      <w:pPr>
        <w:pStyle w:val="Heading2"/>
        <w:spacing w:line="240" w:lineRule="auto" w:before="26"/>
        <w:ind w:right="90"/>
        <w:jc w:val="left"/>
        <w:rPr>
          <w:b w:val="0"/>
          <w:bCs w:val="0"/>
        </w:rPr>
      </w:pPr>
      <w:r>
        <w:rPr/>
        <w:t>十二、与上年度财务报告相比，合并报表范围发生变化的情况说明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t>公司本年度财务报告与上年度相比合并报表范围未发生变化。</w:t>
      </w:r>
    </w:p>
    <w:p>
      <w:pPr>
        <w:spacing w:line="240" w:lineRule="auto" w:before="13"/>
        <w:rPr>
          <w:rFonts w:ascii="宋体" w:hAnsi="宋体" w:cs="宋体" w:eastAsia="宋体" w:hint="default"/>
          <w:sz w:val="24"/>
          <w:szCs w:val="24"/>
        </w:rPr>
      </w:pPr>
    </w:p>
    <w:p>
      <w:pPr>
        <w:pStyle w:val="Heading2"/>
        <w:spacing w:line="240" w:lineRule="auto"/>
        <w:ind w:right="90"/>
        <w:jc w:val="left"/>
        <w:rPr>
          <w:b w:val="0"/>
          <w:bCs w:val="0"/>
        </w:rPr>
      </w:pPr>
      <w:r>
        <w:rPr/>
        <w:t>十三、公司利润分配及分红派息情况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444" w:right="90" w:hanging="291"/>
        <w:jc w:val="left"/>
      </w:pPr>
      <w:r>
        <w:rPr/>
        <w:t>报告期内利润分配政策特别是现金分红政策的制定、执行或调整情况 </w:t>
      </w:r>
      <w:r>
        <w:rPr>
          <w:spacing w:val="-1"/>
        </w:rPr>
        <w:t>根据中国证监会下发的《关于进一步落实上市公司现金分红有关事项的通知》的要求，公司结合实际情况认真贯彻落实</w:t>
      </w:r>
    </w:p>
    <w:p>
      <w:pPr>
        <w:pStyle w:val="BodyText"/>
        <w:spacing w:line="224" w:lineRule="exact"/>
        <w:ind w:left="153" w:right="0"/>
        <w:jc w:val="left"/>
      </w:pPr>
      <w:r>
        <w:rPr/>
        <w:t>现金分红有关事项</w:t>
      </w:r>
      <w:r>
        <w:rPr>
          <w:spacing w:val="-87"/>
        </w:rPr>
        <w:t>，</w:t>
      </w:r>
      <w:r>
        <w:rPr/>
        <w:t>就股东规划及利润分配政策制定等事项与独立董事及部分流通股股东进行了充分沟通</w:t>
      </w:r>
      <w:r>
        <w:rPr>
          <w:spacing w:val="-87"/>
        </w:rPr>
        <w:t>，</w:t>
      </w:r>
      <w:r>
        <w:rPr/>
        <w:t>从股东回报规划、</w:t>
      </w:r>
    </w:p>
    <w:p>
      <w:pPr>
        <w:pStyle w:val="BodyText"/>
        <w:spacing w:line="240" w:lineRule="auto" w:before="76"/>
        <w:ind w:left="153" w:right="90"/>
        <w:jc w:val="left"/>
      </w:pPr>
      <w:r>
        <w:rPr/>
        <w:t>利润分配尤其是现金分红事项决策程序和机制的完善上做了专题研究论证。</w:t>
      </w:r>
    </w:p>
    <w:p>
      <w:pPr>
        <w:pStyle w:val="BodyText"/>
        <w:spacing w:line="300" w:lineRule="auto" w:before="76"/>
        <w:ind w:left="153" w:right="190" w:firstLine="290"/>
        <w:jc w:val="both"/>
      </w:pP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27</w:t>
      </w:r>
      <w:r>
        <w:rPr>
          <w:spacing w:val="-3"/>
        </w:rPr>
        <w:t>日，公司发布了《关于股东回报规划事宜的论证报告》、《未来三年（</w:t>
      </w:r>
      <w:r>
        <w:rPr>
          <w:rFonts w:ascii="Times New Roman" w:hAnsi="Times New Roman" w:cs="Times New Roman" w:eastAsia="Times New Roman" w:hint="default"/>
          <w:spacing w:val="-3"/>
        </w:rPr>
        <w:t>2012-2014</w:t>
      </w:r>
      <w:r>
        <w:rPr>
          <w:spacing w:val="-3"/>
        </w:rPr>
        <w:t>年）股东回报规划》、《公</w:t>
      </w:r>
      <w:r>
        <w:rPr/>
        <w:t> 司章程（修正案）》。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日公司召开的</w:t>
      </w:r>
      <w:r>
        <w:rPr>
          <w:rFonts w:ascii="Times New Roman" w:hAnsi="Times New Roman" w:cs="Times New Roman" w:eastAsia="Times New Roman" w:hint="default"/>
        </w:rPr>
        <w:t>2012</w:t>
      </w:r>
      <w:r>
        <w:rPr/>
        <w:t>年第三次临时股东大会审议通过了上述内容。</w:t>
      </w:r>
    </w:p>
    <w:p>
      <w:pPr>
        <w:pStyle w:val="BodyText"/>
        <w:spacing w:line="316" w:lineRule="auto" w:before="13"/>
        <w:ind w:left="153" w:right="189" w:firstLine="290"/>
        <w:jc w:val="both"/>
      </w:pPr>
      <w:r>
        <w:rPr>
          <w:spacing w:val="-1"/>
        </w:rPr>
        <w:t>修订后的公司利润分配政策，更符合公司的实际情况及相关法律法规要求，进一步完善了股东大会、董事会、独立董事</w:t>
      </w:r>
      <w:r>
        <w:rPr/>
        <w:t> </w:t>
      </w:r>
      <w:r>
        <w:rPr>
          <w:spacing w:val="-2"/>
        </w:rPr>
        <w:t>对利润分配事项的决策程序和机制，明确了利润分配的原则，确定了现金分配的条件、比例和时间，以及股票股利分配的条</w:t>
      </w:r>
      <w:r>
        <w:rPr>
          <w:spacing w:val="-66"/>
        </w:rPr>
        <w:t> </w:t>
      </w:r>
      <w:r>
        <w:rPr>
          <w:spacing w:val="-66"/>
        </w:rPr>
      </w:r>
      <w:r>
        <w:rPr/>
        <w:t>件，增加了利润分配政策的透明度和可操作性，充分保护了中小投资者的合法权益。</w:t>
      </w:r>
    </w:p>
    <w:p>
      <w:pPr>
        <w:pStyle w:val="BodyText"/>
        <w:spacing w:line="240" w:lineRule="auto" w:before="18"/>
        <w:ind w:left="444" w:right="90"/>
        <w:jc w:val="left"/>
      </w:pPr>
      <w:r>
        <w:rPr/>
        <w:t>公司现有章程对利润分配政策和决策机制相关规定如下：</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444" w:right="90"/>
        <w:jc w:val="left"/>
      </w:pPr>
      <w:r>
        <w:rPr>
          <w:rFonts w:ascii="Times New Roman" w:hAnsi="Times New Roman" w:cs="Times New Roman" w:eastAsia="Times New Roman" w:hint="default"/>
        </w:rPr>
        <w:t>1</w:t>
      </w:r>
      <w:r>
        <w:rPr/>
        <w:t>、利润分配政策及现金分红政策</w:t>
      </w:r>
    </w:p>
    <w:p>
      <w:pPr>
        <w:pStyle w:val="BodyText"/>
        <w:spacing w:line="312" w:lineRule="auto" w:before="62"/>
        <w:ind w:left="153" w:right="188" w:firstLine="290"/>
        <w:jc w:val="both"/>
      </w:pPr>
      <w:r>
        <w:rPr>
          <w:spacing w:val="-2"/>
        </w:rPr>
        <w:t>《公司章程》第</w:t>
      </w:r>
      <w:r>
        <w:rPr>
          <w:rFonts w:ascii="Times New Roman" w:hAnsi="Times New Roman" w:cs="Times New Roman" w:eastAsia="Times New Roman" w:hint="default"/>
          <w:spacing w:val="-2"/>
        </w:rPr>
        <w:t>186</w:t>
      </w:r>
      <w:r>
        <w:rPr>
          <w:spacing w:val="-2"/>
        </w:rPr>
        <w:t>条规定：公司分配当年税后利润时，应当提取利润的</w:t>
      </w:r>
      <w:r>
        <w:rPr>
          <w:rFonts w:ascii="Times New Roman" w:hAnsi="Times New Roman" w:cs="Times New Roman" w:eastAsia="Times New Roman" w:hint="default"/>
          <w:spacing w:val="-2"/>
        </w:rPr>
        <w:t>10%</w:t>
      </w:r>
      <w:r>
        <w:rPr>
          <w:spacing w:val="-2"/>
        </w:rPr>
        <w:t>列入公司法定公积金；公司法定公积金累计</w:t>
      </w:r>
      <w:r>
        <w:rPr/>
        <w:t> </w:t>
      </w:r>
      <w:r>
        <w:rPr>
          <w:spacing w:val="-1"/>
        </w:rPr>
        <w:t>额为公司注册资本的</w:t>
      </w:r>
      <w:r>
        <w:rPr>
          <w:rFonts w:ascii="Times New Roman" w:hAnsi="Times New Roman" w:cs="Times New Roman" w:eastAsia="Times New Roman" w:hint="default"/>
          <w:spacing w:val="-1"/>
        </w:rPr>
        <w:t>50%</w:t>
      </w:r>
      <w:r>
        <w:rPr>
          <w:spacing w:val="-1"/>
        </w:rPr>
        <w:t>以上的，可以不再提取；公司的法定公积金不足以弥补以前年度亏损的，在依照前款规定提取法定</w:t>
      </w:r>
      <w:r>
        <w:rPr>
          <w:spacing w:val="-86"/>
        </w:rPr>
        <w:t> </w:t>
      </w:r>
      <w:r>
        <w:rPr>
          <w:spacing w:val="-86"/>
        </w:rPr>
      </w:r>
      <w:r>
        <w:rPr>
          <w:spacing w:val="-2"/>
        </w:rPr>
        <w:t>公积金之前，应当先用当年利润弥补亏损；公司从税后利润中提取法定公积金后，经股东大会决议，还可以从税后利润中提</w:t>
      </w:r>
      <w:r>
        <w:rPr>
          <w:spacing w:val="-66"/>
        </w:rPr>
        <w:t> </w:t>
      </w:r>
      <w:r>
        <w:rPr>
          <w:spacing w:val="-66"/>
        </w:rPr>
      </w:r>
      <w:r>
        <w:rPr>
          <w:spacing w:val="-2"/>
        </w:rPr>
        <w:t>取任意公积金；公司弥补亏损和提取公积金后所余税后利润，按照股东持有的股份比例分配，但本章程规定不按持股比例分</w:t>
      </w:r>
      <w:r>
        <w:rPr>
          <w:spacing w:val="-66"/>
        </w:rPr>
        <w:t> </w:t>
      </w:r>
      <w:r>
        <w:rPr>
          <w:spacing w:val="-66"/>
        </w:rPr>
      </w:r>
      <w:r>
        <w:rPr>
          <w:spacing w:val="-2"/>
        </w:rPr>
        <w:t>配的除外；股东大会违反前款规定，在公司弥补亏损和提取法定公积金之前向股东分配利润的，股东必须将违反规定分配的</w:t>
      </w:r>
      <w:r>
        <w:rPr>
          <w:spacing w:val="-66"/>
        </w:rPr>
        <w:t> </w:t>
      </w:r>
      <w:r>
        <w:rPr>
          <w:spacing w:val="-66"/>
        </w:rPr>
      </w:r>
      <w:r>
        <w:rPr/>
        <w:t>利润退还公司；公司持有的本公司股份不参与分配利润。</w:t>
      </w:r>
    </w:p>
    <w:p>
      <w:pPr>
        <w:pStyle w:val="BodyText"/>
        <w:spacing w:line="312" w:lineRule="auto" w:before="22"/>
        <w:ind w:left="153" w:right="90" w:firstLine="290"/>
        <w:jc w:val="left"/>
      </w:pPr>
      <w:r>
        <w:rPr/>
        <w:t>《公司章程》第</w:t>
      </w:r>
      <w:r>
        <w:rPr>
          <w:rFonts w:ascii="Times New Roman" w:hAnsi="Times New Roman" w:cs="Times New Roman" w:eastAsia="Times New Roman" w:hint="default"/>
        </w:rPr>
        <w:t>189</w:t>
      </w:r>
      <w:r>
        <w:rPr/>
        <w:t>条规定：公司应当重视对投资者特别是中小投资者的合理投资回报，利润分配政策应保持连续性和 稳定性，可以采取现金或者股票方式分配股利。 </w:t>
      </w:r>
      <w:r>
        <w:rPr>
          <w:spacing w:val="-2"/>
        </w:rPr>
        <w:t>在符合现金分红条件情况下，公司原则上每年度进行一次分红，公司每年以现金方式分配的利润不少于当年实现的可供分配</w:t>
      </w:r>
      <w:r>
        <w:rPr>
          <w:spacing w:val="-64"/>
        </w:rPr>
        <w:t> </w:t>
      </w:r>
      <w:r>
        <w:rPr>
          <w:spacing w:val="-64"/>
        </w:rPr>
      </w:r>
      <w:r>
        <w:rPr/>
        <w:t>利润的百分之十，且每连续三年以现金方式累计分配的利润不少于这三年实现的年均可分配利润的百分之三十。</w:t>
      </w:r>
    </w:p>
    <w:p>
      <w:pPr>
        <w:pStyle w:val="BodyText"/>
        <w:spacing w:line="240" w:lineRule="auto" w:before="22"/>
        <w:ind w:left="444" w:right="90"/>
        <w:jc w:val="left"/>
      </w:pPr>
      <w:r>
        <w:rPr/>
        <w:t>公司实施现金分红时应同时满足以下条件：</w:t>
      </w:r>
    </w:p>
    <w:p>
      <w:pPr>
        <w:pStyle w:val="BodyText"/>
        <w:spacing w:line="300" w:lineRule="auto" w:before="76"/>
        <w:ind w:left="153" w:right="190" w:firstLine="290"/>
        <w:jc w:val="both"/>
      </w:pPr>
      <w:r>
        <w:rPr>
          <w:spacing w:val="-1"/>
        </w:rPr>
        <w:t>（</w:t>
      </w:r>
      <w:r>
        <w:rPr>
          <w:rFonts w:ascii="Times New Roman" w:hAnsi="Times New Roman" w:cs="Times New Roman" w:eastAsia="Times New Roman" w:hint="default"/>
          <w:spacing w:val="-1"/>
        </w:rPr>
        <w:t>1</w:t>
      </w:r>
      <w:r>
        <w:rPr>
          <w:spacing w:val="-1"/>
        </w:rPr>
        <w:t>）公司该年度实现的可分配利润（即公司弥补亏损、提取公积金后所余的税后利润）为正值；（</w:t>
      </w:r>
      <w:r>
        <w:rPr>
          <w:rFonts w:ascii="Times New Roman" w:hAnsi="Times New Roman" w:cs="Times New Roman" w:eastAsia="Times New Roman" w:hint="default"/>
          <w:spacing w:val="-1"/>
        </w:rPr>
        <w:t>2</w:t>
      </w:r>
      <w:r>
        <w:rPr>
          <w:spacing w:val="-1"/>
        </w:rPr>
        <w:t>）审计机构对公司</w:t>
      </w:r>
      <w:r>
        <w:rPr/>
        <w:t> 的该年度财务报告出具标准无保留意见的审计报告；（</w:t>
      </w:r>
      <w:r>
        <w:rPr>
          <w:rFonts w:ascii="Times New Roman" w:hAnsi="Times New Roman" w:cs="Times New Roman" w:eastAsia="Times New Roman" w:hint="default"/>
        </w:rPr>
        <w:t>3</w:t>
      </w:r>
      <w:r>
        <w:rPr/>
        <w:t>）公司无重大投资计划或重大现金支出等事项发生（募集资金项目 除外）。</w:t>
      </w:r>
    </w:p>
    <w:p>
      <w:pPr>
        <w:pStyle w:val="BodyText"/>
        <w:spacing w:line="316" w:lineRule="auto" w:before="31"/>
        <w:ind w:left="153" w:right="190" w:firstLine="290"/>
        <w:jc w:val="both"/>
      </w:pPr>
      <w:r>
        <w:rPr>
          <w:spacing w:val="-1"/>
        </w:rPr>
        <w:t>重大投资计划或重大现金支出是指：公司未来十二个月内拟对外投资、收购资产或购买设备累计支出达到或超过公司最</w:t>
      </w:r>
      <w:r>
        <w:rPr/>
        <w:t> 近一期经审计净资产的</w:t>
      </w:r>
      <w:r>
        <w:rPr>
          <w:rFonts w:ascii="Times New Roman" w:hAnsi="Times New Roman" w:cs="Times New Roman" w:eastAsia="Times New Roman" w:hint="default"/>
        </w:rPr>
        <w:t>10%</w:t>
      </w:r>
      <w:r>
        <w:rPr/>
        <w:t>。</w:t>
      </w:r>
    </w:p>
    <w:p>
      <w:pPr>
        <w:pStyle w:val="BodyText"/>
        <w:spacing w:line="316" w:lineRule="auto"/>
        <w:ind w:left="444" w:right="4480"/>
        <w:jc w:val="left"/>
      </w:pPr>
      <w:r>
        <w:rPr/>
        <w:t>公司可以进行中期现金分红。 在满足上述现金股利分配之余，公司可以以股票方式分配股利。</w:t>
      </w:r>
    </w:p>
    <w:p>
      <w:pPr>
        <w:pStyle w:val="BodyText"/>
        <w:spacing w:line="316" w:lineRule="auto" w:before="18"/>
        <w:ind w:left="153" w:right="191" w:firstLine="290"/>
        <w:jc w:val="both"/>
      </w:pPr>
      <w:r>
        <w:rPr>
          <w:spacing w:val="-1"/>
        </w:rPr>
        <w:t>公司根据生产经营情况、投资规划和长期发展的需要，确需调整利润分配政策的，调整后的利润分配政策不得违反中国</w:t>
      </w:r>
      <w:r>
        <w:rPr/>
        <w:t> 证监会和证券交易所的有关规定。</w:t>
      </w:r>
    </w:p>
    <w:p>
      <w:pPr>
        <w:pStyle w:val="BodyText"/>
        <w:spacing w:line="240" w:lineRule="auto" w:before="18"/>
        <w:ind w:left="444" w:right="90"/>
        <w:jc w:val="left"/>
      </w:pPr>
      <w:r>
        <w:rPr>
          <w:rFonts w:ascii="Times New Roman" w:hAnsi="Times New Roman" w:cs="Times New Roman" w:eastAsia="Times New Roman" w:hint="default"/>
        </w:rPr>
        <w:t>2</w:t>
      </w:r>
      <w:r>
        <w:rPr/>
        <w:t>、利润分配决策机制</w:t>
      </w:r>
    </w:p>
    <w:p>
      <w:pPr>
        <w:pStyle w:val="BodyText"/>
        <w:spacing w:line="300" w:lineRule="auto" w:before="62"/>
        <w:ind w:left="153" w:right="101" w:firstLine="290"/>
        <w:jc w:val="both"/>
      </w:pPr>
      <w:r>
        <w:rPr/>
        <w:t>《公司章程》第</w:t>
      </w:r>
      <w:r>
        <w:rPr>
          <w:rFonts w:ascii="Times New Roman" w:hAnsi="Times New Roman" w:cs="Times New Roman" w:eastAsia="Times New Roman" w:hint="default"/>
        </w:rPr>
        <w:t>130</w:t>
      </w:r>
      <w:r>
        <w:rPr/>
        <w:t>条规定</w:t>
      </w:r>
      <w:r>
        <w:rPr>
          <w:rFonts w:ascii="Times New Roman" w:hAnsi="Times New Roman" w:cs="Times New Roman" w:eastAsia="Times New Roman" w:hint="default"/>
        </w:rPr>
        <w:t>:</w:t>
      </w:r>
      <w:r>
        <w:rPr/>
        <w:t>董事会行使下列职权</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制订公司的利润分配方案和弥补亏损方案。《公司章程》第</w:t>
      </w:r>
      <w:r>
        <w:rPr>
          <w:rFonts w:ascii="Times New Roman" w:hAnsi="Times New Roman" w:cs="Times New Roman" w:eastAsia="Times New Roman" w:hint="default"/>
        </w:rPr>
        <w:t>43</w:t>
      </w:r>
      <w:r>
        <w:rPr/>
        <w:t>条规定： 股东大会是公司的权力机构，依法行使下列职权：审议批准公司的利润分配方案和弥补亏损方案。</w:t>
      </w:r>
    </w:p>
    <w:p>
      <w:pPr>
        <w:pStyle w:val="BodyText"/>
        <w:spacing w:line="240" w:lineRule="auto" w:before="31"/>
        <w:ind w:left="444" w:right="90"/>
        <w:jc w:val="left"/>
      </w:pPr>
      <w:r>
        <w:rPr/>
        <w:t>《公司章程》第</w:t>
      </w:r>
      <w:r>
        <w:rPr>
          <w:rFonts w:ascii="Times New Roman" w:hAnsi="Times New Roman" w:cs="Times New Roman" w:eastAsia="Times New Roman" w:hint="default"/>
        </w:rPr>
        <w:t>85</w:t>
      </w:r>
      <w:r>
        <w:rPr/>
        <w:t>条第</w:t>
      </w:r>
      <w:r>
        <w:rPr>
          <w:rFonts w:ascii="Times New Roman" w:hAnsi="Times New Roman" w:cs="Times New Roman" w:eastAsia="Times New Roman" w:hint="default"/>
        </w:rPr>
        <w:t>6</w:t>
      </w:r>
      <w:r>
        <w:rPr/>
        <w:t>款规定：下列事项由股东大会以特别决议通过：公司调整或变更利润分配政策；</w:t>
      </w:r>
    </w:p>
    <w:p>
      <w:pPr>
        <w:pStyle w:val="BodyText"/>
        <w:spacing w:line="309" w:lineRule="auto" w:before="62"/>
        <w:ind w:left="153" w:right="191" w:firstLine="290"/>
        <w:jc w:val="both"/>
      </w:pPr>
      <w:r>
        <w:rPr>
          <w:spacing w:val="-1"/>
        </w:rPr>
        <w:t>《公司章程》第</w:t>
      </w:r>
      <w:r>
        <w:rPr>
          <w:rFonts w:ascii="Times New Roman" w:hAnsi="Times New Roman" w:cs="Times New Roman" w:eastAsia="Times New Roman" w:hint="default"/>
          <w:spacing w:val="-1"/>
        </w:rPr>
        <w:t>89</w:t>
      </w:r>
      <w:r>
        <w:rPr>
          <w:spacing w:val="-1"/>
        </w:rPr>
        <w:t>条规定：公司应在保证股东大会合法、有效的前提下，通过各种方式和途径，包括提供网络形式的投</w:t>
      </w:r>
      <w:r>
        <w:rPr/>
        <w:t> </w:t>
      </w:r>
      <w:r>
        <w:rPr>
          <w:spacing w:val="-2"/>
        </w:rPr>
        <w:t>票平台等现代信息技术手段，为股东参加股东大会提供便利。公司在发生以下情况时，应当在召开股东大会时提供网络投票</w:t>
      </w:r>
      <w:r>
        <w:rPr>
          <w:spacing w:val="-66"/>
        </w:rPr>
        <w:t> </w:t>
      </w:r>
      <w:r>
        <w:rPr>
          <w:spacing w:val="-66"/>
        </w:rPr>
      </w:r>
      <w:r>
        <w:rPr/>
        <w:t>等方式：（一）调整本章程规定利润分配政策；（二）公司当年盈利，董事会未作出现金利润分配预案的。</w:t>
      </w:r>
    </w:p>
    <w:p>
      <w:pPr>
        <w:pStyle w:val="BodyText"/>
        <w:spacing w:line="316" w:lineRule="auto" w:before="24"/>
        <w:ind w:left="443" w:right="881"/>
        <w:jc w:val="left"/>
      </w:pPr>
      <w:r>
        <w:rPr/>
        <w:t>公司独立董事在上述制度和规划的制订过程中积极履行职责，切实发挥了应有的作用。 公司通过进一步完善和健全现金分红决策和监督机制，提高现金分红信息披露透明度，强化回报股东的意识。</w:t>
      </w:r>
    </w:p>
    <w:p>
      <w:pPr>
        <w:pStyle w:val="BodyText"/>
        <w:spacing w:line="240" w:lineRule="auto" w:before="59"/>
        <w:ind w:left="153" w:right="90"/>
        <w:jc w:val="left"/>
      </w:pPr>
      <w:r>
        <w:rPr/>
        <w:t>本年度利润分配及资本公积金转增股本预案</w:t>
      </w:r>
    </w:p>
    <w:p>
      <w:pPr>
        <w:pStyle w:val="BodyText"/>
        <w:spacing w:line="240" w:lineRule="auto" w:before="117"/>
        <w:ind w:left="153"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BodyText"/>
        <w:spacing w:line="240" w:lineRule="auto" w:before="44"/>
        <w:ind w:left="0" w:right="217"/>
        <w:jc w:val="right"/>
      </w:pPr>
      <w:r>
        <w:rPr/>
        <w:pict>
          <v:shape style="position:absolute;margin-left:57.029999pt;margin-top:-157.087982pt;width:478.55pt;height:192.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94"/>
                    <w:gridCol w:w="5862"/>
                  </w:tblGrid>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209,832,000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10,491,600.00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48,862,760.98</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5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026"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经立信会计师事务所（特殊普通合伙）审计，公司（母公司）</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16,296,712.15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元，按净利润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提取法定盈余公积金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1,629,671.22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元，加上年初未分配利润总额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55,178,920.05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元，减去年度已分配利润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20,983,200.00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本年度公司可供股东分配利润为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48,862,760.98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p>
              </w:txbxContent>
            </v:textbox>
            <w10:wrap type="none"/>
          </v:shape>
        </w:pict>
      </w:r>
      <w:r>
        <w:rPr/>
        <w:t>，</w:t>
      </w:r>
    </w:p>
    <w:p>
      <w:pPr>
        <w:spacing w:after="0" w:line="240" w:lineRule="auto"/>
        <w:jc w:val="right"/>
        <w:sectPr>
          <w:pgSz w:w="11910" w:h="16840"/>
          <w:pgMar w:header="747" w:footer="982" w:top="1060" w:bottom="1180" w:left="980" w:right="940"/>
        </w:sectPr>
      </w:pPr>
    </w:p>
    <w:p>
      <w:pPr>
        <w:spacing w:line="240" w:lineRule="auto" w:before="11"/>
        <w:rPr>
          <w:rFonts w:ascii="宋体" w:hAnsi="宋体" w:cs="宋体" w:eastAsia="宋体" w:hint="default"/>
          <w:sz w:val="28"/>
          <w:szCs w:val="28"/>
        </w:rPr>
      </w:pPr>
    </w:p>
    <w:p>
      <w:pPr>
        <w:spacing w:line="674" w:lineRule="exact"/>
        <w:ind w:left="154"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478.4pt;height:33.75pt;mso-position-horizontal-relative:char;mso-position-vertical-relative:line" type="#_x0000_t202" filled="false" stroked="true" strokeweight=".48pt" strokecolor="#000000">
            <w10:anchorlock/>
            <v:textbox inset="0,0,0,0">
              <w:txbxContent>
                <w:p>
                  <w:pPr>
                    <w:pStyle w:val="BodyText"/>
                    <w:spacing w:line="240" w:lineRule="auto" w:before="10"/>
                    <w:ind w:left="382" w:right="0"/>
                    <w:jc w:val="left"/>
                    <w:rPr>
                      <w:rFonts w:ascii="Times New Roman" w:hAnsi="Times New Roman" w:cs="Times New Roman" w:eastAsia="Times New Roman" w:hint="default"/>
                    </w:rPr>
                  </w:pPr>
                  <w:r>
                    <w:rPr/>
                    <w:t>公司本年度拟以</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日总股本</w:t>
                  </w:r>
                  <w:r>
                    <w:rPr>
                      <w:spacing w:val="-52"/>
                    </w:rPr>
                    <w:t> </w:t>
                  </w:r>
                  <w:r>
                    <w:rPr>
                      <w:rFonts w:ascii="Times New Roman" w:hAnsi="Times New Roman" w:cs="Times New Roman" w:eastAsia="Times New Roman" w:hint="default"/>
                    </w:rPr>
                    <w:t>209,832,000</w:t>
                  </w:r>
                  <w:r>
                    <w:rPr>
                      <w:rFonts w:ascii="Times New Roman" w:hAnsi="Times New Roman" w:cs="Times New Roman" w:eastAsia="Times New Roman" w:hint="default"/>
                      <w:spacing w:val="-6"/>
                    </w:rPr>
                    <w:t> </w:t>
                  </w:r>
                  <w:r>
                    <w:rPr>
                      <w:spacing w:val="-2"/>
                    </w:rPr>
                    <w:t>股</w:t>
                  </w:r>
                  <w:r>
                    <w:rPr/>
                    <w:t>为基数</w:t>
                  </w:r>
                  <w:r>
                    <w:rPr>
                      <w:spacing w:val="-90"/>
                    </w:rPr>
                    <w:t>，</w:t>
                  </w:r>
                  <w:r>
                    <w:rPr/>
                    <w:t>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股派现金</w:t>
                  </w:r>
                  <w:r>
                    <w:rPr>
                      <w:spacing w:val="-51"/>
                    </w:rPr>
                    <w:t> </w:t>
                  </w:r>
                  <w:r>
                    <w:rPr>
                      <w:rFonts w:ascii="Times New Roman" w:hAnsi="Times New Roman" w:cs="Times New Roman" w:eastAsia="Times New Roman" w:hint="default"/>
                    </w:rPr>
                    <w:t>0.5</w:t>
                  </w:r>
                  <w:r>
                    <w:rPr>
                      <w:rFonts w:ascii="Times New Roman" w:hAnsi="Times New Roman" w:cs="Times New Roman" w:eastAsia="Times New Roman" w:hint="default"/>
                      <w:spacing w:val="-6"/>
                    </w:rPr>
                    <w:t> </w:t>
                  </w:r>
                  <w:r>
                    <w:rPr>
                      <w:spacing w:val="-92"/>
                    </w:rPr>
                    <w:t>元</w:t>
                  </w:r>
                  <w:r>
                    <w:rPr/>
                    <w:t>（含税</w:t>
                  </w:r>
                  <w:r>
                    <w:rPr>
                      <w:spacing w:val="-90"/>
                    </w:rPr>
                    <w:t>），</w:t>
                  </w:r>
                  <w:r>
                    <w:rPr/>
                    <w:t>共计派现</w:t>
                  </w:r>
                  <w:r>
                    <w:rPr>
                      <w:spacing w:val="-51"/>
                    </w:rPr>
                    <w:t> </w:t>
                  </w:r>
                  <w:r>
                    <w:rPr>
                      <w:rFonts w:ascii="Times New Roman" w:hAnsi="Times New Roman" w:cs="Times New Roman" w:eastAsia="Times New Roman" w:hint="default"/>
                    </w:rPr>
                    <w:t>10,491,60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p>
                <w:p>
                  <w:pPr>
                    <w:pStyle w:val="BodyText"/>
                    <w:spacing w:line="240" w:lineRule="auto" w:before="64"/>
                    <w:ind w:left="22" w:right="0"/>
                    <w:jc w:val="left"/>
                  </w:pPr>
                  <w:r>
                    <w:rPr/>
                    <w:t>元，剩余部分结转下年分配。</w:t>
                  </w:r>
                </w:p>
              </w:txbxContent>
            </v:textbox>
          </v:shape>
        </w:pict>
      </w:r>
      <w:r>
        <w:rPr>
          <w:rFonts w:ascii="宋体" w:hAnsi="宋体" w:cs="宋体" w:eastAsia="宋体" w:hint="default"/>
          <w:position w:val="-12"/>
          <w:sz w:val="20"/>
          <w:szCs w:val="20"/>
        </w:rPr>
      </w:r>
    </w:p>
    <w:p>
      <w:pPr>
        <w:pStyle w:val="BodyText"/>
        <w:spacing w:line="338" w:lineRule="auto" w:before="56"/>
        <w:ind w:left="514" w:right="180" w:hanging="361"/>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 </w:t>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2010</w:t>
      </w:r>
      <w:r>
        <w:rPr/>
        <w:t>年利润分配及资本公积金转增股本方案 不进行现金分红，以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131,145,000</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股，共计转增</w:t>
      </w:r>
    </w:p>
    <w:p>
      <w:pPr>
        <w:pStyle w:val="BodyText"/>
        <w:spacing w:line="231" w:lineRule="exact"/>
        <w:ind w:right="90"/>
        <w:jc w:val="left"/>
      </w:pPr>
      <w:r>
        <w:rPr>
          <w:rFonts w:ascii="Times New Roman" w:hAnsi="Times New Roman" w:cs="Times New Roman" w:eastAsia="Times New Roman" w:hint="default"/>
        </w:rPr>
        <w:t>78,687,000</w:t>
      </w:r>
      <w:r>
        <w:rPr/>
        <w:t>，转增后公司总股本变为</w:t>
      </w:r>
      <w:r>
        <w:rPr>
          <w:rFonts w:ascii="Times New Roman" w:hAnsi="Times New Roman" w:cs="Times New Roman" w:eastAsia="Times New Roman" w:hint="default"/>
        </w:rPr>
        <w:t>209,832,000</w:t>
      </w:r>
      <w:r>
        <w:rPr/>
        <w:t>股。</w:t>
      </w:r>
    </w:p>
    <w:p>
      <w:pPr>
        <w:pStyle w:val="BodyText"/>
        <w:spacing w:line="338" w:lineRule="auto" w:before="102"/>
        <w:ind w:left="514" w:right="90"/>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2011</w:t>
      </w:r>
      <w:r>
        <w:rPr/>
        <w:t>年利润分配方案 </w:t>
      </w:r>
      <w:r>
        <w:rPr>
          <w:spacing w:val="-2"/>
        </w:rPr>
        <w:t>以</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209,832,000</w:t>
      </w:r>
      <w:r>
        <w:rPr>
          <w:spacing w:val="-2"/>
        </w:rPr>
        <w:t>股为基数，每</w:t>
      </w:r>
      <w:r>
        <w:rPr>
          <w:rFonts w:ascii="Times New Roman" w:hAnsi="Times New Roman" w:cs="Times New Roman" w:eastAsia="Times New Roman" w:hint="default"/>
          <w:spacing w:val="-2"/>
        </w:rPr>
        <w:t>10</w:t>
      </w:r>
      <w:r>
        <w:rPr>
          <w:spacing w:val="-2"/>
        </w:rPr>
        <w:t>股派现金</w:t>
      </w:r>
      <w:r>
        <w:rPr>
          <w:rFonts w:ascii="Times New Roman" w:hAnsi="Times New Roman" w:cs="Times New Roman" w:eastAsia="Times New Roman" w:hint="default"/>
          <w:spacing w:val="-2"/>
        </w:rPr>
        <w:t>1</w:t>
      </w:r>
      <w:r>
        <w:rPr>
          <w:spacing w:val="-2"/>
        </w:rPr>
        <w:t>元（含税），共计派现</w:t>
      </w:r>
      <w:r>
        <w:rPr>
          <w:rFonts w:ascii="Times New Roman" w:hAnsi="Times New Roman" w:cs="Times New Roman" w:eastAsia="Times New Roman" w:hint="default"/>
          <w:spacing w:val="-2"/>
        </w:rPr>
        <w:t>20,983,200</w:t>
      </w:r>
      <w:r>
        <w:rPr>
          <w:spacing w:val="-2"/>
        </w:rPr>
        <w:t>元，剩余部分结转下年</w:t>
      </w:r>
    </w:p>
    <w:p>
      <w:pPr>
        <w:pStyle w:val="BodyText"/>
        <w:spacing w:line="218" w:lineRule="exact"/>
        <w:ind w:right="90"/>
        <w:jc w:val="left"/>
      </w:pPr>
      <w:r>
        <w:rPr/>
        <w:t>分配。</w:t>
      </w:r>
    </w:p>
    <w:p>
      <w:pPr>
        <w:pStyle w:val="BodyText"/>
        <w:spacing w:line="338" w:lineRule="auto" w:before="116"/>
        <w:ind w:left="514" w:right="90"/>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2012</w:t>
      </w:r>
      <w:r>
        <w:rPr/>
        <w:t>年利润分配方案 </w:t>
      </w:r>
      <w:r>
        <w:rPr>
          <w:spacing w:val="-1"/>
        </w:rPr>
        <w:t>以</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209,832,000</w:t>
      </w:r>
      <w:r>
        <w:rPr>
          <w:spacing w:val="-1"/>
        </w:rPr>
        <w:t>股为基数，每</w:t>
      </w:r>
      <w:r>
        <w:rPr>
          <w:rFonts w:ascii="Times New Roman" w:hAnsi="Times New Roman" w:cs="Times New Roman" w:eastAsia="Times New Roman" w:hint="default"/>
          <w:spacing w:val="-1"/>
        </w:rPr>
        <w:t>10</w:t>
      </w:r>
      <w:r>
        <w:rPr>
          <w:spacing w:val="-1"/>
        </w:rPr>
        <w:t>股派现金</w:t>
      </w:r>
      <w:r>
        <w:rPr>
          <w:rFonts w:ascii="Times New Roman" w:hAnsi="Times New Roman" w:cs="Times New Roman" w:eastAsia="Times New Roman" w:hint="default"/>
          <w:spacing w:val="-1"/>
        </w:rPr>
        <w:t>0.5</w:t>
      </w:r>
      <w:r>
        <w:rPr>
          <w:spacing w:val="-1"/>
        </w:rPr>
        <w:t>元（含税），共计派现</w:t>
      </w:r>
      <w:r>
        <w:rPr>
          <w:rFonts w:ascii="Times New Roman" w:hAnsi="Times New Roman" w:cs="Times New Roman" w:eastAsia="Times New Roman" w:hint="default"/>
          <w:spacing w:val="-1"/>
        </w:rPr>
        <w:t>10,491,600</w:t>
      </w:r>
      <w:r>
        <w:rPr>
          <w:spacing w:val="-1"/>
        </w:rPr>
        <w:t>元，剩余部分结转下</w:t>
      </w:r>
    </w:p>
    <w:p>
      <w:pPr>
        <w:pStyle w:val="BodyText"/>
        <w:spacing w:line="218" w:lineRule="exact"/>
        <w:ind w:right="90"/>
        <w:jc w:val="left"/>
      </w:pPr>
      <w:r>
        <w:rPr/>
        <w:t>年分配。</w:t>
      </w:r>
    </w:p>
    <w:p>
      <w:pPr>
        <w:pStyle w:val="BodyText"/>
        <w:spacing w:line="240" w:lineRule="auto" w:before="117"/>
        <w:ind w:right="90"/>
        <w:jc w:val="left"/>
      </w:pPr>
      <w:r>
        <w:rPr/>
        <w:t>公司近三年现金分红情况表</w:t>
      </w:r>
    </w:p>
    <w:p>
      <w:pPr>
        <w:pStyle w:val="BodyText"/>
        <w:spacing w:line="240" w:lineRule="auto" w:before="116"/>
        <w:ind w:left="0" w:right="189"/>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162" w:hRule="exact"/>
        </w:trPr>
        <w:tc>
          <w:tcPr>
            <w:tcW w:w="2369"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4"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6" w:right="34"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23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303"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r>
      <w:tr>
        <w:trPr>
          <w:trHeight w:val="160" w:hRule="exact"/>
        </w:trPr>
        <w:tc>
          <w:tcPr>
            <w:tcW w:w="2369"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4"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10,491,600.00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42,254,458.22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40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20,983,200.00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69,455,613.19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54,880,734.50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90"/>
        <w:jc w:val="left"/>
      </w:pPr>
      <w:r>
        <w:rPr/>
        <w:t>公司报告期内盈利且母公司未分配利润为正但未提出现金红利分配预案</w:t>
      </w:r>
    </w:p>
    <w:p>
      <w:pPr>
        <w:pStyle w:val="BodyText"/>
        <w:spacing w:line="240" w:lineRule="auto" w:before="116"/>
        <w:ind w:left="153" w:right="9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0"/>
        <w:jc w:val="left"/>
        <w:rPr>
          <w:b w:val="0"/>
          <w:bCs w:val="0"/>
        </w:rPr>
      </w:pPr>
      <w:r>
        <w:rPr/>
        <w:t>十四、社会责任情况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91" w:firstLine="360"/>
        <w:jc w:val="both"/>
      </w:pPr>
      <w:r>
        <w:rPr>
          <w:spacing w:val="-2"/>
        </w:rPr>
        <w:t>公司积极践行社会责任，充分尊重和维护相关利益者的合法权益，实现股东、员工、社会等各方利益的协调平衡，共同</w:t>
      </w:r>
      <w:r>
        <w:rPr/>
        <w:t> 推动公司持续、健康的发展。</w:t>
      </w:r>
    </w:p>
    <w:p>
      <w:pPr>
        <w:pStyle w:val="BodyText"/>
        <w:spacing w:line="319" w:lineRule="auto" w:before="56"/>
        <w:ind w:left="153" w:right="91" w:firstLine="360"/>
        <w:jc w:val="left"/>
      </w:pPr>
      <w:r>
        <w:rPr/>
        <w:t>公司保障股东特别是中小股东的权益，严格按照《公司章程》、《股东大会议事规则》等规定，规范股东大会的召集、 </w:t>
      </w:r>
      <w:r>
        <w:rPr>
          <w:spacing w:val="-2"/>
        </w:rPr>
        <w:t>召开程序，通过合法有效的方式，让更多的股东能够参加股东大会；认真履行信息披露义务，秉持公开、透明的原则对待全</w:t>
      </w:r>
      <w:r>
        <w:rPr>
          <w:spacing w:val="-66"/>
        </w:rPr>
        <w:t> </w:t>
      </w:r>
      <w:r>
        <w:rPr>
          <w:spacing w:val="-66"/>
        </w:rPr>
      </w:r>
      <w:r>
        <w:rPr>
          <w:spacing w:val="-2"/>
        </w:rPr>
        <w:t>体投资者，并通过投资者关系平台等多种渠道与投资者保持沟通，解答投资者关心的问题；重视投资者特别是中小投资者的</w:t>
      </w:r>
      <w:r>
        <w:rPr>
          <w:spacing w:val="-66"/>
        </w:rPr>
        <w:t> </w:t>
      </w:r>
      <w:r>
        <w:rPr>
          <w:spacing w:val="-66"/>
        </w:rPr>
      </w:r>
      <w:r>
        <w:rPr/>
        <w:t>利益和回报，为保护投资者利益。</w:t>
      </w:r>
    </w:p>
    <w:p>
      <w:pPr>
        <w:pStyle w:val="BodyText"/>
        <w:spacing w:line="319" w:lineRule="auto" w:before="55"/>
        <w:ind w:left="153" w:right="189" w:firstLine="360"/>
        <w:jc w:val="both"/>
      </w:pPr>
      <w:r>
        <w:rPr>
          <w:spacing w:val="-2"/>
        </w:rPr>
        <w:t>公司奉行诚信经营的核心价值观，充分尊重公司债权人对其债权权益相关的重大信息的知情权，高度重视债权人的合法</w:t>
      </w:r>
      <w:r>
        <w:rPr/>
        <w:t> </w:t>
      </w:r>
      <w:r>
        <w:rPr>
          <w:spacing w:val="-2"/>
        </w:rPr>
        <w:t>权益。在公司的经营决策过程中，公司严格遵守相关合同及制度，充分考虑债权人的合法权益，及时向债权人通报与债权人</w:t>
      </w:r>
      <w:r>
        <w:rPr>
          <w:spacing w:val="-66"/>
        </w:rPr>
        <w:t> </w:t>
      </w:r>
      <w:r>
        <w:rPr>
          <w:spacing w:val="-66"/>
        </w:rPr>
      </w:r>
      <w:r>
        <w:rPr/>
        <w:t>权益相关的重大信息；债权人为维护自身利益需要了解公司有关经营、管理等情况时，公司全力予以配合和支持。</w:t>
      </w:r>
    </w:p>
    <w:p>
      <w:pPr>
        <w:pStyle w:val="BodyText"/>
        <w:spacing w:line="319" w:lineRule="auto" w:before="55"/>
        <w:ind w:left="153" w:right="189" w:firstLine="360"/>
        <w:jc w:val="both"/>
      </w:pPr>
      <w:r>
        <w:rPr>
          <w:spacing w:val="-2"/>
        </w:rPr>
        <w:t>公司坚持以人为本，公司严格遵守《劳动法》、《劳动合同法》等法律法规的要求，构建和谐的劳资关系，为员工提供</w:t>
      </w:r>
      <w:r>
        <w:rPr/>
        <w:t> </w:t>
      </w:r>
      <w:r>
        <w:rPr>
          <w:spacing w:val="-2"/>
        </w:rPr>
        <w:t>良好的工作、生活环境和各种内部、外部培训机会；公司注重对员工职业发展进行规划，为员工提供平等的发展机会和晋升</w:t>
      </w:r>
      <w:r>
        <w:rPr>
          <w:spacing w:val="-66"/>
        </w:rPr>
        <w:t> </w:t>
      </w:r>
      <w:r>
        <w:rPr>
          <w:spacing w:val="-66"/>
        </w:rPr>
      </w:r>
      <w:r>
        <w:rPr/>
        <w:t>渠道，尊重和维护员工的个人利益，努力使员工在公司的发展中也得到快速成长。</w:t>
      </w:r>
    </w:p>
    <w:p>
      <w:pPr>
        <w:pStyle w:val="BodyText"/>
        <w:spacing w:line="319" w:lineRule="auto" w:before="56"/>
        <w:ind w:left="153" w:right="101" w:firstLine="360"/>
        <w:jc w:val="both"/>
      </w:pPr>
      <w:r>
        <w:rPr>
          <w:spacing w:val="-4"/>
        </w:rPr>
        <w:t>公司高度重视产品质量，认为质量是公司未来发展的保证，一贯坚持为客户提供优质的产品；加强与供应商的沟通合作，</w:t>
      </w:r>
      <w:r>
        <w:rPr/>
        <w:t> 实现互惠共赢；严格把控产品质量，注重产品安全，保护消费者利益。</w:t>
      </w:r>
    </w:p>
    <w:p>
      <w:pPr>
        <w:spacing w:after="0" w:line="319" w:lineRule="auto"/>
        <w:jc w:val="both"/>
        <w:sectPr>
          <w:pgSz w:w="11910" w:h="16840"/>
          <w:pgMar w:header="747"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49"/>
        <w:jc w:val="left"/>
        <w:rPr>
          <w:b w:val="0"/>
          <w:bCs w:val="0"/>
        </w:rPr>
      </w:pPr>
      <w:r>
        <w:rPr/>
        <w:t>十五、报告期内接待调研、沟通、采访等活动登记表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pStyle w:val="BodyText"/>
        <w:spacing w:line="240" w:lineRule="auto" w:before="44"/>
        <w:ind w:left="0" w:right="158"/>
        <w:jc w:val="right"/>
      </w:pPr>
      <w:r>
        <w:rPr/>
        <w:pict>
          <v:shape style="position:absolute;margin-left:56.459999pt;margin-top:-103.387985pt;width:479.2pt;height:344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7"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362"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深圳市光明新区同</w:t>
                        </w: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自助服务终端、</w:t>
                        </w:r>
                        <w:r>
                          <w:rPr>
                            <w:rFonts w:ascii="Times New Roman" w:hAnsi="Times New Roman" w:cs="Times New Roman" w:eastAsia="Times New Roman" w:hint="default"/>
                            <w:sz w:val="18"/>
                            <w:szCs w:val="18"/>
                          </w:rPr>
                          <w:t>E-POS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w:t>
                        </w:r>
                      </w:p>
                    </w:tc>
                  </w:tr>
                  <w:tr>
                    <w:trPr>
                      <w:trHeight w:val="313"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观路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号证通电子</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宏源证券</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业务前景；</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情况介绍</w:t>
                        </w:r>
                      </w:p>
                    </w:tc>
                  </w:tr>
                  <w:tr>
                    <w:trPr>
                      <w:trHeight w:val="351"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产业园</w:t>
                        </w: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和业务前景。</w:t>
                        </w:r>
                      </w:p>
                    </w:tc>
                  </w:tr>
                  <w:tr>
                    <w:trPr>
                      <w:trHeight w:val="362"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深圳市光明新区同</w:t>
                        </w: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年度经营情况、加密</w:t>
                        </w:r>
                      </w:p>
                    </w:tc>
                  </w:tr>
                  <w:tr>
                    <w:trPr>
                      <w:trHeight w:val="313"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观路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号证通电子</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国金证券</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键盘、</w:t>
                        </w:r>
                        <w:r>
                          <w:rPr>
                            <w:rFonts w:ascii="Times New Roman" w:hAnsi="Times New Roman" w:cs="Times New Roman" w:eastAsia="Times New Roman" w:hint="default"/>
                            <w:spacing w:val="-6"/>
                            <w:sz w:val="18"/>
                            <w:szCs w:val="18"/>
                          </w:rPr>
                          <w:t>E-POS</w:t>
                        </w:r>
                        <w:r>
                          <w:rPr>
                            <w:rFonts w:ascii="Times New Roman" w:hAnsi="Times New Roman" w:cs="Times New Roman" w:eastAsia="Times New Roman" w:hint="default"/>
                            <w:sz w:val="18"/>
                            <w:szCs w:val="18"/>
                          </w:rPr>
                          <w:t> </w:t>
                        </w:r>
                        <w:r>
                          <w:rPr>
                            <w:rFonts w:ascii="宋体" w:hAnsi="宋体" w:cs="宋体" w:eastAsia="宋体" w:hint="default"/>
                            <w:sz w:val="18"/>
                            <w:szCs w:val="18"/>
                          </w:rPr>
                          <w:t>机市场容量</w:t>
                        </w:r>
                      </w:p>
                    </w:tc>
                  </w:tr>
                  <w:tr>
                    <w:trPr>
                      <w:trHeight w:val="351"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产业园</w:t>
                        </w: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研发情况。</w:t>
                        </w:r>
                      </w:p>
                    </w:tc>
                  </w:tr>
                  <w:tr>
                    <w:trPr>
                      <w:trHeight w:val="362"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深圳市光明新区同</w:t>
                        </w: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自助终端</w:t>
                        </w:r>
                        <w:r>
                          <w:rPr>
                            <w:rFonts w:ascii="宋体" w:hAnsi="宋体" w:cs="宋体" w:eastAsia="宋体" w:hint="default"/>
                            <w:spacing w:val="-75"/>
                            <w:sz w:val="18"/>
                            <w:szCs w:val="18"/>
                          </w:rPr>
                          <w:t>、</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P</w:t>
                        </w:r>
                        <w:r>
                          <w:rPr>
                            <w:rFonts w:ascii="Times New Roman" w:hAnsi="Times New Roman" w:cs="Times New Roman" w:eastAsia="Times New Roman" w:hint="default"/>
                            <w:sz w:val="18"/>
                            <w:szCs w:val="18"/>
                          </w:rPr>
                          <w:t>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机业务前</w:t>
                        </w:r>
                      </w:p>
                    </w:tc>
                  </w:tr>
                  <w:tr>
                    <w:trPr>
                      <w:trHeight w:val="313"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观路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号证通电子</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上海证券报</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景、再融资项目背景和展</w:t>
                        </w:r>
                      </w:p>
                    </w:tc>
                  </w:tr>
                  <w:tr>
                    <w:trPr>
                      <w:trHeight w:val="351"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产业园</w:t>
                        </w: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望。</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深圳市光明新区同 观路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号证通电子 产业园</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上海尚雅投资管理 有限公司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等支付业务前 景、公司未来业务增长点 等。</w:t>
                        </w:r>
                      </w:p>
                    </w:tc>
                  </w:tr>
                  <w:tr>
                    <w:trPr>
                      <w:trHeight w:val="362"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深圳市光明新区同</w:t>
                        </w: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EPOS</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机、自助终端</w:t>
                        </w:r>
                      </w:p>
                    </w:tc>
                  </w:tr>
                  <w:tr>
                    <w:trPr>
                      <w:trHeight w:val="313"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观路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号证通电子</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湘财证券</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加密键盘业务介绍。未来</w:t>
                        </w:r>
                      </w:p>
                    </w:tc>
                  </w:tr>
                  <w:tr>
                    <w:trPr>
                      <w:trHeight w:val="351"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产业园</w:t>
                        </w: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几年业务亮点展望。</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深圳市光明新区同 观路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号证通电子 产业园</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民生证券、广证恒 生证券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公司主营业务产品介绍， 总体运营情况展望。</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pStyle w:val="BodyText"/>
        <w:spacing w:line="240" w:lineRule="auto"/>
        <w:ind w:left="0" w:right="158"/>
        <w:jc w:val="right"/>
      </w:pPr>
      <w:r>
        <w:rPr/>
        <w:t>、</w:t>
      </w:r>
    </w:p>
    <w:p>
      <w:pPr>
        <w:spacing w:after="0" w:line="240" w:lineRule="auto"/>
        <w:jc w:val="righ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720" w:right="2719"/>
        <w:jc w:val="center"/>
        <w:rPr>
          <w:b w:val="0"/>
          <w:bCs w:val="0"/>
        </w:rPr>
      </w:pPr>
      <w:bookmarkStart w:name="_bookmark4" w:id="5"/>
      <w:bookmarkEnd w:id="5"/>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49"/>
        <w:jc w:val="left"/>
        <w:rPr>
          <w:b w:val="0"/>
          <w:bCs w:val="0"/>
        </w:rPr>
      </w:pP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8" w:lineRule="auto"/>
        <w:ind w:right="689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本年度公司无重大诉讼、仲裁事项。 媒体质疑情况</w:t>
      </w:r>
    </w:p>
    <w:p>
      <w:pPr>
        <w:pStyle w:val="BodyText"/>
        <w:spacing w:line="340" w:lineRule="auto" w:before="35"/>
        <w:ind w:right="743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本年度公司无媒体质疑事项。</w:t>
      </w:r>
    </w:p>
    <w:p>
      <w:pPr>
        <w:spacing w:line="240" w:lineRule="auto" w:before="3"/>
        <w:rPr>
          <w:rFonts w:ascii="宋体" w:hAnsi="宋体" w:cs="宋体" w:eastAsia="宋体" w:hint="default"/>
          <w:sz w:val="19"/>
          <w:szCs w:val="19"/>
        </w:rPr>
      </w:pPr>
    </w:p>
    <w:p>
      <w:pPr>
        <w:pStyle w:val="Heading2"/>
        <w:spacing w:line="240" w:lineRule="auto"/>
        <w:ind w:right="149"/>
        <w:jc w:val="left"/>
        <w:rPr>
          <w:b w:val="0"/>
          <w:bCs w:val="0"/>
        </w:rPr>
      </w:pPr>
      <w:r>
        <w:rPr/>
        <w:t>二、上市公司发生控股股东及其关联方非经营性占用资金情况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934"/>
        <w:gridCol w:w="970"/>
        <w:gridCol w:w="945"/>
        <w:gridCol w:w="970"/>
        <w:gridCol w:w="957"/>
        <w:gridCol w:w="956"/>
        <w:gridCol w:w="957"/>
        <w:gridCol w:w="944"/>
        <w:gridCol w:w="968"/>
        <w:gridCol w:w="957"/>
      </w:tblGrid>
      <w:tr>
        <w:trPr>
          <w:trHeight w:val="161" w:hRule="exact"/>
        </w:trPr>
        <w:tc>
          <w:tcPr>
            <w:tcW w:w="934" w:type="dxa"/>
            <w:tcBorders>
              <w:top w:val="single" w:sz="4" w:space="0" w:color="000000"/>
              <w:left w:val="single" w:sz="4" w:space="0" w:color="000000"/>
              <w:bottom w:val="nil" w:sz="6" w:space="0" w:color="auto"/>
              <w:right w:val="single" w:sz="4" w:space="0" w:color="000000"/>
            </w:tcBorders>
            <w:shd w:val="clear" w:color="auto" w:fill="D3D3D3"/>
          </w:tcPr>
          <w:p>
            <w:pPr/>
          </w:p>
        </w:tc>
        <w:tc>
          <w:tcPr>
            <w:tcW w:w="970" w:type="dxa"/>
            <w:vMerge w:val="restart"/>
            <w:tcBorders>
              <w:top w:val="single" w:sz="4" w:space="0" w:color="000000"/>
              <w:left w:val="single" w:sz="4" w:space="0" w:color="000000"/>
              <w:right w:val="single" w:sz="4" w:space="0" w:color="000000"/>
            </w:tcBorders>
            <w:shd w:val="clear" w:color="auto" w:fill="D3D3D3"/>
          </w:tcPr>
          <w:p>
            <w:pPr/>
          </w:p>
        </w:tc>
        <w:tc>
          <w:tcPr>
            <w:tcW w:w="945" w:type="dxa"/>
            <w:vMerge w:val="restart"/>
            <w:tcBorders>
              <w:top w:val="single" w:sz="4" w:space="0" w:color="000000"/>
              <w:left w:val="single" w:sz="4" w:space="0" w:color="000000"/>
              <w:right w:val="single" w:sz="4" w:space="0" w:color="000000"/>
            </w:tcBorders>
            <w:shd w:val="clear" w:color="auto" w:fill="D3D3D3"/>
          </w:tcPr>
          <w:p>
            <w:pPr/>
          </w:p>
        </w:tc>
        <w:tc>
          <w:tcPr>
            <w:tcW w:w="970" w:type="dxa"/>
            <w:tcBorders>
              <w:top w:val="single" w:sz="4" w:space="0" w:color="000000"/>
              <w:left w:val="single" w:sz="4" w:space="0" w:color="000000"/>
              <w:bottom w:val="nil" w:sz="6" w:space="0" w:color="auto"/>
              <w:right w:val="single" w:sz="4" w:space="0" w:color="000000"/>
            </w:tcBorders>
            <w:shd w:val="clear" w:color="auto" w:fill="D3D3D3"/>
          </w:tcPr>
          <w:p>
            <w:pPr/>
          </w:p>
        </w:tc>
        <w:tc>
          <w:tcPr>
            <w:tcW w:w="95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2" w:right="22" w:hanging="90"/>
              <w:jc w:val="left"/>
              <w:rPr>
                <w:rFonts w:ascii="宋体" w:hAnsi="宋体" w:cs="宋体" w:eastAsia="宋体" w:hint="default"/>
                <w:sz w:val="18"/>
                <w:szCs w:val="18"/>
              </w:rPr>
            </w:pPr>
            <w:r>
              <w:rPr>
                <w:rFonts w:ascii="宋体" w:hAnsi="宋体" w:cs="宋体" w:eastAsia="宋体" w:hint="default"/>
                <w:sz w:val="18"/>
                <w:szCs w:val="18"/>
              </w:rPr>
              <w:t>报告期新增 占用金额</w:t>
            </w:r>
          </w:p>
          <w:p>
            <w:pPr>
              <w:pStyle w:val="TableParagraph"/>
              <w:spacing w:line="240" w:lineRule="auto" w:before="20"/>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3" w:right="20"/>
              <w:jc w:val="center"/>
              <w:rPr>
                <w:rFonts w:ascii="宋体" w:hAnsi="宋体" w:cs="宋体" w:eastAsia="宋体" w:hint="default"/>
                <w:sz w:val="18"/>
                <w:szCs w:val="18"/>
              </w:rPr>
            </w:pPr>
            <w:r>
              <w:rPr>
                <w:rFonts w:ascii="宋体" w:hAnsi="宋体" w:cs="宋体" w:eastAsia="宋体" w:hint="default"/>
                <w:sz w:val="18"/>
                <w:szCs w:val="18"/>
              </w:rPr>
              <w:t>报告期偿还 总金额（万 元）</w:t>
            </w:r>
          </w:p>
        </w:tc>
        <w:tc>
          <w:tcPr>
            <w:tcW w:w="957" w:type="dxa"/>
            <w:tcBorders>
              <w:top w:val="single" w:sz="4" w:space="0" w:color="000000"/>
              <w:left w:val="single" w:sz="4" w:space="0" w:color="000000"/>
              <w:bottom w:val="nil" w:sz="6" w:space="0" w:color="auto"/>
              <w:right w:val="single" w:sz="4" w:space="0" w:color="000000"/>
            </w:tcBorders>
            <w:shd w:val="clear" w:color="auto" w:fill="D3D3D3"/>
          </w:tcPr>
          <w:p>
            <w:pPr/>
          </w:p>
        </w:tc>
        <w:tc>
          <w:tcPr>
            <w:tcW w:w="944" w:type="dxa"/>
            <w:tcBorders>
              <w:top w:val="single" w:sz="4" w:space="0" w:color="000000"/>
              <w:left w:val="single" w:sz="4" w:space="0" w:color="000000"/>
              <w:bottom w:val="nil" w:sz="6" w:space="0" w:color="auto"/>
              <w:right w:val="single" w:sz="4" w:space="0" w:color="000000"/>
            </w:tcBorders>
            <w:shd w:val="clear" w:color="auto" w:fill="D3D3D3"/>
          </w:tcPr>
          <w:p>
            <w:pPr/>
          </w:p>
        </w:tc>
        <w:tc>
          <w:tcPr>
            <w:tcW w:w="96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93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91" w:right="11" w:hanging="180"/>
              <w:jc w:val="left"/>
              <w:rPr>
                <w:rFonts w:ascii="宋体" w:hAnsi="宋体" w:cs="宋体" w:eastAsia="宋体" w:hint="default"/>
                <w:sz w:val="18"/>
                <w:szCs w:val="18"/>
              </w:rPr>
            </w:pPr>
            <w:r>
              <w:rPr>
                <w:rFonts w:ascii="宋体" w:hAnsi="宋体" w:cs="宋体" w:eastAsia="宋体" w:hint="default"/>
                <w:sz w:val="18"/>
                <w:szCs w:val="18"/>
              </w:rPr>
              <w:t>股东或关联 人名称</w:t>
            </w:r>
          </w:p>
        </w:tc>
        <w:tc>
          <w:tcPr>
            <w:tcW w:w="970" w:type="dxa"/>
            <w:vMerge/>
            <w:tcBorders>
              <w:left w:val="single" w:sz="4" w:space="0" w:color="000000"/>
              <w:bottom w:val="nil" w:sz="6" w:space="0" w:color="auto"/>
              <w:right w:val="single" w:sz="4" w:space="0" w:color="000000"/>
            </w:tcBorders>
            <w:shd w:val="clear" w:color="auto" w:fill="D3D3D3"/>
          </w:tcPr>
          <w:p>
            <w:pPr/>
          </w:p>
        </w:tc>
        <w:tc>
          <w:tcPr>
            <w:tcW w:w="945" w:type="dxa"/>
            <w:vMerge/>
            <w:tcBorders>
              <w:left w:val="single" w:sz="4" w:space="0" w:color="000000"/>
              <w:bottom w:val="nil" w:sz="6" w:space="0" w:color="auto"/>
              <w:right w:val="single" w:sz="4" w:space="0" w:color="000000"/>
            </w:tcBorders>
            <w:shd w:val="clear" w:color="auto" w:fill="D3D3D3"/>
          </w:tcPr>
          <w:p>
            <w:pPr/>
          </w:p>
        </w:tc>
        <w:tc>
          <w:tcPr>
            <w:tcW w:w="97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306" w:right="23" w:hanging="270"/>
              <w:jc w:val="left"/>
              <w:rPr>
                <w:rFonts w:ascii="宋体" w:hAnsi="宋体" w:cs="宋体" w:eastAsia="宋体" w:hint="default"/>
                <w:sz w:val="18"/>
                <w:szCs w:val="18"/>
              </w:rPr>
            </w:pPr>
            <w:r>
              <w:rPr>
                <w:rFonts w:ascii="宋体" w:hAnsi="宋体" w:cs="宋体" w:eastAsia="宋体" w:hint="default"/>
                <w:sz w:val="18"/>
                <w:szCs w:val="18"/>
              </w:rPr>
              <w:t>期初数（万 元）</w:t>
            </w:r>
          </w:p>
        </w:tc>
        <w:tc>
          <w:tcPr>
            <w:tcW w:w="957" w:type="dxa"/>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95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92" w:right="22" w:hanging="270"/>
              <w:jc w:val="left"/>
              <w:rPr>
                <w:rFonts w:ascii="宋体" w:hAnsi="宋体" w:cs="宋体" w:eastAsia="宋体" w:hint="default"/>
                <w:sz w:val="18"/>
                <w:szCs w:val="18"/>
              </w:rPr>
            </w:pPr>
            <w:r>
              <w:rPr>
                <w:rFonts w:ascii="宋体" w:hAnsi="宋体" w:cs="宋体" w:eastAsia="宋体" w:hint="default"/>
                <w:sz w:val="18"/>
                <w:szCs w:val="18"/>
              </w:rPr>
              <w:t>期末数（万 元）</w:t>
            </w:r>
          </w:p>
        </w:tc>
        <w:tc>
          <w:tcPr>
            <w:tcW w:w="94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383" w:right="9" w:hanging="360"/>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68"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34" w:right="22"/>
              <w:jc w:val="left"/>
              <w:rPr>
                <w:rFonts w:ascii="宋体" w:hAnsi="宋体" w:cs="宋体" w:eastAsia="宋体" w:hint="default"/>
                <w:sz w:val="18"/>
                <w:szCs w:val="18"/>
              </w:rPr>
            </w:pPr>
            <w:r>
              <w:rPr>
                <w:rFonts w:ascii="宋体" w:hAnsi="宋体" w:cs="宋体" w:eastAsia="宋体" w:hint="default"/>
                <w:sz w:val="18"/>
                <w:szCs w:val="18"/>
              </w:rPr>
              <w:t>预计偿还金 额（万元）</w:t>
            </w:r>
          </w:p>
        </w:tc>
        <w:tc>
          <w:tcPr>
            <w:tcW w:w="95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392" w:hRule="exact"/>
        </w:trPr>
        <w:tc>
          <w:tcPr>
            <w:tcW w:w="934" w:type="dxa"/>
            <w:vMerge/>
            <w:tcBorders>
              <w:left w:val="single" w:sz="4" w:space="0" w:color="000000"/>
              <w:right w:val="single" w:sz="4" w:space="0" w:color="000000"/>
            </w:tcBorders>
            <w:shd w:val="clear" w:color="auto" w:fill="D3D3D3"/>
          </w:tcPr>
          <w:p>
            <w:pPr/>
          </w:p>
        </w:tc>
        <w:tc>
          <w:tcPr>
            <w:tcW w:w="9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70" w:type="dxa"/>
            <w:vMerge/>
            <w:tcBorders>
              <w:left w:val="single" w:sz="4" w:space="0" w:color="000000"/>
              <w:right w:val="single" w:sz="4" w:space="0" w:color="000000"/>
            </w:tcBorders>
            <w:shd w:val="clear" w:color="auto" w:fill="D3D3D3"/>
          </w:tcPr>
          <w:p>
            <w:pPr/>
          </w:p>
        </w:tc>
        <w:tc>
          <w:tcPr>
            <w:tcW w:w="957" w:type="dxa"/>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957" w:type="dxa"/>
            <w:vMerge/>
            <w:tcBorders>
              <w:left w:val="single" w:sz="4" w:space="0" w:color="000000"/>
              <w:right w:val="single" w:sz="4" w:space="0" w:color="000000"/>
            </w:tcBorders>
            <w:shd w:val="clear" w:color="auto" w:fill="D3D3D3"/>
          </w:tcPr>
          <w:p>
            <w:pPr/>
          </w:p>
        </w:tc>
        <w:tc>
          <w:tcPr>
            <w:tcW w:w="944" w:type="dxa"/>
            <w:vMerge/>
            <w:tcBorders>
              <w:left w:val="single" w:sz="4" w:space="0" w:color="000000"/>
              <w:right w:val="single" w:sz="4" w:space="0" w:color="000000"/>
            </w:tcBorders>
            <w:shd w:val="clear" w:color="auto" w:fill="D3D3D3"/>
          </w:tcPr>
          <w:p>
            <w:pPr/>
          </w:p>
        </w:tc>
        <w:tc>
          <w:tcPr>
            <w:tcW w:w="968" w:type="dxa"/>
            <w:vMerge/>
            <w:tcBorders>
              <w:left w:val="single" w:sz="4" w:space="0" w:color="000000"/>
              <w:right w:val="single" w:sz="4" w:space="0" w:color="000000"/>
            </w:tcBorders>
            <w:shd w:val="clear" w:color="auto" w:fill="D3D3D3"/>
          </w:tcPr>
          <w:p>
            <w:pPr/>
          </w:p>
        </w:tc>
        <w:tc>
          <w:tcPr>
            <w:tcW w:w="957" w:type="dxa"/>
            <w:vMerge/>
            <w:tcBorders>
              <w:left w:val="single" w:sz="4" w:space="0" w:color="000000"/>
              <w:right w:val="single" w:sz="4" w:space="0" w:color="000000"/>
            </w:tcBorders>
            <w:shd w:val="clear" w:color="auto" w:fill="D3D3D3"/>
          </w:tcPr>
          <w:p>
            <w:pPr/>
          </w:p>
        </w:tc>
      </w:tr>
      <w:tr>
        <w:trPr>
          <w:trHeight w:val="156" w:hRule="exact"/>
        </w:trPr>
        <w:tc>
          <w:tcPr>
            <w:tcW w:w="934" w:type="dxa"/>
            <w:vMerge/>
            <w:tcBorders>
              <w:left w:val="single" w:sz="4" w:space="0" w:color="000000"/>
              <w:bottom w:val="nil" w:sz="6" w:space="0" w:color="auto"/>
              <w:right w:val="single" w:sz="4" w:space="0" w:color="000000"/>
            </w:tcBorders>
            <w:shd w:val="clear" w:color="auto" w:fill="D3D3D3"/>
          </w:tcPr>
          <w:p>
            <w:pPr/>
          </w:p>
        </w:tc>
        <w:tc>
          <w:tcPr>
            <w:tcW w:w="970" w:type="dxa"/>
            <w:vMerge w:val="restart"/>
            <w:tcBorders>
              <w:top w:val="nil" w:sz="6" w:space="0" w:color="auto"/>
              <w:left w:val="single" w:sz="4" w:space="0" w:color="000000"/>
              <w:right w:val="single" w:sz="4" w:space="0" w:color="000000"/>
            </w:tcBorders>
            <w:shd w:val="clear" w:color="auto" w:fill="D3D3D3"/>
          </w:tcPr>
          <w:p>
            <w:pPr/>
          </w:p>
        </w:tc>
        <w:tc>
          <w:tcPr>
            <w:tcW w:w="945" w:type="dxa"/>
            <w:vMerge w:val="restart"/>
            <w:tcBorders>
              <w:top w:val="nil" w:sz="6" w:space="0" w:color="auto"/>
              <w:left w:val="single" w:sz="4" w:space="0" w:color="000000"/>
              <w:right w:val="single" w:sz="4" w:space="0" w:color="000000"/>
            </w:tcBorders>
            <w:shd w:val="clear" w:color="auto" w:fill="D3D3D3"/>
          </w:tcPr>
          <w:p>
            <w:pPr/>
          </w:p>
        </w:tc>
        <w:tc>
          <w:tcPr>
            <w:tcW w:w="970" w:type="dxa"/>
            <w:vMerge/>
            <w:tcBorders>
              <w:left w:val="single" w:sz="4" w:space="0" w:color="000000"/>
              <w:bottom w:val="nil" w:sz="6" w:space="0" w:color="auto"/>
              <w:right w:val="single" w:sz="4" w:space="0" w:color="000000"/>
            </w:tcBorders>
            <w:shd w:val="clear" w:color="auto" w:fill="D3D3D3"/>
          </w:tcPr>
          <w:p>
            <w:pPr/>
          </w:p>
        </w:tc>
        <w:tc>
          <w:tcPr>
            <w:tcW w:w="957" w:type="dxa"/>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957" w:type="dxa"/>
            <w:vMerge/>
            <w:tcBorders>
              <w:left w:val="single" w:sz="4" w:space="0" w:color="000000"/>
              <w:bottom w:val="nil" w:sz="6" w:space="0" w:color="auto"/>
              <w:right w:val="single" w:sz="4" w:space="0" w:color="000000"/>
            </w:tcBorders>
            <w:shd w:val="clear" w:color="auto" w:fill="D3D3D3"/>
          </w:tcPr>
          <w:p>
            <w:pPr/>
          </w:p>
        </w:tc>
        <w:tc>
          <w:tcPr>
            <w:tcW w:w="944" w:type="dxa"/>
            <w:vMerge/>
            <w:tcBorders>
              <w:left w:val="single" w:sz="4" w:space="0" w:color="000000"/>
              <w:bottom w:val="nil" w:sz="6" w:space="0" w:color="auto"/>
              <w:right w:val="single" w:sz="4" w:space="0" w:color="000000"/>
            </w:tcBorders>
            <w:shd w:val="clear" w:color="auto" w:fill="D3D3D3"/>
          </w:tcPr>
          <w:p>
            <w:pPr/>
          </w:p>
        </w:tc>
        <w:tc>
          <w:tcPr>
            <w:tcW w:w="968" w:type="dxa"/>
            <w:vMerge/>
            <w:tcBorders>
              <w:left w:val="single" w:sz="4" w:space="0" w:color="000000"/>
              <w:bottom w:val="nil" w:sz="6" w:space="0" w:color="auto"/>
              <w:right w:val="single" w:sz="4" w:space="0" w:color="000000"/>
            </w:tcBorders>
            <w:shd w:val="clear" w:color="auto" w:fill="D3D3D3"/>
          </w:tcPr>
          <w:p>
            <w:pPr/>
          </w:p>
        </w:tc>
        <w:tc>
          <w:tcPr>
            <w:tcW w:w="957"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934" w:type="dxa"/>
            <w:tcBorders>
              <w:top w:val="nil" w:sz="6" w:space="0" w:color="auto"/>
              <w:left w:val="single" w:sz="4" w:space="0" w:color="000000"/>
              <w:bottom w:val="single" w:sz="4" w:space="0" w:color="000000"/>
              <w:right w:val="single" w:sz="4" w:space="0" w:color="000000"/>
            </w:tcBorders>
            <w:shd w:val="clear" w:color="auto" w:fill="D3D3D3"/>
          </w:tcPr>
          <w:p>
            <w:pPr/>
          </w:p>
        </w:tc>
        <w:tc>
          <w:tcPr>
            <w:tcW w:w="970" w:type="dxa"/>
            <w:vMerge/>
            <w:tcBorders>
              <w:left w:val="single" w:sz="4" w:space="0" w:color="000000"/>
              <w:bottom w:val="single" w:sz="4" w:space="0" w:color="000000"/>
              <w:right w:val="single" w:sz="4" w:space="0" w:color="000000"/>
            </w:tcBorders>
            <w:shd w:val="clear" w:color="auto" w:fill="D3D3D3"/>
          </w:tcPr>
          <w:p>
            <w:pPr/>
          </w:p>
        </w:tc>
        <w:tc>
          <w:tcPr>
            <w:tcW w:w="945" w:type="dxa"/>
            <w:vMerge/>
            <w:tcBorders>
              <w:left w:val="single" w:sz="4" w:space="0" w:color="000000"/>
              <w:bottom w:val="single" w:sz="4" w:space="0" w:color="000000"/>
              <w:right w:val="single" w:sz="4" w:space="0" w:color="000000"/>
            </w:tcBorders>
            <w:shd w:val="clear" w:color="auto" w:fill="D3D3D3"/>
          </w:tcPr>
          <w:p>
            <w:pPr/>
          </w:p>
        </w:tc>
        <w:tc>
          <w:tcPr>
            <w:tcW w:w="970" w:type="dxa"/>
            <w:tcBorders>
              <w:top w:val="nil" w:sz="6" w:space="0" w:color="auto"/>
              <w:left w:val="single" w:sz="4" w:space="0" w:color="000000"/>
              <w:bottom w:val="single" w:sz="4" w:space="0" w:color="000000"/>
              <w:right w:val="single" w:sz="4" w:space="0" w:color="000000"/>
            </w:tcBorders>
            <w:shd w:val="clear" w:color="auto" w:fill="D3D3D3"/>
          </w:tcPr>
          <w:p>
            <w:pPr/>
          </w:p>
        </w:tc>
        <w:tc>
          <w:tcPr>
            <w:tcW w:w="957" w:type="dxa"/>
            <w:vMerge/>
            <w:tcBorders>
              <w:left w:val="single" w:sz="4" w:space="0" w:color="000000"/>
              <w:bottom w:val="single" w:sz="4" w:space="0" w:color="000000"/>
              <w:right w:val="single" w:sz="4" w:space="0" w:color="000000"/>
            </w:tcBorders>
            <w:shd w:val="clear" w:color="auto" w:fill="D3D3D3"/>
          </w:tcPr>
          <w:p>
            <w:pPr/>
          </w:p>
        </w:tc>
        <w:tc>
          <w:tcPr>
            <w:tcW w:w="956" w:type="dxa"/>
            <w:vMerge/>
            <w:tcBorders>
              <w:left w:val="single" w:sz="4" w:space="0" w:color="000000"/>
              <w:bottom w:val="single" w:sz="4" w:space="0" w:color="000000"/>
              <w:right w:val="single" w:sz="4" w:space="0" w:color="000000"/>
            </w:tcBorders>
            <w:shd w:val="clear" w:color="auto" w:fill="D3D3D3"/>
          </w:tcPr>
          <w:p>
            <w:pPr/>
          </w:p>
        </w:tc>
        <w:tc>
          <w:tcPr>
            <w:tcW w:w="957" w:type="dxa"/>
            <w:tcBorders>
              <w:top w:val="nil" w:sz="6" w:space="0" w:color="auto"/>
              <w:left w:val="single" w:sz="4" w:space="0" w:color="000000"/>
              <w:bottom w:val="single" w:sz="4" w:space="0" w:color="000000"/>
              <w:right w:val="single" w:sz="4" w:space="0" w:color="000000"/>
            </w:tcBorders>
            <w:shd w:val="clear" w:color="auto" w:fill="D3D3D3"/>
          </w:tcPr>
          <w:p>
            <w:pPr/>
          </w:p>
        </w:tc>
        <w:tc>
          <w:tcPr>
            <w:tcW w:w="944" w:type="dxa"/>
            <w:tcBorders>
              <w:top w:val="nil" w:sz="6" w:space="0" w:color="auto"/>
              <w:left w:val="single" w:sz="4" w:space="0" w:color="000000"/>
              <w:bottom w:val="single" w:sz="4" w:space="0" w:color="000000"/>
              <w:right w:val="single" w:sz="4" w:space="0" w:color="000000"/>
            </w:tcBorders>
            <w:shd w:val="clear" w:color="auto" w:fill="D3D3D3"/>
          </w:tcPr>
          <w:p>
            <w:pPr/>
          </w:p>
        </w:tc>
        <w:tc>
          <w:tcPr>
            <w:tcW w:w="96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968"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期末合计值占期末净资产的比例</w:t>
            </w:r>
            <w:r>
              <w:rPr>
                <w:rFonts w:ascii="Times New Roman" w:hAnsi="Times New Roman" w:cs="Times New Roman" w:eastAsia="Times New Roman" w:hint="default"/>
                <w:sz w:val="18"/>
                <w:szCs w:val="18"/>
              </w:rPr>
              <w:t>(%)</w:t>
            </w:r>
          </w:p>
        </w:tc>
        <w:tc>
          <w:tcPr>
            <w:tcW w:w="6710" w:type="dxa"/>
            <w:gridSpan w:val="7"/>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相关决策程序</w:t>
            </w:r>
          </w:p>
        </w:tc>
        <w:tc>
          <w:tcPr>
            <w:tcW w:w="6710" w:type="dxa"/>
            <w:gridSpan w:val="7"/>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8"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当期新增大股东及其附属企业非经 </w:t>
            </w:r>
            <w:r>
              <w:rPr>
                <w:rFonts w:ascii="宋体" w:hAnsi="宋体" w:cs="宋体" w:eastAsia="宋体" w:hint="default"/>
                <w:spacing w:val="-4"/>
                <w:sz w:val="18"/>
                <w:szCs w:val="18"/>
              </w:rPr>
              <w:t>营性资金占用情况的原因、责任人追</w:t>
            </w:r>
            <w:r>
              <w:rPr>
                <w:rFonts w:ascii="宋体" w:hAnsi="宋体" w:cs="宋体" w:eastAsia="宋体" w:hint="default"/>
                <w:sz w:val="18"/>
                <w:szCs w:val="18"/>
              </w:rPr>
              <w:t> 究及董事会拟定采取措施的情况说 明</w:t>
            </w:r>
          </w:p>
        </w:tc>
        <w:tc>
          <w:tcPr>
            <w:tcW w:w="6710" w:type="dxa"/>
            <w:gridSpan w:val="7"/>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未能按计划清偿非经营性资金占用 </w:t>
            </w:r>
            <w:r>
              <w:rPr>
                <w:rFonts w:ascii="宋体" w:hAnsi="宋体" w:cs="宋体" w:eastAsia="宋体" w:hint="default"/>
                <w:spacing w:val="-4"/>
                <w:sz w:val="18"/>
                <w:szCs w:val="18"/>
              </w:rPr>
              <w:t>的原因、责任追究情况及董事会拟定</w:t>
            </w:r>
            <w:r>
              <w:rPr>
                <w:rFonts w:ascii="宋体" w:hAnsi="宋体" w:cs="宋体" w:eastAsia="宋体" w:hint="default"/>
                <w:sz w:val="18"/>
                <w:szCs w:val="18"/>
              </w:rPr>
              <w:t> 采取的措施说明</w:t>
            </w:r>
          </w:p>
        </w:tc>
        <w:tc>
          <w:tcPr>
            <w:tcW w:w="6710" w:type="dxa"/>
            <w:gridSpan w:val="7"/>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25"/>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710" w:type="dxa"/>
            <w:gridSpan w:val="7"/>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25"/>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710" w:type="dxa"/>
            <w:gridSpan w:val="7"/>
            <w:tcBorders>
              <w:top w:val="single" w:sz="4" w:space="0" w:color="000000"/>
              <w:left w:val="single" w:sz="9" w:space="0" w:color="D3D3D3"/>
              <w:bottom w:val="single" w:sz="4" w:space="0" w:color="000000"/>
              <w:right w:val="single" w:sz="4" w:space="0" w:color="000000"/>
            </w:tcBorders>
          </w:tcPr>
          <w:p>
            <w:pPr>
              <w:pStyle w:val="TableParagraph"/>
              <w:spacing w:line="300" w:lineRule="auto" w:before="51"/>
              <w:ind w:left="28" w:right="71"/>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t>
            </w:r>
            <w:r>
              <w:rPr>
                <w:rFonts w:ascii="Times New Roman" w:hAnsi="Times New Roman" w:cs="Times New Roman" w:eastAsia="Times New Roman" w:hint="default"/>
                <w:spacing w:val="-13"/>
                <w:sz w:val="18"/>
                <w:szCs w:val="18"/>
              </w:rPr>
              <w:t>w</w:t>
            </w:r>
            <w:r>
              <w:rPr>
                <w:rFonts w:ascii="Times New Roman" w:hAnsi="Times New Roman" w:cs="Times New Roman" w:eastAsia="Times New Roman" w:hint="default"/>
                <w:sz w:val="18"/>
                <w:szCs w:val="18"/>
              </w:rPr>
              <w:t>.cninf</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com.cn)</w:t>
            </w:r>
            <w:r>
              <w:rPr>
                <w:rFonts w:ascii="宋体" w:hAnsi="宋体" w:cs="宋体" w:eastAsia="宋体" w:hint="default"/>
                <w:spacing w:val="-90"/>
                <w:sz w:val="18"/>
                <w:szCs w:val="18"/>
              </w:rPr>
              <w:t>、</w:t>
            </w:r>
            <w:r>
              <w:rPr>
                <w:rFonts w:ascii="宋体" w:hAnsi="宋体" w:cs="宋体" w:eastAsia="宋体" w:hint="default"/>
                <w:sz w:val="18"/>
                <w:szCs w:val="18"/>
              </w:rPr>
              <w:t>《深</w:t>
            </w:r>
            <w:r>
              <w:rPr>
                <w:rFonts w:ascii="宋体" w:hAnsi="宋体" w:cs="宋体" w:eastAsia="宋体" w:hint="default"/>
                <w:spacing w:val="-2"/>
                <w:sz w:val="18"/>
                <w:szCs w:val="18"/>
              </w:rPr>
              <w:t>圳</w:t>
            </w:r>
            <w:r>
              <w:rPr>
                <w:rFonts w:ascii="宋体" w:hAnsi="宋体" w:cs="宋体" w:eastAsia="宋体" w:hint="default"/>
                <w:sz w:val="18"/>
                <w:szCs w:val="18"/>
              </w:rPr>
              <w:t>市证通电子股份有限公司控股股东及其</w:t>
            </w:r>
            <w:r>
              <w:rPr>
                <w:rFonts w:ascii="宋体" w:hAnsi="宋体" w:cs="宋体" w:eastAsia="宋体" w:hint="default"/>
                <w:sz w:val="18"/>
                <w:szCs w:val="18"/>
              </w:rPr>
              <w:t> 他关联方占用资金情况的专项审计说明</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8"/>
          <w:szCs w:val="18"/>
        </w:rPr>
      </w:pPr>
    </w:p>
    <w:p>
      <w:pPr>
        <w:pStyle w:val="Heading2"/>
        <w:spacing w:line="240" w:lineRule="auto" w:before="26"/>
        <w:ind w:right="149"/>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9"/>
        <w:jc w:val="left"/>
      </w:pPr>
      <w:r>
        <w:rPr/>
        <w:t>报告期内，公司未发生破产重整相关事项。</w:t>
      </w:r>
    </w:p>
    <w:p>
      <w:pPr>
        <w:spacing w:line="240" w:lineRule="auto" w:before="2"/>
        <w:rPr>
          <w:rFonts w:ascii="宋体" w:hAnsi="宋体" w:cs="宋体" w:eastAsia="宋体" w:hint="default"/>
          <w:sz w:val="25"/>
          <w:szCs w:val="25"/>
        </w:rPr>
      </w:pPr>
    </w:p>
    <w:p>
      <w:pPr>
        <w:pStyle w:val="Heading2"/>
        <w:spacing w:line="240" w:lineRule="auto"/>
        <w:ind w:right="149"/>
        <w:jc w:val="left"/>
        <w:rPr>
          <w:b w:val="0"/>
          <w:bCs w:val="0"/>
        </w:rPr>
      </w:pPr>
      <w:r>
        <w:rPr/>
        <w:t>四、资产交易事项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9"/>
        <w:jc w:val="left"/>
      </w:pPr>
      <w:r>
        <w:rPr/>
        <w:t>无</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49"/>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9"/>
        <w:jc w:val="left"/>
      </w:pPr>
      <w:r>
        <w:rPr/>
        <w:t>无</w:t>
      </w:r>
    </w:p>
    <w:p>
      <w:pPr>
        <w:spacing w:line="240" w:lineRule="auto" w:before="12"/>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9"/>
        <w:jc w:val="left"/>
      </w:pPr>
      <w:r>
        <w:rPr/>
        <w:t>无</w:t>
      </w:r>
    </w:p>
    <w:p>
      <w:pPr>
        <w:spacing w:line="240" w:lineRule="auto" w:before="2"/>
        <w:rPr>
          <w:rFonts w:ascii="宋体" w:hAnsi="宋体" w:cs="宋体" w:eastAsia="宋体" w:hint="default"/>
          <w:sz w:val="25"/>
          <w:szCs w:val="25"/>
        </w:rPr>
      </w:pPr>
    </w:p>
    <w:p>
      <w:pPr>
        <w:pStyle w:val="Heading2"/>
        <w:spacing w:line="240" w:lineRule="auto"/>
        <w:ind w:right="149"/>
        <w:jc w:val="left"/>
        <w:rPr>
          <w:b w:val="0"/>
          <w:bCs w:val="0"/>
        </w:rPr>
      </w:pPr>
      <w:r>
        <w:rPr/>
        <w:t>五、公司股权激励的实施情况及其影响</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9"/>
        <w:jc w:val="left"/>
      </w:pPr>
      <w:r>
        <w:rPr/>
        <w:t>公司目前未实施股权激励。</w:t>
      </w:r>
    </w:p>
    <w:p>
      <w:pPr>
        <w:spacing w:line="240" w:lineRule="auto" w:before="2"/>
        <w:rPr>
          <w:rFonts w:ascii="宋体" w:hAnsi="宋体" w:cs="宋体" w:eastAsia="宋体" w:hint="default"/>
          <w:sz w:val="25"/>
          <w:szCs w:val="25"/>
        </w:rPr>
      </w:pPr>
    </w:p>
    <w:p>
      <w:pPr>
        <w:spacing w:line="506" w:lineRule="auto" w:before="0"/>
        <w:ind w:left="154" w:right="6924" w:firstLine="0"/>
        <w:jc w:val="left"/>
        <w:rPr>
          <w:rFonts w:ascii="宋体" w:hAnsi="宋体" w:cs="宋体" w:eastAsia="宋体" w:hint="default"/>
          <w:sz w:val="18"/>
          <w:szCs w:val="18"/>
        </w:rPr>
      </w:pPr>
      <w:r>
        <w:rPr>
          <w:rFonts w:ascii="宋体" w:hAnsi="宋体" w:cs="宋体" w:eastAsia="宋体" w:hint="default"/>
          <w:b/>
          <w:bCs/>
          <w:sz w:val="24"/>
          <w:szCs w:val="24"/>
        </w:rPr>
        <w:t>六、重大关联交易</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b/>
          <w:bCs/>
          <w:spacing w:val="1"/>
          <w:w w:val="99"/>
          <w:sz w:val="21"/>
          <w:szCs w:val="21"/>
        </w:rPr>
        <w:t> </w:t>
      </w:r>
      <w:r>
        <w:rPr>
          <w:rFonts w:ascii="宋体" w:hAnsi="宋体" w:cs="宋体" w:eastAsia="宋体" w:hint="default"/>
          <w:sz w:val="18"/>
          <w:szCs w:val="18"/>
        </w:rPr>
        <w:t>无</w:t>
      </w:r>
    </w:p>
    <w:p>
      <w:pPr>
        <w:pStyle w:val="Heading3"/>
        <w:spacing w:line="240" w:lineRule="auto" w:before="151"/>
        <w:ind w:right="149"/>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9"/>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9"/>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9"/>
        <w:jc w:val="left"/>
      </w:pPr>
      <w:r>
        <w:rPr/>
        <w:t>是否存在非经营性关联债权债务往来</w:t>
      </w:r>
    </w:p>
    <w:p>
      <w:pPr>
        <w:pStyle w:val="BodyText"/>
        <w:spacing w:line="240" w:lineRule="auto" w:before="116"/>
        <w:ind w:left="153" w:right="1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9"/>
        <w:rPr>
          <w:rFonts w:ascii="宋体" w:hAnsi="宋体" w:cs="宋体" w:eastAsia="宋体" w:hint="default"/>
          <w:sz w:val="25"/>
          <w:szCs w:val="25"/>
        </w:rPr>
      </w:pPr>
    </w:p>
    <w:p>
      <w:pPr>
        <w:pStyle w:val="Heading3"/>
        <w:spacing w:line="240" w:lineRule="auto"/>
        <w:ind w:right="149"/>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left="153" w:right="149" w:firstLine="360"/>
        <w:jc w:val="both"/>
      </w:pPr>
      <w:r>
        <w:rPr>
          <w:rFonts w:ascii="Times New Roman" w:hAnsi="Times New Roman" w:cs="Times New Roman" w:eastAsia="Times New Roman" w:hint="default"/>
          <w:spacing w:val="-2"/>
        </w:rPr>
        <w:t>1</w:t>
      </w:r>
      <w:r>
        <w:rPr>
          <w:spacing w:val="-2"/>
        </w:rPr>
        <w:t>、公司原独立董事蔡友良（</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15</w:t>
      </w:r>
      <w:r>
        <w:rPr>
          <w:spacing w:val="-2"/>
        </w:rPr>
        <w:t>日至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9</w:t>
      </w:r>
      <w:r>
        <w:rPr>
          <w:spacing w:val="-2"/>
        </w:rPr>
        <w:t>日期间任公司独立董事）系深圳市凯立德欣软件技术有限公司</w:t>
      </w:r>
      <w:r>
        <w:rPr/>
        <w:t> </w:t>
      </w:r>
      <w:r>
        <w:rPr>
          <w:spacing w:val="-2"/>
        </w:rPr>
        <w:t>实际控制人；深圳市依格欣计算机技术有限公司控股股东、董事；深圳市依格欣塑胶有限公司控股股东、总经理蔡友孝的亲</w:t>
      </w:r>
      <w:r>
        <w:rPr>
          <w:spacing w:val="-66"/>
        </w:rPr>
        <w:t> </w:t>
      </w:r>
      <w:r>
        <w:rPr>
          <w:spacing w:val="-66"/>
        </w:rPr>
      </w:r>
      <w:r>
        <w:rPr/>
        <w:t>属，因此上述公司在</w:t>
      </w:r>
      <w:r>
        <w:rPr>
          <w:rFonts w:ascii="Times New Roman" w:hAnsi="Times New Roman" w:cs="Times New Roman" w:eastAsia="Times New Roman" w:hint="default"/>
        </w:rPr>
        <w:t>2012</w:t>
      </w:r>
      <w:r>
        <w:rPr/>
        <w:t>年为公司关联方。</w:t>
      </w:r>
    </w:p>
    <w:p>
      <w:pPr>
        <w:pStyle w:val="BodyText"/>
        <w:spacing w:line="300" w:lineRule="auto" w:before="5"/>
        <w:ind w:left="153" w:right="150" w:firstLine="360"/>
        <w:jc w:val="both"/>
      </w:pPr>
      <w:r>
        <w:rPr>
          <w:spacing w:val="-2"/>
        </w:rPr>
        <w:t>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9</w:t>
      </w:r>
      <w:r>
        <w:rPr>
          <w:spacing w:val="-2"/>
        </w:rPr>
        <w:t>日召开的第二届董事会第十九次会议审议通过了《关于同意公司</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2011</w:t>
      </w:r>
      <w:r>
        <w:rPr>
          <w:spacing w:val="-2"/>
        </w:rPr>
        <w:t>年关联交易及</w:t>
      </w:r>
      <w:r>
        <w:rPr>
          <w:rFonts w:ascii="Times New Roman" w:hAnsi="Times New Roman" w:cs="Times New Roman" w:eastAsia="Times New Roman" w:hint="default"/>
          <w:spacing w:val="-2"/>
        </w:rPr>
        <w:t>2012</w:t>
      </w:r>
      <w:r>
        <w:rPr>
          <w:spacing w:val="-2"/>
        </w:rPr>
        <w:t>年关</w:t>
      </w:r>
      <w:r>
        <w:rPr/>
        <w:t> </w:t>
      </w:r>
      <w:r>
        <w:rPr>
          <w:spacing w:val="-2"/>
        </w:rPr>
        <w:t>联交易预计金额的议案》，预计</w:t>
      </w:r>
      <w:r>
        <w:rPr>
          <w:rFonts w:ascii="Times New Roman" w:hAnsi="Times New Roman" w:cs="Times New Roman" w:eastAsia="Times New Roman" w:hint="default"/>
          <w:spacing w:val="-2"/>
        </w:rPr>
        <w:t>2012</w:t>
      </w:r>
      <w:r>
        <w:rPr>
          <w:spacing w:val="-2"/>
        </w:rPr>
        <w:t>年公司与深圳市依格欣计算机技术有限公司发生关联交易的金额不超过</w:t>
      </w:r>
      <w:r>
        <w:rPr>
          <w:rFonts w:ascii="Times New Roman" w:hAnsi="Times New Roman" w:cs="Times New Roman" w:eastAsia="Times New Roman" w:hint="default"/>
          <w:spacing w:val="-2"/>
        </w:rPr>
        <w:t>20</w:t>
      </w:r>
      <w:r>
        <w:rPr>
          <w:spacing w:val="-2"/>
        </w:rPr>
        <w:t>万元；子公司</w:t>
      </w:r>
      <w:r>
        <w:rPr>
          <w:spacing w:val="-61"/>
        </w:rPr>
        <w:t> </w:t>
      </w:r>
      <w:r>
        <w:rPr>
          <w:spacing w:val="-61"/>
        </w:rPr>
      </w:r>
      <w:r>
        <w:rPr/>
        <w:t>证通金信与深圳市依格欣塑胶有限公司发生关联交易的金额不超过</w:t>
      </w:r>
      <w:r>
        <w:rPr>
          <w:rFonts w:ascii="Times New Roman" w:hAnsi="Times New Roman" w:cs="Times New Roman" w:eastAsia="Times New Roman" w:hint="default"/>
        </w:rPr>
        <w:t>500</w:t>
      </w:r>
      <w:r>
        <w:rPr/>
        <w:t>万元。</w:t>
      </w:r>
    </w:p>
    <w:p>
      <w:pPr>
        <w:pStyle w:val="BodyText"/>
        <w:spacing w:line="300" w:lineRule="auto" w:before="13"/>
        <w:ind w:left="153" w:right="158" w:firstLine="360"/>
        <w:jc w:val="both"/>
      </w:pPr>
      <w:r>
        <w:rPr/>
        <w:t>该日常关联交易事项详见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日公司刊登于证券时报与巨潮资讯网上的《关于公司</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2011</w:t>
      </w:r>
      <w:r>
        <w:rPr/>
        <w:t>年关联交易及</w:t>
      </w:r>
      <w:r>
        <w:rPr>
          <w:rFonts w:ascii="Times New Roman" w:hAnsi="Times New Roman" w:cs="Times New Roman" w:eastAsia="Times New Roman" w:hint="default"/>
        </w:rPr>
        <w:t>2012</w:t>
      </w:r>
      <w:r>
        <w:rPr/>
        <w:t>年 预计关联交易预计金额的公告》（公告编号：</w:t>
      </w:r>
      <w:r>
        <w:rPr>
          <w:rFonts w:ascii="Times New Roman" w:hAnsi="Times New Roman" w:cs="Times New Roman" w:eastAsia="Times New Roman" w:hint="default"/>
        </w:rPr>
        <w:t>2012-011</w:t>
      </w:r>
      <w:r>
        <w:rPr/>
        <w:t>号）。</w:t>
      </w:r>
    </w:p>
    <w:p>
      <w:pPr>
        <w:pStyle w:val="BodyText"/>
        <w:spacing w:line="300" w:lineRule="auto" w:before="13"/>
        <w:ind w:left="153" w:right="158" w:firstLine="360"/>
        <w:jc w:val="both"/>
      </w:pPr>
      <w:r>
        <w:rPr>
          <w:rFonts w:ascii="Times New Roman" w:hAnsi="Times New Roman" w:cs="Times New Roman" w:eastAsia="Times New Roman" w:hint="default"/>
        </w:rPr>
        <w:t>2</w:t>
      </w:r>
      <w:r>
        <w:rPr/>
        <w:t>、公司原董事段永宽先生（</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日）系平安银行股份有限公司独立董事，因此平安银行股份 有限公司成为公司关联方。</w:t>
      </w:r>
    </w:p>
    <w:p>
      <w:pPr>
        <w:pStyle w:val="BodyText"/>
        <w:spacing w:line="300" w:lineRule="auto" w:before="31"/>
        <w:ind w:left="153" w:right="158" w:firstLine="360"/>
        <w:jc w:val="both"/>
      </w:pPr>
      <w:r>
        <w:rPr/>
        <w:t>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日召开的第二届董事会第二十五次会议审议通过了《关于公司与平安银行股份有限公司的日常关联 交易的议案》</w:t>
      </w:r>
      <w:r>
        <w:rPr>
          <w:rFonts w:ascii="Times New Roman" w:hAnsi="Times New Roman" w:cs="Times New Roman" w:eastAsia="Times New Roman" w:hint="default"/>
        </w:rPr>
        <w:t>,</w:t>
      </w:r>
      <w:r>
        <w:rPr/>
        <w:t>预计</w:t>
      </w:r>
      <w:r>
        <w:rPr>
          <w:rFonts w:ascii="Times New Roman" w:hAnsi="Times New Roman" w:cs="Times New Roman" w:eastAsia="Times New Roman" w:hint="default"/>
        </w:rPr>
        <w:t>2013</w:t>
      </w:r>
      <w:r>
        <w:rPr/>
        <w:t>年公司与平安银行产生的交易总金额不超过</w:t>
      </w:r>
      <w:r>
        <w:rPr>
          <w:rFonts w:ascii="Times New Roman" w:hAnsi="Times New Roman" w:cs="Times New Roman" w:eastAsia="Times New Roman" w:hint="default"/>
        </w:rPr>
        <w:t>1000</w:t>
      </w:r>
      <w:r>
        <w:rPr/>
        <w:t>万元。</w:t>
      </w:r>
    </w:p>
    <w:p>
      <w:pPr>
        <w:spacing w:after="0" w:line="300" w:lineRule="auto"/>
        <w:jc w:val="both"/>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00" w:lineRule="auto" w:before="44"/>
        <w:ind w:left="153" w:right="158" w:firstLine="360"/>
        <w:jc w:val="left"/>
      </w:pPr>
      <w:r>
        <w:rPr/>
        <w:t>该日常关联交易事项详见</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日公司刊登于证券时报与巨潮资讯网上的《公司关于与平安银行股份有限公司的 日常关联交易公告》（公告编号：</w:t>
      </w:r>
      <w:r>
        <w:rPr>
          <w:rFonts w:ascii="Times New Roman" w:hAnsi="Times New Roman" w:cs="Times New Roman" w:eastAsia="Times New Roman" w:hint="default"/>
        </w:rPr>
        <w:t>2013-003</w:t>
      </w:r>
      <w:r>
        <w:rPr/>
        <w:t>号）。</w:t>
      </w:r>
    </w:p>
    <w:p>
      <w:pPr>
        <w:pStyle w:val="BodyText"/>
        <w:spacing w:line="240" w:lineRule="auto" w:before="53"/>
        <w:ind w:left="153" w:right="149"/>
        <w:jc w:val="left"/>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6065"/>
        <w:gridCol w:w="1646"/>
        <w:gridCol w:w="1982"/>
      </w:tblGrid>
      <w:tr>
        <w:trPr>
          <w:trHeight w:val="402" w:hRule="exact"/>
        </w:trPr>
        <w:tc>
          <w:tcPr>
            <w:tcW w:w="6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7"/>
              <w:jc w:val="righ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6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年关联交易及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年关联交易预计金额的公告</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6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公司关于与平安银行股份有限公司的日常关联交易公告</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18"/>
          <w:szCs w:val="18"/>
        </w:rPr>
      </w:pPr>
    </w:p>
    <w:p>
      <w:pPr>
        <w:pStyle w:val="Heading2"/>
        <w:spacing w:line="240" w:lineRule="auto" w:before="26"/>
        <w:ind w:right="149"/>
        <w:jc w:val="left"/>
        <w:rPr>
          <w:b w:val="0"/>
          <w:bCs w:val="0"/>
        </w:rPr>
      </w:pPr>
      <w:r>
        <w:rPr/>
        <w:t>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5077"/>
        <w:jc w:val="left"/>
      </w:pPr>
      <w:r>
        <w:rPr/>
        <w:t>本年度公司无托管、承包、租赁事项情况。 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4"/>
        <w:ind w:right="149"/>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5077"/>
        <w:jc w:val="left"/>
      </w:pPr>
      <w:r>
        <w:rPr/>
        <w:t>本年度公司无托管、承包、租赁事项情况。 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4"/>
        <w:ind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49"/>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5077"/>
        <w:jc w:val="left"/>
      </w:pPr>
      <w:r>
        <w:rPr/>
        <w:t>本年度公司无托管、承包、租赁事项情况。 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2"/>
        <w:ind w:right="149"/>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6"/>
        <w:gridCol w:w="940"/>
        <w:gridCol w:w="936"/>
        <w:gridCol w:w="1212"/>
        <w:gridCol w:w="1178"/>
        <w:gridCol w:w="1094"/>
        <w:gridCol w:w="1015"/>
        <w:gridCol w:w="803"/>
        <w:gridCol w:w="788"/>
      </w:tblGrid>
      <w:tr>
        <w:trPr>
          <w:trHeight w:val="401"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9" w:hRule="exact"/>
        </w:trPr>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6"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20" w:right="150"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8" w:right="3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 w:right="29"/>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9" w:lineRule="auto" w:before="19"/>
              <w:ind w:left="118" w:right="119"/>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2"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4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5" w:space="0" w:color="000000"/>
              <w:left w:val="single" w:sz="4" w:space="0" w:color="000000"/>
              <w:bottom w:val="single" w:sz="4" w:space="0" w:color="000000"/>
              <w:right w:val="single" w:sz="4" w:space="0" w:color="000000"/>
            </w:tcBorders>
          </w:tcPr>
          <w:p>
            <w:pPr/>
          </w:p>
        </w:tc>
      </w:tr>
      <w:tr>
        <w:trPr>
          <w:trHeight w:val="401"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2"/>
              <w:ind w:left="103" w:right="104"/>
              <w:jc w:val="left"/>
              <w:rPr>
                <w:rFonts w:ascii="宋体" w:hAnsi="宋体" w:cs="宋体" w:eastAsia="宋体" w:hint="default"/>
                <w:sz w:val="18"/>
                <w:szCs w:val="18"/>
              </w:rPr>
            </w:pPr>
            <w:r>
              <w:rPr>
                <w:rFonts w:ascii="宋体" w:hAnsi="宋体" w:cs="宋体" w:eastAsia="宋体" w:hint="default"/>
                <w:sz w:val="18"/>
                <w:szCs w:val="18"/>
              </w:rPr>
              <w:t>担保额度 相关公告</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2"/>
              <w:ind w:left="6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5"/>
              <w:ind w:left="150" w:right="0"/>
              <w:jc w:val="left"/>
              <w:rPr>
                <w:rFonts w:ascii="宋体" w:hAnsi="宋体" w:cs="宋体" w:eastAsia="宋体" w:hint="default"/>
                <w:sz w:val="18"/>
                <w:szCs w:val="18"/>
              </w:rPr>
            </w:pPr>
            <w:r>
              <w:rPr>
                <w:rFonts w:ascii="宋体" w:hAnsi="宋体" w:cs="宋体" w:eastAsia="宋体" w:hint="default"/>
                <w:sz w:val="18"/>
                <w:szCs w:val="18"/>
              </w:rPr>
              <w:t>（协议签署</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15"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2"/>
              <w:ind w:left="28"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94"/>
        <w:gridCol w:w="930"/>
        <w:gridCol w:w="945"/>
        <w:gridCol w:w="1212"/>
        <w:gridCol w:w="1179"/>
        <w:gridCol w:w="1089"/>
        <w:gridCol w:w="1017"/>
        <w:gridCol w:w="806"/>
        <w:gridCol w:w="788"/>
      </w:tblGrid>
      <w:tr>
        <w:trPr>
          <w:trHeight w:val="67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4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8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08" w:right="119" w:hanging="90"/>
              <w:jc w:val="left"/>
              <w:rPr>
                <w:rFonts w:ascii="宋体" w:hAnsi="宋体" w:cs="宋体" w:eastAsia="宋体" w:hint="default"/>
                <w:sz w:val="18"/>
                <w:szCs w:val="18"/>
              </w:rPr>
            </w:pPr>
            <w:r>
              <w:rPr>
                <w:rFonts w:ascii="宋体" w:hAnsi="宋体" w:cs="宋体" w:eastAsia="宋体" w:hint="default"/>
                <w:sz w:val="18"/>
                <w:szCs w:val="18"/>
              </w:rPr>
              <w:t>（是或 否）</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 w:right="131"/>
              <w:jc w:val="left"/>
              <w:rPr>
                <w:rFonts w:ascii="宋体" w:hAnsi="宋体" w:cs="宋体" w:eastAsia="宋体" w:hint="default"/>
                <w:sz w:val="18"/>
                <w:szCs w:val="18"/>
              </w:rPr>
            </w:pPr>
            <w:r>
              <w:rPr>
                <w:rFonts w:ascii="宋体" w:hAnsi="宋体" w:cs="宋体" w:eastAsia="宋体" w:hint="default"/>
                <w:sz w:val="18"/>
                <w:szCs w:val="18"/>
              </w:rPr>
              <w:t>深圳市证通金信科 技有限公司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 w:right="131"/>
              <w:jc w:val="left"/>
              <w:rPr>
                <w:rFonts w:ascii="宋体" w:hAnsi="宋体" w:cs="宋体" w:eastAsia="宋体" w:hint="default"/>
                <w:sz w:val="18"/>
                <w:szCs w:val="18"/>
              </w:rPr>
            </w:pPr>
            <w:r>
              <w:rPr>
                <w:rFonts w:ascii="宋体" w:hAnsi="宋体" w:cs="宋体" w:eastAsia="宋体" w:hint="default"/>
                <w:sz w:val="18"/>
                <w:szCs w:val="18"/>
              </w:rPr>
              <w:t>深圳市证通金信科 技有限公司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 w:right="131"/>
              <w:jc w:val="left"/>
              <w:rPr>
                <w:rFonts w:ascii="宋体" w:hAnsi="宋体" w:cs="宋体" w:eastAsia="宋体" w:hint="default"/>
                <w:sz w:val="18"/>
                <w:szCs w:val="18"/>
              </w:rPr>
            </w:pPr>
            <w:r>
              <w:rPr>
                <w:rFonts w:ascii="宋体" w:hAnsi="宋体" w:cs="宋体" w:eastAsia="宋体" w:hint="default"/>
                <w:sz w:val="18"/>
                <w:szCs w:val="18"/>
              </w:rPr>
              <w:t>深圳市证通佳明光 电有限公司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61"/>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7" w:type="dxa"/>
            <w:gridSpan w:val="2"/>
            <w:tcBorders>
              <w:top w:val="single" w:sz="4" w:space="0" w:color="000000"/>
              <w:left w:val="single" w:sz="9" w:space="0" w:color="D3D3D3"/>
              <w:bottom w:val="single" w:sz="4" w:space="0" w:color="000000"/>
              <w:right w:val="single" w:sz="13"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6,500</w:t>
            </w:r>
          </w:p>
        </w:tc>
        <w:tc>
          <w:tcPr>
            <w:tcW w:w="226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2"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r>
      <w:tr>
        <w:trPr>
          <w:trHeight w:val="714" w:hRule="exact"/>
        </w:trPr>
        <w:tc>
          <w:tcPr>
            <w:tcW w:w="2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61"/>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7" w:type="dxa"/>
            <w:gridSpan w:val="2"/>
            <w:tcBorders>
              <w:top w:val="single" w:sz="4" w:space="0" w:color="000000"/>
              <w:left w:val="single" w:sz="9" w:space="0" w:color="D3D3D3"/>
              <w:bottom w:val="single" w:sz="4" w:space="0" w:color="000000"/>
              <w:right w:val="single" w:sz="13"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2"/>
                <w:sz w:val="18"/>
              </w:rPr>
              <w:t>11,500</w:t>
            </w:r>
          </w:p>
        </w:tc>
        <w:tc>
          <w:tcPr>
            <w:tcW w:w="226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2"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r>
      <w:tr>
        <w:trPr>
          <w:trHeight w:val="401"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5" w:hRule="exact"/>
        </w:trPr>
        <w:tc>
          <w:tcPr>
            <w:tcW w:w="2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7" w:type="dxa"/>
            <w:gridSpan w:val="2"/>
            <w:tcBorders>
              <w:top w:val="single" w:sz="4" w:space="0" w:color="000000"/>
              <w:left w:val="single" w:sz="9" w:space="0" w:color="D3D3D3"/>
              <w:bottom w:val="single" w:sz="4" w:space="0" w:color="000000"/>
              <w:right w:val="single" w:sz="13"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6,500</w:t>
            </w:r>
          </w:p>
        </w:tc>
        <w:tc>
          <w:tcPr>
            <w:tcW w:w="226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 w:right="72"/>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2"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r>
      <w:tr>
        <w:trPr>
          <w:trHeight w:val="714" w:hRule="exact"/>
        </w:trPr>
        <w:tc>
          <w:tcPr>
            <w:tcW w:w="2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61"/>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7" w:type="dxa"/>
            <w:gridSpan w:val="2"/>
            <w:tcBorders>
              <w:top w:val="single" w:sz="4" w:space="0" w:color="000000"/>
              <w:left w:val="single" w:sz="9" w:space="0" w:color="D3D3D3"/>
              <w:bottom w:val="single" w:sz="4" w:space="0" w:color="000000"/>
              <w:right w:val="single" w:sz="13"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2"/>
                <w:sz w:val="18"/>
              </w:rPr>
              <w:t>11,500</w:t>
            </w:r>
          </w:p>
        </w:tc>
        <w:tc>
          <w:tcPr>
            <w:tcW w:w="226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2"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9"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7.37%</w:t>
            </w:r>
          </w:p>
        </w:tc>
      </w:tr>
      <w:tr>
        <w:trPr>
          <w:trHeight w:val="401"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3"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79"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144"/>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79"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79"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79"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879"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4879"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57" w:lineRule="auto" w:before="51"/>
        <w:ind w:left="153" w:right="7071"/>
        <w:jc w:val="left"/>
      </w:pPr>
      <w:r>
        <w:rPr/>
        <w:t>采用复合方式担保的具体情况说明 不适用</w:t>
      </w:r>
    </w:p>
    <w:p>
      <w:pPr>
        <w:spacing w:line="240" w:lineRule="auto" w:before="2"/>
        <w:rPr>
          <w:rFonts w:ascii="宋体" w:hAnsi="宋体" w:cs="宋体" w:eastAsia="宋体" w:hint="default"/>
          <w:sz w:val="20"/>
          <w:szCs w:val="20"/>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9"/>
        <w:jc w:val="left"/>
      </w:pPr>
      <w:r>
        <w:rPr/>
        <w:t>无</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9"/>
        <w:jc w:val="left"/>
      </w:pPr>
      <w:r>
        <w:rPr/>
        <w:t>无</w:t>
      </w:r>
    </w:p>
    <w:p>
      <w:pPr>
        <w:spacing w:after="0" w:line="240"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49"/>
        <w:jc w:val="left"/>
        <w:rPr>
          <w:b w:val="0"/>
          <w:bCs w:val="0"/>
        </w:rPr>
      </w:pPr>
      <w:r>
        <w:rPr/>
        <w:t>八、承诺事项履行情况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9"/>
        <w:jc w:val="left"/>
        <w:rPr>
          <w:b w:val="0"/>
          <w:bCs w:val="0"/>
        </w:rPr>
      </w:pPr>
      <w:r>
        <w:rPr>
          <w:rFonts w:ascii="Times New Roman" w:hAnsi="Times New Roman" w:cs="Times New Roman" w:eastAsia="Times New Roman" w:hint="default"/>
        </w:rPr>
        <w:t>1</w:t>
      </w:r>
      <w:r>
        <w:rPr/>
        <w:t>、公司或持股</w:t>
      </w:r>
      <w:r>
        <w:rPr>
          <w:spacing w:val="-68"/>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0"/>
        <w:gridCol w:w="1080"/>
        <w:gridCol w:w="3046"/>
        <w:gridCol w:w="1277"/>
        <w:gridCol w:w="1277"/>
        <w:gridCol w:w="1268"/>
      </w:tblGrid>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080" w:type="dxa"/>
            <w:tcBorders>
              <w:top w:val="single" w:sz="4" w:space="0" w:color="000000"/>
              <w:left w:val="single" w:sz="4" w:space="0" w:color="000000"/>
              <w:bottom w:val="single" w:sz="4" w:space="0" w:color="000000"/>
              <w:right w:val="single" w:sz="4" w:space="0" w:color="000000"/>
            </w:tcBorders>
          </w:tcPr>
          <w:p>
            <w:pPr/>
          </w:p>
        </w:tc>
        <w:tc>
          <w:tcPr>
            <w:tcW w:w="304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6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收购报告书或权益</w:t>
            </w:r>
          </w:p>
        </w:tc>
        <w:tc>
          <w:tcPr>
            <w:tcW w:w="1080" w:type="dxa"/>
            <w:vMerge w:val="restart"/>
            <w:tcBorders>
              <w:top w:val="single" w:sz="4" w:space="0" w:color="000000"/>
              <w:left w:val="single" w:sz="4" w:space="0" w:color="000000"/>
              <w:right w:val="single" w:sz="4" w:space="0" w:color="000000"/>
            </w:tcBorders>
          </w:tcPr>
          <w:p>
            <w:pPr/>
          </w:p>
        </w:tc>
        <w:tc>
          <w:tcPr>
            <w:tcW w:w="3046"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变动报告书中所作</w:t>
            </w:r>
          </w:p>
        </w:tc>
        <w:tc>
          <w:tcPr>
            <w:tcW w:w="1080" w:type="dxa"/>
            <w:vMerge/>
            <w:tcBorders>
              <w:left w:val="single" w:sz="4" w:space="0" w:color="000000"/>
              <w:right w:val="single" w:sz="4" w:space="0" w:color="000000"/>
            </w:tcBorders>
          </w:tcPr>
          <w:p>
            <w:pPr/>
          </w:p>
        </w:tc>
        <w:tc>
          <w:tcPr>
            <w:tcW w:w="304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57" w:hRule="exact"/>
        </w:trPr>
        <w:tc>
          <w:tcPr>
            <w:tcW w:w="16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080" w:type="dxa"/>
            <w:vMerge/>
            <w:tcBorders>
              <w:left w:val="single" w:sz="4" w:space="0" w:color="000000"/>
              <w:bottom w:val="single" w:sz="4" w:space="0" w:color="000000"/>
              <w:right w:val="single" w:sz="4" w:space="0" w:color="000000"/>
            </w:tcBorders>
          </w:tcPr>
          <w:p>
            <w:pPr/>
          </w:p>
        </w:tc>
        <w:tc>
          <w:tcPr>
            <w:tcW w:w="304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资产重组时所作承 诺</w:t>
            </w:r>
          </w:p>
        </w:tc>
        <w:tc>
          <w:tcPr>
            <w:tcW w:w="1080" w:type="dxa"/>
            <w:tcBorders>
              <w:top w:val="single" w:sz="4" w:space="0" w:color="000000"/>
              <w:left w:val="single" w:sz="4" w:space="0" w:color="000000"/>
              <w:bottom w:val="single" w:sz="4" w:space="0" w:color="000000"/>
              <w:right w:val="single" w:sz="4" w:space="0" w:color="000000"/>
            </w:tcBorders>
          </w:tcPr>
          <w:p>
            <w:pPr/>
          </w:p>
        </w:tc>
        <w:tc>
          <w:tcPr>
            <w:tcW w:w="304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62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30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32"/>
                <w:sz w:val="18"/>
                <w:szCs w:val="18"/>
              </w:rPr>
              <w:t> </w:t>
            </w:r>
            <w:r>
              <w:rPr>
                <w:rFonts w:ascii="宋体" w:hAnsi="宋体" w:cs="宋体" w:eastAsia="宋体" w:hint="default"/>
                <w:sz w:val="18"/>
                <w:szCs w:val="18"/>
              </w:rPr>
              <w:t>避免同业竞争的承诺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一、本人目前</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62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未直接或间接从事与股份公司相同或</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2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相似的业务；二、在本人作为股份公司</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2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主要股东的事实改变之前，本人将不会</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2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直接或间接地以任何方式（包括但不限</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2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于独自经营，合资经营和拥有在其他公</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2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司或企业的股票或权益）从事与股份公</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244" w:hRule="exact"/>
        </w:trPr>
        <w:tc>
          <w:tcPr>
            <w:tcW w:w="162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司的业务有竞争或可能构成竞争的业</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692" w:hRule="exact"/>
        </w:trPr>
        <w:tc>
          <w:tcPr>
            <w:tcW w:w="1620"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融资时所作承诺</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pacing w:val="-10"/>
                <w:sz w:val="18"/>
                <w:szCs w:val="18"/>
              </w:rPr>
              <w:t>曾胜强、许忠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桂、曾胜辉</w:t>
            </w:r>
          </w:p>
        </w:tc>
        <w:tc>
          <w:tcPr>
            <w:tcW w:w="3046" w:type="dxa"/>
            <w:tcBorders>
              <w:top w:val="nil" w:sz="6" w:space="0" w:color="auto"/>
              <w:left w:val="single" w:sz="4" w:space="0" w:color="000000"/>
              <w:bottom w:val="nil" w:sz="6" w:space="0" w:color="auto"/>
              <w:right w:val="single" w:sz="4" w:space="0" w:color="000000"/>
            </w:tcBorders>
          </w:tcPr>
          <w:p>
            <w:pPr>
              <w:pStyle w:val="TableParagraph"/>
              <w:spacing w:line="316" w:lineRule="auto" w:before="78"/>
              <w:ind w:left="22" w:right="21"/>
              <w:jc w:val="left"/>
              <w:rPr>
                <w:rFonts w:ascii="宋体" w:hAnsi="宋体" w:cs="宋体" w:eastAsia="宋体" w:hint="default"/>
                <w:sz w:val="18"/>
                <w:szCs w:val="18"/>
              </w:rPr>
            </w:pPr>
            <w:r>
              <w:rPr>
                <w:rFonts w:ascii="宋体" w:hAnsi="宋体" w:cs="宋体" w:eastAsia="宋体" w:hint="default"/>
                <w:spacing w:val="-5"/>
                <w:sz w:val="18"/>
                <w:szCs w:val="18"/>
              </w:rPr>
              <w:t>务或活动；三、如因未履行避免同业竞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争的承诺而给公司造成损失，本人将对</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严格履行承诺</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中</w:t>
            </w:r>
          </w:p>
        </w:tc>
      </w:tr>
      <w:tr>
        <w:trPr>
          <w:trHeight w:val="332" w:hRule="exact"/>
        </w:trPr>
        <w:tc>
          <w:tcPr>
            <w:tcW w:w="162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公司遭受的损失作出赔偿。</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162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046"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②关于补缴所得税优惠的承诺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若因税</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62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收主管部门对证通电子上市前享受的</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2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企业所得税减免税款进行追缴，本人作</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2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为证通电子的股东，将以现金方式及</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62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时、无条件、全额承担应补交的税款及</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62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30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或因此所产生的所有相关费用。</w:t>
            </w:r>
            <w:r>
              <w:rPr>
                <w:rFonts w:ascii="Times New Roman" w:hAnsi="Times New Roman" w:cs="Times New Roman" w:eastAsia="Times New Roman" w:hint="default"/>
                <w:sz w:val="18"/>
                <w:szCs w:val="18"/>
              </w:rPr>
              <w:t>”</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1080" w:type="dxa"/>
            <w:tcBorders>
              <w:top w:val="single" w:sz="4" w:space="0" w:color="000000"/>
              <w:left w:val="single" w:sz="4" w:space="0" w:color="000000"/>
              <w:bottom w:val="single" w:sz="4" w:space="0" w:color="000000"/>
              <w:right w:val="single" w:sz="4" w:space="0" w:color="000000"/>
            </w:tcBorders>
          </w:tcPr>
          <w:p>
            <w:pPr/>
          </w:p>
        </w:tc>
        <w:tc>
          <w:tcPr>
            <w:tcW w:w="304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948" w:type="dxa"/>
            <w:gridSpan w:val="5"/>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未完成履行的具体 原因及下一步计划</w:t>
            </w:r>
          </w:p>
        </w:tc>
        <w:tc>
          <w:tcPr>
            <w:tcW w:w="7948" w:type="dxa"/>
            <w:gridSpan w:val="5"/>
            <w:tcBorders>
              <w:top w:val="single" w:sz="4" w:space="0" w:color="000000"/>
              <w:left w:val="single" w:sz="10"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8" w:hRule="exact"/>
        </w:trPr>
        <w:tc>
          <w:tcPr>
            <w:tcW w:w="162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是否就导致的同业</w:t>
            </w:r>
          </w:p>
        </w:tc>
        <w:tc>
          <w:tcPr>
            <w:tcW w:w="7948" w:type="dxa"/>
            <w:gridSpan w:val="5"/>
            <w:tcBorders>
              <w:top w:val="single" w:sz="4" w:space="0" w:color="000000"/>
              <w:left w:val="single" w:sz="10" w:space="0" w:color="D3D3D3"/>
              <w:bottom w:val="nil" w:sz="6" w:space="0" w:color="auto"/>
              <w:right w:val="single" w:sz="4" w:space="0" w:color="000000"/>
            </w:tcBorders>
          </w:tcPr>
          <w:p>
            <w:pPr/>
          </w:p>
        </w:tc>
      </w:tr>
      <w:tr>
        <w:trPr>
          <w:trHeight w:val="313" w:hRule="exact"/>
        </w:trPr>
        <w:tc>
          <w:tcPr>
            <w:tcW w:w="16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竞争和关联交易问</w:t>
            </w:r>
          </w:p>
        </w:tc>
        <w:tc>
          <w:tcPr>
            <w:tcW w:w="7948" w:type="dxa"/>
            <w:gridSpan w:val="5"/>
            <w:tcBorders>
              <w:top w:val="nil" w:sz="6" w:space="0" w:color="auto"/>
              <w:left w:val="single" w:sz="10" w:space="0" w:color="D3D3D3"/>
              <w:bottom w:val="nil" w:sz="6" w:space="0" w:color="auto"/>
              <w:right w:val="single" w:sz="4" w:space="0" w:color="000000"/>
            </w:tcBorders>
          </w:tcPr>
          <w:p>
            <w:pPr>
              <w:pStyle w:val="TableParagraph"/>
              <w:spacing w:line="240" w:lineRule="auto" w:before="10"/>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6" w:hRule="exact"/>
        </w:trPr>
        <w:tc>
          <w:tcPr>
            <w:tcW w:w="162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题作出承诺</w:t>
            </w:r>
          </w:p>
        </w:tc>
        <w:tc>
          <w:tcPr>
            <w:tcW w:w="7948" w:type="dxa"/>
            <w:gridSpan w:val="5"/>
            <w:tcBorders>
              <w:top w:val="nil" w:sz="6" w:space="0" w:color="auto"/>
              <w:left w:val="single" w:sz="10" w:space="0" w:color="D3D3D3"/>
              <w:bottom w:val="single" w:sz="4" w:space="0" w:color="000000"/>
              <w:right w:val="single" w:sz="4" w:space="0" w:color="000000"/>
            </w:tcBorders>
          </w:tcPr>
          <w:p>
            <w:pP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7948" w:type="dxa"/>
            <w:gridSpan w:val="5"/>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7948" w:type="dxa"/>
            <w:gridSpan w:val="5"/>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7948" w:type="dxa"/>
            <w:gridSpan w:val="5"/>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严格履行承诺中</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pStyle w:val="Heading3"/>
        <w:spacing w:line="259" w:lineRule="auto" w:before="35"/>
        <w:ind w:right="149"/>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9"/>
        <w:jc w:val="left"/>
      </w:pPr>
      <w:r>
        <w:rPr/>
        <w:t>无</w:t>
      </w:r>
    </w:p>
    <w:p>
      <w:pPr>
        <w:spacing w:line="240" w:lineRule="auto" w:before="13"/>
        <w:rPr>
          <w:rFonts w:ascii="宋体" w:hAnsi="宋体" w:cs="宋体" w:eastAsia="宋体" w:hint="default"/>
          <w:sz w:val="24"/>
          <w:szCs w:val="24"/>
        </w:rPr>
      </w:pPr>
    </w:p>
    <w:p>
      <w:pPr>
        <w:pStyle w:val="Heading2"/>
        <w:spacing w:line="240" w:lineRule="auto"/>
        <w:ind w:right="149"/>
        <w:jc w:val="left"/>
        <w:rPr>
          <w:b w:val="0"/>
          <w:bCs w:val="0"/>
        </w:rPr>
      </w:pP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9"/>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74"/>
        <w:gridCol w:w="5682"/>
      </w:tblGrid>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55</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杨平高、周俊翔</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49"/>
        <w:jc w:val="left"/>
      </w:pPr>
      <w:r>
        <w:rPr/>
        <w:t>当期是否改聘会计师事务所</w:t>
      </w:r>
    </w:p>
    <w:p>
      <w:pPr>
        <w:pStyle w:val="BodyText"/>
        <w:spacing w:line="338" w:lineRule="auto" w:before="117"/>
        <w:ind w:right="7070"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是否在审计期间改聘会计师事务所</w:t>
      </w:r>
    </w:p>
    <w:p>
      <w:pPr>
        <w:pStyle w:val="BodyText"/>
        <w:spacing w:line="340" w:lineRule="auto" w:before="42"/>
        <w:ind w:right="6890"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更换会计师事务所是否履行审批程序</w:t>
      </w:r>
    </w:p>
    <w:p>
      <w:pPr>
        <w:pStyle w:val="BodyText"/>
        <w:spacing w:line="338" w:lineRule="auto" w:before="40"/>
        <w:ind w:right="7070"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聘任、解聘会计师事务所情况说明</w:t>
      </w:r>
    </w:p>
    <w:p>
      <w:pPr>
        <w:pStyle w:val="BodyText"/>
        <w:spacing w:line="300" w:lineRule="auto" w:before="42"/>
        <w:ind w:right="150" w:firstLine="290"/>
        <w:jc w:val="both"/>
      </w:pPr>
      <w:r>
        <w:rPr>
          <w:spacing w:val="-1"/>
        </w:rPr>
        <w:t>由于公司原聘任的</w:t>
      </w:r>
      <w:r>
        <w:rPr>
          <w:rFonts w:ascii="Times New Roman" w:hAnsi="Times New Roman" w:cs="Times New Roman" w:eastAsia="Times New Roman" w:hint="default"/>
          <w:spacing w:val="-1"/>
        </w:rPr>
        <w:t>2012</w:t>
      </w:r>
      <w:r>
        <w:rPr>
          <w:spacing w:val="-1"/>
        </w:rPr>
        <w:t>年度财报审计机构深圳鹏城会计师事务所与国富浩华会计师事务所合并，公司改聘立信会计师事</w:t>
      </w:r>
      <w:r>
        <w:rPr/>
        <w:t> </w:t>
      </w:r>
      <w:r>
        <w:rPr>
          <w:spacing w:val="-2"/>
        </w:rPr>
        <w:t>务所（特殊普通合伙）为</w:t>
      </w:r>
      <w:r>
        <w:rPr>
          <w:rFonts w:ascii="Times New Roman" w:hAnsi="Times New Roman" w:cs="Times New Roman" w:eastAsia="Times New Roman" w:hint="default"/>
          <w:spacing w:val="-2"/>
        </w:rPr>
        <w:t>2012</w:t>
      </w:r>
      <w:r>
        <w:rPr>
          <w:spacing w:val="-2"/>
        </w:rPr>
        <w:t>年度财报审计机构，该改聘事项已经</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12</w:t>
      </w:r>
      <w:r>
        <w:rPr>
          <w:spacing w:val="-2"/>
        </w:rPr>
        <w:t>日召开的公司</w:t>
      </w:r>
      <w:r>
        <w:rPr>
          <w:rFonts w:ascii="Times New Roman" w:hAnsi="Times New Roman" w:cs="Times New Roman" w:eastAsia="Times New Roman" w:hint="default"/>
          <w:spacing w:val="-2"/>
        </w:rPr>
        <w:t>2012</w:t>
      </w:r>
      <w:r>
        <w:rPr>
          <w:spacing w:val="-2"/>
        </w:rPr>
        <w:t>年第四次临时股东大会审</w:t>
      </w:r>
      <w:r>
        <w:rPr>
          <w:spacing w:val="-51"/>
        </w:rPr>
        <w:t> </w:t>
      </w:r>
      <w:r>
        <w:rPr/>
        <w:t>议通过。</w:t>
      </w:r>
    </w:p>
    <w:p>
      <w:pPr>
        <w:pStyle w:val="BodyText"/>
        <w:spacing w:line="240" w:lineRule="auto" w:before="72"/>
        <w:ind w:right="149"/>
        <w:jc w:val="left"/>
      </w:pPr>
      <w:r>
        <w:rPr/>
        <w:t>聘请内部控制审计会计师事务所、财务顾问或保荐人情况</w:t>
      </w:r>
    </w:p>
    <w:p>
      <w:pPr>
        <w:pStyle w:val="BodyText"/>
        <w:spacing w:line="357" w:lineRule="auto" w:before="116"/>
        <w:ind w:left="514" w:right="140" w:hanging="360"/>
        <w:jc w:val="left"/>
      </w:pPr>
      <w:r>
        <w:rPr/>
        <w:t>√ 适用 □ 不适用 经公司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日召开的</w:t>
      </w:r>
      <w:r>
        <w:rPr>
          <w:rFonts w:ascii="Times New Roman" w:hAnsi="Times New Roman" w:cs="Times New Roman" w:eastAsia="Times New Roman" w:hint="default"/>
        </w:rPr>
        <w:t>2012</w:t>
      </w:r>
      <w:r>
        <w:rPr/>
        <w:t>年第三次临时股东大会审议通过，公司聘请大华会计师事务所为公司</w:t>
      </w:r>
      <w:r>
        <w:rPr>
          <w:rFonts w:ascii="Times New Roman" w:hAnsi="Times New Roman" w:cs="Times New Roman" w:eastAsia="Times New Roman" w:hint="default"/>
        </w:rPr>
        <w:t>2012</w:t>
      </w:r>
      <w:r>
        <w:rPr/>
        <w:t>年中期内部</w:t>
      </w:r>
    </w:p>
    <w:p>
      <w:pPr>
        <w:pStyle w:val="BodyText"/>
        <w:spacing w:line="214" w:lineRule="exact"/>
        <w:ind w:right="149"/>
        <w:jc w:val="left"/>
      </w:pPr>
      <w:r>
        <w:rPr/>
        <w:t>控制审计机构，经审计，大华会计师事务所经审计出具了大华内审字</w:t>
      </w:r>
      <w:r>
        <w:rPr>
          <w:rFonts w:ascii="Times New Roman" w:hAnsi="Times New Roman" w:cs="Times New Roman" w:eastAsia="Times New Roman" w:hint="default"/>
        </w:rPr>
        <w:t>[2012]010</w:t>
      </w:r>
      <w:r>
        <w:rPr/>
        <w:t>号《深圳市证通电子股份有限公司内部控制</w:t>
      </w:r>
    </w:p>
    <w:p>
      <w:pPr>
        <w:pStyle w:val="BodyText"/>
        <w:spacing w:line="300" w:lineRule="auto" w:before="62"/>
        <w:ind w:left="514" w:right="140" w:hanging="360"/>
        <w:jc w:val="left"/>
      </w:pPr>
      <w:r>
        <w:rPr/>
        <w:t>审计报告》，公司支付其内部控制审计费</w:t>
      </w:r>
      <w:r>
        <w:rPr>
          <w:rFonts w:ascii="Times New Roman" w:hAnsi="Times New Roman" w:cs="Times New Roman" w:eastAsia="Times New Roman" w:hint="default"/>
        </w:rPr>
        <w:t>40</w:t>
      </w:r>
      <w:r>
        <w:rPr/>
        <w:t>万元。 经公司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日召开的公司</w:t>
      </w:r>
      <w:r>
        <w:rPr>
          <w:rFonts w:ascii="Times New Roman" w:hAnsi="Times New Roman" w:cs="Times New Roman" w:eastAsia="Times New Roman" w:hint="default"/>
        </w:rPr>
        <w:t>2013</w:t>
      </w:r>
      <w:r>
        <w:rPr/>
        <w:t>年第一次临时股东大会审议通过，公司聘请立信会计师事务所为公司</w:t>
      </w:r>
      <w:r>
        <w:rPr>
          <w:rFonts w:ascii="Times New Roman" w:hAnsi="Times New Roman" w:cs="Times New Roman" w:eastAsia="Times New Roman" w:hint="default"/>
        </w:rPr>
        <w:t>2012</w:t>
      </w:r>
      <w:r>
        <w:rPr/>
        <w:t>年度内</w:t>
      </w:r>
    </w:p>
    <w:p>
      <w:pPr>
        <w:pStyle w:val="BodyText"/>
        <w:spacing w:line="300" w:lineRule="auto" w:before="13"/>
        <w:ind w:left="514" w:right="140" w:hanging="360"/>
        <w:jc w:val="left"/>
      </w:pPr>
      <w:r>
        <w:rPr/>
        <w:t>部控制审计机构，经审计，立信会计事务所经审计出具了《公司内部控制审计报告》，公司支付其内控审计费</w:t>
      </w:r>
      <w:r>
        <w:rPr>
          <w:rFonts w:ascii="Times New Roman" w:hAnsi="Times New Roman" w:cs="Times New Roman" w:eastAsia="Times New Roman" w:hint="default"/>
        </w:rPr>
        <w:t>35</w:t>
      </w:r>
      <w:r>
        <w:rPr/>
        <w:t>万元。 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日与中信建投证券股份有限公司签订了持续督导保荐协议，聘请中信建投为公司持续督导机构，持</w:t>
      </w:r>
    </w:p>
    <w:p>
      <w:pPr>
        <w:pStyle w:val="BodyText"/>
        <w:spacing w:line="240" w:lineRule="auto" w:before="14"/>
        <w:ind w:right="149"/>
        <w:jc w:val="left"/>
      </w:pPr>
      <w:r>
        <w:rPr/>
        <w:t>续督导期为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日。保荐费用合计为</w:t>
      </w:r>
      <w:r>
        <w:rPr>
          <w:rFonts w:ascii="Times New Roman" w:hAnsi="Times New Roman" w:cs="Times New Roman" w:eastAsia="Times New Roman" w:hint="default"/>
        </w:rPr>
        <w:t>120</w:t>
      </w:r>
      <w:r>
        <w:rPr/>
        <w:t>万元，公司尚未支付保荐费。</w:t>
      </w:r>
    </w:p>
    <w:p>
      <w:pPr>
        <w:spacing w:line="240" w:lineRule="auto" w:before="1"/>
        <w:rPr>
          <w:rFonts w:ascii="宋体" w:hAnsi="宋体" w:cs="宋体" w:eastAsia="宋体" w:hint="default"/>
          <w:sz w:val="24"/>
          <w:szCs w:val="24"/>
        </w:rPr>
      </w:pPr>
    </w:p>
    <w:p>
      <w:pPr>
        <w:pStyle w:val="Heading2"/>
        <w:spacing w:line="240" w:lineRule="auto"/>
        <w:ind w:right="149"/>
        <w:jc w:val="left"/>
        <w:rPr>
          <w:b w:val="0"/>
          <w:bCs w:val="0"/>
        </w:rPr>
      </w:pPr>
      <w:r>
        <w:rPr/>
        <w:t>十、监事会、独立董事（如适用）对会计师事务所本报告期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49"/>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149"/>
        <w:jc w:val="left"/>
        <w:rPr>
          <w:b w:val="0"/>
          <w:bCs w:val="0"/>
        </w:rPr>
      </w:pPr>
      <w:r>
        <w:rPr/>
        <w:t>十一、处罚及整改情况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9"/>
        <w:jc w:val="left"/>
      </w:pPr>
      <w:r>
        <w:rPr/>
        <w:t>报告期，公司不存在处罚及整改情况。</w:t>
      </w:r>
    </w:p>
    <w:p>
      <w:pPr>
        <w:pStyle w:val="BodyText"/>
        <w:spacing w:line="240" w:lineRule="auto" w:before="117"/>
        <w:ind w:left="153" w:right="149"/>
        <w:jc w:val="left"/>
      </w:pPr>
      <w:r>
        <w:rPr/>
        <w:t>董事、监事、高级管理人员、持股</w:t>
      </w:r>
      <w:r>
        <w:rPr>
          <w:spacing w:val="-46"/>
        </w:rPr>
        <w:t> </w:t>
      </w:r>
      <w:r>
        <w:rPr>
          <w:rFonts w:ascii="Times New Roman" w:hAnsi="Times New Roman" w:cs="Times New Roman" w:eastAsia="Times New Roman" w:hint="default"/>
        </w:rPr>
        <w:t>5%</w:t>
      </w:r>
      <w:r>
        <w:rPr/>
        <w:t>以上的股东涉嫌违规买卖公司股票且公司已披露将收回涉嫌违规所得收益的情况</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十二、年度报告披露后面临暂停上市和终止上市情况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r>
        <w:rPr/>
        <w:t>十三、其他重大事项的说明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right="0" w:firstLine="217"/>
        <w:jc w:val="left"/>
      </w:pPr>
      <w:r>
        <w:rPr/>
        <w:t>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日召开的</w:t>
      </w:r>
      <w:r>
        <w:rPr>
          <w:rFonts w:ascii="Times New Roman" w:hAnsi="Times New Roman" w:cs="Times New Roman" w:eastAsia="Times New Roman" w:hint="default"/>
        </w:rPr>
        <w:t>2012</w:t>
      </w:r>
      <w:r>
        <w:rPr/>
        <w:t>年第二次临时股东大会分别审议通过了《关于</w:t>
      </w:r>
      <w:r>
        <w:rPr>
          <w:rFonts w:ascii="Times New Roman" w:hAnsi="Times New Roman" w:cs="Times New Roman" w:eastAsia="Times New Roman" w:hint="default"/>
        </w:rPr>
        <w:t>&lt;</w:t>
      </w:r>
      <w:r>
        <w:rPr/>
        <w:t>公司向特定对象非公开发行股票方案</w:t>
      </w:r>
      <w:r>
        <w:rPr>
          <w:rFonts w:ascii="Times New Roman" w:hAnsi="Times New Roman" w:cs="Times New Roman" w:eastAsia="Times New Roman" w:hint="default"/>
        </w:rPr>
        <w:t>&gt; </w:t>
      </w:r>
      <w:r>
        <w:rPr/>
        <w:t>的议案》、《关于</w:t>
      </w:r>
      <w:r>
        <w:rPr>
          <w:rFonts w:ascii="Times New Roman" w:hAnsi="Times New Roman" w:cs="Times New Roman" w:eastAsia="Times New Roman" w:hint="default"/>
        </w:rPr>
        <w:t>&lt;</w:t>
      </w:r>
      <w:r>
        <w:rPr/>
        <w:t>公司向特定对象非公开发行股票方案</w:t>
      </w:r>
      <w:r>
        <w:rPr>
          <w:rFonts w:ascii="Times New Roman" w:hAnsi="Times New Roman" w:cs="Times New Roman" w:eastAsia="Times New Roman" w:hint="default"/>
        </w:rPr>
        <w:t>&gt;</w:t>
      </w:r>
      <w:r>
        <w:rPr/>
        <w:t>（修订稿）的议案》、《关于授权董事会全权办理本次非公开发 </w:t>
      </w:r>
      <w:r>
        <w:rPr>
          <w:spacing w:val="-2"/>
        </w:rPr>
        <w:t>行股票相关事宜的议案》等一系列与非公开发行股票相关的议案，同意公司向不超过十名的符合中国证监会规定的特定投资</w:t>
      </w:r>
      <w:r>
        <w:rPr>
          <w:spacing w:val="-64"/>
        </w:rPr>
        <w:t> </w:t>
      </w:r>
      <w:r>
        <w:rPr>
          <w:spacing w:val="-64"/>
        </w:rPr>
      </w:r>
      <w:r>
        <w:rPr/>
        <w:t>者发行数量不超过</w:t>
      </w:r>
      <w:r>
        <w:rPr>
          <w:rFonts w:ascii="Times New Roman" w:hAnsi="Times New Roman" w:cs="Times New Roman" w:eastAsia="Times New Roman" w:hint="default"/>
        </w:rPr>
        <w:t>6,500</w:t>
      </w:r>
      <w:r>
        <w:rPr/>
        <w:t>万股（含</w:t>
      </w:r>
      <w:r>
        <w:rPr>
          <w:rFonts w:ascii="Times New Roman" w:hAnsi="Times New Roman" w:cs="Times New Roman" w:eastAsia="Times New Roman" w:hint="default"/>
        </w:rPr>
        <w:t>6,500</w:t>
      </w:r>
      <w:r>
        <w:rPr/>
        <w:t>万股）境内上市人民币普通股（</w:t>
      </w:r>
      <w:r>
        <w:rPr>
          <w:rFonts w:ascii="Times New Roman" w:hAnsi="Times New Roman" w:cs="Times New Roman" w:eastAsia="Times New Roman" w:hint="default"/>
        </w:rPr>
        <w:t>A</w:t>
      </w:r>
      <w:r>
        <w:rPr/>
        <w:t>股），拟募集资金不超过</w:t>
      </w:r>
      <w:r>
        <w:rPr>
          <w:rFonts w:ascii="Times New Roman" w:hAnsi="Times New Roman" w:cs="Times New Roman" w:eastAsia="Times New Roman" w:hint="default"/>
        </w:rPr>
        <w:t>55,500.00</w:t>
      </w:r>
      <w:r>
        <w:rPr/>
        <w:t>万元。</w:t>
      </w:r>
    </w:p>
    <w:p>
      <w:pPr>
        <w:pStyle w:val="BodyText"/>
        <w:spacing w:line="312" w:lineRule="auto" w:before="7"/>
        <w:ind w:left="153" w:right="150" w:firstLine="290"/>
        <w:jc w:val="both"/>
      </w:pPr>
      <w:r>
        <w:rPr>
          <w:spacing w:val="-2"/>
        </w:rPr>
        <w:t>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日召开的</w:t>
      </w:r>
      <w:r>
        <w:rPr>
          <w:rFonts w:ascii="Times New Roman" w:hAnsi="Times New Roman" w:cs="Times New Roman" w:eastAsia="Times New Roman" w:hint="default"/>
          <w:spacing w:val="-2"/>
        </w:rPr>
        <w:t>2013</w:t>
      </w:r>
      <w:r>
        <w:rPr>
          <w:spacing w:val="-2"/>
        </w:rPr>
        <w:t>年第一次临时股东大会分别审议通过了《关于修订非公开发行股票预案的议案》、《关</w:t>
      </w:r>
      <w:r>
        <w:rPr/>
        <w:t> </w:t>
      </w:r>
      <w:r>
        <w:rPr>
          <w:spacing w:val="-2"/>
        </w:rPr>
        <w:t>于提请股东大会延长董事会全权办理本次非公开发行股票相关事宜的授权期限的议案》，对公司本次非公开发行的定价基准</w:t>
      </w:r>
      <w:r>
        <w:rPr>
          <w:spacing w:val="-64"/>
        </w:rPr>
        <w:t> </w:t>
      </w:r>
      <w:r>
        <w:rPr>
          <w:spacing w:val="-64"/>
        </w:rPr>
      </w:r>
      <w:r>
        <w:rPr>
          <w:spacing w:val="-2"/>
        </w:rPr>
        <w:t>日和定价原则、发行股票的决议有效期进行了调整，调整后本次非公开发行股票的定价基准日为公司第二届董事会第二十六</w:t>
      </w:r>
      <w:r>
        <w:rPr>
          <w:spacing w:val="-64"/>
        </w:rPr>
        <w:t> </w:t>
      </w:r>
      <w:r>
        <w:rPr>
          <w:spacing w:val="-64"/>
        </w:rPr>
      </w:r>
      <w:r>
        <w:rPr>
          <w:spacing w:val="-2"/>
        </w:rPr>
        <w:t>次会议决议公告日（</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9</w:t>
      </w:r>
      <w:r>
        <w:rPr>
          <w:spacing w:val="-2"/>
        </w:rPr>
        <w:t>日），发行价格仍为不低于</w:t>
      </w:r>
      <w:r>
        <w:rPr>
          <w:rFonts w:ascii="Times New Roman" w:hAnsi="Times New Roman" w:cs="Times New Roman" w:eastAsia="Times New Roman" w:hint="default"/>
          <w:spacing w:val="-2"/>
        </w:rPr>
        <w:t>8.97</w:t>
      </w:r>
      <w:r>
        <w:rPr>
          <w:spacing w:val="-2"/>
        </w:rPr>
        <w:t>元</w:t>
      </w:r>
      <w:r>
        <w:rPr>
          <w:rFonts w:ascii="Times New Roman" w:hAnsi="Times New Roman" w:cs="Times New Roman" w:eastAsia="Times New Roman" w:hint="default"/>
          <w:spacing w:val="-2"/>
        </w:rPr>
        <w:t>/</w:t>
      </w:r>
      <w:r>
        <w:rPr>
          <w:spacing w:val="-2"/>
        </w:rPr>
        <w:t>股，不低于定价基准日前二十个交易日公司股票交易均价</w:t>
      </w:r>
    </w:p>
    <w:p>
      <w:pPr>
        <w:pStyle w:val="BodyText"/>
        <w:spacing w:line="309" w:lineRule="auto" w:before="3"/>
        <w:ind w:left="153" w:right="150"/>
        <w:jc w:val="both"/>
      </w:pPr>
      <w:r>
        <w:rPr>
          <w:spacing w:val="-2"/>
        </w:rPr>
        <w:t>（</w:t>
      </w:r>
      <w:r>
        <w:rPr>
          <w:rFonts w:ascii="Times New Roman" w:hAnsi="Times New Roman" w:cs="Times New Roman" w:eastAsia="Times New Roman" w:hint="default"/>
          <w:spacing w:val="-2"/>
        </w:rPr>
        <w:t>9.30</w:t>
      </w:r>
      <w:r>
        <w:rPr>
          <w:spacing w:val="-2"/>
        </w:rPr>
        <w:t>元</w:t>
      </w:r>
      <w:r>
        <w:rPr>
          <w:rFonts w:ascii="Times New Roman" w:hAnsi="Times New Roman" w:cs="Times New Roman" w:eastAsia="Times New Roman" w:hint="default"/>
          <w:spacing w:val="-2"/>
        </w:rPr>
        <w:t>/</w:t>
      </w:r>
      <w:r>
        <w:rPr>
          <w:spacing w:val="-2"/>
        </w:rPr>
        <w:t>股）的</w:t>
      </w:r>
      <w:r>
        <w:rPr>
          <w:rFonts w:ascii="Times New Roman" w:hAnsi="Times New Roman" w:cs="Times New Roman" w:eastAsia="Times New Roman" w:hint="default"/>
          <w:spacing w:val="-2"/>
        </w:rPr>
        <w:t>90%</w:t>
      </w:r>
      <w:r>
        <w:rPr>
          <w:spacing w:val="-2"/>
        </w:rPr>
        <w:t>；本次非公开发行股票决议的有效期为本议案自股东大会审议通过之日起十二个月；同时股东大会在授</w:t>
      </w:r>
      <w:r>
        <w:rPr>
          <w:spacing w:val="-35"/>
        </w:rPr>
        <w:t> </w:t>
      </w:r>
      <w:r>
        <w:rPr>
          <w:spacing w:val="-35"/>
        </w:rPr>
      </w:r>
      <w:r>
        <w:rPr>
          <w:spacing w:val="-2"/>
        </w:rPr>
        <w:t>权事项不变的前提下延长董事会办理本次非公开发行股票工作相关事宜的授权期限，授权的有效期为自本议案经股东大会审</w:t>
      </w:r>
      <w:r>
        <w:rPr>
          <w:spacing w:val="-64"/>
        </w:rPr>
        <w:t> </w:t>
      </w:r>
      <w:r>
        <w:rPr>
          <w:spacing w:val="-64"/>
        </w:rPr>
      </w:r>
      <w:r>
        <w:rPr/>
        <w:t>议通过之日起十二个月。</w:t>
      </w:r>
    </w:p>
    <w:p>
      <w:pPr>
        <w:spacing w:line="240" w:lineRule="auto" w:before="3"/>
        <w:rPr>
          <w:rFonts w:ascii="宋体" w:hAnsi="宋体" w:cs="宋体" w:eastAsia="宋体" w:hint="default"/>
          <w:sz w:val="21"/>
          <w:szCs w:val="21"/>
        </w:rPr>
      </w:pPr>
    </w:p>
    <w:p>
      <w:pPr>
        <w:pStyle w:val="Heading2"/>
        <w:spacing w:line="240" w:lineRule="auto"/>
        <w:ind w:right="0"/>
        <w:jc w:val="both"/>
        <w:rPr>
          <w:b w:val="0"/>
          <w:bCs w:val="0"/>
        </w:rPr>
      </w:pPr>
      <w:r>
        <w:rPr/>
        <w:t>十四、公司子公司重要事项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r>
        <w:rPr/>
        <w:t>十五、公司发行公司债券的情况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报告期内，公司未发行公司债券。</w:t>
      </w:r>
    </w:p>
    <w:p>
      <w:pPr>
        <w:spacing w:after="0" w:line="240"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49"/>
        <w:jc w:val="left"/>
        <w:rPr>
          <w:b w:val="0"/>
          <w:bCs w:val="0"/>
        </w:rPr>
      </w:pPr>
      <w:bookmarkStart w:name="_bookmark5" w:id="6"/>
      <w:bookmarkEnd w:id="6"/>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49"/>
        <w:jc w:val="left"/>
        <w:rPr>
          <w:b w:val="0"/>
          <w:bCs w:val="0"/>
        </w:rPr>
      </w:pPr>
      <w:r>
        <w:rPr/>
        <w:t>一、股份变动情况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2006"/>
        <w:gridCol w:w="968"/>
        <w:gridCol w:w="826"/>
        <w:gridCol w:w="827"/>
        <w:gridCol w:w="826"/>
        <w:gridCol w:w="826"/>
        <w:gridCol w:w="827"/>
        <w:gridCol w:w="826"/>
        <w:gridCol w:w="956"/>
        <w:gridCol w:w="796"/>
      </w:tblGrid>
      <w:tr>
        <w:trPr>
          <w:trHeight w:val="402" w:hRule="exact"/>
        </w:trPr>
        <w:tc>
          <w:tcPr>
            <w:tcW w:w="2006" w:type="dxa"/>
            <w:tcBorders>
              <w:top w:val="single" w:sz="4" w:space="0" w:color="000000"/>
              <w:left w:val="single" w:sz="4" w:space="0" w:color="000000"/>
              <w:bottom w:val="nil" w:sz="6" w:space="0" w:color="auto"/>
              <w:right w:val="single" w:sz="4" w:space="0" w:color="000000"/>
            </w:tcBorders>
            <w:shd w:val="clear" w:color="auto" w:fill="D3D3D3"/>
          </w:tcPr>
          <w:p>
            <w:pPr/>
          </w:p>
        </w:tc>
        <w:tc>
          <w:tcPr>
            <w:tcW w:w="17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3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0" w:hRule="exact"/>
        </w:trPr>
        <w:tc>
          <w:tcPr>
            <w:tcW w:w="2006" w:type="dxa"/>
            <w:vMerge w:val="restart"/>
            <w:tcBorders>
              <w:top w:val="nil" w:sz="6" w:space="0" w:color="auto"/>
              <w:left w:val="single" w:sz="4" w:space="0" w:color="000000"/>
              <w:right w:val="single" w:sz="4" w:space="0" w:color="000000"/>
            </w:tcBorders>
            <w:shd w:val="clear" w:color="auto" w:fill="D3D3D3"/>
          </w:tcPr>
          <w:p>
            <w:pPr/>
          </w:p>
        </w:tc>
        <w:tc>
          <w:tcPr>
            <w:tcW w:w="968" w:type="dxa"/>
            <w:tcBorders>
              <w:top w:val="single" w:sz="4" w:space="0" w:color="000000"/>
              <w:left w:val="single" w:sz="4" w:space="0" w:color="000000"/>
              <w:bottom w:val="nil" w:sz="6" w:space="0" w:color="auto"/>
              <w:right w:val="single" w:sz="4" w:space="0" w:color="000000"/>
            </w:tcBorders>
            <w:shd w:val="clear" w:color="auto" w:fill="D3D3D3"/>
          </w:tcPr>
          <w:p>
            <w:pPr/>
          </w:p>
        </w:tc>
        <w:tc>
          <w:tcPr>
            <w:tcW w:w="826" w:type="dxa"/>
            <w:tcBorders>
              <w:top w:val="single" w:sz="4" w:space="0" w:color="000000"/>
              <w:left w:val="single" w:sz="4" w:space="0" w:color="000000"/>
              <w:bottom w:val="nil" w:sz="6" w:space="0" w:color="auto"/>
              <w:right w:val="single" w:sz="4" w:space="0" w:color="000000"/>
            </w:tcBorders>
            <w:shd w:val="clear" w:color="auto" w:fill="D3D3D3"/>
          </w:tcPr>
          <w:p>
            <w:pPr/>
          </w:p>
        </w:tc>
        <w:tc>
          <w:tcPr>
            <w:tcW w:w="8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6" w:type="dxa"/>
            <w:tcBorders>
              <w:top w:val="single" w:sz="4" w:space="0" w:color="000000"/>
              <w:left w:val="single" w:sz="4" w:space="0" w:color="000000"/>
              <w:bottom w:val="nil" w:sz="6" w:space="0" w:color="auto"/>
              <w:right w:val="single" w:sz="4" w:space="0" w:color="000000"/>
            </w:tcBorders>
            <w:shd w:val="clear" w:color="auto" w:fill="D3D3D3"/>
          </w:tcPr>
          <w:p>
            <w:pPr/>
          </w:p>
        </w:tc>
        <w:tc>
          <w:tcPr>
            <w:tcW w:w="82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6" w:type="dxa"/>
            <w:tcBorders>
              <w:top w:val="single" w:sz="4" w:space="0" w:color="000000"/>
              <w:left w:val="single" w:sz="4" w:space="0" w:color="000000"/>
              <w:bottom w:val="nil" w:sz="6" w:space="0" w:color="auto"/>
              <w:right w:val="single" w:sz="4" w:space="0" w:color="000000"/>
            </w:tcBorders>
            <w:shd w:val="clear" w:color="auto" w:fill="D3D3D3"/>
          </w:tcPr>
          <w:p>
            <w:pPr/>
          </w:p>
        </w:tc>
        <w:tc>
          <w:tcPr>
            <w:tcW w:w="956" w:type="dxa"/>
            <w:tcBorders>
              <w:top w:val="single" w:sz="4" w:space="0" w:color="000000"/>
              <w:left w:val="single" w:sz="4" w:space="0" w:color="000000"/>
              <w:bottom w:val="nil" w:sz="6" w:space="0" w:color="auto"/>
              <w:right w:val="single" w:sz="4" w:space="0" w:color="000000"/>
            </w:tcBorders>
            <w:shd w:val="clear" w:color="auto" w:fill="D3D3D3"/>
          </w:tcPr>
          <w:p>
            <w:pPr/>
          </w:p>
        </w:tc>
        <w:tc>
          <w:tcPr>
            <w:tcW w:w="79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6" w:hRule="exact"/>
        </w:trPr>
        <w:tc>
          <w:tcPr>
            <w:tcW w:w="2006" w:type="dxa"/>
            <w:vMerge/>
            <w:tcBorders>
              <w:left w:val="single" w:sz="4" w:space="0" w:color="000000"/>
              <w:bottom w:val="nil" w:sz="6" w:space="0" w:color="auto"/>
              <w:right w:val="single" w:sz="4" w:space="0" w:color="000000"/>
            </w:tcBorders>
            <w:shd w:val="clear" w:color="auto" w:fill="D3D3D3"/>
          </w:tcPr>
          <w:p>
            <w:pPr/>
          </w:p>
        </w:tc>
        <w:tc>
          <w:tcPr>
            <w:tcW w:w="9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0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2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4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6" w:type="dxa"/>
            <w:vMerge/>
            <w:tcBorders>
              <w:left w:val="single" w:sz="4" w:space="0" w:color="000000"/>
              <w:right w:val="single" w:sz="4" w:space="0" w:color="000000"/>
            </w:tcBorders>
            <w:shd w:val="clear" w:color="auto" w:fill="D3D3D3"/>
          </w:tcPr>
          <w:p>
            <w:pPr/>
          </w:p>
        </w:tc>
        <w:tc>
          <w:tcPr>
            <w:tcW w:w="82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9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7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6" w:hRule="exact"/>
        </w:trPr>
        <w:tc>
          <w:tcPr>
            <w:tcW w:w="2006" w:type="dxa"/>
            <w:vMerge w:val="restart"/>
            <w:tcBorders>
              <w:top w:val="nil" w:sz="6" w:space="0" w:color="auto"/>
              <w:left w:val="single" w:sz="4" w:space="0" w:color="000000"/>
              <w:right w:val="single" w:sz="4" w:space="0" w:color="000000"/>
            </w:tcBorders>
            <w:shd w:val="clear" w:color="auto" w:fill="D3D3D3"/>
          </w:tcPr>
          <w:p>
            <w:pPr/>
          </w:p>
        </w:tc>
        <w:tc>
          <w:tcPr>
            <w:tcW w:w="968" w:type="dxa"/>
            <w:vMerge/>
            <w:tcBorders>
              <w:left w:val="single" w:sz="4" w:space="0" w:color="000000"/>
              <w:bottom w:val="nil" w:sz="6" w:space="0" w:color="auto"/>
              <w:right w:val="single" w:sz="4" w:space="0" w:color="000000"/>
            </w:tcBorders>
            <w:shd w:val="clear" w:color="auto" w:fill="D3D3D3"/>
          </w:tcPr>
          <w:p>
            <w:pPr/>
          </w:p>
        </w:tc>
        <w:tc>
          <w:tcPr>
            <w:tcW w:w="826" w:type="dxa"/>
            <w:vMerge/>
            <w:tcBorders>
              <w:left w:val="single" w:sz="4" w:space="0" w:color="000000"/>
              <w:bottom w:val="nil" w:sz="6" w:space="0" w:color="auto"/>
              <w:right w:val="single" w:sz="4" w:space="0" w:color="000000"/>
            </w:tcBorders>
            <w:shd w:val="clear" w:color="auto" w:fill="D3D3D3"/>
          </w:tcPr>
          <w:p>
            <w:pPr/>
          </w:p>
        </w:tc>
        <w:tc>
          <w:tcPr>
            <w:tcW w:w="827" w:type="dxa"/>
            <w:vMerge/>
            <w:tcBorders>
              <w:left w:val="single" w:sz="4" w:space="0" w:color="000000"/>
              <w:bottom w:val="nil" w:sz="6" w:space="0" w:color="auto"/>
              <w:right w:val="single" w:sz="4" w:space="0" w:color="000000"/>
            </w:tcBorders>
            <w:shd w:val="clear" w:color="auto" w:fill="D3D3D3"/>
          </w:tcPr>
          <w:p>
            <w:pPr/>
          </w:p>
        </w:tc>
        <w:tc>
          <w:tcPr>
            <w:tcW w:w="826" w:type="dxa"/>
            <w:vMerge/>
            <w:tcBorders>
              <w:left w:val="single" w:sz="4" w:space="0" w:color="000000"/>
              <w:bottom w:val="nil" w:sz="6" w:space="0" w:color="auto"/>
              <w:right w:val="single" w:sz="4" w:space="0" w:color="000000"/>
            </w:tcBorders>
            <w:shd w:val="clear" w:color="auto" w:fill="D3D3D3"/>
          </w:tcPr>
          <w:p>
            <w:pPr/>
          </w:p>
        </w:tc>
        <w:tc>
          <w:tcPr>
            <w:tcW w:w="826" w:type="dxa"/>
            <w:vMerge/>
            <w:tcBorders>
              <w:left w:val="single" w:sz="4" w:space="0" w:color="000000"/>
              <w:right w:val="single" w:sz="4" w:space="0" w:color="000000"/>
            </w:tcBorders>
            <w:shd w:val="clear" w:color="auto" w:fill="D3D3D3"/>
          </w:tcPr>
          <w:p>
            <w:pPr/>
          </w:p>
        </w:tc>
        <w:tc>
          <w:tcPr>
            <w:tcW w:w="827" w:type="dxa"/>
            <w:vMerge/>
            <w:tcBorders>
              <w:left w:val="single" w:sz="4" w:space="0" w:color="000000"/>
              <w:bottom w:val="nil" w:sz="6" w:space="0" w:color="auto"/>
              <w:right w:val="single" w:sz="4" w:space="0" w:color="000000"/>
            </w:tcBorders>
            <w:shd w:val="clear" w:color="auto" w:fill="D3D3D3"/>
          </w:tcPr>
          <w:p>
            <w:pPr/>
          </w:p>
        </w:tc>
        <w:tc>
          <w:tcPr>
            <w:tcW w:w="826" w:type="dxa"/>
            <w:vMerge/>
            <w:tcBorders>
              <w:left w:val="single" w:sz="4" w:space="0" w:color="000000"/>
              <w:bottom w:val="nil" w:sz="6" w:space="0" w:color="auto"/>
              <w:right w:val="single" w:sz="4" w:space="0" w:color="000000"/>
            </w:tcBorders>
            <w:shd w:val="clear" w:color="auto" w:fill="D3D3D3"/>
          </w:tcPr>
          <w:p>
            <w:pPr/>
          </w:p>
        </w:tc>
        <w:tc>
          <w:tcPr>
            <w:tcW w:w="956" w:type="dxa"/>
            <w:vMerge/>
            <w:tcBorders>
              <w:left w:val="single" w:sz="4" w:space="0" w:color="000000"/>
              <w:bottom w:val="nil" w:sz="6" w:space="0" w:color="auto"/>
              <w:right w:val="single" w:sz="4" w:space="0" w:color="000000"/>
            </w:tcBorders>
            <w:shd w:val="clear" w:color="auto" w:fill="D3D3D3"/>
          </w:tcPr>
          <w:p>
            <w:pPr/>
          </w:p>
        </w:tc>
        <w:tc>
          <w:tcPr>
            <w:tcW w:w="796" w:type="dxa"/>
            <w:vMerge/>
            <w:tcBorders>
              <w:left w:val="single" w:sz="4" w:space="0" w:color="000000"/>
              <w:bottom w:val="nil" w:sz="6" w:space="0" w:color="auto"/>
              <w:right w:val="single" w:sz="4" w:space="0" w:color="000000"/>
            </w:tcBorders>
            <w:shd w:val="clear" w:color="auto" w:fill="D3D3D3"/>
          </w:tcPr>
          <w:p>
            <w:pPr/>
          </w:p>
        </w:tc>
      </w:tr>
      <w:tr>
        <w:trPr>
          <w:trHeight w:val="162" w:hRule="exact"/>
        </w:trPr>
        <w:tc>
          <w:tcPr>
            <w:tcW w:w="2006" w:type="dxa"/>
            <w:vMerge/>
            <w:tcBorders>
              <w:left w:val="single" w:sz="4" w:space="0" w:color="000000"/>
              <w:bottom w:val="single" w:sz="4" w:space="0" w:color="000000"/>
              <w:right w:val="single" w:sz="4" w:space="0" w:color="000000"/>
            </w:tcBorders>
            <w:shd w:val="clear" w:color="auto" w:fill="D3D3D3"/>
          </w:tcPr>
          <w:p>
            <w:pPr/>
          </w:p>
        </w:tc>
        <w:tc>
          <w:tcPr>
            <w:tcW w:w="968" w:type="dxa"/>
            <w:tcBorders>
              <w:top w:val="nil" w:sz="6" w:space="0" w:color="auto"/>
              <w:left w:val="single" w:sz="4" w:space="0" w:color="000000"/>
              <w:bottom w:val="single" w:sz="4" w:space="0" w:color="000000"/>
              <w:right w:val="single" w:sz="4" w:space="0" w:color="000000"/>
            </w:tcBorders>
            <w:shd w:val="clear" w:color="auto" w:fill="D3D3D3"/>
          </w:tcPr>
          <w:p>
            <w:pPr/>
          </w:p>
        </w:tc>
        <w:tc>
          <w:tcPr>
            <w:tcW w:w="826" w:type="dxa"/>
            <w:tcBorders>
              <w:top w:val="nil" w:sz="6" w:space="0" w:color="auto"/>
              <w:left w:val="single" w:sz="4" w:space="0" w:color="000000"/>
              <w:bottom w:val="single" w:sz="4" w:space="0" w:color="000000"/>
              <w:right w:val="single" w:sz="4" w:space="0" w:color="000000"/>
            </w:tcBorders>
            <w:shd w:val="clear" w:color="auto" w:fill="D3D3D3"/>
          </w:tcPr>
          <w:p>
            <w:pPr/>
          </w:p>
        </w:tc>
        <w:tc>
          <w:tcPr>
            <w:tcW w:w="8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6" w:type="dxa"/>
            <w:tcBorders>
              <w:top w:val="nil" w:sz="6" w:space="0" w:color="auto"/>
              <w:left w:val="single" w:sz="4" w:space="0" w:color="000000"/>
              <w:bottom w:val="single" w:sz="4" w:space="0" w:color="000000"/>
              <w:right w:val="single" w:sz="4" w:space="0" w:color="000000"/>
            </w:tcBorders>
            <w:shd w:val="clear" w:color="auto" w:fill="D3D3D3"/>
          </w:tcPr>
          <w:p>
            <w:pPr/>
          </w:p>
        </w:tc>
        <w:tc>
          <w:tcPr>
            <w:tcW w:w="826" w:type="dxa"/>
            <w:vMerge/>
            <w:tcBorders>
              <w:left w:val="single" w:sz="4" w:space="0" w:color="000000"/>
              <w:bottom w:val="single" w:sz="4" w:space="0" w:color="000000"/>
              <w:right w:val="single" w:sz="4" w:space="0" w:color="000000"/>
            </w:tcBorders>
            <w:shd w:val="clear" w:color="auto" w:fill="D3D3D3"/>
          </w:tcPr>
          <w:p>
            <w:pPr/>
          </w:p>
        </w:tc>
        <w:tc>
          <w:tcPr>
            <w:tcW w:w="8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6" w:type="dxa"/>
            <w:tcBorders>
              <w:top w:val="nil" w:sz="6" w:space="0" w:color="auto"/>
              <w:left w:val="single" w:sz="4" w:space="0" w:color="000000"/>
              <w:bottom w:val="single" w:sz="4" w:space="0" w:color="000000"/>
              <w:right w:val="single" w:sz="4" w:space="0" w:color="000000"/>
            </w:tcBorders>
            <w:shd w:val="clear" w:color="auto" w:fill="D3D3D3"/>
          </w:tcPr>
          <w:p>
            <w:pPr/>
          </w:p>
        </w:tc>
        <w:tc>
          <w:tcPr>
            <w:tcW w:w="956" w:type="dxa"/>
            <w:tcBorders>
              <w:top w:val="nil" w:sz="6" w:space="0" w:color="auto"/>
              <w:left w:val="single" w:sz="4" w:space="0" w:color="000000"/>
              <w:bottom w:val="single" w:sz="4" w:space="0" w:color="000000"/>
              <w:right w:val="single" w:sz="4" w:space="0" w:color="000000"/>
            </w:tcBorders>
            <w:shd w:val="clear" w:color="auto" w:fill="D3D3D3"/>
          </w:tcPr>
          <w:p>
            <w:pPr/>
          </w:p>
        </w:tc>
        <w:tc>
          <w:tcPr>
            <w:tcW w:w="79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0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69,287,982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33.02%</w:t>
            </w:r>
          </w:p>
        </w:tc>
        <w:tc>
          <w:tcPr>
            <w:tcW w:w="82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69,287,982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33.02%</w:t>
            </w:r>
          </w:p>
        </w:tc>
      </w:tr>
      <w:tr>
        <w:trPr>
          <w:trHeight w:val="402" w:hRule="exact"/>
        </w:trPr>
        <w:tc>
          <w:tcPr>
            <w:tcW w:w="20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69,287,982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33.02%</w:t>
            </w:r>
          </w:p>
        </w:tc>
        <w:tc>
          <w:tcPr>
            <w:tcW w:w="82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69,287,982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33.02%</w:t>
            </w:r>
          </w:p>
        </w:tc>
      </w:tr>
      <w:tr>
        <w:trPr>
          <w:trHeight w:val="402" w:hRule="exact"/>
        </w:trPr>
        <w:tc>
          <w:tcPr>
            <w:tcW w:w="20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140,544,018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66.98%</w:t>
            </w:r>
          </w:p>
        </w:tc>
        <w:tc>
          <w:tcPr>
            <w:tcW w:w="82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140,544,018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66.98%</w:t>
            </w:r>
          </w:p>
        </w:tc>
      </w:tr>
      <w:tr>
        <w:trPr>
          <w:trHeight w:val="402" w:hRule="exact"/>
        </w:trPr>
        <w:tc>
          <w:tcPr>
            <w:tcW w:w="20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140,544,018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66.98%</w:t>
            </w:r>
          </w:p>
        </w:tc>
        <w:tc>
          <w:tcPr>
            <w:tcW w:w="82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140,544,018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66.98%</w:t>
            </w:r>
          </w:p>
        </w:tc>
      </w:tr>
      <w:tr>
        <w:trPr>
          <w:trHeight w:val="402" w:hRule="exact"/>
        </w:trPr>
        <w:tc>
          <w:tcPr>
            <w:tcW w:w="20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209,832,000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82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209,832,000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360" w:lineRule="auto" w:before="51"/>
        <w:ind w:left="153" w:right="6711"/>
        <w:jc w:val="left"/>
      </w:pPr>
      <w:r>
        <w:rPr/>
        <w:t>股份变动的原因 报告期内，公司未发生股份变动情况。 股份变动的批准情况</w:t>
      </w:r>
    </w:p>
    <w:p>
      <w:pPr>
        <w:pStyle w:val="BodyText"/>
        <w:spacing w:line="357" w:lineRule="auto" w:before="26"/>
        <w:ind w:left="153" w:right="8151"/>
        <w:jc w:val="left"/>
      </w:pPr>
      <w:r>
        <w:rPr/>
        <w:t>□ 适用 √ 不适用 股份变动的过户情况 不适用</w:t>
      </w:r>
    </w:p>
    <w:p>
      <w:pPr>
        <w:pStyle w:val="BodyText"/>
        <w:spacing w:line="240" w:lineRule="auto" w:before="29"/>
        <w:ind w:left="153" w:right="149"/>
        <w:jc w:val="left"/>
      </w:pPr>
      <w:r>
        <w:rPr/>
        <w:t>股份变动对最近一年和最近一期基本每股收益和稀释每股收益、归属于公司普通股股东的每股净资产等财务指标的影响</w:t>
      </w:r>
    </w:p>
    <w:p>
      <w:pPr>
        <w:pStyle w:val="BodyText"/>
        <w:spacing w:line="348" w:lineRule="auto" w:before="117"/>
        <w:ind w:right="581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 无</w:t>
      </w:r>
    </w:p>
    <w:p>
      <w:pPr>
        <w:spacing w:line="240" w:lineRule="auto" w:before="13"/>
        <w:rPr>
          <w:rFonts w:ascii="宋体" w:hAnsi="宋体" w:cs="宋体" w:eastAsia="宋体" w:hint="default"/>
          <w:sz w:val="18"/>
          <w:szCs w:val="18"/>
        </w:rPr>
      </w:pPr>
    </w:p>
    <w:p>
      <w:pPr>
        <w:spacing w:line="506" w:lineRule="auto" w:before="0"/>
        <w:ind w:left="154" w:right="6292" w:firstLine="0"/>
        <w:jc w:val="left"/>
        <w:rPr>
          <w:rFonts w:ascii="宋体" w:hAnsi="宋体" w:cs="宋体" w:eastAsia="宋体" w:hint="default"/>
          <w:sz w:val="18"/>
          <w:szCs w:val="18"/>
        </w:rPr>
      </w:pPr>
      <w:r>
        <w:rPr>
          <w:rFonts w:ascii="宋体" w:hAnsi="宋体" w:cs="宋体" w:eastAsia="宋体" w:hint="default"/>
          <w:b/>
          <w:bCs/>
          <w:sz w:val="24"/>
          <w:szCs w:val="24"/>
        </w:rPr>
        <w:t>二、证券发行与上市情况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、报告期末近三年历次证券发行情况</w:t>
      </w:r>
      <w:r>
        <w:rPr>
          <w:rFonts w:ascii="宋体" w:hAnsi="宋体" w:cs="宋体" w:eastAsia="宋体" w:hint="default"/>
          <w:b/>
          <w:bCs/>
          <w:w w:val="99"/>
          <w:sz w:val="21"/>
          <w:szCs w:val="21"/>
        </w:rPr>
        <w:t> </w:t>
      </w:r>
      <w:r>
        <w:rPr>
          <w:rFonts w:ascii="宋体" w:hAnsi="宋体" w:cs="宋体" w:eastAsia="宋体" w:hint="default"/>
          <w:sz w:val="18"/>
          <w:szCs w:val="18"/>
        </w:rPr>
        <w:t>报告期末近三年本公司未发行证券。</w:t>
      </w:r>
    </w:p>
    <w:p>
      <w:pPr>
        <w:pStyle w:val="Heading3"/>
        <w:spacing w:line="240" w:lineRule="auto" w:before="152"/>
        <w:ind w:right="149"/>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9"/>
        <w:jc w:val="left"/>
      </w:pPr>
      <w:r>
        <w:rPr/>
        <w:t>报告期本公司股份总数及股东结构未发生变化，不影响资产与负债结构。</w:t>
      </w:r>
    </w:p>
    <w:p>
      <w:pPr>
        <w:spacing w:line="240" w:lineRule="auto" w:before="12"/>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9"/>
        <w:jc w:val="left"/>
      </w:pPr>
      <w:r>
        <w:rPr/>
        <w:t>公司无内部职工股。</w:t>
      </w:r>
    </w:p>
    <w:p>
      <w:pPr>
        <w:spacing w:after="0" w:line="240"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r>
        <w:rPr/>
        <w:pict>
          <v:group style="position:absolute;margin-left:193.320007pt;margin-top:497.899994pt;width:340.15pt;height:28pt;mso-position-horizontal-relative:page;mso-position-vertical-relative:page;z-index:-858160" coordorigin="3866,9958" coordsize="6803,560">
            <v:group style="position:absolute;left:3866;top:10362;width:6803;height:156" coordorigin="3866,10362" coordsize="6803,156">
              <v:shape style="position:absolute;left:3866;top:10362;width:6803;height:156" coordorigin="3866,10362" coordsize="6803,156" path="m3866,10518l10669,10518,10669,10362,3866,10362,3866,10518xe" filled="true" fillcolor="#ffffff" stroked="false">
                <v:path arrowok="t"/>
                <v:fill type="solid"/>
              </v:shape>
            </v:group>
            <v:group style="position:absolute;left:3878;top:9970;width:2;height:392" coordorigin="3878,9970" coordsize="2,392">
              <v:shape style="position:absolute;left:3878;top:9970;width:2;height:392" coordorigin="3878,9970" coordsize="0,392" path="m3878,9970l3878,10362e" filled="false" stroked="true" strokeweight="1.2pt" strokecolor="#ffffff">
                <v:path arrowok="t"/>
              </v:shape>
            </v:group>
            <v:group style="position:absolute;left:3890;top:9970;width:6756;height:393" coordorigin="3890,9970" coordsize="6756,393">
              <v:shape style="position:absolute;left:3890;top:9970;width:6756;height:393" coordorigin="3890,9970" coordsize="6756,393" path="m3890,10362l10646,10362,10646,9970,3890,9970,3890,10362xe" filled="true" fillcolor="#ffffff" stroked="false">
                <v:path arrowok="t"/>
                <v:fill type="solid"/>
              </v:shape>
            </v:group>
            <w10:wrap type="none"/>
          </v:group>
        </w:pict>
      </w:r>
    </w:p>
    <w:p>
      <w:pPr>
        <w:pStyle w:val="Heading2"/>
        <w:spacing w:line="240" w:lineRule="auto" w:before="26"/>
        <w:ind w:right="149"/>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9"/>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0"/>
        <w:gridCol w:w="1364"/>
        <w:gridCol w:w="1378"/>
        <w:gridCol w:w="929"/>
        <w:gridCol w:w="760"/>
        <w:gridCol w:w="510"/>
        <w:gridCol w:w="402"/>
        <w:gridCol w:w="912"/>
        <w:gridCol w:w="306"/>
        <w:gridCol w:w="534"/>
        <w:gridCol w:w="1086"/>
      </w:tblGrid>
      <w:tr>
        <w:trPr>
          <w:trHeight w:val="402" w:hRule="exact"/>
        </w:trPr>
        <w:tc>
          <w:tcPr>
            <w:tcW w:w="27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78" w:type="dxa"/>
            <w:tcBorders>
              <w:top w:val="single" w:sz="4" w:space="0" w:color="000000"/>
              <w:left w:val="single" w:sz="9" w:space="0" w:color="D3D3D3"/>
              <w:bottom w:val="single" w:sz="4" w:space="0" w:color="000000"/>
              <w:right w:val="single" w:sz="13"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17,770</w:t>
            </w:r>
          </w:p>
        </w:tc>
        <w:tc>
          <w:tcPr>
            <w:tcW w:w="4353"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08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16,051</w:t>
            </w:r>
          </w:p>
        </w:tc>
      </w:tr>
      <w:tr>
        <w:trPr>
          <w:trHeight w:val="402" w:hRule="exact"/>
        </w:trPr>
        <w:tc>
          <w:tcPr>
            <w:tcW w:w="954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55" w:hRule="exact"/>
        </w:trPr>
        <w:tc>
          <w:tcPr>
            <w:tcW w:w="1360" w:type="dxa"/>
            <w:vMerge w:val="restart"/>
            <w:tcBorders>
              <w:top w:val="single" w:sz="4" w:space="0" w:color="000000"/>
              <w:left w:val="single" w:sz="4" w:space="0" w:color="000000"/>
              <w:right w:val="single" w:sz="4" w:space="0" w:color="000000"/>
            </w:tcBorders>
            <w:shd w:val="clear" w:color="auto" w:fill="D3D3D3"/>
          </w:tcPr>
          <w:p>
            <w:pPr/>
          </w:p>
        </w:tc>
        <w:tc>
          <w:tcPr>
            <w:tcW w:w="1364" w:type="dxa"/>
            <w:vMerge w:val="restart"/>
            <w:tcBorders>
              <w:top w:val="single" w:sz="4" w:space="0" w:color="000000"/>
              <w:left w:val="single" w:sz="4" w:space="0" w:color="000000"/>
              <w:right w:val="single" w:sz="4" w:space="0" w:color="000000"/>
            </w:tcBorders>
            <w:shd w:val="clear" w:color="auto" w:fill="D3D3D3"/>
          </w:tcPr>
          <w:p>
            <w:pPr/>
          </w:p>
        </w:tc>
        <w:tc>
          <w:tcPr>
            <w:tcW w:w="1378" w:type="dxa"/>
            <w:vMerge w:val="restart"/>
            <w:tcBorders>
              <w:top w:val="single" w:sz="4" w:space="0" w:color="000000"/>
              <w:left w:val="single" w:sz="4" w:space="0" w:color="000000"/>
              <w:right w:val="single" w:sz="4" w:space="0" w:color="000000"/>
            </w:tcBorders>
            <w:shd w:val="clear" w:color="auto" w:fill="D3D3D3"/>
          </w:tcPr>
          <w:p>
            <w:pPr/>
          </w:p>
        </w:tc>
        <w:tc>
          <w:tcPr>
            <w:tcW w:w="929" w:type="dxa"/>
            <w:vMerge w:val="restart"/>
            <w:tcBorders>
              <w:top w:val="single" w:sz="4" w:space="0" w:color="000000"/>
              <w:left w:val="single" w:sz="4" w:space="0" w:color="000000"/>
              <w:right w:val="single" w:sz="4" w:space="0" w:color="000000"/>
            </w:tcBorders>
            <w:shd w:val="clear" w:color="auto" w:fill="D3D3D3"/>
          </w:tcPr>
          <w:p>
            <w:pPr/>
          </w:p>
        </w:tc>
        <w:tc>
          <w:tcPr>
            <w:tcW w:w="76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04" w:right="103"/>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912"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912" w:type="dxa"/>
            <w:tcBorders>
              <w:top w:val="single" w:sz="4" w:space="0" w:color="000000"/>
              <w:left w:val="single" w:sz="4" w:space="0" w:color="000000"/>
              <w:bottom w:val="nil" w:sz="6" w:space="0" w:color="auto"/>
              <w:right w:val="single" w:sz="4" w:space="0" w:color="000000"/>
            </w:tcBorders>
            <w:shd w:val="clear" w:color="auto" w:fill="D3D3D3"/>
          </w:tcPr>
          <w:p>
            <w:pPr/>
          </w:p>
        </w:tc>
        <w:tc>
          <w:tcPr>
            <w:tcW w:w="192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0" w:type="dxa"/>
            <w:vMerge/>
            <w:tcBorders>
              <w:left w:val="single" w:sz="4" w:space="0" w:color="000000"/>
              <w:right w:val="single" w:sz="4" w:space="0" w:color="000000"/>
            </w:tcBorders>
            <w:shd w:val="clear" w:color="auto" w:fill="D3D3D3"/>
          </w:tcPr>
          <w:p>
            <w:pPr/>
          </w:p>
        </w:tc>
        <w:tc>
          <w:tcPr>
            <w:tcW w:w="1364" w:type="dxa"/>
            <w:vMerge/>
            <w:tcBorders>
              <w:left w:val="single" w:sz="4" w:space="0" w:color="000000"/>
              <w:right w:val="single" w:sz="4" w:space="0" w:color="000000"/>
            </w:tcBorders>
            <w:shd w:val="clear" w:color="auto" w:fill="D3D3D3"/>
          </w:tcPr>
          <w:p>
            <w:pPr/>
          </w:p>
        </w:tc>
        <w:tc>
          <w:tcPr>
            <w:tcW w:w="1378" w:type="dxa"/>
            <w:vMerge/>
            <w:tcBorders>
              <w:left w:val="single" w:sz="4" w:space="0" w:color="000000"/>
              <w:right w:val="single" w:sz="4" w:space="0" w:color="000000"/>
            </w:tcBorders>
            <w:shd w:val="clear" w:color="auto" w:fill="D3D3D3"/>
          </w:tcPr>
          <w:p>
            <w:pPr/>
          </w:p>
        </w:tc>
        <w:tc>
          <w:tcPr>
            <w:tcW w:w="929" w:type="dxa"/>
            <w:vMerge/>
            <w:tcBorders>
              <w:left w:val="single" w:sz="4" w:space="0" w:color="000000"/>
              <w:bottom w:val="nil" w:sz="6" w:space="0" w:color="auto"/>
              <w:right w:val="single" w:sz="4" w:space="0" w:color="000000"/>
            </w:tcBorders>
            <w:shd w:val="clear" w:color="auto" w:fill="D3D3D3"/>
          </w:tcPr>
          <w:p>
            <w:pPr/>
          </w:p>
        </w:tc>
        <w:tc>
          <w:tcPr>
            <w:tcW w:w="760" w:type="dxa"/>
            <w:vMerge/>
            <w:tcBorders>
              <w:left w:val="single" w:sz="4" w:space="0" w:color="000000"/>
              <w:right w:val="single" w:sz="4" w:space="0" w:color="000000"/>
            </w:tcBorders>
            <w:shd w:val="clear" w:color="auto" w:fill="D3D3D3"/>
          </w:tcPr>
          <w:p>
            <w:pPr/>
          </w:p>
        </w:tc>
        <w:tc>
          <w:tcPr>
            <w:tcW w:w="912"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90" w:right="90"/>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12"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90" w:right="90"/>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1926" w:type="dxa"/>
            <w:gridSpan w:val="3"/>
            <w:vMerge/>
            <w:tcBorders>
              <w:left w:val="single" w:sz="4" w:space="0" w:color="000000"/>
              <w:right w:val="single" w:sz="4" w:space="0" w:color="000000"/>
            </w:tcBorders>
            <w:shd w:val="clear" w:color="auto" w:fill="D3D3D3"/>
          </w:tcPr>
          <w:p>
            <w:pPr/>
          </w:p>
        </w:tc>
      </w:tr>
      <w:tr>
        <w:trPr>
          <w:trHeight w:val="123" w:hRule="exact"/>
        </w:trPr>
        <w:tc>
          <w:tcPr>
            <w:tcW w:w="1360" w:type="dxa"/>
            <w:vMerge/>
            <w:tcBorders>
              <w:left w:val="single" w:sz="4" w:space="0" w:color="000000"/>
              <w:bottom w:val="nil" w:sz="6" w:space="0" w:color="auto"/>
              <w:right w:val="single" w:sz="4" w:space="0" w:color="000000"/>
            </w:tcBorders>
            <w:shd w:val="clear" w:color="auto" w:fill="D3D3D3"/>
          </w:tcPr>
          <w:p>
            <w:pPr/>
          </w:p>
        </w:tc>
        <w:tc>
          <w:tcPr>
            <w:tcW w:w="1364" w:type="dxa"/>
            <w:vMerge/>
            <w:tcBorders>
              <w:left w:val="single" w:sz="4" w:space="0" w:color="000000"/>
              <w:bottom w:val="nil" w:sz="6" w:space="0" w:color="auto"/>
              <w:right w:val="single" w:sz="4" w:space="0" w:color="000000"/>
            </w:tcBorders>
            <w:shd w:val="clear" w:color="auto" w:fill="D3D3D3"/>
          </w:tcPr>
          <w:p>
            <w:pPr/>
          </w:p>
        </w:tc>
        <w:tc>
          <w:tcPr>
            <w:tcW w:w="1378" w:type="dxa"/>
            <w:vMerge/>
            <w:tcBorders>
              <w:left w:val="single" w:sz="4" w:space="0" w:color="000000"/>
              <w:bottom w:val="nil" w:sz="6" w:space="0" w:color="auto"/>
              <w:right w:val="single" w:sz="4" w:space="0" w:color="000000"/>
            </w:tcBorders>
            <w:shd w:val="clear" w:color="auto" w:fill="D3D3D3"/>
          </w:tcPr>
          <w:p>
            <w:pPr/>
          </w:p>
        </w:tc>
        <w:tc>
          <w:tcPr>
            <w:tcW w:w="929"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97" w:right="101"/>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60" w:type="dxa"/>
            <w:vMerge/>
            <w:tcBorders>
              <w:left w:val="single" w:sz="4" w:space="0" w:color="000000"/>
              <w:right w:val="single" w:sz="4" w:space="0" w:color="000000"/>
            </w:tcBorders>
            <w:shd w:val="clear" w:color="auto" w:fill="D3D3D3"/>
          </w:tcPr>
          <w:p>
            <w:pPr/>
          </w:p>
        </w:tc>
        <w:tc>
          <w:tcPr>
            <w:tcW w:w="912" w:type="dxa"/>
            <w:gridSpan w:val="2"/>
            <w:vMerge/>
            <w:tcBorders>
              <w:left w:val="single" w:sz="4" w:space="0" w:color="000000"/>
              <w:right w:val="single" w:sz="4" w:space="0" w:color="000000"/>
            </w:tcBorders>
            <w:shd w:val="clear" w:color="auto" w:fill="D3D3D3"/>
          </w:tcPr>
          <w:p>
            <w:pPr/>
          </w:p>
        </w:tc>
        <w:tc>
          <w:tcPr>
            <w:tcW w:w="912" w:type="dxa"/>
            <w:vMerge/>
            <w:tcBorders>
              <w:left w:val="single" w:sz="4" w:space="0" w:color="000000"/>
              <w:right w:val="single" w:sz="4" w:space="0" w:color="000000"/>
            </w:tcBorders>
            <w:shd w:val="clear" w:color="auto" w:fill="D3D3D3"/>
          </w:tcPr>
          <w:p>
            <w:pPr/>
          </w:p>
        </w:tc>
        <w:tc>
          <w:tcPr>
            <w:tcW w:w="1926" w:type="dxa"/>
            <w:gridSpan w:val="3"/>
            <w:vMerge/>
            <w:tcBorders>
              <w:left w:val="single" w:sz="4" w:space="0" w:color="000000"/>
              <w:bottom w:val="single" w:sz="4" w:space="0" w:color="000000"/>
              <w:right w:val="single" w:sz="4" w:space="0" w:color="000000"/>
            </w:tcBorders>
            <w:shd w:val="clear" w:color="auto" w:fill="D3D3D3"/>
          </w:tcPr>
          <w:p>
            <w:pPr/>
          </w:p>
        </w:tc>
      </w:tr>
      <w:tr>
        <w:trPr>
          <w:trHeight w:val="239" w:hRule="exact"/>
        </w:trPr>
        <w:tc>
          <w:tcPr>
            <w:tcW w:w="136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4"/>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4"/>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7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4"/>
              <w:ind w:left="68"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29" w:type="dxa"/>
            <w:vMerge/>
            <w:tcBorders>
              <w:left w:val="single" w:sz="4" w:space="0" w:color="000000"/>
              <w:right w:val="single" w:sz="4" w:space="0" w:color="000000"/>
            </w:tcBorders>
            <w:shd w:val="clear" w:color="auto" w:fill="D3D3D3"/>
          </w:tcPr>
          <w:p>
            <w:pPr/>
          </w:p>
        </w:tc>
        <w:tc>
          <w:tcPr>
            <w:tcW w:w="760" w:type="dxa"/>
            <w:vMerge/>
            <w:tcBorders>
              <w:left w:val="single" w:sz="4" w:space="0" w:color="000000"/>
              <w:right w:val="single" w:sz="4" w:space="0" w:color="000000"/>
            </w:tcBorders>
            <w:shd w:val="clear" w:color="auto" w:fill="D3D3D3"/>
          </w:tcPr>
          <w:p>
            <w:pPr/>
          </w:p>
        </w:tc>
        <w:tc>
          <w:tcPr>
            <w:tcW w:w="912" w:type="dxa"/>
            <w:gridSpan w:val="2"/>
            <w:vMerge/>
            <w:tcBorders>
              <w:left w:val="single" w:sz="4" w:space="0" w:color="000000"/>
              <w:right w:val="single" w:sz="4" w:space="0" w:color="000000"/>
            </w:tcBorders>
            <w:shd w:val="clear" w:color="auto" w:fill="D3D3D3"/>
          </w:tcPr>
          <w:p>
            <w:pPr/>
          </w:p>
        </w:tc>
        <w:tc>
          <w:tcPr>
            <w:tcW w:w="912" w:type="dxa"/>
            <w:vMerge/>
            <w:tcBorders>
              <w:left w:val="single" w:sz="4" w:space="0" w:color="000000"/>
              <w:right w:val="single" w:sz="4" w:space="0" w:color="000000"/>
            </w:tcBorders>
            <w:shd w:val="clear" w:color="auto" w:fill="D3D3D3"/>
          </w:tcPr>
          <w:p>
            <w:pPr/>
          </w:p>
        </w:tc>
        <w:tc>
          <w:tcPr>
            <w:tcW w:w="84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08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8" w:hRule="exact"/>
        </w:trPr>
        <w:tc>
          <w:tcPr>
            <w:tcW w:w="1360" w:type="dxa"/>
            <w:vMerge/>
            <w:tcBorders>
              <w:left w:val="single" w:sz="4" w:space="0" w:color="000000"/>
              <w:bottom w:val="nil" w:sz="6" w:space="0" w:color="auto"/>
              <w:right w:val="single" w:sz="4" w:space="0" w:color="000000"/>
            </w:tcBorders>
            <w:shd w:val="clear" w:color="auto" w:fill="D3D3D3"/>
          </w:tcPr>
          <w:p>
            <w:pPr/>
          </w:p>
        </w:tc>
        <w:tc>
          <w:tcPr>
            <w:tcW w:w="1364" w:type="dxa"/>
            <w:vMerge/>
            <w:tcBorders>
              <w:left w:val="single" w:sz="4" w:space="0" w:color="000000"/>
              <w:bottom w:val="nil" w:sz="6" w:space="0" w:color="auto"/>
              <w:right w:val="single" w:sz="4" w:space="0" w:color="000000"/>
            </w:tcBorders>
            <w:shd w:val="clear" w:color="auto" w:fill="D3D3D3"/>
          </w:tcPr>
          <w:p>
            <w:pPr/>
          </w:p>
        </w:tc>
        <w:tc>
          <w:tcPr>
            <w:tcW w:w="1378" w:type="dxa"/>
            <w:vMerge/>
            <w:tcBorders>
              <w:left w:val="single" w:sz="4" w:space="0" w:color="000000"/>
              <w:bottom w:val="nil" w:sz="6" w:space="0" w:color="auto"/>
              <w:right w:val="single" w:sz="4" w:space="0" w:color="000000"/>
            </w:tcBorders>
            <w:shd w:val="clear" w:color="auto" w:fill="D3D3D3"/>
          </w:tcPr>
          <w:p>
            <w:pPr/>
          </w:p>
        </w:tc>
        <w:tc>
          <w:tcPr>
            <w:tcW w:w="929" w:type="dxa"/>
            <w:vMerge/>
            <w:tcBorders>
              <w:left w:val="single" w:sz="4" w:space="0" w:color="000000"/>
              <w:right w:val="single" w:sz="4" w:space="0" w:color="000000"/>
            </w:tcBorders>
            <w:shd w:val="clear" w:color="auto" w:fill="D3D3D3"/>
          </w:tcPr>
          <w:p>
            <w:pPr/>
          </w:p>
        </w:tc>
        <w:tc>
          <w:tcPr>
            <w:tcW w:w="760" w:type="dxa"/>
            <w:vMerge/>
            <w:tcBorders>
              <w:left w:val="single" w:sz="4" w:space="0" w:color="000000"/>
              <w:right w:val="single" w:sz="4" w:space="0" w:color="000000"/>
            </w:tcBorders>
            <w:shd w:val="clear" w:color="auto" w:fill="D3D3D3"/>
          </w:tcPr>
          <w:p>
            <w:pPr/>
          </w:p>
        </w:tc>
        <w:tc>
          <w:tcPr>
            <w:tcW w:w="912" w:type="dxa"/>
            <w:gridSpan w:val="2"/>
            <w:vMerge/>
            <w:tcBorders>
              <w:left w:val="single" w:sz="4" w:space="0" w:color="000000"/>
              <w:right w:val="single" w:sz="4" w:space="0" w:color="000000"/>
            </w:tcBorders>
            <w:shd w:val="clear" w:color="auto" w:fill="D3D3D3"/>
          </w:tcPr>
          <w:p>
            <w:pPr/>
          </w:p>
        </w:tc>
        <w:tc>
          <w:tcPr>
            <w:tcW w:w="912" w:type="dxa"/>
            <w:vMerge/>
            <w:tcBorders>
              <w:left w:val="single" w:sz="4" w:space="0" w:color="000000"/>
              <w:right w:val="single" w:sz="4" w:space="0" w:color="000000"/>
            </w:tcBorders>
            <w:shd w:val="clear" w:color="auto" w:fill="D3D3D3"/>
          </w:tcPr>
          <w:p>
            <w:pPr/>
          </w:p>
        </w:tc>
        <w:tc>
          <w:tcPr>
            <w:tcW w:w="84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80" w:hRule="exact"/>
        </w:trPr>
        <w:tc>
          <w:tcPr>
            <w:tcW w:w="1360" w:type="dxa"/>
            <w:vMerge w:val="restart"/>
            <w:tcBorders>
              <w:top w:val="nil" w:sz="6" w:space="0" w:color="auto"/>
              <w:left w:val="single" w:sz="4" w:space="0" w:color="000000"/>
              <w:right w:val="single" w:sz="4" w:space="0" w:color="000000"/>
            </w:tcBorders>
            <w:shd w:val="clear" w:color="auto" w:fill="D3D3D3"/>
          </w:tcPr>
          <w:p>
            <w:pPr/>
          </w:p>
        </w:tc>
        <w:tc>
          <w:tcPr>
            <w:tcW w:w="1364" w:type="dxa"/>
            <w:vMerge w:val="restart"/>
            <w:tcBorders>
              <w:top w:val="nil" w:sz="6" w:space="0" w:color="auto"/>
              <w:left w:val="single" w:sz="4" w:space="0" w:color="000000"/>
              <w:right w:val="single" w:sz="4" w:space="0" w:color="000000"/>
            </w:tcBorders>
            <w:shd w:val="clear" w:color="auto" w:fill="D3D3D3"/>
          </w:tcPr>
          <w:p>
            <w:pPr/>
          </w:p>
        </w:tc>
        <w:tc>
          <w:tcPr>
            <w:tcW w:w="1378" w:type="dxa"/>
            <w:vMerge w:val="restart"/>
            <w:tcBorders>
              <w:top w:val="nil" w:sz="6" w:space="0" w:color="auto"/>
              <w:left w:val="single" w:sz="4" w:space="0" w:color="000000"/>
              <w:right w:val="single" w:sz="4" w:space="0" w:color="000000"/>
            </w:tcBorders>
            <w:shd w:val="clear" w:color="auto" w:fill="D3D3D3"/>
          </w:tcPr>
          <w:p>
            <w:pPr/>
          </w:p>
        </w:tc>
        <w:tc>
          <w:tcPr>
            <w:tcW w:w="929" w:type="dxa"/>
            <w:vMerge/>
            <w:tcBorders>
              <w:left w:val="single" w:sz="4" w:space="0" w:color="000000"/>
              <w:bottom w:val="nil" w:sz="6" w:space="0" w:color="auto"/>
              <w:right w:val="single" w:sz="4" w:space="0" w:color="000000"/>
            </w:tcBorders>
            <w:shd w:val="clear" w:color="auto" w:fill="D3D3D3"/>
          </w:tcPr>
          <w:p>
            <w:pPr/>
          </w:p>
        </w:tc>
        <w:tc>
          <w:tcPr>
            <w:tcW w:w="760" w:type="dxa"/>
            <w:vMerge/>
            <w:tcBorders>
              <w:left w:val="single" w:sz="4" w:space="0" w:color="000000"/>
              <w:right w:val="single" w:sz="4" w:space="0" w:color="000000"/>
            </w:tcBorders>
            <w:shd w:val="clear" w:color="auto" w:fill="D3D3D3"/>
          </w:tcPr>
          <w:p>
            <w:pPr/>
          </w:p>
        </w:tc>
        <w:tc>
          <w:tcPr>
            <w:tcW w:w="912" w:type="dxa"/>
            <w:gridSpan w:val="2"/>
            <w:vMerge/>
            <w:tcBorders>
              <w:left w:val="single" w:sz="4" w:space="0" w:color="000000"/>
              <w:right w:val="single" w:sz="4" w:space="0" w:color="000000"/>
            </w:tcBorders>
            <w:shd w:val="clear" w:color="auto" w:fill="D3D3D3"/>
          </w:tcPr>
          <w:p>
            <w:pPr/>
          </w:p>
        </w:tc>
        <w:tc>
          <w:tcPr>
            <w:tcW w:w="912" w:type="dxa"/>
            <w:vMerge/>
            <w:tcBorders>
              <w:left w:val="single" w:sz="4" w:space="0" w:color="000000"/>
              <w:right w:val="single" w:sz="4" w:space="0" w:color="000000"/>
            </w:tcBorders>
            <w:shd w:val="clear" w:color="auto" w:fill="D3D3D3"/>
          </w:tcPr>
          <w:p>
            <w:pPr/>
          </w:p>
        </w:tc>
        <w:tc>
          <w:tcPr>
            <w:tcW w:w="840" w:type="dxa"/>
            <w:gridSpan w:val="2"/>
            <w:vMerge/>
            <w:tcBorders>
              <w:left w:val="single" w:sz="4" w:space="0" w:color="000000"/>
              <w:bottom w:val="nil" w:sz="6" w:space="0" w:color="auto"/>
              <w:right w:val="single" w:sz="4" w:space="0" w:color="000000"/>
            </w:tcBorders>
            <w:shd w:val="clear" w:color="auto" w:fill="D3D3D3"/>
          </w:tcPr>
          <w:p>
            <w:pPr/>
          </w:p>
        </w:tc>
        <w:tc>
          <w:tcPr>
            <w:tcW w:w="1086" w:type="dxa"/>
            <w:vMerge/>
            <w:tcBorders>
              <w:left w:val="single" w:sz="4" w:space="0" w:color="000000"/>
              <w:bottom w:val="nil" w:sz="6" w:space="0" w:color="auto"/>
              <w:right w:val="single" w:sz="4" w:space="0" w:color="000000"/>
            </w:tcBorders>
            <w:shd w:val="clear" w:color="auto" w:fill="D3D3D3"/>
          </w:tcPr>
          <w:p>
            <w:pPr/>
          </w:p>
        </w:tc>
      </w:tr>
      <w:tr>
        <w:trPr>
          <w:trHeight w:val="132" w:hRule="exact"/>
        </w:trPr>
        <w:tc>
          <w:tcPr>
            <w:tcW w:w="1360" w:type="dxa"/>
            <w:vMerge/>
            <w:tcBorders>
              <w:left w:val="single" w:sz="4" w:space="0" w:color="000000"/>
              <w:right w:val="single" w:sz="4" w:space="0" w:color="000000"/>
            </w:tcBorders>
            <w:shd w:val="clear" w:color="auto" w:fill="D3D3D3"/>
          </w:tcPr>
          <w:p>
            <w:pPr/>
          </w:p>
        </w:tc>
        <w:tc>
          <w:tcPr>
            <w:tcW w:w="1364" w:type="dxa"/>
            <w:vMerge/>
            <w:tcBorders>
              <w:left w:val="single" w:sz="4" w:space="0" w:color="000000"/>
              <w:right w:val="single" w:sz="4" w:space="0" w:color="000000"/>
            </w:tcBorders>
            <w:shd w:val="clear" w:color="auto" w:fill="D3D3D3"/>
          </w:tcPr>
          <w:p>
            <w:pPr/>
          </w:p>
        </w:tc>
        <w:tc>
          <w:tcPr>
            <w:tcW w:w="1378" w:type="dxa"/>
            <w:vMerge/>
            <w:tcBorders>
              <w:left w:val="single" w:sz="4" w:space="0" w:color="000000"/>
              <w:right w:val="single" w:sz="4" w:space="0" w:color="000000"/>
            </w:tcBorders>
            <w:shd w:val="clear" w:color="auto" w:fill="D3D3D3"/>
          </w:tcPr>
          <w:p>
            <w:pPr/>
          </w:p>
        </w:tc>
        <w:tc>
          <w:tcPr>
            <w:tcW w:w="929" w:type="dxa"/>
            <w:vMerge w:val="restart"/>
            <w:tcBorders>
              <w:top w:val="nil" w:sz="6" w:space="0" w:color="auto"/>
              <w:left w:val="single" w:sz="4" w:space="0" w:color="000000"/>
              <w:right w:val="single" w:sz="4" w:space="0" w:color="000000"/>
            </w:tcBorders>
            <w:shd w:val="clear" w:color="auto" w:fill="D3D3D3"/>
          </w:tcPr>
          <w:p>
            <w:pPr/>
          </w:p>
        </w:tc>
        <w:tc>
          <w:tcPr>
            <w:tcW w:w="760" w:type="dxa"/>
            <w:vMerge/>
            <w:tcBorders>
              <w:left w:val="single" w:sz="4" w:space="0" w:color="000000"/>
              <w:right w:val="single" w:sz="4" w:space="0" w:color="000000"/>
            </w:tcBorders>
            <w:shd w:val="clear" w:color="auto" w:fill="D3D3D3"/>
          </w:tcPr>
          <w:p>
            <w:pPr/>
          </w:p>
        </w:tc>
        <w:tc>
          <w:tcPr>
            <w:tcW w:w="912" w:type="dxa"/>
            <w:gridSpan w:val="2"/>
            <w:vMerge/>
            <w:tcBorders>
              <w:left w:val="single" w:sz="4" w:space="0" w:color="000000"/>
              <w:bottom w:val="nil" w:sz="6" w:space="0" w:color="auto"/>
              <w:right w:val="single" w:sz="4" w:space="0" w:color="000000"/>
            </w:tcBorders>
            <w:shd w:val="clear" w:color="auto" w:fill="D3D3D3"/>
          </w:tcPr>
          <w:p>
            <w:pPr/>
          </w:p>
        </w:tc>
        <w:tc>
          <w:tcPr>
            <w:tcW w:w="912" w:type="dxa"/>
            <w:vMerge/>
            <w:tcBorders>
              <w:left w:val="single" w:sz="4" w:space="0" w:color="000000"/>
              <w:bottom w:val="nil" w:sz="6" w:space="0" w:color="auto"/>
              <w:right w:val="single" w:sz="4" w:space="0" w:color="000000"/>
            </w:tcBorders>
            <w:shd w:val="clear" w:color="auto" w:fill="D3D3D3"/>
          </w:tcPr>
          <w:p>
            <w:pPr/>
          </w:p>
        </w:tc>
        <w:tc>
          <w:tcPr>
            <w:tcW w:w="840" w:type="dxa"/>
            <w:gridSpan w:val="2"/>
            <w:vMerge w:val="restart"/>
            <w:tcBorders>
              <w:top w:val="nil" w:sz="6" w:space="0" w:color="auto"/>
              <w:left w:val="single" w:sz="4" w:space="0" w:color="000000"/>
              <w:right w:val="single" w:sz="4" w:space="0" w:color="000000"/>
            </w:tcBorders>
            <w:shd w:val="clear" w:color="auto" w:fill="D3D3D3"/>
          </w:tcPr>
          <w:p>
            <w:pPr/>
          </w:p>
        </w:tc>
        <w:tc>
          <w:tcPr>
            <w:tcW w:w="1086" w:type="dxa"/>
            <w:vMerge w:val="restart"/>
            <w:tcBorders>
              <w:top w:val="nil" w:sz="6" w:space="0" w:color="auto"/>
              <w:left w:val="single" w:sz="4" w:space="0" w:color="000000"/>
              <w:right w:val="single" w:sz="4" w:space="0" w:color="000000"/>
            </w:tcBorders>
            <w:shd w:val="clear" w:color="auto" w:fill="D3D3D3"/>
          </w:tcPr>
          <w:p>
            <w:pPr/>
          </w:p>
        </w:tc>
      </w:tr>
      <w:tr>
        <w:trPr>
          <w:trHeight w:val="165" w:hRule="exact"/>
        </w:trPr>
        <w:tc>
          <w:tcPr>
            <w:tcW w:w="1360" w:type="dxa"/>
            <w:vMerge/>
            <w:tcBorders>
              <w:left w:val="single" w:sz="4" w:space="0" w:color="000000"/>
              <w:bottom w:val="single" w:sz="4" w:space="0" w:color="000000"/>
              <w:right w:val="single" w:sz="4" w:space="0" w:color="000000"/>
            </w:tcBorders>
            <w:shd w:val="clear" w:color="auto" w:fill="D3D3D3"/>
          </w:tcPr>
          <w:p>
            <w:pPr/>
          </w:p>
        </w:tc>
        <w:tc>
          <w:tcPr>
            <w:tcW w:w="1364" w:type="dxa"/>
            <w:vMerge/>
            <w:tcBorders>
              <w:left w:val="single" w:sz="4" w:space="0" w:color="000000"/>
              <w:bottom w:val="single" w:sz="4" w:space="0" w:color="000000"/>
              <w:right w:val="single" w:sz="4" w:space="0" w:color="000000"/>
            </w:tcBorders>
            <w:shd w:val="clear" w:color="auto" w:fill="D3D3D3"/>
          </w:tcPr>
          <w:p>
            <w:pPr/>
          </w:p>
        </w:tc>
        <w:tc>
          <w:tcPr>
            <w:tcW w:w="1378" w:type="dxa"/>
            <w:vMerge/>
            <w:tcBorders>
              <w:left w:val="single" w:sz="4" w:space="0" w:color="000000"/>
              <w:bottom w:val="single" w:sz="4" w:space="0" w:color="000000"/>
              <w:right w:val="single" w:sz="4" w:space="0" w:color="000000"/>
            </w:tcBorders>
            <w:shd w:val="clear" w:color="auto" w:fill="D3D3D3"/>
          </w:tcPr>
          <w:p>
            <w:pPr/>
          </w:p>
        </w:tc>
        <w:tc>
          <w:tcPr>
            <w:tcW w:w="929" w:type="dxa"/>
            <w:vMerge/>
            <w:tcBorders>
              <w:left w:val="single" w:sz="4" w:space="0" w:color="000000"/>
              <w:bottom w:val="single" w:sz="4" w:space="0" w:color="000000"/>
              <w:right w:val="single" w:sz="4" w:space="0" w:color="000000"/>
            </w:tcBorders>
            <w:shd w:val="clear" w:color="auto" w:fill="D3D3D3"/>
          </w:tcPr>
          <w:p>
            <w:pPr/>
          </w:p>
        </w:tc>
        <w:tc>
          <w:tcPr>
            <w:tcW w:w="760" w:type="dxa"/>
            <w:vMerge/>
            <w:tcBorders>
              <w:left w:val="single" w:sz="4" w:space="0" w:color="000000"/>
              <w:bottom w:val="single" w:sz="4" w:space="0" w:color="000000"/>
              <w:right w:val="single" w:sz="4" w:space="0" w:color="000000"/>
            </w:tcBorders>
            <w:shd w:val="clear" w:color="auto" w:fill="D3D3D3"/>
          </w:tcPr>
          <w:p>
            <w:pPr/>
          </w:p>
        </w:tc>
        <w:tc>
          <w:tcPr>
            <w:tcW w:w="912"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912" w:type="dxa"/>
            <w:tcBorders>
              <w:top w:val="nil" w:sz="6" w:space="0" w:color="auto"/>
              <w:left w:val="single" w:sz="4" w:space="0" w:color="000000"/>
              <w:bottom w:val="single" w:sz="4" w:space="0" w:color="000000"/>
              <w:right w:val="single" w:sz="4" w:space="0" w:color="000000"/>
            </w:tcBorders>
            <w:shd w:val="clear" w:color="auto" w:fill="D3D3D3"/>
          </w:tcPr>
          <w:p>
            <w:pPr/>
          </w:p>
        </w:tc>
        <w:tc>
          <w:tcPr>
            <w:tcW w:w="840" w:type="dxa"/>
            <w:gridSpan w:val="2"/>
            <w:vMerge/>
            <w:tcBorders>
              <w:left w:val="single" w:sz="4" w:space="0" w:color="000000"/>
              <w:bottom w:val="single" w:sz="4" w:space="0" w:color="000000"/>
              <w:right w:val="single" w:sz="4" w:space="0" w:color="000000"/>
            </w:tcBorders>
            <w:shd w:val="clear" w:color="auto" w:fill="D3D3D3"/>
          </w:tcPr>
          <w:p>
            <w:pPr/>
          </w:p>
        </w:tc>
        <w:tc>
          <w:tcPr>
            <w:tcW w:w="108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31.18%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65,423,232</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49,067,424</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16,355,808</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32,355,800</w:t>
            </w: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曾胜辉</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2"/>
                <w:sz w:val="18"/>
              </w:rPr>
              <w:t>11.7%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24,540,504</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18,405,378</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6,135,126</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许忠桂</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10.94%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22,962,936</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912" w:type="dxa"/>
            <w:gridSpan w:val="2"/>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22,962,936</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8,860,000</w:t>
            </w:r>
          </w:p>
        </w:tc>
      </w:tr>
      <w:tr>
        <w:trPr>
          <w:trHeight w:val="1026"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诺安中小盘精选 股票型证券投资 基金</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0.72%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1,513,882</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-769,631</w:t>
            </w:r>
          </w:p>
        </w:tc>
        <w:tc>
          <w:tcPr>
            <w:tcW w:w="912" w:type="dxa"/>
            <w:gridSpan w:val="2"/>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1,513,882</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许忠孝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0.64%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1,336,359</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45,000</w:t>
            </w:r>
          </w:p>
        </w:tc>
        <w:tc>
          <w:tcPr>
            <w:tcW w:w="912" w:type="dxa"/>
            <w:gridSpan w:val="2"/>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1,336,359</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0.61%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1,286,240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0</w:t>
            </w:r>
          </w:p>
        </w:tc>
        <w:tc>
          <w:tcPr>
            <w:tcW w:w="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964,680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321,560</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曾放云</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0.51%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1,068,102</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912" w:type="dxa"/>
            <w:gridSpan w:val="2"/>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1,068,102</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张伟松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0.35%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731,360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-40,000</w:t>
            </w:r>
          </w:p>
        </w:tc>
        <w:tc>
          <w:tcPr>
            <w:tcW w:w="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578,520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152,840</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谢立民</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0.34%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723,060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557,246</w:t>
            </w:r>
          </w:p>
        </w:tc>
        <w:tc>
          <w:tcPr>
            <w:tcW w:w="912" w:type="dxa"/>
            <w:gridSpan w:val="2"/>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723,060</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童凤美</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0.26%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543,125</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543,125</w:t>
            </w:r>
          </w:p>
        </w:tc>
        <w:tc>
          <w:tcPr>
            <w:tcW w:w="912" w:type="dxa"/>
            <w:gridSpan w:val="2"/>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543,125</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6"/>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名股东的情况（如有</w:t>
            </w:r>
          </w:p>
        </w:tc>
        <w:tc>
          <w:tcPr>
            <w:tcW w:w="6816" w:type="dxa"/>
            <w:gridSpan w:val="9"/>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196" w:lineRule="exact"/>
              <w:ind w:left="21" w:right="0"/>
              <w:jc w:val="left"/>
              <w:rPr>
                <w:rFonts w:ascii="宋体" w:hAnsi="宋体" w:cs="宋体" w:eastAsia="宋体" w:hint="default"/>
                <w:sz w:val="18"/>
                <w:szCs w:val="18"/>
              </w:rPr>
            </w:pPr>
            <w:r>
              <w:rPr>
                <w:rFonts w:ascii="宋体" w:hAnsi="宋体" w:cs="宋体" w:eastAsia="宋体" w:hint="default"/>
                <w:sz w:val="18"/>
                <w:szCs w:val="18"/>
              </w:rPr>
              <w:t>无</w:t>
            </w:r>
          </w:p>
          <w:p>
            <w:pPr>
              <w:pStyle w:val="TableParagraph"/>
              <w:spacing w:line="196"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714" w:hRule="exact"/>
        </w:trPr>
        <w:tc>
          <w:tcPr>
            <w:tcW w:w="27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9"/>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16" w:type="dxa"/>
            <w:gridSpan w:val="9"/>
            <w:tcBorders>
              <w:top w:val="single" w:sz="4" w:space="0" w:color="000000"/>
              <w:left w:val="single" w:sz="9" w:space="0" w:color="D3D3D3"/>
              <w:bottom w:val="single" w:sz="4" w:space="0" w:color="000000"/>
              <w:right w:val="single" w:sz="4" w:space="0" w:color="000000"/>
            </w:tcBorders>
          </w:tcPr>
          <w:p>
            <w:pPr>
              <w:pStyle w:val="TableParagraph"/>
              <w:spacing w:line="319" w:lineRule="auto" w:before="51"/>
              <w:ind w:left="21" w:right="21"/>
              <w:jc w:val="left"/>
              <w:rPr>
                <w:rFonts w:ascii="宋体" w:hAnsi="宋体" w:cs="宋体" w:eastAsia="宋体" w:hint="default"/>
                <w:sz w:val="18"/>
                <w:szCs w:val="18"/>
              </w:rPr>
            </w:pPr>
            <w:r>
              <w:rPr>
                <w:rFonts w:ascii="宋体" w:hAnsi="宋体" w:cs="宋体" w:eastAsia="宋体" w:hint="default"/>
                <w:spacing w:val="-3"/>
                <w:sz w:val="18"/>
                <w:szCs w:val="18"/>
              </w:rPr>
              <w:t>上述股东中，曾胜强与许忠桂是配偶关系，曾胜辉为曾胜强之弟，许忠孝、许忠慈为许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忠桂之兄，谢立民为曾胜强之妹夫。其余股东未知其关联关系或是否为一致行动人。</w:t>
            </w:r>
          </w:p>
        </w:tc>
      </w:tr>
      <w:tr>
        <w:trPr>
          <w:trHeight w:val="402" w:hRule="exact"/>
        </w:trPr>
        <w:tc>
          <w:tcPr>
            <w:tcW w:w="954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1" w:hRule="exact"/>
        </w:trPr>
        <w:tc>
          <w:tcPr>
            <w:tcW w:w="2724"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3576"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3240"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2724"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576" w:type="dxa"/>
            <w:gridSpan w:val="4"/>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278"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3240" w:type="dxa"/>
            <w:gridSpan w:val="5"/>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724" w:type="dxa"/>
            <w:gridSpan w:val="2"/>
            <w:vMerge/>
            <w:tcBorders>
              <w:left w:val="single" w:sz="4" w:space="0" w:color="000000"/>
              <w:bottom w:val="nil" w:sz="6" w:space="0" w:color="auto"/>
              <w:right w:val="single" w:sz="4" w:space="0" w:color="000000"/>
            </w:tcBorders>
            <w:shd w:val="clear" w:color="auto" w:fill="D3D3D3"/>
          </w:tcPr>
          <w:p>
            <w:pPr/>
          </w:p>
        </w:tc>
        <w:tc>
          <w:tcPr>
            <w:tcW w:w="3576" w:type="dxa"/>
            <w:gridSpan w:val="4"/>
            <w:vMerge/>
            <w:tcBorders>
              <w:left w:val="single" w:sz="4" w:space="0" w:color="000000"/>
              <w:bottom w:val="nil" w:sz="6" w:space="0" w:color="auto"/>
              <w:right w:val="single" w:sz="4" w:space="0" w:color="000000"/>
            </w:tcBorders>
            <w:shd w:val="clear" w:color="auto" w:fill="D3D3D3"/>
          </w:tcPr>
          <w:p>
            <w:pPr/>
          </w:p>
        </w:tc>
        <w:tc>
          <w:tcPr>
            <w:tcW w:w="1620"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44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62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11" w:hRule="exact"/>
        </w:trPr>
        <w:tc>
          <w:tcPr>
            <w:tcW w:w="2724"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3576"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1620" w:type="dxa"/>
            <w:gridSpan w:val="3"/>
            <w:vMerge/>
            <w:tcBorders>
              <w:left w:val="single" w:sz="4" w:space="0" w:color="000000"/>
              <w:bottom w:val="single" w:sz="4" w:space="0" w:color="000000"/>
              <w:right w:val="single" w:sz="4" w:space="0" w:color="000000"/>
            </w:tcBorders>
            <w:shd w:val="clear" w:color="auto" w:fill="D3D3D3"/>
          </w:tcPr>
          <w:p>
            <w:pPr/>
          </w:p>
        </w:tc>
        <w:tc>
          <w:tcPr>
            <w:tcW w:w="1620" w:type="dxa"/>
            <w:gridSpan w:val="2"/>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7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许忠桂</w:t>
            </w:r>
          </w:p>
        </w:tc>
        <w:tc>
          <w:tcPr>
            <w:tcW w:w="35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22,962,936</w:t>
            </w:r>
          </w:p>
        </w:tc>
        <w:tc>
          <w:tcPr>
            <w:tcW w:w="1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5" w:right="0"/>
              <w:jc w:val="left"/>
              <w:rPr>
                <w:rFonts w:ascii="Times New Roman" w:hAnsi="Times New Roman" w:cs="Times New Roman" w:eastAsia="Times New Roman" w:hint="default"/>
                <w:sz w:val="18"/>
                <w:szCs w:val="18"/>
              </w:rPr>
            </w:pPr>
            <w:r>
              <w:rPr>
                <w:rFonts w:ascii="Times New Roman"/>
                <w:sz w:val="18"/>
              </w:rPr>
              <w:t>22,962,936</w:t>
            </w:r>
          </w:p>
        </w:tc>
      </w:tr>
      <w:tr>
        <w:trPr>
          <w:trHeight w:val="402" w:hRule="exact"/>
        </w:trPr>
        <w:tc>
          <w:tcPr>
            <w:tcW w:w="27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35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16,355,808</w:t>
            </w:r>
          </w:p>
        </w:tc>
        <w:tc>
          <w:tcPr>
            <w:tcW w:w="1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5" w:right="0"/>
              <w:jc w:val="left"/>
              <w:rPr>
                <w:rFonts w:ascii="Times New Roman" w:hAnsi="Times New Roman" w:cs="Times New Roman" w:eastAsia="Times New Roman" w:hint="default"/>
                <w:sz w:val="18"/>
                <w:szCs w:val="18"/>
              </w:rPr>
            </w:pPr>
            <w:r>
              <w:rPr>
                <w:rFonts w:ascii="Times New Roman"/>
                <w:sz w:val="18"/>
              </w:rPr>
              <w:t>16,355,808</w:t>
            </w:r>
          </w:p>
        </w:tc>
      </w:tr>
      <w:tr>
        <w:trPr>
          <w:trHeight w:val="402" w:hRule="exact"/>
        </w:trPr>
        <w:tc>
          <w:tcPr>
            <w:tcW w:w="27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曾胜辉</w:t>
            </w:r>
          </w:p>
        </w:tc>
        <w:tc>
          <w:tcPr>
            <w:tcW w:w="35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6,135,126</w:t>
            </w:r>
          </w:p>
        </w:tc>
        <w:tc>
          <w:tcPr>
            <w:tcW w:w="1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5" w:right="0"/>
              <w:jc w:val="left"/>
              <w:rPr>
                <w:rFonts w:ascii="Times New Roman" w:hAnsi="Times New Roman" w:cs="Times New Roman" w:eastAsia="Times New Roman" w:hint="default"/>
                <w:sz w:val="18"/>
                <w:szCs w:val="18"/>
              </w:rPr>
            </w:pPr>
            <w:r>
              <w:rPr>
                <w:rFonts w:ascii="Times New Roman"/>
                <w:sz w:val="18"/>
              </w:rPr>
              <w:t>6,135,126</w:t>
            </w:r>
          </w:p>
        </w:tc>
      </w:tr>
      <w:tr>
        <w:trPr>
          <w:trHeight w:val="714" w:hRule="exact"/>
        </w:trPr>
        <w:tc>
          <w:tcPr>
            <w:tcW w:w="272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9"/>
              <w:jc w:val="left"/>
              <w:rPr>
                <w:rFonts w:ascii="宋体" w:hAnsi="宋体" w:cs="宋体" w:eastAsia="宋体" w:hint="default"/>
                <w:sz w:val="18"/>
                <w:szCs w:val="18"/>
              </w:rPr>
            </w:pPr>
            <w:r>
              <w:rPr>
                <w:rFonts w:ascii="宋体" w:hAnsi="宋体" w:cs="宋体" w:eastAsia="宋体" w:hint="default"/>
                <w:sz w:val="18"/>
                <w:szCs w:val="18"/>
              </w:rPr>
              <w:t>诺安中小盘精选股票型证券投资 基金</w:t>
            </w:r>
          </w:p>
        </w:tc>
        <w:tc>
          <w:tcPr>
            <w:tcW w:w="35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1,513,882</w:t>
            </w:r>
          </w:p>
        </w:tc>
        <w:tc>
          <w:tcPr>
            <w:tcW w:w="1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5" w:right="0"/>
              <w:jc w:val="left"/>
              <w:rPr>
                <w:rFonts w:ascii="Times New Roman" w:hAnsi="Times New Roman" w:cs="Times New Roman" w:eastAsia="Times New Roman" w:hint="default"/>
                <w:sz w:val="18"/>
                <w:szCs w:val="18"/>
              </w:rPr>
            </w:pPr>
            <w:r>
              <w:rPr>
                <w:rFonts w:ascii="Times New Roman"/>
                <w:sz w:val="18"/>
              </w:rPr>
              <w:t>1,513,882</w:t>
            </w:r>
          </w:p>
        </w:tc>
      </w:tr>
      <w:tr>
        <w:trPr>
          <w:trHeight w:val="402" w:hRule="exact"/>
        </w:trPr>
        <w:tc>
          <w:tcPr>
            <w:tcW w:w="27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许忠孝</w:t>
            </w:r>
          </w:p>
        </w:tc>
        <w:tc>
          <w:tcPr>
            <w:tcW w:w="35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1,336,359</w:t>
            </w:r>
          </w:p>
        </w:tc>
        <w:tc>
          <w:tcPr>
            <w:tcW w:w="1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5" w:right="0"/>
              <w:jc w:val="left"/>
              <w:rPr>
                <w:rFonts w:ascii="Times New Roman" w:hAnsi="Times New Roman" w:cs="Times New Roman" w:eastAsia="Times New Roman" w:hint="default"/>
                <w:sz w:val="18"/>
                <w:szCs w:val="18"/>
              </w:rPr>
            </w:pPr>
            <w:r>
              <w:rPr>
                <w:rFonts w:ascii="Times New Roman"/>
                <w:sz w:val="18"/>
              </w:rPr>
              <w:t>1,336,359</w:t>
            </w:r>
          </w:p>
        </w:tc>
      </w:tr>
      <w:tr>
        <w:trPr>
          <w:trHeight w:val="403" w:hRule="exact"/>
        </w:trPr>
        <w:tc>
          <w:tcPr>
            <w:tcW w:w="27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曾放云</w:t>
            </w:r>
          </w:p>
        </w:tc>
        <w:tc>
          <w:tcPr>
            <w:tcW w:w="35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1,068,102</w:t>
            </w:r>
          </w:p>
        </w:tc>
        <w:tc>
          <w:tcPr>
            <w:tcW w:w="1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5" w:right="0"/>
              <w:jc w:val="left"/>
              <w:rPr>
                <w:rFonts w:ascii="Times New Roman" w:hAnsi="Times New Roman" w:cs="Times New Roman" w:eastAsia="Times New Roman" w:hint="default"/>
                <w:sz w:val="18"/>
                <w:szCs w:val="18"/>
              </w:rPr>
            </w:pPr>
            <w:r>
              <w:rPr>
                <w:rFonts w:ascii="Times New Roman"/>
                <w:sz w:val="18"/>
              </w:rPr>
              <w:t>1,068,102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44"/>
        <w:ind w:left="0" w:right="184"/>
        <w:jc w:val="right"/>
      </w:pPr>
      <w:r>
        <w:rPr/>
        <w:pict>
          <v:shape style="position:absolute;margin-left:56.459999pt;margin-top:-96.847977pt;width:477.75pt;height:183.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16"/>
                    <w:gridCol w:w="3584"/>
                    <w:gridCol w:w="1620"/>
                    <w:gridCol w:w="1620"/>
                  </w:tblGrid>
                  <w:tr>
                    <w:trPr>
                      <w:trHeight w:val="40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谢立民</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723,060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723,060</w:t>
                        </w:r>
                      </w:p>
                    </w:tc>
                  </w:tr>
                  <w:tr>
                    <w:trPr>
                      <w:trHeight w:val="40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童凤美</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543,125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543,125</w:t>
                        </w:r>
                      </w:p>
                    </w:tc>
                  </w:tr>
                  <w:tr>
                    <w:trPr>
                      <w:trHeight w:val="40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叶付美</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538,000</w:t>
                        </w:r>
                      </w:p>
                    </w:tc>
                  </w:tr>
                  <w:tr>
                    <w:trPr>
                      <w:trHeight w:val="40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金燕</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480,000</w:t>
                        </w:r>
                      </w:p>
                    </w:tc>
                  </w:tr>
                  <w:tr>
                    <w:trPr>
                      <w:trHeight w:val="1338" w:hRule="exact"/>
                    </w:trPr>
                    <w:tc>
                      <w:tcPr>
                        <w:tcW w:w="2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7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24" w:type="dxa"/>
                        <w:gridSpan w:val="3"/>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8" w:right="109"/>
                          <w:jc w:val="left"/>
                          <w:rPr>
                            <w:rFonts w:ascii="宋体" w:hAnsi="宋体" w:cs="宋体" w:eastAsia="宋体" w:hint="default"/>
                            <w:sz w:val="18"/>
                            <w:szCs w:val="18"/>
                          </w:rPr>
                        </w:pPr>
                        <w:r>
                          <w:rPr>
                            <w:rFonts w:ascii="宋体" w:hAnsi="宋体" w:cs="宋体" w:eastAsia="宋体" w:hint="default"/>
                            <w:spacing w:val="-5"/>
                            <w:sz w:val="18"/>
                            <w:szCs w:val="18"/>
                          </w:rPr>
                          <w:t>上述股东中，曾胜强与许忠桂是配偶关系，曾胜辉为曾胜强之弟，许忠孝为许忠桂之兄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谢立民为曾胜强之妹夫。其余股东未知其关联关系或是否为一致行动人。</w:t>
                        </w:r>
                      </w:p>
                    </w:tc>
                  </w:tr>
                  <w:tr>
                    <w:trPr>
                      <w:trHeight w:val="714" w:hRule="exact"/>
                    </w:trPr>
                    <w:tc>
                      <w:tcPr>
                        <w:tcW w:w="2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824" w:type="dxa"/>
                        <w:gridSpan w:val="3"/>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9"/>
        <w:ind w:right="149"/>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9"/>
        <w:jc w:val="left"/>
      </w:pPr>
      <w:r>
        <w:rPr/>
        <w:t>自然人</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23"/>
        <w:gridCol w:w="2057"/>
        <w:gridCol w:w="4176"/>
      </w:tblGrid>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曾胜强先生自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年起在本公司任职，担任本公司董事长、总经理</w:t>
            </w:r>
          </w:p>
        </w:tc>
      </w:tr>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曾胜强先生除本公司外，过去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年未控股其他境内外上市公司。</w:t>
            </w:r>
          </w:p>
        </w:tc>
      </w:tr>
    </w:tbl>
    <w:p>
      <w:pPr>
        <w:pStyle w:val="BodyText"/>
        <w:spacing w:line="240" w:lineRule="auto" w:before="51"/>
        <w:ind w:right="149"/>
        <w:jc w:val="left"/>
      </w:pPr>
      <w:r>
        <w:rPr/>
        <w:t>报告期控股股东变更</w:t>
      </w:r>
    </w:p>
    <w:p>
      <w:pPr>
        <w:pStyle w:val="BodyText"/>
        <w:spacing w:line="240" w:lineRule="auto" w:before="117"/>
        <w:ind w:left="153" w:right="149"/>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9"/>
        <w:jc w:val="left"/>
      </w:pPr>
      <w:r>
        <w:rPr/>
        <w:t>自然人</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许忠桂</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曾胜强先生自</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年起在本公司任职，担任本公司董事长、总经理，许忠桂女 士目前未任职。</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11"/>
              <w:jc w:val="left"/>
              <w:rPr>
                <w:rFonts w:ascii="宋体" w:hAnsi="宋体" w:cs="宋体" w:eastAsia="宋体" w:hint="default"/>
                <w:sz w:val="18"/>
                <w:szCs w:val="18"/>
              </w:rPr>
            </w:pPr>
            <w:r>
              <w:rPr>
                <w:rFonts w:ascii="宋体" w:hAnsi="宋体" w:cs="宋体" w:eastAsia="宋体" w:hint="default"/>
                <w:sz w:val="18"/>
                <w:szCs w:val="18"/>
              </w:rPr>
              <w:t>曾胜强先生、许忠桂女士除本公司外，过去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年未控股其他境内外上市公司。</w:t>
            </w:r>
          </w:p>
        </w:tc>
      </w:tr>
    </w:tbl>
    <w:p>
      <w:pPr>
        <w:pStyle w:val="BodyText"/>
        <w:spacing w:line="240" w:lineRule="auto" w:before="51"/>
        <w:ind w:right="149"/>
        <w:jc w:val="left"/>
      </w:pPr>
      <w:r>
        <w:rPr/>
        <w:t>报告期实际控制人变更</w:t>
      </w:r>
    </w:p>
    <w:p>
      <w:pPr>
        <w:pStyle w:val="BodyText"/>
        <w:spacing w:line="357" w:lineRule="auto" w:before="117"/>
        <w:ind w:left="153" w:right="5811"/>
        <w:jc w:val="left"/>
      </w:pPr>
      <w:r>
        <w:rPr/>
        <w:t>□ 适用 √ 不适用 公司与实际控制人之间的产权及控制关系的方框图</w:t>
      </w:r>
    </w:p>
    <w:p>
      <w:pPr>
        <w:spacing w:after="0" w:line="357"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line="3270" w:lineRule="exact"/>
        <w:ind w:left="2572"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3047287" cy="20764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3047287" cy="2076450"/>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1"/>
        <w:rPr>
          <w:rFonts w:ascii="宋体" w:hAnsi="宋体" w:cs="宋体" w:eastAsia="宋体" w:hint="default"/>
          <w:sz w:val="19"/>
          <w:szCs w:val="19"/>
        </w:rPr>
      </w:pPr>
    </w:p>
    <w:p>
      <w:pPr>
        <w:pStyle w:val="BodyText"/>
        <w:spacing w:line="240" w:lineRule="auto" w:before="44"/>
        <w:ind w:right="149"/>
        <w:jc w:val="left"/>
      </w:pPr>
      <w:r>
        <w:rPr/>
        <w:t>实际控制人通过信托或其他资产管理方式控制公司</w:t>
      </w:r>
    </w:p>
    <w:p>
      <w:pPr>
        <w:pStyle w:val="BodyText"/>
        <w:spacing w:line="240" w:lineRule="auto" w:before="116"/>
        <w:ind w:left="153" w:right="149"/>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4</w:t>
      </w:r>
      <w:r>
        <w:rPr/>
        <w:t>、其他持股在</w:t>
      </w:r>
      <w:r>
        <w:rPr>
          <w:spacing w:val="-61"/>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9"/>
        <w:jc w:val="left"/>
      </w:pPr>
      <w:r>
        <w:rPr/>
        <w:t>无</w:t>
      </w:r>
    </w:p>
    <w:p>
      <w:pPr>
        <w:spacing w:line="240" w:lineRule="auto" w:before="13"/>
        <w:rPr>
          <w:rFonts w:ascii="宋体" w:hAnsi="宋体" w:cs="宋体" w:eastAsia="宋体" w:hint="default"/>
          <w:sz w:val="24"/>
          <w:szCs w:val="24"/>
        </w:rPr>
      </w:pPr>
    </w:p>
    <w:p>
      <w:pPr>
        <w:pStyle w:val="Heading2"/>
        <w:spacing w:line="240" w:lineRule="auto"/>
        <w:ind w:right="149"/>
        <w:jc w:val="left"/>
        <w:rPr>
          <w:b w:val="0"/>
          <w:bCs w:val="0"/>
        </w:rPr>
      </w:pPr>
      <w:r>
        <w:rPr/>
        <w:t>四、公司股东及其一致行动人在报告期提出或实施股份增持计划的情况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9"/>
        <w:jc w:val="left"/>
      </w:pPr>
      <w:r>
        <w:rPr/>
        <w:t>报告期内，公司未收到股东及其一致行动人提出或实施股份增持计划的信息。</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1680" w:right="149"/>
        <w:jc w:val="left"/>
        <w:rPr>
          <w:b w:val="0"/>
          <w:bCs w:val="0"/>
        </w:rPr>
      </w:pPr>
      <w:bookmarkStart w:name="_bookmark6" w:id="7"/>
      <w:bookmarkEnd w:id="7"/>
      <w:r>
        <w:rPr>
          <w:b w:val="0"/>
          <w:bCs w:val="0"/>
        </w:rPr>
      </w:r>
      <w:r>
        <w:rPr/>
        <w:t>第七节</w:t>
      </w:r>
      <w:r>
        <w:rPr>
          <w:spacing w:val="-16"/>
        </w:rPr>
        <w:t> </w:t>
      </w:r>
      <w:r>
        <w:rPr/>
        <w:t>董事、监事、高级管理人员和员工情况</w:t>
      </w:r>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49"/>
        <w:jc w:val="left"/>
        <w:rPr>
          <w:b w:val="0"/>
          <w:bCs w:val="0"/>
        </w:rPr>
      </w:pPr>
      <w:r>
        <w:rPr/>
        <w:t>一、董事、监事和高级管理人员持股变动</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70"/>
        <w:gridCol w:w="870"/>
        <w:gridCol w:w="870"/>
        <w:gridCol w:w="870"/>
        <w:gridCol w:w="870"/>
        <w:gridCol w:w="868"/>
        <w:gridCol w:w="870"/>
        <w:gridCol w:w="869"/>
        <w:gridCol w:w="869"/>
        <w:gridCol w:w="869"/>
        <w:gridCol w:w="869"/>
      </w:tblGrid>
      <w:tr>
        <w:trPr>
          <w:trHeight w:val="1026" w:hRule="exact"/>
        </w:trPr>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8" w:right="67"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8"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8"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65,423,232</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65,423,232</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林楚彬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经理、董事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会秘书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1,286,240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1,286,240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张跃华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李连和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刘小清</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周青伟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298,640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298,640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郭友文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程燕娟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张伟松</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771,360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40,000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731,360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李国政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64,000</w:t>
            </w: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邢俊芳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段永宽</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70"/>
        <w:gridCol w:w="870"/>
        <w:gridCol w:w="870"/>
        <w:gridCol w:w="870"/>
        <w:gridCol w:w="870"/>
        <w:gridCol w:w="868"/>
        <w:gridCol w:w="870"/>
        <w:gridCol w:w="869"/>
        <w:gridCol w:w="869"/>
        <w:gridCol w:w="869"/>
        <w:gridCol w:w="869"/>
      </w:tblGrid>
      <w:tr>
        <w:trPr>
          <w:trHeight w:val="362" w:hRule="exact"/>
        </w:trPr>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曾石泉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曾胜辉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24,540,504</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24,540,504</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黎晓池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92,383,976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9" w:right="0"/>
              <w:jc w:val="left"/>
              <w:rPr>
                <w:rFonts w:ascii="Times New Roman" w:hAnsi="Times New Roman" w:cs="Times New Roman" w:eastAsia="Times New Roman" w:hint="default"/>
                <w:sz w:val="18"/>
                <w:szCs w:val="18"/>
              </w:rPr>
            </w:pPr>
            <w:r>
              <w:rPr>
                <w:rFonts w:ascii="Times New Roman"/>
                <w:sz w:val="18"/>
              </w:rPr>
              <w:t>40,000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92,343,976</w:t>
            </w:r>
          </w:p>
        </w:tc>
      </w:tr>
    </w:tbl>
    <w:p>
      <w:pPr>
        <w:spacing w:line="240" w:lineRule="auto" w:before="2"/>
        <w:rPr>
          <w:rFonts w:ascii="宋体" w:hAnsi="宋体" w:cs="宋体" w:eastAsia="宋体" w:hint="default"/>
          <w:b/>
          <w:bCs/>
          <w:sz w:val="18"/>
          <w:szCs w:val="18"/>
        </w:rPr>
      </w:pPr>
    </w:p>
    <w:p>
      <w:pPr>
        <w:pStyle w:val="Heading2"/>
        <w:spacing w:line="240" w:lineRule="auto" w:before="26"/>
        <w:ind w:right="90"/>
        <w:jc w:val="left"/>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338" w:lineRule="auto" w:before="102"/>
        <w:ind w:left="514" w:right="180"/>
        <w:jc w:val="left"/>
      </w:pPr>
      <w:r>
        <w:rPr>
          <w:rFonts w:ascii="Times New Roman" w:hAnsi="Times New Roman" w:cs="Times New Roman" w:eastAsia="Times New Roman" w:hint="default"/>
        </w:rPr>
        <w:t>1</w:t>
      </w:r>
      <w:r>
        <w:rPr/>
        <w:t>、第三届董事会成员 曾胜强：男，</w:t>
      </w:r>
      <w:r>
        <w:rPr>
          <w:rFonts w:ascii="Times New Roman" w:hAnsi="Times New Roman" w:cs="Times New Roman" w:eastAsia="Times New Roman" w:hint="default"/>
        </w:rPr>
        <w:t>50</w:t>
      </w:r>
      <w:r>
        <w:rPr/>
        <w:t>岁，研究生学历。曾任湖南省建南机器厂研发部经理、深圳市建博公司总经理，</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9</w:t>
      </w:r>
      <w:r>
        <w:rPr/>
        <w:t>月创建深圳市</w:t>
      </w:r>
    </w:p>
    <w:p>
      <w:pPr>
        <w:pStyle w:val="BodyText"/>
        <w:spacing w:line="231" w:lineRule="exact"/>
        <w:ind w:right="90"/>
        <w:jc w:val="left"/>
      </w:pPr>
      <w:r>
        <w:rPr/>
        <w:t>证通电子有限公司，曾胜强先生自</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月起担任本公司董事长兼总经理。</w:t>
      </w:r>
    </w:p>
    <w:p>
      <w:pPr>
        <w:pStyle w:val="BodyText"/>
        <w:spacing w:line="300" w:lineRule="auto" w:before="101"/>
        <w:ind w:right="90" w:firstLine="360"/>
        <w:jc w:val="left"/>
      </w:pPr>
      <w:r>
        <w:rPr>
          <w:spacing w:val="-2"/>
        </w:rPr>
        <w:t>林楚彬：男，</w:t>
      </w:r>
      <w:r>
        <w:rPr>
          <w:rFonts w:ascii="Times New Roman" w:hAnsi="Times New Roman" w:cs="Times New Roman" w:eastAsia="Times New Roman" w:hint="default"/>
          <w:spacing w:val="-2"/>
        </w:rPr>
        <w:t>47</w:t>
      </w:r>
      <w:r>
        <w:rPr>
          <w:spacing w:val="-2"/>
        </w:rPr>
        <w:t>岁，清华大学工程物理学士，美国北卡罗来纳州立大学计算机工程硕士。曾任加拿大北方电信公司高级</w:t>
      </w:r>
      <w:r>
        <w:rPr/>
        <w:t> 软件工程师、美国优利公司高级工程师、华晨集团技术总监、福建新大陆电脑股份有限公司总工程师。林楚彬先生自</w:t>
      </w: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8</w:t>
      </w:r>
      <w:r>
        <w:rPr/>
        <w:t>月起担任本公司副总经理，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月起担任本公司董事。</w:t>
      </w:r>
    </w:p>
    <w:p>
      <w:pPr>
        <w:pStyle w:val="BodyText"/>
        <w:spacing w:line="300" w:lineRule="auto" w:before="51"/>
        <w:ind w:right="191" w:firstLine="360"/>
        <w:jc w:val="both"/>
      </w:pPr>
      <w:r>
        <w:rPr>
          <w:spacing w:val="-2"/>
        </w:rPr>
        <w:t>许忠慈：男，</w:t>
      </w:r>
      <w:r>
        <w:rPr>
          <w:rFonts w:ascii="Times New Roman" w:hAnsi="Times New Roman" w:cs="Times New Roman" w:eastAsia="Times New Roman" w:hint="default"/>
          <w:spacing w:val="-2"/>
        </w:rPr>
        <w:t>56</w:t>
      </w:r>
      <w:r>
        <w:rPr>
          <w:spacing w:val="-2"/>
        </w:rPr>
        <w:t>岁，本科学历。高级工程师。曾任湖南省古丈县邮电局局长，广东省东莞市市内电话局局长，广东省电</w:t>
      </w:r>
      <w:r>
        <w:rPr/>
        <w:t> 信实业集团东莞市有限公司总经理。许忠慈先生自</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月起担任本公司副总经理、董事会秘书，</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月起担任本公 司董事。</w:t>
      </w:r>
    </w:p>
    <w:p>
      <w:pPr>
        <w:pStyle w:val="BodyText"/>
        <w:spacing w:line="302" w:lineRule="auto" w:before="71"/>
        <w:ind w:right="198" w:firstLine="360"/>
        <w:jc w:val="both"/>
      </w:pPr>
      <w:r>
        <w:rPr/>
        <w:t>张跃华：男，</w:t>
      </w:r>
      <w:r>
        <w:rPr>
          <w:rFonts w:ascii="Times New Roman" w:hAnsi="Times New Roman" w:cs="Times New Roman" w:eastAsia="Times New Roman" w:hint="default"/>
        </w:rPr>
        <w:t>49</w:t>
      </w:r>
      <w:r>
        <w:rPr/>
        <w:t>岁，博士学历。高级职业经理人。</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8</w:t>
      </w:r>
      <w:r>
        <w:rPr/>
        <w:t>月加入深圳安华集团公司，曾任公司副总经理、总经理，现 任安华集团公司董事长、深圳市长沙商会会长。张跃华先生自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月起担任本公司董事。</w:t>
      </w:r>
    </w:p>
    <w:p>
      <w:pPr>
        <w:pStyle w:val="BodyText"/>
        <w:spacing w:line="302" w:lineRule="auto" w:before="49"/>
        <w:ind w:right="189" w:firstLine="360"/>
        <w:jc w:val="both"/>
      </w:pPr>
      <w:r>
        <w:rPr>
          <w:spacing w:val="-2"/>
        </w:rPr>
        <w:t>刘小清：女，</w:t>
      </w:r>
      <w:r>
        <w:rPr>
          <w:rFonts w:ascii="Times New Roman" w:hAnsi="Times New Roman" w:cs="Times New Roman" w:eastAsia="Times New Roman" w:hint="default"/>
          <w:spacing w:val="-2"/>
        </w:rPr>
        <w:t>49</w:t>
      </w:r>
      <w:r>
        <w:rPr>
          <w:spacing w:val="-2"/>
        </w:rPr>
        <w:t>岁，博士学历。会计师，注册会计师。</w:t>
      </w:r>
      <w:r>
        <w:rPr>
          <w:rFonts w:ascii="Times New Roman" w:hAnsi="Times New Roman" w:cs="Times New Roman" w:eastAsia="Times New Roman" w:hint="default"/>
          <w:spacing w:val="-2"/>
        </w:rPr>
        <w:t>2003</w:t>
      </w:r>
      <w:r>
        <w:rPr>
          <w:spacing w:val="-2"/>
        </w:rPr>
        <w:t>年至今在广东外语外贸大学国际工商管理学院及财经学院任</w:t>
      </w:r>
      <w:r>
        <w:rPr/>
        <w:t> 教，现任本公司独立董事、吉林制药股份有限公司独立董事。刘小清女士自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月起担任本公司独立董事。</w:t>
      </w:r>
    </w:p>
    <w:p>
      <w:pPr>
        <w:pStyle w:val="BodyText"/>
        <w:spacing w:line="309" w:lineRule="auto" w:before="49"/>
        <w:ind w:right="90" w:firstLine="360"/>
        <w:jc w:val="left"/>
      </w:pPr>
      <w:r>
        <w:rPr/>
        <w:t>钟廉：男，</w:t>
      </w:r>
      <w:r>
        <w:rPr>
          <w:rFonts w:ascii="Times New Roman" w:hAnsi="Times New Roman" w:cs="Times New Roman" w:eastAsia="Times New Roman" w:hint="default"/>
        </w:rPr>
        <w:t>53</w:t>
      </w:r>
      <w:r>
        <w:rPr/>
        <w:t>岁，硕士研究生，曾任深圳市人民政府发展和改革局高技术产业处长，</w:t>
      </w:r>
      <w:r>
        <w:rPr>
          <w:rFonts w:ascii="Times New Roman" w:hAnsi="Times New Roman" w:cs="Times New Roman" w:eastAsia="Times New Roman" w:hint="default"/>
        </w:rPr>
        <w:t>2008</w:t>
      </w:r>
      <w:r>
        <w:rPr/>
        <w:t>年加入深圳市创新投资集团， </w:t>
      </w:r>
      <w:r>
        <w:rPr>
          <w:spacing w:val="-2"/>
        </w:rPr>
        <w:t>现任深圳市创新投资集团副总裁，本公司独立董事、深圳市翰宇药业股份有限公司董事、深圳市同洲电子股份有限公司独立</w:t>
      </w:r>
      <w:r>
        <w:rPr>
          <w:spacing w:val="-66"/>
        </w:rPr>
        <w:t> </w:t>
      </w:r>
      <w:r>
        <w:rPr>
          <w:spacing w:val="-66"/>
        </w:rPr>
      </w:r>
      <w:r>
        <w:rPr/>
        <w:t>董事。钟廉先生自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月起担任本公司独立董事。</w:t>
      </w:r>
    </w:p>
    <w:p>
      <w:pPr>
        <w:pStyle w:val="BodyText"/>
        <w:spacing w:line="309" w:lineRule="auto" w:before="44"/>
        <w:ind w:right="189" w:firstLine="360"/>
        <w:jc w:val="both"/>
      </w:pPr>
      <w:r>
        <w:rPr>
          <w:spacing w:val="-2"/>
        </w:rPr>
        <w:t>李连和：男，</w:t>
      </w:r>
      <w:r>
        <w:rPr>
          <w:rFonts w:ascii="Times New Roman" w:hAnsi="Times New Roman" w:cs="Times New Roman" w:eastAsia="Times New Roman" w:hint="default"/>
          <w:spacing w:val="-2"/>
        </w:rPr>
        <w:t>66</w:t>
      </w:r>
      <w:r>
        <w:rPr>
          <w:spacing w:val="-2"/>
        </w:rPr>
        <w:t>岁，本科学历，高级工程师。曾任湖北省科委副主任、湖北省科技干部局局长、党组书记；湖北省科协</w:t>
      </w:r>
      <w:r>
        <w:rPr/>
        <w:t> </w:t>
      </w:r>
      <w:r>
        <w:rPr>
          <w:spacing w:val="-2"/>
        </w:rPr>
        <w:t>党组织书记、常务副主席；中国科技开发院党委书记、副院长；深圳市科技局（知识产权局）局长、党组书记；深圳市科协</w:t>
      </w:r>
      <w:r>
        <w:rPr>
          <w:spacing w:val="-70"/>
        </w:rPr>
        <w:t> </w:t>
      </w:r>
      <w:r>
        <w:rPr>
          <w:spacing w:val="-70"/>
        </w:rPr>
      </w:r>
      <w:r>
        <w:rPr/>
        <w:t>主席；深圳市政协副主席，于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月退休。现任武汉大学、哈尔滨工业大学、华中科技大学、电子科技大学兼职教授及 </w:t>
      </w:r>
      <w:r>
        <w:rPr>
          <w:spacing w:val="-2"/>
        </w:rPr>
        <w:t>澳门特别行政区科技委员会顾问，本公司独立董事、比亚迪股份有限公司、深圳华强实业股份有限公司独立董事。李连和先</w:t>
      </w:r>
      <w:r>
        <w:rPr>
          <w:spacing w:val="-66"/>
        </w:rPr>
        <w:t> </w:t>
      </w:r>
      <w:r>
        <w:rPr>
          <w:spacing w:val="-66"/>
        </w:rPr>
      </w:r>
      <w:r>
        <w:rPr/>
        <w:t>生自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月起担任本公司董事。</w:t>
      </w:r>
    </w:p>
    <w:p>
      <w:pPr>
        <w:pStyle w:val="BodyText"/>
        <w:spacing w:line="338" w:lineRule="auto" w:before="45"/>
        <w:ind w:left="513" w:right="90"/>
        <w:jc w:val="left"/>
      </w:pPr>
      <w:r>
        <w:rPr>
          <w:rFonts w:ascii="Times New Roman" w:hAnsi="Times New Roman" w:cs="Times New Roman" w:eastAsia="Times New Roman" w:hint="default"/>
        </w:rPr>
        <w:t>2</w:t>
      </w:r>
      <w:r>
        <w:rPr/>
        <w:t>、第三届监事会成员 </w:t>
      </w:r>
      <w:r>
        <w:rPr>
          <w:spacing w:val="-2"/>
        </w:rPr>
        <w:t>周青伟先生：男，</w:t>
      </w:r>
      <w:r>
        <w:rPr>
          <w:rFonts w:ascii="Times New Roman" w:hAnsi="Times New Roman" w:cs="Times New Roman" w:eastAsia="Times New Roman" w:hint="default"/>
          <w:spacing w:val="-2"/>
        </w:rPr>
        <w:t>37</w:t>
      </w:r>
      <w:r>
        <w:rPr>
          <w:spacing w:val="-2"/>
        </w:rPr>
        <w:t>岁，大专学历。曾任深圳市证通电子有限公司生产部系统集成工程师、自助产品事业部副经理、密</w:t>
      </w:r>
    </w:p>
    <w:p>
      <w:pPr>
        <w:pStyle w:val="BodyText"/>
        <w:spacing w:line="231" w:lineRule="exact"/>
        <w:ind w:left="153" w:right="90"/>
        <w:jc w:val="left"/>
      </w:pPr>
      <w:r>
        <w:rPr/>
        <w:t>码产品事业部经理。周青伟先生自</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月起担任本公司监事。</w:t>
      </w:r>
    </w:p>
    <w:p>
      <w:pPr>
        <w:pStyle w:val="BodyText"/>
        <w:spacing w:line="302" w:lineRule="auto" w:before="102"/>
        <w:ind w:left="153" w:right="189" w:firstLine="360"/>
        <w:jc w:val="both"/>
      </w:pPr>
      <w:r>
        <w:rPr>
          <w:spacing w:val="-2"/>
        </w:rPr>
        <w:t>郭友文：男，</w:t>
      </w:r>
      <w:r>
        <w:rPr>
          <w:rFonts w:ascii="Times New Roman" w:hAnsi="Times New Roman" w:cs="Times New Roman" w:eastAsia="Times New Roman" w:hint="default"/>
          <w:spacing w:val="-2"/>
        </w:rPr>
        <w:t>49</w:t>
      </w:r>
      <w:r>
        <w:rPr>
          <w:spacing w:val="-2"/>
        </w:rPr>
        <w:t>岁，本科学历。</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月曾任职于证通电子行政部，</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月至今任深圳市通新源物业管理</w:t>
      </w:r>
      <w:r>
        <w:rPr/>
        <w:t> 有限公司行政部经理、本公司监事。郭友文先生自</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月起担任本公司监事。</w:t>
      </w:r>
    </w:p>
    <w:p>
      <w:pPr>
        <w:pStyle w:val="BodyText"/>
        <w:spacing w:line="300" w:lineRule="auto" w:before="49"/>
        <w:ind w:left="153" w:right="198" w:firstLine="360"/>
        <w:jc w:val="both"/>
      </w:pPr>
      <w:r>
        <w:rPr/>
        <w:t>程燕娟：女，</w:t>
      </w:r>
      <w:r>
        <w:rPr>
          <w:rFonts w:ascii="Times New Roman" w:hAnsi="Times New Roman" w:cs="Times New Roman" w:eastAsia="Times New Roman" w:hint="default"/>
        </w:rPr>
        <w:t>38</w:t>
      </w:r>
      <w:r>
        <w:rPr/>
        <w:t>岁，专科学历</w:t>
      </w:r>
      <w:r>
        <w:rPr>
          <w:rFonts w:ascii="Times New Roman" w:hAnsi="Times New Roman" w:cs="Times New Roman" w:eastAsia="Times New Roman" w:hint="default"/>
        </w:rPr>
        <w:t>.</w:t>
      </w:r>
      <w:r>
        <w:rPr/>
        <w:t>嘉应大学经济管理专科毕业。曾任深圳市中航信息科技产业有限公司营销中心华南区副 经理、本公司华南销售分公司经理，现任本公司监事、节能投资事业部商务经理。程燕娟女士自</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月起担任本公司监 事。</w:t>
      </w:r>
    </w:p>
    <w:p>
      <w:pPr>
        <w:spacing w:after="0" w:line="300" w:lineRule="auto"/>
        <w:jc w:val="both"/>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338" w:lineRule="auto" w:before="44"/>
        <w:ind w:left="513" w:right="1901"/>
        <w:jc w:val="left"/>
      </w:pPr>
      <w:r>
        <w:rPr>
          <w:rFonts w:ascii="Times New Roman" w:hAnsi="Times New Roman" w:cs="Times New Roman" w:eastAsia="Times New Roman" w:hint="default"/>
        </w:rPr>
        <w:t>3</w:t>
      </w:r>
      <w:r>
        <w:rPr/>
        <w:t>、高级管理人员 曾胜强先生，本公司总经理，简历参阅本年度报告</w:t>
      </w:r>
      <w:r>
        <w:rPr>
          <w:rFonts w:ascii="Times New Roman" w:hAnsi="Times New Roman" w:cs="Times New Roman" w:eastAsia="Times New Roman" w:hint="default"/>
        </w:rPr>
        <w:t>“</w:t>
      </w:r>
      <w:r>
        <w:rPr/>
        <w:t>第七节、二、</w:t>
      </w:r>
      <w:r>
        <w:rPr>
          <w:rFonts w:ascii="Times New Roman" w:hAnsi="Times New Roman" w:cs="Times New Roman" w:eastAsia="Times New Roman" w:hint="default"/>
        </w:rPr>
        <w:t>1</w:t>
      </w:r>
      <w:r>
        <w:rPr/>
        <w:t>、董事会成员</w:t>
      </w:r>
      <w:r>
        <w:rPr>
          <w:rFonts w:ascii="Times New Roman" w:hAnsi="Times New Roman" w:cs="Times New Roman" w:eastAsia="Times New Roman" w:hint="default"/>
        </w:rPr>
        <w:t>”</w:t>
      </w:r>
      <w:r>
        <w:rPr/>
        <w:t>。 林楚彬先生，本公司副总经理，简历参阅本年度报告</w:t>
      </w:r>
      <w:r>
        <w:rPr>
          <w:rFonts w:ascii="Times New Roman" w:hAnsi="Times New Roman" w:cs="Times New Roman" w:eastAsia="Times New Roman" w:hint="default"/>
        </w:rPr>
        <w:t>“</w:t>
      </w:r>
      <w:r>
        <w:rPr/>
        <w:t>第七节、二、</w:t>
      </w:r>
      <w:r>
        <w:rPr>
          <w:rFonts w:ascii="Times New Roman" w:hAnsi="Times New Roman" w:cs="Times New Roman" w:eastAsia="Times New Roman" w:hint="default"/>
        </w:rPr>
        <w:t>1</w:t>
      </w:r>
      <w:r>
        <w:rPr/>
        <w:t>、董事会成员</w:t>
      </w:r>
      <w:r>
        <w:rPr>
          <w:rFonts w:ascii="Times New Roman" w:hAnsi="Times New Roman" w:cs="Times New Roman" w:eastAsia="Times New Roman" w:hint="default"/>
        </w:rPr>
        <w:t>”</w:t>
      </w:r>
      <w:r>
        <w:rPr/>
        <w:t>。 许忠慈先生，本公司副总经理、董事会秘书，简历参阅本年度报告</w:t>
      </w:r>
      <w:r>
        <w:rPr>
          <w:rFonts w:ascii="Times New Roman" w:hAnsi="Times New Roman" w:cs="Times New Roman" w:eastAsia="Times New Roman" w:hint="default"/>
        </w:rPr>
        <w:t>“</w:t>
      </w:r>
      <w:r>
        <w:rPr/>
        <w:t>第七节、二、</w:t>
      </w:r>
      <w:r>
        <w:rPr>
          <w:rFonts w:ascii="Times New Roman" w:hAnsi="Times New Roman" w:cs="Times New Roman" w:eastAsia="Times New Roman" w:hint="default"/>
        </w:rPr>
        <w:t>1</w:t>
      </w:r>
      <w:r>
        <w:rPr/>
        <w:t>、董事会成员</w:t>
      </w:r>
      <w:r>
        <w:rPr>
          <w:rFonts w:ascii="Times New Roman" w:hAnsi="Times New Roman" w:cs="Times New Roman" w:eastAsia="Times New Roman" w:hint="default"/>
        </w:rPr>
        <w:t>”</w:t>
      </w:r>
      <w:r>
        <w:rPr/>
        <w:t>。</w:t>
      </w:r>
    </w:p>
    <w:p>
      <w:pPr>
        <w:pStyle w:val="BodyText"/>
        <w:spacing w:line="302" w:lineRule="auto" w:before="19"/>
        <w:ind w:right="350" w:firstLine="360"/>
        <w:jc w:val="left"/>
      </w:pPr>
      <w:r>
        <w:rPr>
          <w:spacing w:val="-2"/>
        </w:rPr>
        <w:t>张伟松先生，本公司副总经理，男，</w:t>
      </w:r>
      <w:r>
        <w:rPr>
          <w:rFonts w:ascii="Times New Roman" w:hAnsi="Times New Roman" w:cs="Times New Roman" w:eastAsia="Times New Roman" w:hint="default"/>
          <w:spacing w:val="-2"/>
        </w:rPr>
        <w:t>49</w:t>
      </w:r>
      <w:r>
        <w:rPr>
          <w:spacing w:val="-2"/>
        </w:rPr>
        <w:t>岁，大学学历。工程师。曾任湖南华峰电子集团公司事业部副经理、湖南华峰电</w:t>
      </w:r>
      <w:r>
        <w:rPr/>
        <w:t> 子集团公司党委副书记、监事会主席、工会主席。张伟松先生自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月起担任本公司副总经理</w:t>
      </w:r>
    </w:p>
    <w:p>
      <w:pPr>
        <w:pStyle w:val="BodyText"/>
        <w:spacing w:line="302" w:lineRule="auto" w:before="50"/>
        <w:ind w:right="350" w:firstLine="360"/>
        <w:jc w:val="left"/>
      </w:pPr>
      <w:r>
        <w:rPr>
          <w:spacing w:val="-2"/>
        </w:rPr>
        <w:t>李国政先生，本公司副总经理，男，</w:t>
      </w:r>
      <w:r>
        <w:rPr>
          <w:rFonts w:ascii="Times New Roman" w:hAnsi="Times New Roman" w:cs="Times New Roman" w:eastAsia="Times New Roman" w:hint="default"/>
          <w:spacing w:val="-2"/>
        </w:rPr>
        <w:t>49</w:t>
      </w:r>
      <w:r>
        <w:rPr>
          <w:spacing w:val="-2"/>
        </w:rPr>
        <w:t>岁，大专学历，工程师、经济师，</w:t>
      </w:r>
      <w:r>
        <w:rPr>
          <w:rFonts w:ascii="Times New Roman" w:hAnsi="Times New Roman" w:cs="Times New Roman" w:eastAsia="Times New Roman" w:hint="default"/>
          <w:spacing w:val="-2"/>
        </w:rPr>
        <w:t>2005</w:t>
      </w:r>
      <w:r>
        <w:rPr>
          <w:spacing w:val="-2"/>
        </w:rPr>
        <w:t>年至今在本公司任职，曾任武汉证通电子</w:t>
      </w:r>
      <w:r>
        <w:rPr/>
        <w:t> 有限公司总经理、中南分公司总经理、销售总监、总经理助理职务。李国政先生自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月起担任本公司副总经理。</w:t>
      </w:r>
    </w:p>
    <w:p>
      <w:pPr>
        <w:pStyle w:val="BodyText"/>
        <w:spacing w:line="300" w:lineRule="auto" w:before="49"/>
        <w:ind w:right="450" w:firstLine="360"/>
        <w:jc w:val="both"/>
      </w:pPr>
      <w:r>
        <w:rPr>
          <w:spacing w:val="-2"/>
        </w:rPr>
        <w:t>方进先生，本公司副总经理，男，</w:t>
      </w:r>
      <w:r>
        <w:rPr>
          <w:rFonts w:ascii="Times New Roman" w:hAnsi="Times New Roman" w:cs="Times New Roman" w:eastAsia="Times New Roman" w:hint="default"/>
          <w:spacing w:val="-2"/>
        </w:rPr>
        <w:t>35</w:t>
      </w:r>
      <w:r>
        <w:rPr>
          <w:spacing w:val="-2"/>
        </w:rPr>
        <w:t>岁，本科学历，</w:t>
      </w:r>
      <w:r>
        <w:rPr>
          <w:rFonts w:ascii="Times New Roman" w:hAnsi="Times New Roman" w:cs="Times New Roman" w:eastAsia="Times New Roman" w:hint="default"/>
          <w:spacing w:val="-2"/>
        </w:rPr>
        <w:t>11</w:t>
      </w:r>
      <w:r>
        <w:rPr>
          <w:spacing w:val="-2"/>
        </w:rPr>
        <w:t>年从事电子支付相关产品的技术开发、市场营销工作经验，曾任</w:t>
      </w:r>
      <w:r>
        <w:rPr/>
        <w:t> 江苏泛太科技有限公司总经理、深圳市证通数码科技有限公司副总经理、本公司总经理助理职务。方进先生自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月起 担任本公司副总经理。</w:t>
      </w:r>
    </w:p>
    <w:p>
      <w:pPr>
        <w:pStyle w:val="BodyText"/>
        <w:spacing w:line="300" w:lineRule="auto" w:before="70"/>
        <w:ind w:right="350" w:firstLine="360"/>
        <w:jc w:val="left"/>
      </w:pPr>
      <w:r>
        <w:rPr/>
        <w:t>邢俊芳女士，本公司财务总监，女，</w:t>
      </w:r>
      <w:r>
        <w:rPr>
          <w:rFonts w:ascii="Times New Roman" w:hAnsi="Times New Roman" w:cs="Times New Roman" w:eastAsia="Times New Roman" w:hint="default"/>
        </w:rPr>
        <w:t>42</w:t>
      </w:r>
      <w:r>
        <w:rPr/>
        <w:t>岁，本科学历，会计师、经济师。曾任深圳市惠嘉理信实业有限公司财务总监、 </w:t>
      </w:r>
      <w:r>
        <w:rPr>
          <w:spacing w:val="-2"/>
        </w:rPr>
        <w:t>海洋王照明科技股份有限公司财务总监高级助理。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月起在本公司任职。邢俊芳女士自</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月起担任本公司财务总</w:t>
      </w:r>
      <w:r>
        <w:rPr>
          <w:spacing w:val="-54"/>
        </w:rPr>
        <w:t> </w:t>
      </w:r>
      <w:r>
        <w:rPr/>
        <w:t>监。</w:t>
      </w:r>
    </w:p>
    <w:p>
      <w:pPr>
        <w:pStyle w:val="BodyText"/>
        <w:spacing w:line="240" w:lineRule="auto" w:before="72"/>
        <w:ind w:right="1901"/>
        <w:jc w:val="left"/>
      </w:pPr>
      <w:r>
        <w:rPr/>
        <w:t>在股东单位任职情况</w:t>
      </w:r>
    </w:p>
    <w:p>
      <w:pPr>
        <w:pStyle w:val="BodyText"/>
        <w:spacing w:line="357" w:lineRule="auto" w:before="116"/>
        <w:ind w:right="8450"/>
        <w:jc w:val="left"/>
      </w:pPr>
      <w:r>
        <w:rPr/>
        <w:t>□ 适用 √ 不适用 在其他单位任职情况</w:t>
      </w:r>
    </w:p>
    <w:p>
      <w:pPr>
        <w:pStyle w:val="BodyText"/>
        <w:spacing w:line="240" w:lineRule="auto" w:before="29"/>
        <w:ind w:right="1901"/>
        <w:jc w:val="left"/>
      </w:pPr>
      <w:r>
        <w:rPr/>
        <w:t>√ 适用 □ 不适用</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109"/>
        <w:gridCol w:w="2729"/>
        <w:gridCol w:w="1511"/>
        <w:gridCol w:w="1501"/>
        <w:gridCol w:w="1870"/>
        <w:gridCol w:w="1277"/>
      </w:tblGrid>
      <w:tr>
        <w:trPr>
          <w:trHeight w:val="1026" w:hRule="exact"/>
        </w:trPr>
        <w:tc>
          <w:tcPr>
            <w:tcW w:w="11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4"/>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2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18"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5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70" w:right="29"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8"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在其他单位是 否领取报酬津 贴</w:t>
            </w:r>
          </w:p>
        </w:tc>
      </w:tr>
      <w:tr>
        <w:trPr>
          <w:trHeight w:val="40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深圳市兵港科技有限公司</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深圳市证通金信科技有限公司</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深圳市证通普润电子有限公司</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林楚彬</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深圳市证通金信科技有限公司</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张跃华</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深圳安华企业发展有限公司</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张跃华</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深圳市长商投资管理有限公司</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张跃华</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湘乡华松房地产开发有限公司</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李连和</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比亚迪股份有限公司</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李连和</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深圳华强实业股份有限公司</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刘小清</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广东外语外贸大学</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刘小清</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吉林制药股份有限公司</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钟廉</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深圳市创新投资集团</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6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109"/>
        <w:gridCol w:w="2729"/>
        <w:gridCol w:w="1511"/>
        <w:gridCol w:w="1501"/>
        <w:gridCol w:w="1870"/>
        <w:gridCol w:w="1277"/>
      </w:tblGrid>
      <w:tr>
        <w:trPr>
          <w:trHeight w:val="40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钟廉</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深圳市同洲电子股份有限公司</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钟廉</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深圳市翰宇药业股份有限公司</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郭友文</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深圳市通新源物业有限公司</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行政部经理</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郭友文</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深圳市驿路电子有限公司</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曾胜辉</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深圳市证通金信科技有限公司</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曾胜辉</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深圳市证通佳明光电有限公司</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张伟松</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深圳市证通普润电子有限公司</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李国政</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深圳市证通佳明光电有限公司</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1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8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right="1901"/>
        <w:jc w:val="left"/>
        <w:rPr>
          <w:b w:val="0"/>
          <w:bCs w:val="0"/>
        </w:rPr>
      </w:pP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444" w:right="350" w:hanging="291"/>
        <w:jc w:val="left"/>
      </w:pPr>
      <w:r>
        <w:rPr/>
        <w:t>董事、监事、高级管理人员报酬的决策程序、确定依据 </w:t>
      </w:r>
      <w:r>
        <w:rPr>
          <w:spacing w:val="-1"/>
        </w:rPr>
        <w:t>在公司任职的董事、监事未在公司领薪，兼任公司董事、监事的高管、员工不以董事、监事职务领取报酬。高管人员按</w:t>
      </w:r>
    </w:p>
    <w:p>
      <w:pPr>
        <w:pStyle w:val="BodyText"/>
        <w:spacing w:line="224" w:lineRule="exact"/>
        <w:ind w:left="153" w:right="0"/>
        <w:jc w:val="left"/>
      </w:pPr>
      <w:r>
        <w:rPr/>
        <w:t>其职务根据公司股东大会批准的《董事、监事、高级管理人员薪酬管理制度》，在每年年初落实有关考核指标及相关事项，</w:t>
      </w:r>
    </w:p>
    <w:p>
      <w:pPr>
        <w:pStyle w:val="BodyText"/>
        <w:spacing w:line="316" w:lineRule="auto" w:before="76"/>
        <w:ind w:left="153" w:right="350"/>
        <w:jc w:val="left"/>
      </w:pPr>
      <w:r>
        <w:rPr>
          <w:spacing w:val="-2"/>
        </w:rPr>
        <w:t>在年度结束后对全年计划完成情况进行考核，由董事会薪酬与考核委员会审议通过相关议案后，提交董事会审议，按照考核</w:t>
      </w:r>
      <w:r>
        <w:rPr>
          <w:spacing w:val="-66"/>
        </w:rPr>
        <w:t> </w:t>
      </w:r>
      <w:r>
        <w:rPr>
          <w:spacing w:val="-66"/>
        </w:rPr>
      </w:r>
      <w:r>
        <w:rPr/>
        <w:t>结果兑现绩效年薪和奖励。</w:t>
      </w:r>
    </w:p>
    <w:p>
      <w:pPr>
        <w:pStyle w:val="BodyText"/>
        <w:spacing w:line="300" w:lineRule="auto" w:before="18"/>
        <w:ind w:left="153" w:right="449" w:firstLine="290"/>
        <w:jc w:val="both"/>
      </w:pPr>
      <w:r>
        <w:rPr/>
        <w:t>非公司任职董事按照公司股东大会审议通过的《董事、监事、高级管理人员薪酬管理制度》领取，为每人</w:t>
      </w:r>
      <w:r>
        <w:rPr>
          <w:rFonts w:ascii="Times New Roman" w:hAnsi="Times New Roman" w:cs="Times New Roman" w:eastAsia="Times New Roman" w:hint="default"/>
        </w:rPr>
        <w:t>3</w:t>
      </w:r>
      <w:r>
        <w:rPr/>
        <w:t>万元</w:t>
      </w:r>
      <w:r>
        <w:rPr>
          <w:rFonts w:ascii="Times New Roman" w:hAnsi="Times New Roman" w:cs="Times New Roman" w:eastAsia="Times New Roman" w:hint="default"/>
        </w:rPr>
        <w:t>/</w:t>
      </w:r>
      <w:r>
        <w:rPr/>
        <w:t>年（含 </w:t>
      </w:r>
      <w:r>
        <w:rPr>
          <w:spacing w:val="-1"/>
        </w:rPr>
        <w:t>税），独立董事津为每人</w:t>
      </w:r>
      <w:r>
        <w:rPr>
          <w:rFonts w:ascii="Times New Roman" w:hAnsi="Times New Roman" w:cs="Times New Roman" w:eastAsia="Times New Roman" w:hint="default"/>
          <w:spacing w:val="-1"/>
        </w:rPr>
        <w:t>5</w:t>
      </w:r>
      <w:r>
        <w:rPr>
          <w:spacing w:val="-1"/>
        </w:rPr>
        <w:t>万元</w:t>
      </w:r>
      <w:r>
        <w:rPr>
          <w:rFonts w:ascii="Times New Roman" w:hAnsi="Times New Roman" w:cs="Times New Roman" w:eastAsia="Times New Roman" w:hint="default"/>
          <w:spacing w:val="-1"/>
        </w:rPr>
        <w:t>/</w:t>
      </w:r>
      <w:r>
        <w:rPr>
          <w:spacing w:val="-1"/>
        </w:rPr>
        <w:t>年（含税），均按具体任职时间及规定发放；独立董事参加会议发生的差旅费，办公费等履</w:t>
      </w:r>
      <w:r>
        <w:rPr>
          <w:spacing w:val="-78"/>
        </w:rPr>
        <w:t> </w:t>
      </w:r>
      <w:r>
        <w:rPr>
          <w:spacing w:val="-78"/>
        </w:rPr>
      </w:r>
      <w:r>
        <w:rPr/>
        <w:t>职费用由本公司承担。</w:t>
      </w:r>
    </w:p>
    <w:p>
      <w:pPr>
        <w:pStyle w:val="BodyText"/>
        <w:spacing w:line="240" w:lineRule="auto" w:before="72"/>
        <w:ind w:left="153" w:right="1901"/>
        <w:jc w:val="left"/>
      </w:pPr>
      <w:r>
        <w:rPr/>
        <w:t>公司报告期内董事、监事和高级管理人员报酬情况</w:t>
      </w:r>
    </w:p>
    <w:p>
      <w:pPr>
        <w:pStyle w:val="BodyText"/>
        <w:spacing w:line="240" w:lineRule="auto" w:before="116"/>
        <w:ind w:left="0" w:right="449"/>
        <w:jc w:val="right"/>
      </w:pPr>
      <w:r>
        <w:rPr/>
        <w:t>单位：万元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213"/>
        <w:gridCol w:w="1696"/>
        <w:gridCol w:w="725"/>
        <w:gridCol w:w="1212"/>
        <w:gridCol w:w="1212"/>
        <w:gridCol w:w="1212"/>
        <w:gridCol w:w="1212"/>
        <w:gridCol w:w="1212"/>
      </w:tblGrid>
      <w:tr>
        <w:trPr>
          <w:trHeight w:val="714" w:hRule="exact"/>
        </w:trPr>
        <w:tc>
          <w:tcPr>
            <w:tcW w:w="12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6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0" w:right="6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0" w:right="6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9" w:right="60"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35.56</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林楚彬</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28.62</w:t>
            </w:r>
          </w:p>
        </w:tc>
      </w:tr>
      <w:tr>
        <w:trPr>
          <w:trHeight w:val="714"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董事、副总经理、董 事会秘书</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23.88</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张跃华</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李连和</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钟廉</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刘小清</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周青伟</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21.71</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郭友文</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程燕娟</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19.58</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张伟松</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6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213"/>
        <w:gridCol w:w="1696"/>
        <w:gridCol w:w="725"/>
        <w:gridCol w:w="1212"/>
        <w:gridCol w:w="1212"/>
        <w:gridCol w:w="1212"/>
        <w:gridCol w:w="1212"/>
        <w:gridCol w:w="1212"/>
      </w:tblGrid>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李国政</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30.23</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方进</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27.96</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邢俊芳</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8.69</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段永宽</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曾石泉</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曾胜辉</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32.27</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黎晓池</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6.39</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273.87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273.87</w:t>
            </w:r>
          </w:p>
        </w:tc>
      </w:tr>
    </w:tbl>
    <w:p>
      <w:pPr>
        <w:pStyle w:val="BodyText"/>
        <w:spacing w:line="240" w:lineRule="auto" w:before="51"/>
        <w:ind w:right="149"/>
        <w:jc w:val="left"/>
      </w:pPr>
      <w:r>
        <w:rPr/>
        <w:t>公司董事、监事、高级管理人员报告期内被授予的股权激励情况</w:t>
      </w:r>
    </w:p>
    <w:p>
      <w:pPr>
        <w:pStyle w:val="BodyText"/>
        <w:spacing w:line="240" w:lineRule="auto" w:before="117"/>
        <w:ind w:left="153" w:right="149"/>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49"/>
        <w:jc w:val="left"/>
        <w:rPr>
          <w:b w:val="0"/>
          <w:bCs w:val="0"/>
        </w:rPr>
      </w:pPr>
      <w:r>
        <w:rPr/>
        <w:t>四、公司董事、监事、高级管理人员离职和解聘情况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979"/>
        <w:gridCol w:w="1568"/>
        <w:gridCol w:w="682"/>
        <w:gridCol w:w="2531"/>
        <w:gridCol w:w="3934"/>
      </w:tblGrid>
      <w:tr>
        <w:trPr>
          <w:trHeight w:val="402" w:hRule="exact"/>
        </w:trPr>
        <w:tc>
          <w:tcPr>
            <w:tcW w:w="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2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曾石泉</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任期届满，换届选举</w:t>
            </w:r>
          </w:p>
        </w:tc>
      </w:tr>
      <w:tr>
        <w:trPr>
          <w:trHeight w:val="402"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段永宽</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任期届满，换届选举</w:t>
            </w:r>
          </w:p>
        </w:tc>
      </w:tr>
      <w:tr>
        <w:trPr>
          <w:trHeight w:val="402"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曾胜辉</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任期届满，换届选举</w:t>
            </w:r>
          </w:p>
        </w:tc>
      </w:tr>
      <w:tr>
        <w:trPr>
          <w:trHeight w:val="402"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黎晓池</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个人工作变动原因，提请辞职</w:t>
            </w:r>
          </w:p>
        </w:tc>
      </w:tr>
    </w:tbl>
    <w:p>
      <w:pPr>
        <w:spacing w:line="240" w:lineRule="auto" w:before="2"/>
        <w:rPr>
          <w:rFonts w:ascii="宋体" w:hAnsi="宋体" w:cs="宋体" w:eastAsia="宋体" w:hint="default"/>
          <w:b/>
          <w:bCs/>
          <w:sz w:val="18"/>
          <w:szCs w:val="18"/>
        </w:rPr>
      </w:pPr>
    </w:p>
    <w:p>
      <w:pPr>
        <w:pStyle w:val="Heading2"/>
        <w:spacing w:line="240" w:lineRule="auto" w:before="26"/>
        <w:ind w:right="149"/>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9"/>
        <w:jc w:val="left"/>
      </w:pPr>
      <w:r>
        <w:rPr/>
        <w:t>报告期内本公司无核心技术团队或关键技术人员变动情况。</w:t>
      </w:r>
    </w:p>
    <w:p>
      <w:pPr>
        <w:spacing w:line="240" w:lineRule="auto" w:before="2"/>
        <w:rPr>
          <w:rFonts w:ascii="宋体" w:hAnsi="宋体" w:cs="宋体" w:eastAsia="宋体" w:hint="default"/>
          <w:sz w:val="25"/>
          <w:szCs w:val="25"/>
        </w:rPr>
      </w:pPr>
    </w:p>
    <w:p>
      <w:pPr>
        <w:pStyle w:val="Heading2"/>
        <w:spacing w:line="240" w:lineRule="auto"/>
        <w:ind w:right="149"/>
        <w:jc w:val="left"/>
        <w:rPr>
          <w:b w:val="0"/>
          <w:bCs w:val="0"/>
        </w:rPr>
      </w:pPr>
      <w:r>
        <w:rPr/>
        <w:t>六、公司员工情况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41" w:firstLine="360"/>
        <w:jc w:val="left"/>
      </w:pP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日，与公司签订正式劳动用工合同的员工总数为</w:t>
      </w:r>
      <w:r>
        <w:rPr>
          <w:rFonts w:ascii="Times New Roman" w:hAnsi="Times New Roman" w:cs="Times New Roman" w:eastAsia="Times New Roman" w:hint="default"/>
        </w:rPr>
        <w:t>1394</w:t>
      </w:r>
      <w:r>
        <w:rPr/>
        <w:t>人（含控股子公司）。其专业构成、教育程 度情况如下：</w:t>
      </w:r>
    </w:p>
    <w:tbl>
      <w:tblPr>
        <w:tblW w:w="0" w:type="auto"/>
        <w:jc w:val="left"/>
        <w:tblInd w:w="137" w:type="dxa"/>
        <w:tblLayout w:type="fixed"/>
        <w:tblCellMar>
          <w:top w:w="0" w:type="dxa"/>
          <w:left w:w="0" w:type="dxa"/>
          <w:bottom w:w="0" w:type="dxa"/>
          <w:right w:w="0" w:type="dxa"/>
        </w:tblCellMar>
        <w:tblLook w:val="01E0"/>
      </w:tblPr>
      <w:tblGrid>
        <w:gridCol w:w="5260"/>
        <w:gridCol w:w="4398"/>
      </w:tblGrid>
      <w:tr>
        <w:trPr>
          <w:trHeight w:val="347" w:hRule="exact"/>
        </w:trPr>
        <w:tc>
          <w:tcPr>
            <w:tcW w:w="5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公司员工总数</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1394</w:t>
            </w:r>
          </w:p>
        </w:tc>
      </w:tr>
      <w:tr>
        <w:trPr>
          <w:trHeight w:val="427" w:hRule="exact"/>
        </w:trPr>
        <w:tc>
          <w:tcPr>
            <w:tcW w:w="96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26" w:hRule="exact"/>
        </w:trPr>
        <w:tc>
          <w:tcPr>
            <w:tcW w:w="5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81"/>
              <w:jc w:val="right"/>
              <w:rPr>
                <w:rFonts w:ascii="宋体" w:hAnsi="宋体" w:cs="宋体" w:eastAsia="宋体" w:hint="default"/>
                <w:sz w:val="18"/>
                <w:szCs w:val="18"/>
              </w:rPr>
            </w:pPr>
            <w:r>
              <w:rPr>
                <w:rFonts w:ascii="宋体" w:hAnsi="宋体" w:cs="宋体" w:eastAsia="宋体" w:hint="default"/>
                <w:sz w:val="18"/>
                <w:szCs w:val="18"/>
              </w:rPr>
              <w:t>专业构成类别</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4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27" w:hRule="exact"/>
        </w:trPr>
        <w:tc>
          <w:tcPr>
            <w:tcW w:w="5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565</w:t>
            </w:r>
          </w:p>
        </w:tc>
      </w:tr>
      <w:tr>
        <w:trPr>
          <w:trHeight w:val="427" w:hRule="exact"/>
        </w:trPr>
        <w:tc>
          <w:tcPr>
            <w:tcW w:w="5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162</w:t>
            </w:r>
          </w:p>
        </w:tc>
      </w:tr>
      <w:tr>
        <w:trPr>
          <w:trHeight w:val="427" w:hRule="exact"/>
        </w:trPr>
        <w:tc>
          <w:tcPr>
            <w:tcW w:w="5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555</w:t>
            </w:r>
          </w:p>
        </w:tc>
      </w:tr>
      <w:tr>
        <w:trPr>
          <w:trHeight w:val="427" w:hRule="exact"/>
        </w:trPr>
        <w:tc>
          <w:tcPr>
            <w:tcW w:w="5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19</w:t>
            </w:r>
          </w:p>
        </w:tc>
      </w:tr>
      <w:tr>
        <w:trPr>
          <w:trHeight w:val="427" w:hRule="exact"/>
        </w:trPr>
        <w:tc>
          <w:tcPr>
            <w:tcW w:w="5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其他管理</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93</w:t>
            </w:r>
          </w:p>
        </w:tc>
      </w:tr>
      <w:tr>
        <w:trPr>
          <w:trHeight w:val="426" w:hRule="exact"/>
        </w:trPr>
        <w:tc>
          <w:tcPr>
            <w:tcW w:w="96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28" w:hRule="exact"/>
        </w:trPr>
        <w:tc>
          <w:tcPr>
            <w:tcW w:w="5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81"/>
              <w:jc w:val="right"/>
              <w:rPr>
                <w:rFonts w:ascii="宋体" w:hAnsi="宋体" w:cs="宋体" w:eastAsia="宋体" w:hint="default"/>
                <w:sz w:val="18"/>
                <w:szCs w:val="18"/>
              </w:rPr>
            </w:pPr>
            <w:r>
              <w:rPr>
                <w:rFonts w:ascii="宋体" w:hAnsi="宋体" w:cs="宋体" w:eastAsia="宋体" w:hint="default"/>
                <w:sz w:val="18"/>
                <w:szCs w:val="18"/>
              </w:rPr>
              <w:t>教育程度类别</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41" w:right="0"/>
              <w:jc w:val="left"/>
              <w:rPr>
                <w:rFonts w:ascii="宋体" w:hAnsi="宋体" w:cs="宋体" w:eastAsia="宋体" w:hint="default"/>
                <w:sz w:val="18"/>
                <w:szCs w:val="18"/>
              </w:rPr>
            </w:pPr>
            <w:r>
              <w:rPr>
                <w:rFonts w:ascii="宋体" w:hAnsi="宋体" w:cs="宋体" w:eastAsia="宋体" w:hint="default"/>
                <w:sz w:val="18"/>
                <w:szCs w:val="18"/>
              </w:rPr>
              <w:t>数量（人）</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5260"/>
        <w:gridCol w:w="4398"/>
      </w:tblGrid>
      <w:tr>
        <w:trPr>
          <w:trHeight w:val="427" w:hRule="exact"/>
        </w:trPr>
        <w:tc>
          <w:tcPr>
            <w:tcW w:w="5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27</w:t>
            </w:r>
          </w:p>
        </w:tc>
      </w:tr>
      <w:tr>
        <w:trPr>
          <w:trHeight w:val="427" w:hRule="exact"/>
        </w:trPr>
        <w:tc>
          <w:tcPr>
            <w:tcW w:w="5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254</w:t>
            </w:r>
          </w:p>
        </w:tc>
      </w:tr>
      <w:tr>
        <w:trPr>
          <w:trHeight w:val="426" w:hRule="exact"/>
        </w:trPr>
        <w:tc>
          <w:tcPr>
            <w:tcW w:w="5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439</w:t>
            </w:r>
          </w:p>
        </w:tc>
      </w:tr>
      <w:tr>
        <w:trPr>
          <w:trHeight w:val="428" w:hRule="exact"/>
        </w:trPr>
        <w:tc>
          <w:tcPr>
            <w:tcW w:w="5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674</w:t>
            </w:r>
          </w:p>
        </w:tc>
      </w:tr>
    </w:tbl>
    <w:p>
      <w:pPr>
        <w:spacing w:line="240" w:lineRule="auto" w:before="10"/>
        <w:rPr>
          <w:rFonts w:ascii="宋体" w:hAnsi="宋体" w:cs="宋体" w:eastAsia="宋体" w:hint="default"/>
          <w:sz w:val="15"/>
          <w:szCs w:val="15"/>
        </w:rPr>
      </w:pPr>
    </w:p>
    <w:p>
      <w:pPr>
        <w:pStyle w:val="BodyText"/>
        <w:spacing w:line="240" w:lineRule="auto" w:before="44"/>
        <w:ind w:left="514" w:right="149"/>
        <w:jc w:val="left"/>
      </w:pPr>
      <w:r>
        <w:rPr/>
        <w:t>其中专业、教育程度构成饼状图为：</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2"/>
          <w:szCs w:val="12"/>
        </w:rPr>
      </w:pPr>
    </w:p>
    <w:p>
      <w:pPr>
        <w:spacing w:line="3196" w:lineRule="exact"/>
        <w:ind w:left="286" w:right="0" w:firstLine="0"/>
        <w:rPr>
          <w:rFonts w:ascii="宋体" w:hAnsi="宋体" w:cs="宋体" w:eastAsia="宋体" w:hint="default"/>
          <w:sz w:val="20"/>
          <w:szCs w:val="20"/>
        </w:rPr>
      </w:pPr>
      <w:r>
        <w:rPr>
          <w:rFonts w:ascii="宋体" w:hAnsi="宋体" w:cs="宋体" w:eastAsia="宋体" w:hint="default"/>
          <w:position w:val="-63"/>
          <w:sz w:val="20"/>
          <w:szCs w:val="20"/>
        </w:rPr>
        <w:pict>
          <v:group style="width:468.75pt;height:159.85pt;mso-position-horizontal-relative:char;mso-position-vertical-relative:line" coordorigin="0,0" coordsize="9375,3197">
            <v:shape style="position:absolute;left:0;top:86;width:4579;height:3110" type="#_x0000_t75" stroked="false">
              <v:imagedata r:id="rId15" o:title=""/>
            </v:shape>
            <v:shape style="position:absolute;left:4579;top:0;width:4795;height:3197" type="#_x0000_t75" stroked="false">
              <v:imagedata r:id="rId16" o:title=""/>
            </v:shape>
          </v:group>
        </w:pict>
      </w:r>
      <w:r>
        <w:rPr>
          <w:rFonts w:ascii="宋体" w:hAnsi="宋体" w:cs="宋体" w:eastAsia="宋体" w:hint="default"/>
          <w:position w:val="-63"/>
          <w:sz w:val="20"/>
          <w:szCs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ind w:left="514" w:right="149"/>
        <w:jc w:val="left"/>
      </w:pPr>
      <w:r>
        <w:rPr>
          <w:rFonts w:ascii="Times New Roman" w:hAnsi="Times New Roman" w:cs="Times New Roman" w:eastAsia="Times New Roman" w:hint="default"/>
        </w:rPr>
        <w:t>2</w:t>
      </w:r>
      <w:r>
        <w:rPr/>
        <w:t>、公司没有需承担费用的离退休职工。</w:t>
      </w:r>
    </w:p>
    <w:p>
      <w:pPr>
        <w:pStyle w:val="BodyText"/>
        <w:spacing w:line="300" w:lineRule="auto" w:before="62"/>
        <w:ind w:left="513" w:right="149"/>
        <w:jc w:val="left"/>
      </w:pPr>
      <w:r>
        <w:rPr>
          <w:rFonts w:ascii="Times New Roman" w:hAnsi="Times New Roman" w:cs="Times New Roman" w:eastAsia="Times New Roman" w:hint="default"/>
        </w:rPr>
        <w:t>3</w:t>
      </w:r>
      <w:r>
        <w:rPr/>
        <w:t>、公司员工薪酬政策 </w:t>
      </w:r>
      <w:r>
        <w:rPr>
          <w:spacing w:val="-2"/>
        </w:rPr>
        <w:t>为适应企业发展需要，充分发挥薪酬的激励作用，公司以公平、竞争、激励、经济、合法的原则制定薪酬政策。根据岗</w:t>
      </w:r>
    </w:p>
    <w:p>
      <w:pPr>
        <w:pStyle w:val="BodyText"/>
        <w:spacing w:line="316" w:lineRule="auto" w:before="31"/>
        <w:ind w:left="153" w:right="151"/>
        <w:jc w:val="both"/>
      </w:pPr>
      <w:r>
        <w:rPr>
          <w:spacing w:val="-2"/>
        </w:rPr>
        <w:t>位价值、个人能力、工作绩效结合市场薪酬水平和公司的支付能力提供较具竞争力的薪酬水平。同时根据各系统的业务特点</w:t>
      </w:r>
      <w:r>
        <w:rPr>
          <w:spacing w:val="-66"/>
        </w:rPr>
        <w:t> </w:t>
      </w:r>
      <w:r>
        <w:rPr>
          <w:spacing w:val="-66"/>
        </w:rPr>
      </w:r>
      <w:r>
        <w:rPr>
          <w:spacing w:val="-2"/>
        </w:rPr>
        <w:t>和岗位性质构建相对科学的考核体系，建立考核与工资、奖金、调薪、普升及培训挂钩的机制，为骨干员工和优秀人才提供</w:t>
      </w:r>
      <w:r>
        <w:rPr>
          <w:spacing w:val="-66"/>
        </w:rPr>
        <w:t> </w:t>
      </w:r>
      <w:r>
        <w:rPr>
          <w:spacing w:val="-66"/>
        </w:rPr>
      </w:r>
      <w:r>
        <w:rPr/>
        <w:t>中长期的激励政策，最大限度地发挥和调动员工的积极性和主动性。</w:t>
      </w:r>
    </w:p>
    <w:p>
      <w:pPr>
        <w:pStyle w:val="BodyText"/>
        <w:spacing w:line="340" w:lineRule="auto" w:before="18"/>
        <w:ind w:left="454" w:right="0" w:firstLine="59"/>
        <w:jc w:val="left"/>
      </w:pPr>
      <w:r>
        <w:rPr>
          <w:rFonts w:ascii="Times New Roman" w:hAnsi="Times New Roman" w:cs="Times New Roman" w:eastAsia="Times New Roman" w:hint="default"/>
        </w:rPr>
        <w:t>4</w:t>
      </w:r>
      <w:r>
        <w:rPr/>
        <w:t>、公司培训政策 </w:t>
      </w:r>
      <w:r>
        <w:rPr>
          <w:spacing w:val="-1"/>
        </w:rPr>
        <w:t>公司根据各部门实际情况制定了年度培训计划，训练内容主要集中在员工岗位技能、管理知识等方面。</w:t>
      </w:r>
      <w:r>
        <w:rPr>
          <w:rFonts w:ascii="Times New Roman" w:hAnsi="Times New Roman" w:cs="Times New Roman" w:eastAsia="Times New Roman" w:hint="default"/>
          <w:spacing w:val="-1"/>
        </w:rPr>
        <w:t>2012</w:t>
      </w:r>
      <w:r>
        <w:rPr>
          <w:spacing w:val="-1"/>
        </w:rPr>
        <w:t>年度公司各</w:t>
      </w:r>
    </w:p>
    <w:p>
      <w:pPr>
        <w:pStyle w:val="BodyText"/>
        <w:spacing w:line="227" w:lineRule="exact"/>
        <w:ind w:left="153" w:right="0"/>
        <w:jc w:val="both"/>
      </w:pPr>
      <w:r>
        <w:rPr/>
        <w:t>类培训场次共</w:t>
      </w:r>
      <w:r>
        <w:rPr>
          <w:rFonts w:ascii="Times New Roman" w:hAnsi="Times New Roman" w:cs="Times New Roman" w:eastAsia="Times New Roman" w:hint="default"/>
        </w:rPr>
        <w:t>151</w:t>
      </w:r>
      <w:r>
        <w:rPr/>
        <w:t>次，培训课时合计</w:t>
      </w:r>
      <w:r>
        <w:rPr>
          <w:rFonts w:ascii="Times New Roman" w:hAnsi="Times New Roman" w:cs="Times New Roman" w:eastAsia="Times New Roman" w:hint="default"/>
        </w:rPr>
        <w:t>760.5</w:t>
      </w:r>
      <w:r>
        <w:rPr/>
        <w:t>小时，合计培训</w:t>
      </w:r>
      <w:r>
        <w:rPr>
          <w:rFonts w:ascii="Times New Roman" w:hAnsi="Times New Roman" w:cs="Times New Roman" w:eastAsia="Times New Roman" w:hint="default"/>
        </w:rPr>
        <w:t>2737</w:t>
      </w:r>
      <w:r>
        <w:rPr/>
        <w:t>人次，提高了公司员工的综合素质，为企业的发展进一步提升</w:t>
      </w:r>
    </w:p>
    <w:p>
      <w:pPr>
        <w:pStyle w:val="BodyText"/>
        <w:spacing w:line="240" w:lineRule="auto" w:before="64"/>
        <w:ind w:left="153" w:right="0"/>
        <w:jc w:val="both"/>
      </w:pPr>
      <w:r>
        <w:rPr/>
        <w:t>了竞争力。</w:t>
      </w:r>
    </w:p>
    <w:p>
      <w:pPr>
        <w:spacing w:after="0" w:line="240"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751" w:right="3927"/>
        <w:jc w:val="center"/>
        <w:rPr>
          <w:b w:val="0"/>
          <w:bCs w:val="0"/>
        </w:rPr>
      </w:pPr>
      <w:bookmarkStart w:name="_bookmark7" w:id="8"/>
      <w:bookmarkEnd w:id="8"/>
      <w:r>
        <w:rPr>
          <w:b w:val="0"/>
          <w:bCs w:val="0"/>
        </w:rPr>
      </w: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230"/>
        <w:jc w:val="left"/>
        <w:rPr>
          <w:b w:val="0"/>
          <w:bCs w:val="0"/>
        </w:rPr>
      </w:pP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329" w:firstLine="360"/>
        <w:jc w:val="both"/>
      </w:pPr>
      <w:r>
        <w:rPr>
          <w:spacing w:val="-2"/>
        </w:rPr>
        <w:t>报告期内，公司按照《公司法》、《证券法》和《上市公司治理准则》、《深圳证券交易所股票上市规则》及中国证监</w:t>
      </w:r>
      <w:r>
        <w:rPr/>
        <w:t> </w:t>
      </w:r>
      <w:r>
        <w:rPr>
          <w:spacing w:val="-2"/>
        </w:rPr>
        <w:t>会有关法律、法规和公司规章的要求，不断完善公司的法人治理结构，建立健全内部管理和控制制度，逐步提高公司规范化</w:t>
      </w:r>
      <w:r>
        <w:rPr>
          <w:spacing w:val="-66"/>
        </w:rPr>
        <w:t> </w:t>
      </w:r>
      <w:r>
        <w:rPr>
          <w:spacing w:val="-66"/>
        </w:rPr>
      </w:r>
      <w:r>
        <w:rPr/>
        <w:t>运作程度。截至报告期末，公司治理实际情况基本符合中国证监会发布的有关上市公司治理的规范性文件的要求。</w:t>
      </w:r>
    </w:p>
    <w:p>
      <w:pPr>
        <w:pStyle w:val="BodyText"/>
        <w:spacing w:line="302" w:lineRule="auto" w:before="55"/>
        <w:ind w:left="153" w:right="338" w:firstLine="360"/>
        <w:jc w:val="both"/>
      </w:pPr>
      <w:r>
        <w:rPr>
          <w:rFonts w:ascii="Times New Roman" w:hAnsi="Times New Roman" w:cs="Times New Roman" w:eastAsia="Times New Roman" w:hint="default"/>
        </w:rPr>
        <w:t>1</w:t>
      </w:r>
      <w:r>
        <w:rPr/>
        <w:t>、关于股东与股东大会：公司严格按照《上市公司股东大会规范意见》及公司《股东大会议事规则》的要求，规范股 东大会召集、召开、表决程序，平等对待所有股东，确保股东特别是中小股东能充分行使其权利。</w:t>
      </w:r>
    </w:p>
    <w:p>
      <w:pPr>
        <w:pStyle w:val="BodyText"/>
        <w:spacing w:line="309" w:lineRule="auto" w:before="68"/>
        <w:ind w:left="153" w:right="331" w:firstLine="360"/>
        <w:jc w:val="both"/>
      </w:pPr>
      <w:r>
        <w:rPr>
          <w:rFonts w:ascii="Times New Roman" w:hAnsi="Times New Roman" w:cs="Times New Roman" w:eastAsia="Times New Roman" w:hint="default"/>
        </w:rPr>
        <w:t>2</w:t>
      </w:r>
      <w:r>
        <w:rPr/>
        <w:t>、关于公司与控股股东的关系：公司控股股东行为规范，通过股东大会依法行使出资人的权利，没有直接或间接干预 </w:t>
      </w:r>
      <w:r>
        <w:rPr>
          <w:spacing w:val="-2"/>
        </w:rPr>
        <w:t>公司的决策和经营活动。公司拥有独立的业务和经营自主能力，在业务、人员、资产、机构、财务上独立于控股股东。公司</w:t>
      </w:r>
      <w:r>
        <w:rPr>
          <w:spacing w:val="-72"/>
        </w:rPr>
        <w:t> </w:t>
      </w:r>
      <w:r>
        <w:rPr>
          <w:spacing w:val="-72"/>
        </w:rPr>
      </w:r>
      <w:r>
        <w:rPr/>
        <w:t>董事会、监事会和内部机构独立运作。不存在控股股东占用上市公司资金的现象。</w:t>
      </w:r>
    </w:p>
    <w:p>
      <w:pPr>
        <w:pStyle w:val="BodyText"/>
        <w:spacing w:line="312" w:lineRule="auto" w:before="63"/>
        <w:ind w:right="328" w:firstLine="360"/>
        <w:jc w:val="both"/>
      </w:pPr>
      <w:r>
        <w:rPr>
          <w:rFonts w:ascii="Times New Roman" w:hAnsi="Times New Roman" w:cs="Times New Roman" w:eastAsia="Times New Roman" w:hint="default"/>
        </w:rPr>
        <w:t>3</w:t>
      </w:r>
      <w:r>
        <w:rPr/>
        <w:t>、关于董事和董事会：公司严格按照法律法规和《公司章程》规定的程序选举董事，董事会成员</w:t>
      </w:r>
      <w:r>
        <w:rPr>
          <w:rFonts w:ascii="Times New Roman" w:hAnsi="Times New Roman" w:cs="Times New Roman" w:eastAsia="Times New Roman" w:hint="default"/>
        </w:rPr>
        <w:t>7</w:t>
      </w:r>
      <w:r>
        <w:rPr/>
        <w:t>人，其中外部董事</w:t>
      </w:r>
      <w:r>
        <w:rPr>
          <w:rFonts w:ascii="Times New Roman" w:hAnsi="Times New Roman" w:cs="Times New Roman" w:eastAsia="Times New Roman" w:hint="default"/>
        </w:rPr>
        <w:t>4 </w:t>
      </w:r>
      <w:r>
        <w:rPr>
          <w:spacing w:val="-2"/>
        </w:rPr>
        <w:t>人，董事会人数及人员构成符合法律法规和《公司章程》的要求。公司董事会设立了审计委员会、薪酬与考核委员会、战略</w:t>
      </w:r>
      <w:r>
        <w:rPr>
          <w:spacing w:val="-68"/>
        </w:rPr>
        <w:t> </w:t>
      </w:r>
      <w:r>
        <w:rPr>
          <w:spacing w:val="-68"/>
        </w:rPr>
      </w:r>
      <w:r>
        <w:rPr>
          <w:spacing w:val="-5"/>
        </w:rPr>
        <w:t>委员会三个专业委员会，为董事会的决策提供专业的意见和参考。报告期内，公司全体董事能积极严格按照《公司法》、《公</w:t>
      </w:r>
      <w:r>
        <w:rPr>
          <w:spacing w:val="-80"/>
        </w:rPr>
        <w:t> </w:t>
      </w:r>
      <w:r>
        <w:rPr>
          <w:spacing w:val="-80"/>
        </w:rPr>
      </w:r>
      <w:r>
        <w:rPr/>
        <w:t>司章程》和《董事会议事规则》的规定，认真出席董事会会议，公司董事会会议的召集、召开和表决程序规范。</w:t>
      </w:r>
    </w:p>
    <w:p>
      <w:pPr>
        <w:pStyle w:val="BodyText"/>
        <w:spacing w:line="309" w:lineRule="auto" w:before="61"/>
        <w:ind w:right="230" w:firstLine="360"/>
        <w:jc w:val="left"/>
      </w:pPr>
      <w:r>
        <w:rPr>
          <w:rFonts w:ascii="Times New Roman" w:hAnsi="Times New Roman" w:cs="Times New Roman" w:eastAsia="Times New Roman" w:hint="default"/>
        </w:rPr>
        <w:t>4</w:t>
      </w:r>
      <w:r>
        <w:rPr/>
        <w:t>、关于监事和监事会：公司严格执行《公司法》和《公司章程》等相关法律法规，监事会人数及人员构成符合法律法 规。公司监事会严格按照《公司章程》等相关规定召开监事会，各监事认真出席监事会，认真履行职责，对公司重大事项、 关联交易、财务状况等进行监督并发表意见。</w:t>
      </w:r>
    </w:p>
    <w:p>
      <w:pPr>
        <w:pStyle w:val="BodyText"/>
        <w:spacing w:line="309" w:lineRule="auto" w:before="62"/>
        <w:ind w:right="331" w:firstLine="360"/>
        <w:jc w:val="both"/>
      </w:pPr>
      <w:r>
        <w:rPr>
          <w:rFonts w:ascii="Times New Roman" w:hAnsi="Times New Roman" w:cs="Times New Roman" w:eastAsia="Times New Roman" w:hint="default"/>
        </w:rPr>
        <w:t>5</w:t>
      </w:r>
      <w:r>
        <w:rPr/>
        <w:t>、关于绩效评价与激励约束机制：公司正逐步完善和建立公正、透明的董事、监事和高级管理人员的绩效评价标准和 </w:t>
      </w:r>
      <w:r>
        <w:rPr>
          <w:spacing w:val="-2"/>
        </w:rPr>
        <w:t>激励约束机制。年内公司修订了《董事、监事、高级管理人员薪酬管理制度》，高级管理人员的聘任公开、透明，符合法律</w:t>
      </w:r>
      <w:r>
        <w:rPr>
          <w:spacing w:val="-67"/>
        </w:rPr>
        <w:t> </w:t>
      </w:r>
      <w:r>
        <w:rPr>
          <w:spacing w:val="-67"/>
        </w:rPr>
      </w:r>
      <w:r>
        <w:rPr/>
        <w:t>法规的规定。</w:t>
      </w:r>
    </w:p>
    <w:p>
      <w:pPr>
        <w:pStyle w:val="BodyText"/>
        <w:spacing w:line="309" w:lineRule="auto" w:before="63"/>
        <w:ind w:right="329" w:firstLine="360"/>
        <w:jc w:val="both"/>
      </w:pPr>
      <w:r>
        <w:rPr>
          <w:rFonts w:ascii="Times New Roman" w:hAnsi="Times New Roman" w:cs="Times New Roman" w:eastAsia="Times New Roman" w:hint="default"/>
        </w:rPr>
        <w:t>6</w:t>
      </w:r>
      <w:r>
        <w:rPr/>
        <w:t>、关于信息披露与透明度：公司董事会秘书负责信息披露、投资者关系工作。《证券时报》、巨潮资讯网为公司指定 </w:t>
      </w:r>
      <w:r>
        <w:rPr>
          <w:spacing w:val="-2"/>
        </w:rPr>
        <w:t>信息披露媒体，公司还努力通过不同的方式加强投资者的沟通与互动，具体方式有：投资者来访接待、参观、对外的电话专</w:t>
      </w:r>
      <w:r>
        <w:rPr>
          <w:spacing w:val="-65"/>
        </w:rPr>
        <w:t> </w:t>
      </w:r>
      <w:r>
        <w:rPr>
          <w:spacing w:val="-65"/>
        </w:rPr>
      </w:r>
      <w:r>
        <w:rPr/>
        <w:t>线等，以保持与投资者的良好沟通和透明度。</w:t>
      </w:r>
    </w:p>
    <w:p>
      <w:pPr>
        <w:pStyle w:val="BodyText"/>
        <w:spacing w:line="302" w:lineRule="auto" w:before="62"/>
        <w:ind w:right="338" w:firstLine="360"/>
        <w:jc w:val="both"/>
      </w:pPr>
      <w:r>
        <w:rPr>
          <w:rFonts w:ascii="Times New Roman" w:hAnsi="Times New Roman" w:cs="Times New Roman" w:eastAsia="Times New Roman" w:hint="default"/>
        </w:rPr>
        <w:t>7</w:t>
      </w:r>
      <w:r>
        <w:rPr/>
        <w:t>、关于相关利益者：公司能够充分尊重和维护相关利益者的合法权益，积极与相关利益者合作，加强与各方的沟通和 交流，实现股东、员工、社会等各方利益的均衡，以推动公司持续、稳定、健康地发展。</w:t>
      </w:r>
    </w:p>
    <w:p>
      <w:pPr>
        <w:pStyle w:val="BodyText"/>
        <w:spacing w:line="240" w:lineRule="auto" w:before="68"/>
        <w:ind w:left="514" w:right="230"/>
        <w:jc w:val="left"/>
      </w:pPr>
      <w:r>
        <w:rPr/>
        <w:t>报告期内，公司建立和修订的制度如下：</w:t>
      </w:r>
    </w:p>
    <w:p>
      <w:pPr>
        <w:spacing w:line="240" w:lineRule="auto" w:before="1"/>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590"/>
        <w:gridCol w:w="3886"/>
        <w:gridCol w:w="2603"/>
        <w:gridCol w:w="1640"/>
        <w:gridCol w:w="1135"/>
      </w:tblGrid>
      <w:tr>
        <w:trPr>
          <w:trHeight w:val="430" w:hRule="exact"/>
        </w:trPr>
        <w:tc>
          <w:tcPr>
            <w:tcW w:w="59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88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制度名称</w:t>
            </w:r>
            <w:r>
              <w:rPr>
                <w:rFonts w:ascii="宋体" w:hAnsi="宋体" w:cs="宋体" w:eastAsia="宋体" w:hint="default"/>
                <w:sz w:val="18"/>
                <w:szCs w:val="18"/>
              </w:rPr>
            </w:r>
          </w:p>
        </w:tc>
        <w:tc>
          <w:tcPr>
            <w:tcW w:w="260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会议名称</w:t>
            </w:r>
            <w:r>
              <w:rPr>
                <w:rFonts w:ascii="宋体" w:hAnsi="宋体" w:cs="宋体" w:eastAsia="宋体" w:hint="default"/>
                <w:sz w:val="18"/>
                <w:szCs w:val="18"/>
              </w:rPr>
            </w:r>
          </w:p>
        </w:tc>
        <w:tc>
          <w:tcPr>
            <w:tcW w:w="164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披露时间</w:t>
            </w:r>
            <w:r>
              <w:rPr>
                <w:rFonts w:ascii="宋体" w:hAnsi="宋体" w:cs="宋体" w:eastAsia="宋体" w:hint="default"/>
                <w:sz w:val="18"/>
                <w:szCs w:val="18"/>
              </w:rPr>
            </w:r>
          </w:p>
        </w:tc>
        <w:tc>
          <w:tcPr>
            <w:tcW w:w="113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27" w:hRule="exact"/>
        </w:trPr>
        <w:tc>
          <w:tcPr>
            <w:tcW w:w="5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center"/>
              <w:rPr>
                <w:rFonts w:ascii="Times New Roman" w:hAnsi="Times New Roman" w:cs="Times New Roman" w:eastAsia="Times New Roman" w:hint="default"/>
                <w:sz w:val="18"/>
                <w:szCs w:val="18"/>
              </w:rPr>
            </w:pPr>
            <w:r>
              <w:rPr>
                <w:rFonts w:ascii="Times New Roman"/>
                <w:sz w:val="18"/>
              </w:rPr>
              <w:t>1</w:t>
            </w:r>
          </w:p>
        </w:tc>
        <w:tc>
          <w:tcPr>
            <w:tcW w:w="38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《公司内幕信息知情人登记制度》</w:t>
            </w:r>
          </w:p>
        </w:tc>
        <w:tc>
          <w:tcPr>
            <w:tcW w:w="260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第二届董事会第二十次会议</w:t>
            </w:r>
          </w:p>
        </w:tc>
        <w:tc>
          <w:tcPr>
            <w:tcW w:w="164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第一次修订</w:t>
            </w:r>
          </w:p>
        </w:tc>
      </w:tr>
      <w:tr>
        <w:trPr>
          <w:trHeight w:val="427" w:hRule="exact"/>
        </w:trPr>
        <w:tc>
          <w:tcPr>
            <w:tcW w:w="5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center"/>
              <w:rPr>
                <w:rFonts w:ascii="Times New Roman" w:hAnsi="Times New Roman" w:cs="Times New Roman" w:eastAsia="Times New Roman" w:hint="default"/>
                <w:sz w:val="18"/>
                <w:szCs w:val="18"/>
              </w:rPr>
            </w:pPr>
            <w:r>
              <w:rPr>
                <w:rFonts w:ascii="Times New Roman"/>
                <w:sz w:val="18"/>
              </w:rPr>
              <w:t>2</w:t>
            </w:r>
          </w:p>
        </w:tc>
        <w:tc>
          <w:tcPr>
            <w:tcW w:w="38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《公司债务融资工具信息披露事务管理制度》</w:t>
            </w:r>
          </w:p>
        </w:tc>
        <w:tc>
          <w:tcPr>
            <w:tcW w:w="260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第二届董事会第二十五次会议</w:t>
            </w:r>
          </w:p>
        </w:tc>
        <w:tc>
          <w:tcPr>
            <w:tcW w:w="164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第一次制定</w:t>
            </w:r>
          </w:p>
        </w:tc>
      </w:tr>
    </w:tbl>
    <w:p>
      <w:pPr>
        <w:spacing w:line="240" w:lineRule="auto" w:before="5"/>
        <w:rPr>
          <w:rFonts w:ascii="宋体" w:hAnsi="宋体" w:cs="宋体" w:eastAsia="宋体" w:hint="default"/>
          <w:sz w:val="24"/>
          <w:szCs w:val="24"/>
        </w:rPr>
      </w:pPr>
    </w:p>
    <w:p>
      <w:pPr>
        <w:pStyle w:val="BodyText"/>
        <w:spacing w:line="240" w:lineRule="auto" w:before="44"/>
        <w:ind w:right="230"/>
        <w:jc w:val="left"/>
      </w:pPr>
      <w:r>
        <w:rPr/>
        <w:t>公司治理与《公司法》和中国证监会相关规定的要求是否存在差异</w:t>
      </w:r>
    </w:p>
    <w:p>
      <w:pPr>
        <w:pStyle w:val="BodyText"/>
        <w:spacing w:line="338" w:lineRule="auto" w:before="117"/>
        <w:ind w:right="4730"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pStyle w:val="BodyText"/>
        <w:spacing w:line="240" w:lineRule="auto" w:before="43"/>
        <w:ind w:right="230"/>
        <w:jc w:val="left"/>
      </w:pPr>
      <w:r>
        <w:rPr/>
        <w:t>公司治理专项活动开展情况以及内幕信息知情人登记管理制度的制定、实施情况</w:t>
      </w:r>
    </w:p>
    <w:p>
      <w:pPr>
        <w:pStyle w:val="BodyText"/>
        <w:spacing w:line="240" w:lineRule="auto" w:before="116"/>
        <w:ind w:left="514" w:right="230"/>
        <w:jc w:val="left"/>
      </w:pPr>
      <w:r>
        <w:rPr>
          <w:rFonts w:ascii="Times New Roman" w:hAnsi="Times New Roman" w:cs="Times New Roman" w:eastAsia="Times New Roman" w:hint="default"/>
        </w:rPr>
        <w:t>1</w:t>
      </w:r>
      <w:r>
        <w:rPr/>
        <w:t>、公司治理专项活动开展情况</w:t>
      </w:r>
    </w:p>
    <w:p>
      <w:pPr>
        <w:pStyle w:val="BodyText"/>
        <w:spacing w:line="300" w:lineRule="auto" w:before="101"/>
        <w:ind w:right="230" w:firstLine="359"/>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6-7</w:t>
      </w:r>
      <w:r>
        <w:rPr>
          <w:rFonts w:ascii="Times New Roman" w:hAnsi="Times New Roman" w:cs="Times New Roman" w:eastAsia="Times New Roman" w:hint="default"/>
          <w:spacing w:val="-1"/>
        </w:rPr>
        <w:t> </w:t>
      </w:r>
      <w:r>
        <w:rPr/>
        <w:t>月，公司根据中国证监会《关于进一步落实上市公司现金分红有关事项的通知》和深圳证监局《关于认真 </w:t>
      </w:r>
      <w:r>
        <w:rPr>
          <w:spacing w:val="-2"/>
        </w:rPr>
        <w:t>贯彻落实〈关于进一步落实上市公司现金分红相关事项的通知〉有关要求的通知》的要求，公司制定了明确的未来三年股东</w:t>
      </w:r>
    </w:p>
    <w:p>
      <w:pPr>
        <w:spacing w:after="0" w:line="300" w:lineRule="auto"/>
        <w:jc w:val="left"/>
        <w:sectPr>
          <w:pgSz w:w="11910" w:h="16840"/>
          <w:pgMar w:header="747" w:footer="982" w:top="1060" w:bottom="1180" w:left="980" w:right="800"/>
        </w:sectPr>
      </w:pPr>
    </w:p>
    <w:p>
      <w:pPr>
        <w:spacing w:line="240" w:lineRule="auto" w:before="12"/>
        <w:rPr>
          <w:rFonts w:ascii="宋体" w:hAnsi="宋体" w:cs="宋体" w:eastAsia="宋体" w:hint="default"/>
          <w:sz w:val="25"/>
          <w:szCs w:val="25"/>
        </w:rPr>
      </w:pPr>
    </w:p>
    <w:p>
      <w:pPr>
        <w:pStyle w:val="BodyText"/>
        <w:spacing w:line="307" w:lineRule="auto" w:before="44"/>
        <w:ind w:left="153" w:right="138"/>
        <w:jc w:val="left"/>
      </w:pPr>
      <w:r>
        <w:rPr>
          <w:spacing w:val="-2"/>
        </w:rPr>
        <w:t>回报规划，同时修订完善了《公司章程》中有关利润分配政策条款，进一步完善了股东大会、董事会、独立董事对利润分配</w:t>
      </w:r>
      <w:r>
        <w:rPr>
          <w:spacing w:val="-67"/>
        </w:rPr>
        <w:t> </w:t>
      </w:r>
      <w:r>
        <w:rPr>
          <w:spacing w:val="-67"/>
        </w:rPr>
      </w:r>
      <w:r>
        <w:rPr/>
        <w:t>事项的决策程序和机制，明确了利润分配的原则，确定了现金分配的条件、比例和时间，以及股票股利分配的条件。</w:t>
      </w:r>
      <w:r>
        <w:rPr>
          <w:rFonts w:ascii="Times New Roman" w:hAnsi="Times New Roman" w:cs="Times New Roman" w:eastAsia="Times New Roman" w:hint="default"/>
        </w:rPr>
        <w:t>2012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日公司召开的</w:t>
      </w:r>
      <w:r>
        <w:rPr>
          <w:spacing w:val="-46"/>
        </w:rPr>
        <w:t> </w:t>
      </w:r>
      <w:r>
        <w:rPr>
          <w:rFonts w:ascii="Times New Roman" w:hAnsi="Times New Roman" w:cs="Times New Roman" w:eastAsia="Times New Roman" w:hint="default"/>
        </w:rPr>
        <w:t>2012 </w:t>
      </w:r>
      <w:r>
        <w:rPr/>
        <w:t>年第三次临时股东大会审议通过了《公司未来三年（</w:t>
      </w:r>
      <w:r>
        <w:rPr>
          <w:rFonts w:ascii="Times New Roman" w:hAnsi="Times New Roman" w:cs="Times New Roman" w:eastAsia="Times New Roman" w:hint="default"/>
        </w:rPr>
        <w:t>2012-2014</w:t>
      </w:r>
      <w:r>
        <w:rPr>
          <w:rFonts w:ascii="Times New Roman" w:hAnsi="Times New Roman" w:cs="Times New Roman" w:eastAsia="Times New Roman" w:hint="default"/>
          <w:spacing w:val="-1"/>
        </w:rPr>
        <w:t> </w:t>
      </w:r>
      <w:r>
        <w:rPr>
          <w:spacing w:val="-7"/>
        </w:rPr>
        <w:t>年）股东回报规划》、以及修</w:t>
      </w:r>
      <w:r>
        <w:rPr/>
        <w:t> </w:t>
      </w:r>
      <w:r>
        <w:rPr>
          <w:spacing w:val="-9"/>
        </w:rPr>
        <w:t>改后的《公司章程》。</w:t>
      </w:r>
    </w:p>
    <w:p>
      <w:pPr>
        <w:pStyle w:val="BodyText"/>
        <w:spacing w:line="309" w:lineRule="auto" w:before="64"/>
        <w:ind w:left="153" w:right="0" w:firstLine="36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10-11</w:t>
      </w:r>
      <w:r>
        <w:rPr>
          <w:rFonts w:ascii="Times New Roman" w:hAnsi="Times New Roman" w:cs="Times New Roman" w:eastAsia="Times New Roman" w:hint="default"/>
          <w:spacing w:val="-2"/>
        </w:rPr>
        <w:t> </w:t>
      </w:r>
      <w:r>
        <w:rPr/>
        <w:t>月，公司根据中国证券监督管理委员会深圳监管局的有关要求，为进一步明确上市公司股东、关联方以 </w:t>
      </w:r>
      <w:r>
        <w:rPr>
          <w:spacing w:val="-2"/>
        </w:rPr>
        <w:t>及上市公司所做的各项承诺及后续履行情况，督促相关方履行承诺，营造良好的诚信环境，公司对股东、关联方以及公司未</w:t>
      </w:r>
      <w:r>
        <w:rPr>
          <w:spacing w:val="-66"/>
        </w:rPr>
        <w:t> </w:t>
      </w:r>
      <w:r>
        <w:rPr>
          <w:spacing w:val="-66"/>
        </w:rPr>
      </w:r>
      <w:r>
        <w:rPr/>
        <w:t>履行完毕的承诺进行了自查，自查结果刊登于</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日在《证券时报》及巨潮资讯网。</w:t>
      </w:r>
    </w:p>
    <w:p>
      <w:pPr>
        <w:pStyle w:val="BodyText"/>
        <w:spacing w:line="240" w:lineRule="auto" w:before="46"/>
        <w:ind w:left="514" w:right="149"/>
        <w:jc w:val="left"/>
      </w:pPr>
      <w:r>
        <w:rPr>
          <w:rFonts w:ascii="Times New Roman" w:hAnsi="Times New Roman" w:cs="Times New Roman" w:eastAsia="Times New Roman" w:hint="default"/>
        </w:rPr>
        <w:t>2</w:t>
      </w:r>
      <w:r>
        <w:rPr/>
        <w:t>、公司内幕信息知情人登记管理制度的制定、实施情况</w:t>
      </w:r>
    </w:p>
    <w:p>
      <w:pPr>
        <w:pStyle w:val="BodyText"/>
        <w:spacing w:line="240" w:lineRule="auto" w:before="101"/>
        <w:ind w:left="514"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日公司第一届董事会第二十一次会议上审议通过</w:t>
      </w:r>
      <w:r>
        <w:rPr>
          <w:spacing w:val="-18"/>
        </w:rPr>
        <w:t>了</w:t>
      </w:r>
      <w:r>
        <w:rPr/>
        <w:t>《公司内幕信息知情人登记制度</w:t>
      </w:r>
      <w:r>
        <w:rPr>
          <w:spacing w:val="-90"/>
        </w:rPr>
        <w:t>》</w:t>
      </w:r>
      <w:r>
        <w:rPr>
          <w:spacing w:val="-18"/>
        </w:rPr>
        <w:t>，</w:t>
      </w:r>
      <w:r>
        <w:rPr/>
        <w:t>根据中国证监会</w:t>
      </w:r>
    </w:p>
    <w:p>
      <w:pPr>
        <w:pStyle w:val="BodyText"/>
        <w:spacing w:line="240" w:lineRule="auto" w:before="62"/>
        <w:ind w:right="0"/>
        <w:jc w:val="left"/>
      </w:pPr>
      <w:r>
        <w:rPr/>
        <w:t>《关于上市公司建立内幕信息知情人登记管理制度的规定</w:t>
      </w:r>
      <w:r>
        <w:rPr>
          <w:spacing w:val="-90"/>
        </w:rPr>
        <w:t>》</w:t>
      </w:r>
      <w:r>
        <w:rPr/>
        <w:t>，</w:t>
      </w:r>
      <w:r>
        <w:rPr>
          <w:spacing w:val="-1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日公</w:t>
      </w:r>
      <w:r>
        <w:rPr>
          <w:spacing w:val="1"/>
        </w:rPr>
        <w:t>司</w:t>
      </w:r>
      <w:r>
        <w:rPr/>
        <w:t>第二届董事会第二十次会</w:t>
      </w:r>
      <w:r>
        <w:rPr>
          <w:spacing w:val="-18"/>
        </w:rPr>
        <w:t>议</w:t>
      </w:r>
      <w:r>
        <w:rPr/>
        <w:t>《公司内幕</w:t>
      </w:r>
    </w:p>
    <w:p>
      <w:pPr>
        <w:pStyle w:val="BodyText"/>
        <w:spacing w:line="338" w:lineRule="auto" w:before="64"/>
        <w:ind w:left="514" w:right="0" w:hanging="361"/>
        <w:jc w:val="left"/>
      </w:pPr>
      <w:r>
        <w:rPr/>
        <w:t>信息知情人登记制度》进行了修订，修订后的制度全文刊登于</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日的巨潮资讯网。 </w:t>
      </w:r>
      <w:r>
        <w:rPr>
          <w:spacing w:val="-2"/>
        </w:rPr>
        <w:t>报告期内，公司严格按照《信息披露事务管理制度》和《内幕信息知情人登记管理制度》等规定和要求，积极做好内幕</w:t>
      </w:r>
    </w:p>
    <w:p>
      <w:pPr>
        <w:pStyle w:val="BodyText"/>
        <w:spacing w:line="319" w:lineRule="auto" w:before="2"/>
        <w:ind w:right="149"/>
        <w:jc w:val="both"/>
      </w:pPr>
      <w:r>
        <w:rPr>
          <w:spacing w:val="-2"/>
        </w:rPr>
        <w:t>信息保密和管理工作。公司定期更新内幕信息知情人名单，对包括定期报告、利润分配等重大内幕信息进行严格管理，做好</w:t>
      </w:r>
      <w:r>
        <w:rPr>
          <w:spacing w:val="-66"/>
        </w:rPr>
        <w:t> </w:t>
      </w:r>
      <w:r>
        <w:rPr>
          <w:spacing w:val="-66"/>
        </w:rPr>
      </w:r>
      <w:r>
        <w:rPr>
          <w:spacing w:val="-2"/>
        </w:rPr>
        <w:t>内幕信息知情人的登记备案工作。在报告期内公司未发生内幕信息知情人在影响公司股价的重大敏感信息披露前利用内幕信</w:t>
      </w:r>
      <w:r>
        <w:rPr>
          <w:spacing w:val="-64"/>
        </w:rPr>
        <w:t> </w:t>
      </w:r>
      <w:r>
        <w:rPr>
          <w:spacing w:val="-64"/>
        </w:rPr>
      </w:r>
      <w:r>
        <w:rPr/>
        <w:t>息买卖公司股票的情况。</w:t>
      </w:r>
    </w:p>
    <w:p>
      <w:pPr>
        <w:spacing w:line="240" w:lineRule="auto" w:before="7"/>
        <w:rPr>
          <w:rFonts w:ascii="宋体" w:hAnsi="宋体" w:cs="宋体" w:eastAsia="宋体" w:hint="default"/>
          <w:sz w:val="20"/>
          <w:szCs w:val="20"/>
        </w:rPr>
      </w:pPr>
    </w:p>
    <w:p>
      <w:pPr>
        <w:pStyle w:val="Heading2"/>
        <w:spacing w:line="240" w:lineRule="auto"/>
        <w:ind w:right="149"/>
        <w:jc w:val="left"/>
        <w:rPr>
          <w:b w:val="0"/>
          <w:bCs w:val="0"/>
        </w:rPr>
      </w:pP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pict>
          <v:group style="position:absolute;margin-left:326.940002pt;margin-top:51.943977pt;width:48.45pt;height:148.2pt;mso-position-horizontal-relative:page;mso-position-vertical-relative:paragraph;z-index:-858088" coordorigin="6539,1039" coordsize="969,2964">
            <v:shape style="position:absolute;left:6539;top:1039;width:969;height:2964" coordorigin="6539,1039" coordsize="969,2964" path="m6539,4003l7507,4003,7507,1039,6539,1039,6539,4003xe" filled="true" fillcolor="#ffffff" stroked="false">
              <v:path arrowok="t"/>
              <v:fill type="solid"/>
            </v:shape>
            <w10:wrap type="none"/>
          </v:group>
        </w:pict>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2210"/>
        <w:gridCol w:w="978"/>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3"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22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年度董事会工</w:t>
            </w:r>
          </w:p>
        </w:tc>
        <w:tc>
          <w:tcPr>
            <w:tcW w:w="978"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22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作报告；</w:t>
            </w:r>
            <w:r>
              <w:rPr>
                <w:rFonts w:ascii="Times New Roman" w:hAnsi="Times New Roman" w:cs="Times New Roman" w:eastAsia="Times New Roman" w:hint="default"/>
                <w:sz w:val="18"/>
                <w:szCs w:val="18"/>
              </w:rPr>
              <w:t>2</w:t>
            </w:r>
            <w:r>
              <w:rPr>
                <w:rFonts w:ascii="宋体" w:hAnsi="宋体" w:cs="宋体" w:eastAsia="宋体" w:hint="default"/>
                <w:sz w:val="18"/>
                <w:szCs w:val="18"/>
              </w:rPr>
              <w:t>、公司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97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22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监事会工作报告；</w:t>
            </w:r>
            <w:r>
              <w:rPr>
                <w:rFonts w:ascii="Times New Roman" w:hAnsi="Times New Roman" w:cs="Times New Roman" w:eastAsia="Times New Roman" w:hint="default"/>
                <w:sz w:val="18"/>
                <w:szCs w:val="18"/>
              </w:rPr>
              <w:t>3</w:t>
            </w:r>
            <w:r>
              <w:rPr>
                <w:rFonts w:ascii="宋体" w:hAnsi="宋体" w:cs="宋体" w:eastAsia="宋体" w:hint="default"/>
                <w:sz w:val="18"/>
                <w:szCs w:val="18"/>
              </w:rPr>
              <w:t>、公司</w:t>
            </w:r>
          </w:p>
        </w:tc>
        <w:tc>
          <w:tcPr>
            <w:tcW w:w="97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22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年度财务决算报告；</w:t>
            </w:r>
            <w:r>
              <w:rPr>
                <w:rFonts w:ascii="Times New Roman" w:hAnsi="Times New Roman" w:cs="Times New Roman" w:eastAsia="Times New Roman" w:hint="default"/>
                <w:spacing w:val="-5"/>
                <w:sz w:val="18"/>
                <w:szCs w:val="18"/>
              </w:rPr>
              <w:t>4</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22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年度利润分配预</w:t>
            </w:r>
          </w:p>
        </w:tc>
        <w:tc>
          <w:tcPr>
            <w:tcW w:w="97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22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Times New Roman" w:hAnsi="Times New Roman" w:cs="Times New Roman" w:eastAsia="Times New Roman" w:hint="default"/>
                <w:sz w:val="18"/>
                <w:szCs w:val="18"/>
              </w:rPr>
              <w:t>5</w:t>
            </w:r>
            <w:r>
              <w:rPr>
                <w:rFonts w:ascii="宋体" w:hAnsi="宋体" w:cs="宋体" w:eastAsia="宋体" w:hint="default"/>
                <w:sz w:val="18"/>
                <w:szCs w:val="18"/>
              </w:rPr>
              <w:t>、公司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年度报告</w:t>
            </w:r>
          </w:p>
        </w:tc>
        <w:tc>
          <w:tcPr>
            <w:tcW w:w="97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22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及其摘要；</w:t>
            </w:r>
            <w:r>
              <w:rPr>
                <w:rFonts w:ascii="Times New Roman" w:hAnsi="Times New Roman" w:cs="Times New Roman" w:eastAsia="Times New Roman" w:hint="default"/>
                <w:spacing w:val="-13"/>
                <w:sz w:val="18"/>
                <w:szCs w:val="18"/>
              </w:rPr>
              <w:t>6</w:t>
            </w:r>
            <w:r>
              <w:rPr>
                <w:rFonts w:ascii="宋体" w:hAnsi="宋体" w:cs="宋体" w:eastAsia="宋体" w:hint="default"/>
                <w:spacing w:val="-13"/>
                <w:sz w:val="18"/>
                <w:szCs w:val="18"/>
              </w:rPr>
              <w:t>、关于公司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p>
        </w:tc>
        <w:tc>
          <w:tcPr>
            <w:tcW w:w="97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22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年度募集资金年度使用情</w:t>
            </w:r>
          </w:p>
        </w:tc>
        <w:tc>
          <w:tcPr>
            <w:tcW w:w="97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、巨潮</w:t>
            </w: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22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况的专项报告；</w:t>
            </w:r>
            <w:r>
              <w:rPr>
                <w:rFonts w:ascii="Times New Roman" w:hAnsi="Times New Roman" w:cs="Times New Roman" w:eastAsia="Times New Roman" w:hint="default"/>
                <w:sz w:val="18"/>
                <w:szCs w:val="18"/>
              </w:rPr>
              <w:t>7</w:t>
            </w:r>
            <w:r>
              <w:rPr>
                <w:rFonts w:ascii="宋体" w:hAnsi="宋体" w:cs="宋体" w:eastAsia="宋体" w:hint="default"/>
                <w:sz w:val="18"/>
                <w:szCs w:val="18"/>
              </w:rPr>
              <w:t>、关于提</w:t>
            </w:r>
          </w:p>
        </w:tc>
        <w:tc>
          <w:tcPr>
            <w:tcW w:w="97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资讯网，</w:t>
            </w:r>
            <w:r>
              <w:rPr>
                <w:rFonts w:ascii="Times New Roman" w:hAnsi="Times New Roman" w:cs="Times New Roman" w:eastAsia="Times New Roman" w:hint="default"/>
                <w:sz w:val="18"/>
                <w:szCs w:val="18"/>
              </w:rPr>
              <w:t>2012-023</w:t>
            </w:r>
          </w:p>
        </w:tc>
      </w:tr>
      <w:tr>
        <w:trPr>
          <w:trHeight w:val="624"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2" w:lineRule="auto" w:before="5"/>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年年度股东大 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请股东大会审议公司董事</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年度薪酬的议案；</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全部通过</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号深圳市证通电子 股份有限公司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2011</w:t>
            </w: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22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关于提请股东大会审议公</w:t>
            </w:r>
          </w:p>
        </w:tc>
        <w:tc>
          <w:tcPr>
            <w:tcW w:w="97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年年度股东大会决</w:t>
            </w: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22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司监事</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年度薪酬的议</w:t>
            </w:r>
          </w:p>
        </w:tc>
        <w:tc>
          <w:tcPr>
            <w:tcW w:w="97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议公告</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22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Times New Roman" w:hAnsi="Times New Roman" w:cs="Times New Roman" w:eastAsia="Times New Roman" w:hint="default"/>
                <w:sz w:val="18"/>
                <w:szCs w:val="18"/>
              </w:rPr>
              <w:t>9</w:t>
            </w:r>
            <w:r>
              <w:rPr>
                <w:rFonts w:ascii="宋体" w:hAnsi="宋体" w:cs="宋体" w:eastAsia="宋体" w:hint="default"/>
                <w:sz w:val="18"/>
                <w:szCs w:val="18"/>
              </w:rPr>
              <w:t>、关于续聘深圳市鹏</w:t>
            </w:r>
          </w:p>
        </w:tc>
        <w:tc>
          <w:tcPr>
            <w:tcW w:w="97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22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城会计师事务所有限公司</w:t>
            </w:r>
          </w:p>
        </w:tc>
        <w:tc>
          <w:tcPr>
            <w:tcW w:w="97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22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年度审计机构</w:t>
            </w:r>
          </w:p>
        </w:tc>
        <w:tc>
          <w:tcPr>
            <w:tcW w:w="97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22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Times New Roman" w:hAnsi="Times New Roman" w:cs="Times New Roman" w:eastAsia="Times New Roman" w:hint="default"/>
                <w:sz w:val="18"/>
                <w:szCs w:val="18"/>
              </w:rPr>
              <w:t>10</w:t>
            </w:r>
            <w:r>
              <w:rPr>
                <w:rFonts w:ascii="宋体" w:hAnsi="宋体" w:cs="宋体" w:eastAsia="宋体" w:hint="default"/>
                <w:sz w:val="18"/>
                <w:szCs w:val="18"/>
              </w:rPr>
              <w:t>、关于公司向四</w:t>
            </w:r>
          </w:p>
        </w:tc>
        <w:tc>
          <w:tcPr>
            <w:tcW w:w="97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22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家银行申请综合授信并由</w:t>
            </w:r>
          </w:p>
        </w:tc>
        <w:tc>
          <w:tcPr>
            <w:tcW w:w="97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22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公司股东提供担保的关联</w:t>
            </w:r>
          </w:p>
        </w:tc>
        <w:tc>
          <w:tcPr>
            <w:tcW w:w="97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22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交易议案；</w:t>
            </w:r>
          </w:p>
        </w:tc>
        <w:tc>
          <w:tcPr>
            <w:tcW w:w="978"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r>
        <w:rPr/>
        <w:pict>
          <v:group style="position:absolute;margin-left:335.940002pt;margin-top:221.300003pt;width:39.450pt;height:109.2pt;mso-position-horizontal-relative:page;mso-position-vertical-relative:page;z-index:-858064" coordorigin="6719,4426" coordsize="789,2184">
            <v:shape style="position:absolute;left:6719;top:4426;width:789;height:2184" coordorigin="6719,4426" coordsize="789,2184" path="m6719,6610l7507,6610,7507,4426,6719,4426,6719,6610xe" filled="true" fillcolor="#ffffff" stroked="false">
              <v:path arrowok="t"/>
              <v:fill type="solid"/>
            </v:shape>
            <w10:wrap type="none"/>
          </v:group>
        </w:pict>
      </w:r>
    </w:p>
    <w:p>
      <w:pPr>
        <w:pStyle w:val="Heading3"/>
        <w:spacing w:line="240" w:lineRule="auto" w:before="35"/>
        <w:ind w:right="149"/>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2390"/>
        <w:gridCol w:w="798"/>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2"/>
              <w:jc w:val="righ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9" w:lineRule="auto"/>
              <w:ind w:left="23"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、关于增加经营范围并修改 公司《章程》的议案；</w:t>
            </w:r>
            <w:r>
              <w:rPr>
                <w:rFonts w:ascii="Times New Roman" w:hAnsi="Times New Roman" w:cs="Times New Roman" w:eastAsia="Times New Roman" w:hint="default"/>
                <w:sz w:val="18"/>
                <w:szCs w:val="18"/>
              </w:rPr>
              <w:t>2</w:t>
            </w:r>
            <w:r>
              <w:rPr>
                <w:rFonts w:ascii="宋体" w:hAnsi="宋体" w:cs="宋体" w:eastAsia="宋体" w:hint="default"/>
                <w:sz w:val="18"/>
                <w:szCs w:val="18"/>
              </w:rPr>
              <w:t>、关 于公司向两家银行申请综合 授信并由关联股东提供担保 的关联交易议案</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43"/>
              <w:jc w:val="right"/>
              <w:rPr>
                <w:rFonts w:ascii="宋体" w:hAnsi="宋体" w:cs="宋体" w:eastAsia="宋体" w:hint="default"/>
                <w:sz w:val="18"/>
                <w:szCs w:val="18"/>
              </w:rPr>
            </w:pPr>
            <w:r>
              <w:rPr>
                <w:rFonts w:ascii="宋体" w:hAnsi="宋体" w:cs="宋体" w:eastAsia="宋体" w:hint="default"/>
                <w:sz w:val="18"/>
                <w:szCs w:val="18"/>
              </w:rPr>
              <w:t>全部通过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9"/>
              <w:jc w:val="left"/>
              <w:rPr>
                <w:rFonts w:ascii="宋体" w:hAnsi="宋体" w:cs="宋体" w:eastAsia="宋体" w:hint="default"/>
                <w:sz w:val="18"/>
                <w:szCs w:val="18"/>
              </w:rPr>
            </w:pPr>
            <w:r>
              <w:rPr>
                <w:rFonts w:ascii="宋体" w:hAnsi="宋体" w:cs="宋体" w:eastAsia="宋体" w:hint="default"/>
                <w:spacing w:val="-10"/>
                <w:sz w:val="18"/>
                <w:szCs w:val="18"/>
              </w:rPr>
              <w:t>《证券时报》、巨潮</w:t>
            </w:r>
            <w:r>
              <w:rPr>
                <w:rFonts w:ascii="宋体" w:hAnsi="宋体" w:cs="宋体" w:eastAsia="宋体" w:hint="default"/>
                <w:sz w:val="18"/>
                <w:szCs w:val="18"/>
              </w:rPr>
              <w:t> 资讯网，</w:t>
            </w:r>
            <w:r>
              <w:rPr>
                <w:rFonts w:ascii="Times New Roman" w:hAnsi="Times New Roman" w:cs="Times New Roman" w:eastAsia="Times New Roman" w:hint="default"/>
                <w:sz w:val="18"/>
                <w:szCs w:val="18"/>
              </w:rPr>
              <w:t>2012-005 </w:t>
            </w:r>
            <w:r>
              <w:rPr>
                <w:rFonts w:ascii="宋体" w:hAnsi="宋体" w:cs="宋体" w:eastAsia="宋体" w:hint="default"/>
                <w:sz w:val="18"/>
                <w:szCs w:val="18"/>
              </w:rPr>
              <w:t>号深圳市证通电子 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年第一次临时股东 大会决议公告</w:t>
            </w:r>
          </w:p>
        </w:tc>
      </w:tr>
      <w:tr>
        <w:trPr>
          <w:trHeight w:val="362"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23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、关于公司符合向特定对象</w:t>
            </w:r>
          </w:p>
        </w:tc>
        <w:tc>
          <w:tcPr>
            <w:tcW w:w="798"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非公开发行股票条件的议案；</w:t>
            </w:r>
          </w:p>
        </w:tc>
        <w:tc>
          <w:tcPr>
            <w:tcW w:w="7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、关于《公司向特定对象非</w:t>
            </w:r>
          </w:p>
        </w:tc>
        <w:tc>
          <w:tcPr>
            <w:tcW w:w="7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公开发行股票方案</w:t>
            </w:r>
            <w:r>
              <w:rPr>
                <w:rFonts w:ascii="宋体" w:hAnsi="宋体" w:cs="宋体" w:eastAsia="宋体" w:hint="default"/>
                <w:spacing w:val="-96"/>
                <w:sz w:val="18"/>
                <w:szCs w:val="18"/>
              </w:rPr>
              <w:t>》</w:t>
            </w:r>
            <w:r>
              <w:rPr>
                <w:rFonts w:ascii="宋体" w:hAnsi="宋体" w:cs="宋体" w:eastAsia="宋体" w:hint="default"/>
                <w:sz w:val="18"/>
                <w:szCs w:val="18"/>
              </w:rPr>
              <w:t>（修订稿</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的议案；</w:t>
            </w:r>
            <w:r>
              <w:rPr>
                <w:rFonts w:ascii="Times New Roman" w:hAnsi="Times New Roman" w:cs="Times New Roman" w:eastAsia="Times New Roman" w:hint="default"/>
                <w:sz w:val="18"/>
                <w:szCs w:val="18"/>
              </w:rPr>
              <w:t>3</w:t>
            </w:r>
            <w:r>
              <w:rPr>
                <w:rFonts w:ascii="宋体" w:hAnsi="宋体" w:cs="宋体" w:eastAsia="宋体" w:hint="default"/>
                <w:sz w:val="18"/>
                <w:szCs w:val="18"/>
              </w:rPr>
              <w:t>、关于《公司本次 </w:t>
            </w:r>
            <w:r>
              <w:rPr>
                <w:rFonts w:ascii="宋体" w:hAnsi="宋体" w:cs="宋体" w:eastAsia="宋体" w:hint="default"/>
                <w:spacing w:val="-7"/>
                <w:sz w:val="18"/>
                <w:szCs w:val="18"/>
              </w:rPr>
              <w:t>非公开发行股票预案》（修订</w:t>
            </w:r>
            <w:r>
              <w:rPr>
                <w:rFonts w:ascii="宋体" w:hAnsi="宋体" w:cs="宋体" w:eastAsia="宋体" w:hint="default"/>
                <w:sz w:val="18"/>
                <w:szCs w:val="18"/>
              </w:rPr>
              <w:t> 稿）的议案；</w:t>
            </w:r>
            <w:r>
              <w:rPr>
                <w:rFonts w:ascii="Times New Roman" w:hAnsi="Times New Roman" w:cs="Times New Roman" w:eastAsia="Times New Roman" w:hint="default"/>
                <w:sz w:val="18"/>
                <w:szCs w:val="18"/>
              </w:rPr>
              <w:t>4</w:t>
            </w:r>
            <w:r>
              <w:rPr>
                <w:rFonts w:ascii="宋体" w:hAnsi="宋体" w:cs="宋体" w:eastAsia="宋体" w:hint="default"/>
                <w:sz w:val="18"/>
                <w:szCs w:val="18"/>
              </w:rPr>
              <w:t>、关于《公司 本次非公开发行股票募集资 金使用的可行性分析报告》的 议案；</w:t>
            </w:r>
            <w:r>
              <w:rPr>
                <w:rFonts w:ascii="Times New Roman" w:hAnsi="Times New Roman" w:cs="Times New Roman" w:eastAsia="Times New Roman" w:hint="default"/>
                <w:sz w:val="18"/>
                <w:szCs w:val="18"/>
              </w:rPr>
              <w:t>5</w:t>
            </w:r>
            <w:r>
              <w:rPr>
                <w:rFonts w:ascii="宋体" w:hAnsi="宋体" w:cs="宋体" w:eastAsia="宋体" w:hint="default"/>
                <w:sz w:val="18"/>
                <w:szCs w:val="18"/>
              </w:rPr>
              <w:t>、关于《公司前次募 </w:t>
            </w:r>
            <w:r>
              <w:rPr>
                <w:rFonts w:ascii="宋体" w:hAnsi="宋体" w:cs="宋体" w:eastAsia="宋体" w:hint="default"/>
                <w:spacing w:val="-7"/>
                <w:sz w:val="18"/>
                <w:szCs w:val="18"/>
              </w:rPr>
              <w:t>集资金使用情况报告》（截止</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全部通过</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312" w:lineRule="auto"/>
              <w:ind w:left="23" w:right="29"/>
              <w:jc w:val="left"/>
              <w:rPr>
                <w:rFonts w:ascii="宋体" w:hAnsi="宋体" w:cs="宋体" w:eastAsia="宋体" w:hint="default"/>
                <w:sz w:val="18"/>
                <w:szCs w:val="18"/>
              </w:rPr>
            </w:pPr>
            <w:r>
              <w:rPr>
                <w:rFonts w:ascii="宋体" w:hAnsi="宋体" w:cs="宋体" w:eastAsia="宋体" w:hint="default"/>
                <w:spacing w:val="-10"/>
                <w:sz w:val="18"/>
                <w:szCs w:val="18"/>
              </w:rPr>
              <w:t>《证券时报》、巨潮</w:t>
            </w:r>
            <w:r>
              <w:rPr>
                <w:rFonts w:ascii="宋体" w:hAnsi="宋体" w:cs="宋体" w:eastAsia="宋体" w:hint="default"/>
                <w:sz w:val="18"/>
                <w:szCs w:val="18"/>
              </w:rPr>
              <w:t> 资讯网，</w:t>
            </w:r>
            <w:r>
              <w:rPr>
                <w:rFonts w:ascii="Times New Roman" w:hAnsi="Times New Roman" w:cs="Times New Roman" w:eastAsia="Times New Roman" w:hint="default"/>
                <w:sz w:val="18"/>
                <w:szCs w:val="18"/>
              </w:rPr>
              <w:t>2012-016 </w:t>
            </w:r>
            <w:r>
              <w:rPr>
                <w:rFonts w:ascii="宋体" w:hAnsi="宋体" w:cs="宋体" w:eastAsia="宋体" w:hint="default"/>
                <w:sz w:val="18"/>
                <w:szCs w:val="18"/>
              </w:rPr>
              <w:t>号深圳市证通电子 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 大会决议公告</w:t>
            </w: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日）的议案；</w:t>
            </w:r>
          </w:p>
        </w:tc>
        <w:tc>
          <w:tcPr>
            <w:tcW w:w="7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、关于授权董事会全权办理</w:t>
            </w:r>
          </w:p>
        </w:tc>
        <w:tc>
          <w:tcPr>
            <w:tcW w:w="7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本次非公开发行股票相关事</w:t>
            </w:r>
          </w:p>
        </w:tc>
        <w:tc>
          <w:tcPr>
            <w:tcW w:w="7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23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宜的议案</w:t>
            </w:r>
          </w:p>
        </w:tc>
        <w:tc>
          <w:tcPr>
            <w:tcW w:w="798"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23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、关于《公司未来三年</w:t>
            </w:r>
          </w:p>
        </w:tc>
        <w:tc>
          <w:tcPr>
            <w:tcW w:w="798"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年）股东回报规</w:t>
            </w:r>
          </w:p>
        </w:tc>
        <w:tc>
          <w:tcPr>
            <w:tcW w:w="7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2179"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307" w:lineRule="auto" w:before="5"/>
              <w:ind w:left="23" w:right="20"/>
              <w:jc w:val="left"/>
              <w:rPr>
                <w:rFonts w:ascii="宋体" w:hAnsi="宋体" w:cs="宋体" w:eastAsia="宋体" w:hint="default"/>
                <w:sz w:val="18"/>
                <w:szCs w:val="18"/>
              </w:rPr>
            </w:pPr>
            <w:r>
              <w:rPr>
                <w:rFonts w:ascii="宋体" w:hAnsi="宋体" w:cs="宋体" w:eastAsia="宋体" w:hint="default"/>
                <w:sz w:val="18"/>
                <w:szCs w:val="18"/>
              </w:rPr>
              <w:t>划》的议案；</w:t>
            </w:r>
            <w:r>
              <w:rPr>
                <w:rFonts w:ascii="Times New Roman" w:hAnsi="Times New Roman" w:cs="Times New Roman" w:eastAsia="Times New Roman" w:hint="default"/>
                <w:sz w:val="18"/>
                <w:szCs w:val="18"/>
              </w:rPr>
              <w:t>2</w:t>
            </w:r>
            <w:r>
              <w:rPr>
                <w:rFonts w:ascii="宋体" w:hAnsi="宋体" w:cs="宋体" w:eastAsia="宋体" w:hint="default"/>
                <w:sz w:val="18"/>
                <w:szCs w:val="18"/>
              </w:rPr>
              <w:t>、关于修订公 司《章程》的议案；</w:t>
            </w:r>
            <w:r>
              <w:rPr>
                <w:rFonts w:ascii="Times New Roman" w:hAnsi="Times New Roman" w:cs="Times New Roman" w:eastAsia="Times New Roman" w:hint="default"/>
                <w:sz w:val="18"/>
                <w:szCs w:val="18"/>
              </w:rPr>
              <w:t>3</w:t>
            </w:r>
            <w:r>
              <w:rPr>
                <w:rFonts w:ascii="宋体" w:hAnsi="宋体" w:cs="宋体" w:eastAsia="宋体" w:hint="default"/>
                <w:sz w:val="18"/>
                <w:szCs w:val="18"/>
              </w:rPr>
              <w:t>、关于 公司向招商银行深圳深南中 路支行申请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亿元综合授信并 由关联股东提供担保的关联 交易议案；</w:t>
            </w:r>
            <w:r>
              <w:rPr>
                <w:rFonts w:ascii="Times New Roman" w:hAnsi="Times New Roman" w:cs="Times New Roman" w:eastAsia="Times New Roman" w:hint="default"/>
                <w:sz w:val="18"/>
                <w:szCs w:val="18"/>
              </w:rPr>
              <w:t>4</w:t>
            </w:r>
            <w:r>
              <w:rPr>
                <w:rFonts w:ascii="宋体" w:hAnsi="宋体" w:cs="宋体" w:eastAsia="宋体" w:hint="default"/>
                <w:sz w:val="18"/>
                <w:szCs w:val="18"/>
              </w:rPr>
              <w:t>、关于聘请大华 会计师事务所有限公司为公</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全部通过</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312" w:lineRule="auto"/>
              <w:ind w:left="23" w:right="29"/>
              <w:jc w:val="left"/>
              <w:rPr>
                <w:rFonts w:ascii="宋体" w:hAnsi="宋体" w:cs="宋体" w:eastAsia="宋体" w:hint="default"/>
                <w:sz w:val="18"/>
                <w:szCs w:val="18"/>
              </w:rPr>
            </w:pPr>
            <w:r>
              <w:rPr>
                <w:rFonts w:ascii="宋体" w:hAnsi="宋体" w:cs="宋体" w:eastAsia="宋体" w:hint="default"/>
                <w:spacing w:val="-10"/>
                <w:sz w:val="18"/>
                <w:szCs w:val="18"/>
              </w:rPr>
              <w:t>《证券时报》、巨潮</w:t>
            </w:r>
            <w:r>
              <w:rPr>
                <w:rFonts w:ascii="宋体" w:hAnsi="宋体" w:cs="宋体" w:eastAsia="宋体" w:hint="default"/>
                <w:sz w:val="18"/>
                <w:szCs w:val="18"/>
              </w:rPr>
              <w:t> 资讯网，</w:t>
            </w:r>
            <w:r>
              <w:rPr>
                <w:rFonts w:ascii="Times New Roman" w:hAnsi="Times New Roman" w:cs="Times New Roman" w:eastAsia="Times New Roman" w:hint="default"/>
                <w:sz w:val="18"/>
                <w:szCs w:val="18"/>
              </w:rPr>
              <w:t>2012-031 </w:t>
            </w:r>
            <w:r>
              <w:rPr>
                <w:rFonts w:ascii="宋体" w:hAnsi="宋体" w:cs="宋体" w:eastAsia="宋体" w:hint="default"/>
                <w:sz w:val="18"/>
                <w:szCs w:val="18"/>
              </w:rPr>
              <w:t>号深圳市证通电子 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年第三次临时股东 大会决议公告</w:t>
            </w:r>
          </w:p>
        </w:tc>
      </w:tr>
      <w:tr>
        <w:trPr>
          <w:trHeight w:val="31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年内控审计机构的议</w:t>
            </w:r>
          </w:p>
        </w:tc>
        <w:tc>
          <w:tcPr>
            <w:tcW w:w="7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23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案</w:t>
            </w:r>
          </w:p>
        </w:tc>
        <w:tc>
          <w:tcPr>
            <w:tcW w:w="798"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2390"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、巨潮</w:t>
            </w: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、关于更换公司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年度财</w:t>
            </w:r>
          </w:p>
        </w:tc>
        <w:tc>
          <w:tcPr>
            <w:tcW w:w="7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资讯网，</w:t>
            </w:r>
            <w:r>
              <w:rPr>
                <w:rFonts w:ascii="Times New Roman" w:hAnsi="Times New Roman" w:cs="Times New Roman" w:eastAsia="Times New Roman" w:hint="default"/>
                <w:sz w:val="18"/>
                <w:szCs w:val="18"/>
              </w:rPr>
              <w:t>2012-045</w:t>
            </w:r>
          </w:p>
        </w:tc>
      </w:tr>
      <w:tr>
        <w:trPr>
          <w:trHeight w:val="623"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104"/>
              <w:jc w:val="left"/>
              <w:rPr>
                <w:rFonts w:ascii="宋体" w:hAnsi="宋体" w:cs="宋体" w:eastAsia="宋体" w:hint="default"/>
                <w:sz w:val="18"/>
                <w:szCs w:val="18"/>
              </w:rPr>
            </w:pPr>
            <w:r>
              <w:rPr>
                <w:rFonts w:ascii="宋体" w:hAnsi="宋体" w:cs="宋体" w:eastAsia="宋体" w:hint="default"/>
                <w:sz w:val="18"/>
                <w:szCs w:val="18"/>
              </w:rPr>
              <w:t>报审计机构的议案；</w:t>
            </w:r>
            <w:r>
              <w:rPr>
                <w:rFonts w:ascii="Times New Roman" w:hAnsi="Times New Roman" w:cs="Times New Roman" w:eastAsia="Times New Roman" w:hint="default"/>
                <w:sz w:val="18"/>
                <w:szCs w:val="18"/>
              </w:rPr>
              <w:t>2</w:t>
            </w:r>
            <w:r>
              <w:rPr>
                <w:rFonts w:ascii="宋体" w:hAnsi="宋体" w:cs="宋体" w:eastAsia="宋体" w:hint="default"/>
                <w:sz w:val="18"/>
                <w:szCs w:val="18"/>
              </w:rPr>
              <w:t>、关于 为全资子公司申请银行授信</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全部通过</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号深圳市证通电子 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tc>
      </w:tr>
      <w:tr>
        <w:trPr>
          <w:trHeight w:val="30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提供担保的议案</w:t>
            </w:r>
          </w:p>
        </w:tc>
        <w:tc>
          <w:tcPr>
            <w:tcW w:w="7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年第四次临时股东</w:t>
            </w:r>
          </w:p>
        </w:tc>
      </w:tr>
      <w:tr>
        <w:trPr>
          <w:trHeight w:val="356"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2390"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大会决议公告</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149"/>
        <w:jc w:val="left"/>
        <w:rPr>
          <w:b w:val="0"/>
          <w:bCs w:val="0"/>
        </w:rPr>
      </w:pPr>
      <w:r>
        <w:rPr/>
        <w:t>三、报告期内独立董事履行职责的情况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曾石泉</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刘小清</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钟廉</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李连和</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60" w:lineRule="auto" w:before="51"/>
        <w:ind w:left="153" w:right="4011"/>
        <w:jc w:val="left"/>
      </w:pPr>
      <w:r>
        <w:rPr/>
        <w:t>连续两次未亲自出席董事会的说明 独立董事未有连续两次没有出席董事会的情况。</w:t>
      </w:r>
    </w:p>
    <w:p>
      <w:pPr>
        <w:spacing w:line="240" w:lineRule="auto" w:before="11"/>
        <w:rPr>
          <w:rFonts w:ascii="宋体" w:hAnsi="宋体" w:cs="宋体" w:eastAsia="宋体" w:hint="default"/>
          <w:sz w:val="19"/>
          <w:szCs w:val="19"/>
        </w:rPr>
      </w:pPr>
    </w:p>
    <w:p>
      <w:pPr>
        <w:pStyle w:val="Heading3"/>
        <w:spacing w:line="240" w:lineRule="auto"/>
        <w:ind w:right="149"/>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9"/>
        <w:jc w:val="left"/>
      </w:pPr>
      <w:r>
        <w:rPr/>
        <w:t>独立董事对公司有关事项是否提出异议</w:t>
      </w:r>
    </w:p>
    <w:p>
      <w:pPr>
        <w:pStyle w:val="BodyText"/>
        <w:spacing w:line="338" w:lineRule="auto" w:before="117"/>
        <w:ind w:right="59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3"/>
        <w:spacing w:line="240" w:lineRule="auto"/>
        <w:ind w:right="149"/>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9"/>
        <w:jc w:val="left"/>
      </w:pPr>
      <w:r>
        <w:rPr/>
        <w:t>独立董事对公司有关建议是否被采纳</w:t>
      </w:r>
    </w:p>
    <w:p>
      <w:pPr>
        <w:pStyle w:val="BodyText"/>
        <w:spacing w:line="340" w:lineRule="auto" w:before="116"/>
        <w:ind w:right="5810"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39"/>
        <w:ind w:right="149" w:firstLine="360"/>
        <w:jc w:val="both"/>
      </w:pPr>
      <w:r>
        <w:rPr>
          <w:spacing w:val="-2"/>
        </w:rPr>
        <w:t>公司独立董事根据《公司法》、《证券法》、《公司章程》和《独立董事工作制度》等法律法规的规定，关注公司运作</w:t>
      </w:r>
      <w:r>
        <w:rPr/>
        <w:t> </w:t>
      </w:r>
      <w:r>
        <w:rPr>
          <w:spacing w:val="-2"/>
        </w:rPr>
        <w:t>的规范性，独立履行职责，对公司的制度完善和日常经营决策等方面提出了许多宝贵的专业性意见，对报告期内公司发生的</w:t>
      </w:r>
      <w:r>
        <w:rPr>
          <w:spacing w:val="-66"/>
        </w:rPr>
        <w:t> </w:t>
      </w:r>
      <w:r>
        <w:rPr>
          <w:spacing w:val="-66"/>
        </w:rPr>
      </w:r>
      <w:r>
        <w:rPr>
          <w:spacing w:val="-2"/>
        </w:rPr>
        <w:t>聘请财报、内控审计机构、关联交易、对外担保、聘任高级管理人员等需要独立董事发表意见的事项出具了独立、公正的独</w:t>
      </w:r>
      <w:r>
        <w:rPr>
          <w:spacing w:val="-66"/>
        </w:rPr>
        <w:t> </w:t>
      </w:r>
      <w:r>
        <w:rPr>
          <w:spacing w:val="-66"/>
        </w:rPr>
      </w:r>
      <w:r>
        <w:rPr/>
        <w:t>立董事意见，为完善公司监督机制，维护公司和全体股东的合法权益发挥了应有的作用。</w:t>
      </w:r>
    </w:p>
    <w:p>
      <w:pPr>
        <w:spacing w:line="240" w:lineRule="auto" w:before="10"/>
        <w:rPr>
          <w:rFonts w:ascii="宋体" w:hAnsi="宋体" w:cs="宋体" w:eastAsia="宋体" w:hint="default"/>
          <w:sz w:val="20"/>
          <w:szCs w:val="20"/>
        </w:rPr>
      </w:pPr>
    </w:p>
    <w:p>
      <w:pPr>
        <w:pStyle w:val="Heading2"/>
        <w:spacing w:line="240" w:lineRule="auto"/>
        <w:ind w:right="149"/>
        <w:jc w:val="left"/>
        <w:rPr>
          <w:b w:val="0"/>
          <w:bCs w:val="0"/>
        </w:rPr>
      </w:pP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4" w:right="149"/>
        <w:jc w:val="left"/>
      </w:pPr>
      <w:r>
        <w:rPr>
          <w:rFonts w:ascii="Times New Roman" w:hAnsi="Times New Roman" w:cs="Times New Roman" w:eastAsia="Times New Roman" w:hint="default"/>
        </w:rPr>
        <w:t>1</w:t>
      </w:r>
      <w:r>
        <w:rPr/>
        <w:t>、审计委员会</w:t>
      </w:r>
    </w:p>
    <w:p>
      <w:pPr>
        <w:pStyle w:val="BodyText"/>
        <w:spacing w:line="309" w:lineRule="auto" w:before="62"/>
        <w:ind w:left="153" w:right="149" w:firstLine="360"/>
        <w:jc w:val="both"/>
      </w:pPr>
      <w:r>
        <w:rPr>
          <w:rFonts w:ascii="Times New Roman" w:hAnsi="Times New Roman" w:cs="Times New Roman" w:eastAsia="Times New Roman" w:hint="default"/>
        </w:rPr>
        <w:t>2012</w:t>
      </w:r>
      <w:r>
        <w:rPr/>
        <w:t>年董事会审计委员会共召开了</w:t>
      </w:r>
      <w:r>
        <w:rPr>
          <w:rFonts w:ascii="Times New Roman" w:hAnsi="Times New Roman" w:cs="Times New Roman" w:eastAsia="Times New Roman" w:hint="default"/>
        </w:rPr>
        <w:t>7</w:t>
      </w:r>
      <w:r>
        <w:rPr/>
        <w:t>次会议，对公司内部审计部提交的季度财务报表、年度内部控制自我评价报告、内 </w:t>
      </w:r>
      <w:r>
        <w:rPr>
          <w:spacing w:val="-2"/>
        </w:rPr>
        <w:t>部审计工作计划、外部审计机构的工作总结报告、续聘会计师事务所等事项进行审议，对相关事项讨论后，形成决议提交公</w:t>
      </w:r>
      <w:r>
        <w:rPr>
          <w:spacing w:val="-66"/>
        </w:rPr>
        <w:t> </w:t>
      </w:r>
      <w:r>
        <w:rPr>
          <w:spacing w:val="-66"/>
        </w:rPr>
      </w:r>
      <w:r>
        <w:rPr/>
        <w:t>司董事会进行审议。</w:t>
      </w:r>
    </w:p>
    <w:p>
      <w:pPr>
        <w:pStyle w:val="BodyText"/>
        <w:spacing w:line="240" w:lineRule="auto" w:before="24"/>
        <w:ind w:left="513" w:right="149"/>
        <w:jc w:val="left"/>
      </w:pPr>
      <w:r>
        <w:rPr>
          <w:rFonts w:ascii="Times New Roman" w:hAnsi="Times New Roman" w:cs="Times New Roman" w:eastAsia="Times New Roman" w:hint="default"/>
        </w:rPr>
        <w:t>2</w:t>
      </w:r>
      <w:r>
        <w:rPr/>
        <w:t>、薪酬与考核委员会</w:t>
      </w:r>
    </w:p>
    <w:p>
      <w:pPr>
        <w:pStyle w:val="BodyText"/>
        <w:spacing w:line="300" w:lineRule="auto" w:before="62"/>
        <w:ind w:left="153" w:right="158" w:firstLine="360"/>
        <w:jc w:val="both"/>
      </w:pPr>
      <w:r>
        <w:rPr>
          <w:rFonts w:ascii="Times New Roman" w:hAnsi="Times New Roman" w:cs="Times New Roman" w:eastAsia="Times New Roman" w:hint="default"/>
        </w:rPr>
        <w:t>2012</w:t>
      </w:r>
      <w:r>
        <w:rPr/>
        <w:t>年董事会薪酬与考核委员会召开了</w:t>
      </w:r>
      <w:r>
        <w:rPr>
          <w:rFonts w:ascii="Times New Roman" w:hAnsi="Times New Roman" w:cs="Times New Roman" w:eastAsia="Times New Roman" w:hint="default"/>
        </w:rPr>
        <w:t>1</w:t>
      </w:r>
      <w:r>
        <w:rPr/>
        <w:t>次会议，根据公司业绩考核与薪酬管理制度对公司董事、高级管理人员进行考 核，确定其</w:t>
      </w:r>
      <w:r>
        <w:rPr>
          <w:rFonts w:ascii="Times New Roman" w:hAnsi="Times New Roman" w:cs="Times New Roman" w:eastAsia="Times New Roman" w:hint="default"/>
        </w:rPr>
        <w:t>2011</w:t>
      </w:r>
      <w:r>
        <w:rPr/>
        <w:t>年薪酬，并形成议案提交董事会审议。</w:t>
      </w:r>
    </w:p>
    <w:p>
      <w:pPr>
        <w:pStyle w:val="BodyText"/>
        <w:spacing w:line="240" w:lineRule="auto" w:before="13"/>
        <w:ind w:left="513" w:right="149"/>
        <w:jc w:val="left"/>
      </w:pPr>
      <w:r>
        <w:rPr>
          <w:rFonts w:ascii="Times New Roman" w:hAnsi="Times New Roman" w:cs="Times New Roman" w:eastAsia="Times New Roman" w:hint="default"/>
        </w:rPr>
        <w:t>3</w:t>
      </w:r>
      <w:r>
        <w:rPr/>
        <w:t>、战略委员会</w:t>
      </w:r>
    </w:p>
    <w:p>
      <w:pPr>
        <w:pStyle w:val="BodyText"/>
        <w:spacing w:line="240" w:lineRule="auto" w:before="62"/>
        <w:ind w:left="513" w:right="0"/>
        <w:jc w:val="left"/>
      </w:pPr>
      <w:r>
        <w:rPr>
          <w:rFonts w:ascii="Times New Roman" w:hAnsi="Times New Roman" w:cs="Times New Roman" w:eastAsia="Times New Roman" w:hint="default"/>
        </w:rPr>
        <w:t>2012</w:t>
      </w:r>
      <w:r>
        <w:rPr/>
        <w:t>年董事会提名委员会召开了</w:t>
      </w:r>
      <w:r>
        <w:rPr>
          <w:rFonts w:ascii="Times New Roman" w:hAnsi="Times New Roman" w:cs="Times New Roman" w:eastAsia="Times New Roman" w:hint="default"/>
        </w:rPr>
        <w:t>1</w:t>
      </w:r>
      <w:r>
        <w:rPr/>
        <w:t>次会议，根据公司所面临的金融电子行业以及公司自身的资源、能力及优势，审议通</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153" w:right="90"/>
        <w:jc w:val="left"/>
      </w:pPr>
      <w:r>
        <w:rPr/>
        <w:t>过了《公司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-2015</w:t>
      </w:r>
      <w:r>
        <w:rPr/>
        <w:t>年战略规划纲要》。</w:t>
      </w:r>
    </w:p>
    <w:p>
      <w:pPr>
        <w:spacing w:line="240" w:lineRule="auto" w:before="2"/>
        <w:rPr>
          <w:rFonts w:ascii="宋体" w:hAnsi="宋体" w:cs="宋体" w:eastAsia="宋体" w:hint="default"/>
          <w:sz w:val="24"/>
          <w:szCs w:val="24"/>
        </w:rPr>
      </w:pPr>
    </w:p>
    <w:p>
      <w:pPr>
        <w:pStyle w:val="Heading2"/>
        <w:spacing w:line="240" w:lineRule="auto"/>
        <w:ind w:right="90"/>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t>监事会在报告期内的监督活动中发现公司是否存在风险</w:t>
      </w:r>
    </w:p>
    <w:p>
      <w:pPr>
        <w:pStyle w:val="BodyText"/>
        <w:spacing w:line="360" w:lineRule="auto" w:before="116"/>
        <w:ind w:left="153" w:right="6751"/>
        <w:jc w:val="left"/>
      </w:pPr>
      <w:r>
        <w:rPr/>
        <w:t>□ 是 √ 否 监事会对报告期内的监督事项无异议。</w:t>
      </w:r>
    </w:p>
    <w:p>
      <w:pPr>
        <w:spacing w:line="240" w:lineRule="auto" w:before="1"/>
        <w:rPr>
          <w:rFonts w:ascii="宋体" w:hAnsi="宋体" w:cs="宋体" w:eastAsia="宋体" w:hint="default"/>
          <w:sz w:val="18"/>
          <w:szCs w:val="18"/>
        </w:rPr>
      </w:pPr>
    </w:p>
    <w:p>
      <w:pPr>
        <w:pStyle w:val="Heading2"/>
        <w:spacing w:line="240" w:lineRule="auto"/>
        <w:ind w:right="90"/>
        <w:jc w:val="left"/>
        <w:rPr>
          <w:b w:val="0"/>
          <w:bCs w:val="0"/>
        </w:rPr>
      </w:pP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0"/>
        <w:jc w:val="left"/>
      </w:pPr>
      <w:r>
        <w:rPr>
          <w:spacing w:val="-2"/>
        </w:rPr>
        <w:t>公司控股股东为自然人，公司与控股股东在业务、人员、资产、机构、财务等方面完全分开，具有独立完整的业务及自主经</w:t>
      </w:r>
      <w:r>
        <w:rPr>
          <w:spacing w:val="-67"/>
        </w:rPr>
        <w:t> </w:t>
      </w:r>
      <w:r>
        <w:rPr>
          <w:spacing w:val="-67"/>
        </w:rPr>
      </w:r>
      <w:r>
        <w:rPr/>
        <w:t>营能力。</w:t>
      </w:r>
    </w:p>
    <w:p>
      <w:pPr>
        <w:spacing w:line="240" w:lineRule="auto" w:before="6"/>
        <w:rPr>
          <w:rFonts w:ascii="宋体" w:hAnsi="宋体" w:cs="宋体" w:eastAsia="宋体" w:hint="default"/>
          <w:sz w:val="20"/>
          <w:szCs w:val="20"/>
        </w:rPr>
      </w:pPr>
    </w:p>
    <w:p>
      <w:pPr>
        <w:pStyle w:val="Heading2"/>
        <w:spacing w:line="240" w:lineRule="auto"/>
        <w:ind w:right="90"/>
        <w:jc w:val="left"/>
        <w:rPr>
          <w:b w:val="0"/>
          <w:bCs w:val="0"/>
        </w:rPr>
      </w:pPr>
      <w:r>
        <w:rPr/>
        <w:t>七、同业竞争情况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spacing w:val="-4"/>
        </w:rPr>
        <w:t>公司实际控制人曾胜强、许忠桂未有其他对外投资企业，与公司不存在从事相同、相似业务的情况，与公司不构成同业竞争。</w:t>
      </w:r>
    </w:p>
    <w:p>
      <w:pPr>
        <w:spacing w:line="240" w:lineRule="auto" w:before="2"/>
        <w:rPr>
          <w:rFonts w:ascii="宋体" w:hAnsi="宋体" w:cs="宋体" w:eastAsia="宋体" w:hint="default"/>
          <w:sz w:val="25"/>
          <w:szCs w:val="25"/>
        </w:rPr>
      </w:pPr>
    </w:p>
    <w:p>
      <w:pPr>
        <w:pStyle w:val="Heading2"/>
        <w:spacing w:line="240" w:lineRule="auto"/>
        <w:ind w:right="90"/>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90" w:firstLine="360"/>
        <w:jc w:val="left"/>
      </w:pPr>
      <w:r>
        <w:rPr>
          <w:spacing w:val="-2"/>
        </w:rPr>
        <w:t>公司建立了高级管理人员绩效考评制度《中高层绩效管理制度》和薪酬制度《公司董事、监事、高级管理人员薪酬管理</w:t>
      </w:r>
      <w:r>
        <w:rPr/>
        <w:t> </w:t>
      </w:r>
      <w:r>
        <w:rPr>
          <w:spacing w:val="-2"/>
        </w:rPr>
        <w:t>制度》。公司高级管理人员的工作绩效与其收入直接挂钩，每年年初，公司与高管层分别签订年度经营责任书，落实有关考</w:t>
      </w:r>
      <w:r>
        <w:rPr>
          <w:spacing w:val="-72"/>
        </w:rPr>
        <w:t> </w:t>
      </w:r>
      <w:r>
        <w:rPr>
          <w:spacing w:val="-72"/>
        </w:rPr>
      </w:r>
      <w:r>
        <w:rPr/>
        <w:t>核指标及相关事项。在年度结束后，由董事会薪酬与考核委员会负责按量化考核指标，对高管责任目标完成情况进行考评， 制定薪酬方案报公司董事会审批。</w:t>
      </w:r>
    </w:p>
    <w:p>
      <w:pPr>
        <w:pStyle w:val="BodyText"/>
        <w:spacing w:line="240" w:lineRule="auto" w:before="56"/>
        <w:ind w:left="513" w:right="90"/>
        <w:jc w:val="left"/>
      </w:pPr>
      <w:r>
        <w:rPr/>
        <w:t>公司目前未实施股权激励。</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627"/>
        <w:jc w:val="center"/>
        <w:rPr>
          <w:b w:val="0"/>
          <w:bCs w:val="0"/>
        </w:rPr>
      </w:pPr>
      <w:bookmarkStart w:name="_bookmark8" w:id="9"/>
      <w:bookmarkEnd w:id="9"/>
      <w:r>
        <w:rPr>
          <w:b w:val="0"/>
          <w:bCs w:val="0"/>
        </w:rPr>
      </w:r>
      <w:r>
        <w:rPr/>
        <w:t>第九节</w:t>
      </w:r>
      <w:r>
        <w:rPr>
          <w:spacing w:val="-5"/>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一、内部控制建设情况</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left="153" w:right="233" w:firstLine="360"/>
        <w:jc w:val="left"/>
      </w:pPr>
      <w:r>
        <w:rPr/>
        <w:t>为加强和规范企业内部控制制度，促进公司规范运作和持续健康发展，</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年公司根据深圳证监局《关于做好深圳辖 区上市公司内部控制规范试点有关工作的通知》的有关要求，启动内控体系建设工作。</w:t>
      </w:r>
    </w:p>
    <w:p>
      <w:pPr>
        <w:pStyle w:val="BodyText"/>
        <w:spacing w:line="309" w:lineRule="auto" w:before="69"/>
        <w:ind w:right="90" w:firstLine="359"/>
        <w:jc w:val="left"/>
      </w:pP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2"/>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spacing w:val="-3"/>
        </w:rPr>
        <w:t>日召开的公司第二届董事会第十一次（临时）会议审议通过了《公司内部控制基本规范实施工作方案》，</w:t>
      </w:r>
      <w:r>
        <w:rPr/>
        <w:t> </w:t>
      </w:r>
      <w:r>
        <w:rPr>
          <w:spacing w:val="-2"/>
        </w:rPr>
        <w:t>公司聘请了上海立信锐思信息管理有限公司为公司内控体系建设的外部机构，依据《企业内部控制基本规范》和《企业内部</w:t>
      </w:r>
      <w:r>
        <w:rPr>
          <w:spacing w:val="-66"/>
        </w:rPr>
        <w:t> </w:t>
      </w:r>
      <w:r>
        <w:rPr>
          <w:spacing w:val="-66"/>
        </w:rPr>
      </w:r>
      <w:r>
        <w:rPr>
          <w:spacing w:val="-2"/>
        </w:rPr>
        <w:t>控制配套指引》以及深圳证券交易所《上市公司内部控制指引》，以财务报告的可靠性和法律法规的遵循为目标，结合公司</w:t>
      </w:r>
      <w:r>
        <w:rPr>
          <w:spacing w:val="-72"/>
        </w:rPr>
        <w:t> </w:t>
      </w:r>
      <w:r>
        <w:rPr>
          <w:spacing w:val="-72"/>
        </w:rPr>
      </w:r>
      <w:r>
        <w:rPr/>
        <w:t>自身实际情况，对公司内部控制程序进行梳理与完善，年内公司内控体系建设基本完成，</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年上半年，上海立信锐思信 息管理有限公司对公司开展内部控制建设和评价工作进行了后续的技术指导。</w:t>
      </w:r>
    </w:p>
    <w:p>
      <w:pPr>
        <w:pStyle w:val="BodyText"/>
        <w:spacing w:line="319" w:lineRule="auto" w:before="62"/>
        <w:ind w:right="90" w:firstLine="360"/>
        <w:jc w:val="left"/>
      </w:pPr>
      <w:r>
        <w:rPr/>
        <w:t>通过内部控制建设，公司进一步完善了法人治理结构，确保股东大会、董事会、监事会等机构的规范运作和科学决策， </w:t>
      </w:r>
      <w:r>
        <w:rPr>
          <w:spacing w:val="-4"/>
        </w:rPr>
        <w:t>董事会下设各专门委员会，能够有效开展工作。同时公司建立了覆盖法人治理、业务运营、资产管理、财务管理、会计核算、</w:t>
      </w:r>
      <w:r>
        <w:rPr>
          <w:spacing w:val="-44"/>
        </w:rPr>
        <w:t> </w:t>
      </w:r>
      <w:r>
        <w:rPr>
          <w:spacing w:val="-44"/>
        </w:rPr>
      </w:r>
      <w:r>
        <w:rPr>
          <w:spacing w:val="-2"/>
        </w:rPr>
        <w:t>人力资源管理、行政管理等一系列运营环节的内部控制制度体系，为公司经营管理的合法合规、资产安全完整、会计信息真</w:t>
      </w:r>
      <w:r>
        <w:rPr>
          <w:spacing w:val="-66"/>
        </w:rPr>
        <w:t> </w:t>
      </w:r>
      <w:r>
        <w:rPr>
          <w:spacing w:val="-66"/>
        </w:rPr>
      </w:r>
      <w:r>
        <w:rPr/>
        <w:t>实完整提供了保障。</w:t>
      </w:r>
    </w:p>
    <w:p>
      <w:pPr>
        <w:pStyle w:val="BodyText"/>
        <w:spacing w:line="240" w:lineRule="auto" w:before="55"/>
        <w:ind w:left="514" w:right="90"/>
        <w:jc w:val="left"/>
      </w:pPr>
      <w:r>
        <w:rPr/>
        <w:t>报告期内，公司聘请大华会计师事务所（特殊普通合伙</w:t>
      </w:r>
      <w:r>
        <w:rPr>
          <w:spacing w:val="-90"/>
        </w:rPr>
        <w:t>）</w:t>
      </w:r>
      <w:r>
        <w:rPr/>
        <w:t>，对公司截止</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30 </w:t>
      </w:r>
      <w:r>
        <w:rPr/>
        <w:t>日的内部控制设计与运行的有效</w:t>
      </w:r>
    </w:p>
    <w:p>
      <w:pPr>
        <w:pStyle w:val="BodyText"/>
        <w:spacing w:line="240" w:lineRule="auto" w:before="64"/>
        <w:ind w:right="90"/>
        <w:jc w:val="left"/>
      </w:pPr>
      <w:r>
        <w:rPr/>
        <w:t>性进行审计，同时公司聘请立信会计师事务所对公司截止</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日的内部控制设计与运行的有效性进行审计。</w:t>
      </w:r>
    </w:p>
    <w:p>
      <w:pPr>
        <w:spacing w:line="240" w:lineRule="auto" w:before="1"/>
        <w:rPr>
          <w:rFonts w:ascii="宋体" w:hAnsi="宋体" w:cs="宋体" w:eastAsia="宋体" w:hint="default"/>
          <w:sz w:val="24"/>
          <w:szCs w:val="24"/>
        </w:rPr>
      </w:pPr>
    </w:p>
    <w:p>
      <w:pPr>
        <w:pStyle w:val="Heading2"/>
        <w:spacing w:line="240" w:lineRule="auto"/>
        <w:ind w:right="90"/>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90" w:firstLine="360"/>
        <w:jc w:val="left"/>
      </w:pPr>
      <w:r>
        <w:rPr>
          <w:spacing w:val="-2"/>
        </w:rPr>
        <w:t>公司董事会及全体董事保证本报告内容不存在任何虚假记载、误导性陈述或重大遗漏，并对报告内容的真实性、准确性</w:t>
      </w:r>
      <w:r>
        <w:rPr/>
        <w:t> 和完整性承担个别及连带责任。</w:t>
      </w:r>
    </w:p>
    <w:p>
      <w:pPr>
        <w:pStyle w:val="BodyText"/>
        <w:spacing w:line="319" w:lineRule="auto" w:before="56"/>
        <w:ind w:left="153" w:right="90" w:firstLine="360"/>
        <w:jc w:val="left"/>
      </w:pPr>
      <w:r>
        <w:rPr>
          <w:spacing w:val="-2"/>
        </w:rPr>
        <w:t>建立健全并有效实施内部控制是公司董事会的责任，监事会对董事会建立与实施内部控制进行监督，经理层负责组织领</w:t>
      </w:r>
      <w:r>
        <w:rPr/>
        <w:t> 导公司内部控制的日常运行。</w:t>
      </w:r>
    </w:p>
    <w:p>
      <w:pPr>
        <w:pStyle w:val="BodyText"/>
        <w:spacing w:line="240" w:lineRule="auto" w:before="56"/>
        <w:ind w:left="513" w:right="90"/>
        <w:jc w:val="left"/>
      </w:pPr>
      <w:r>
        <w:rPr/>
        <w:t>公司内部控制的目标是：</w:t>
      </w:r>
    </w:p>
    <w:p>
      <w:pPr>
        <w:pStyle w:val="BodyText"/>
        <w:spacing w:line="302" w:lineRule="auto" w:before="115"/>
        <w:ind w:left="153" w:right="181" w:firstLine="360"/>
        <w:jc w:val="left"/>
      </w:pPr>
      <w:r>
        <w:rPr>
          <w:rFonts w:ascii="Times New Roman" w:hAnsi="Times New Roman" w:cs="Times New Roman" w:eastAsia="Times New Roman" w:hint="default"/>
        </w:rPr>
        <w:t>1</w:t>
      </w:r>
      <w:r>
        <w:rPr/>
        <w:t>、建立和完善符合现代管理要求的法人治理结构及内部组织架构，形成科学的决策机制、执行机制和监督机制，保证 公司发展战略和经营管理目标的实现；</w:t>
      </w:r>
    </w:p>
    <w:p>
      <w:pPr>
        <w:pStyle w:val="BodyText"/>
        <w:spacing w:line="240" w:lineRule="auto" w:before="70"/>
        <w:ind w:left="513" w:right="90"/>
        <w:jc w:val="left"/>
      </w:pPr>
      <w:r>
        <w:rPr>
          <w:rFonts w:ascii="Times New Roman" w:hAnsi="Times New Roman" w:cs="Times New Roman" w:eastAsia="Times New Roman" w:hint="default"/>
        </w:rPr>
        <w:t>2</w:t>
      </w:r>
      <w:r>
        <w:rPr/>
        <w:t>、建立健全风险控制系统，保证公司各项业务活动的健康运行；</w:t>
      </w:r>
    </w:p>
    <w:p>
      <w:pPr>
        <w:pStyle w:val="BodyText"/>
        <w:spacing w:line="240" w:lineRule="auto" w:before="102"/>
        <w:ind w:left="513" w:right="90"/>
        <w:jc w:val="left"/>
      </w:pPr>
      <w:r>
        <w:rPr>
          <w:rFonts w:ascii="Times New Roman" w:hAnsi="Times New Roman" w:cs="Times New Roman" w:eastAsia="Times New Roman" w:hint="default"/>
        </w:rPr>
        <w:t>3</w:t>
      </w:r>
      <w:r>
        <w:rPr/>
        <w:t>、堵塞漏洞、消除隐患，防止并及时发现和纠正各种错误、舞弊行为，保护公司财产的安全完整；</w:t>
      </w:r>
    </w:p>
    <w:p>
      <w:pPr>
        <w:pStyle w:val="BodyText"/>
        <w:spacing w:line="240" w:lineRule="auto" w:before="102"/>
        <w:ind w:left="513" w:right="90"/>
        <w:jc w:val="left"/>
      </w:pPr>
      <w:r>
        <w:rPr>
          <w:rFonts w:ascii="Times New Roman" w:hAnsi="Times New Roman" w:cs="Times New Roman" w:eastAsia="Times New Roman" w:hint="default"/>
        </w:rPr>
        <w:t>4</w:t>
      </w:r>
      <w:r>
        <w:rPr/>
        <w:t>、规范公司会计行为，保证会计资料真实完整，提高会计信息质量；</w:t>
      </w:r>
    </w:p>
    <w:p>
      <w:pPr>
        <w:pStyle w:val="BodyText"/>
        <w:spacing w:line="240" w:lineRule="auto" w:before="103"/>
        <w:ind w:left="513" w:right="90"/>
        <w:jc w:val="left"/>
      </w:pPr>
      <w:r>
        <w:rPr>
          <w:rFonts w:ascii="Times New Roman" w:hAnsi="Times New Roman" w:cs="Times New Roman" w:eastAsia="Times New Roman" w:hint="default"/>
        </w:rPr>
        <w:t>5</w:t>
      </w:r>
      <w:r>
        <w:rPr/>
        <w:t>、确保公司信息披露的及时、准确、完整；</w:t>
      </w:r>
    </w:p>
    <w:p>
      <w:pPr>
        <w:pStyle w:val="BodyText"/>
        <w:spacing w:line="338" w:lineRule="auto" w:before="102"/>
        <w:ind w:left="513" w:right="3871"/>
        <w:jc w:val="left"/>
      </w:pPr>
      <w:r>
        <w:rPr>
          <w:rFonts w:ascii="Times New Roman" w:hAnsi="Times New Roman" w:cs="Times New Roman" w:eastAsia="Times New Roman" w:hint="default"/>
        </w:rPr>
        <w:t>6</w:t>
      </w:r>
      <w:r>
        <w:rPr/>
        <w:t>、确保国家有关法律法规和公司内部控制制度的贯彻执行。 由于内部控制存在固有局限性，故仅能对实现上述目标提供合理保证。</w:t>
      </w:r>
    </w:p>
    <w:p>
      <w:pPr>
        <w:spacing w:line="240" w:lineRule="auto" w:before="6"/>
        <w:rPr>
          <w:rFonts w:ascii="宋体" w:hAnsi="宋体" w:cs="宋体" w:eastAsia="宋体" w:hint="default"/>
          <w:sz w:val="19"/>
          <w:szCs w:val="19"/>
        </w:rPr>
      </w:pPr>
    </w:p>
    <w:p>
      <w:pPr>
        <w:pStyle w:val="Heading2"/>
        <w:spacing w:line="240" w:lineRule="auto"/>
        <w:ind w:right="90"/>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90" w:firstLine="360"/>
        <w:jc w:val="left"/>
      </w:pPr>
      <w:r>
        <w:rPr>
          <w:spacing w:val="-2"/>
        </w:rPr>
        <w:t>本评价报告根据基本规范、相关配套指引及公司《内部控制评价手册》的要求，在内部控制日常监督和专项监督的基础</w:t>
      </w:r>
      <w:r>
        <w:rPr/>
        <w:t> 上，对公司截止</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日的内部控制设计与运行的有效性进行评价。</w:t>
      </w:r>
    </w:p>
    <w:p>
      <w:pPr>
        <w:spacing w:after="0" w:line="319" w:lineRule="auto"/>
        <w:jc w:val="left"/>
        <w:sectPr>
          <w:pgSz w:w="11910" w:h="16840"/>
          <w:pgMar w:header="747"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49"/>
        <w:jc w:val="left"/>
        <w:rPr>
          <w:b w:val="0"/>
          <w:bCs w:val="0"/>
        </w:rPr>
      </w:pPr>
      <w:r>
        <w:rPr/>
        <w:t>四、内部控制自我评价报告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45"/>
        <w:gridCol w:w="6922"/>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88"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针对报告期内发现的内部控制缺陷，公司已制定明确的整改方案、整改责任人及整改完成期限，并已在落实相应的整改措</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施。根据上述认定标准，结合日常监督和专项监督情况，报告期内公司不存在重大缺陷和重要缺陷。</w:t>
            </w:r>
          </w:p>
        </w:tc>
      </w:tr>
      <w:tr>
        <w:trPr>
          <w:trHeight w:val="714" w:hRule="exact"/>
        </w:trPr>
        <w:tc>
          <w:tcPr>
            <w:tcW w:w="26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2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22" w:type="dxa"/>
            <w:tcBorders>
              <w:top w:val="single" w:sz="4" w:space="0" w:color="000000"/>
              <w:left w:val="single" w:sz="9" w:space="0" w:color="D3D3D3"/>
              <w:bottom w:val="single" w:sz="4" w:space="0" w:color="000000"/>
              <w:right w:val="single" w:sz="4" w:space="0" w:color="000000"/>
            </w:tcBorders>
          </w:tcPr>
          <w:p>
            <w:pPr>
              <w:pStyle w:val="TableParagraph"/>
              <w:spacing w:line="300" w:lineRule="auto" w:before="51"/>
              <w:ind w:left="33" w:right="21"/>
              <w:jc w:val="left"/>
              <w:rPr>
                <w:rFonts w:ascii="宋体" w:hAnsi="宋体" w:cs="宋体" w:eastAsia="宋体" w:hint="default"/>
                <w:sz w:val="18"/>
                <w:szCs w:val="18"/>
              </w:rPr>
            </w:pPr>
            <w:r>
              <w:rPr>
                <w:rFonts w:ascii="宋体" w:hAnsi="宋体" w:cs="宋体" w:eastAsia="宋体" w:hint="default"/>
                <w:spacing w:val="-3"/>
                <w:sz w:val="18"/>
                <w:szCs w:val="18"/>
              </w:rPr>
              <w:t>巨潮资讯网</w:t>
            </w:r>
            <w:r>
              <w:rPr>
                <w:rFonts w:ascii="Times New Roman" w:hAnsi="Times New Roman" w:cs="Times New Roman" w:eastAsia="Times New Roman" w:hint="default"/>
                <w:spacing w:val="-3"/>
                <w:sz w:val="18"/>
                <w:szCs w:val="18"/>
              </w:rPr>
              <w:t>(http://www.cninfo.com.cn)</w:t>
            </w:r>
            <w:r>
              <w:rPr>
                <w:rFonts w:ascii="宋体" w:hAnsi="宋体" w:cs="宋体" w:eastAsia="宋体" w:hint="default"/>
                <w:spacing w:val="-3"/>
                <w:sz w:val="18"/>
                <w:szCs w:val="18"/>
              </w:rPr>
              <w:t>、《深圳市证通电子股份有限公司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年度内部控</w:t>
            </w:r>
            <w:r>
              <w:rPr>
                <w:rFonts w:ascii="宋体" w:hAnsi="宋体" w:cs="宋体" w:eastAsia="宋体" w:hint="default"/>
                <w:spacing w:val="-86"/>
                <w:sz w:val="18"/>
                <w:szCs w:val="18"/>
              </w:rPr>
              <w:t> </w:t>
            </w:r>
            <w:r>
              <w:rPr>
                <w:rFonts w:ascii="宋体" w:hAnsi="宋体" w:cs="宋体" w:eastAsia="宋体" w:hint="default"/>
                <w:sz w:val="18"/>
                <w:szCs w:val="18"/>
              </w:rPr>
              <w:t>制自我评价报告》</w:t>
            </w:r>
          </w:p>
        </w:tc>
      </w:tr>
    </w:tbl>
    <w:p>
      <w:pPr>
        <w:spacing w:line="240" w:lineRule="auto" w:before="2"/>
        <w:rPr>
          <w:rFonts w:ascii="宋体" w:hAnsi="宋体" w:cs="宋体" w:eastAsia="宋体" w:hint="default"/>
          <w:b/>
          <w:bCs/>
          <w:sz w:val="18"/>
          <w:szCs w:val="18"/>
        </w:rPr>
      </w:pPr>
    </w:p>
    <w:p>
      <w:pPr>
        <w:pStyle w:val="Heading2"/>
        <w:spacing w:line="240" w:lineRule="auto" w:before="26"/>
        <w:ind w:right="149"/>
        <w:jc w:val="left"/>
        <w:rPr>
          <w:b w:val="0"/>
          <w:bCs w:val="0"/>
        </w:rPr>
      </w:pPr>
      <w:r>
        <w:rPr/>
        <w:t>五、内部控制审计报告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5"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我们认为，证通电子公司于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日按照《企业内部控制基本规范》和相关规定在所有重大方面保持了有效的 财务报告内部控制。</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t>
            </w:r>
            <w:r>
              <w:rPr>
                <w:rFonts w:ascii="Times New Roman" w:hAnsi="Times New Roman" w:cs="Times New Roman" w:eastAsia="Times New Roman" w:hint="default"/>
                <w:spacing w:val="-13"/>
                <w:sz w:val="18"/>
                <w:szCs w:val="18"/>
              </w:rPr>
              <w:t>w</w:t>
            </w:r>
            <w:r>
              <w:rPr>
                <w:rFonts w:ascii="Times New Roman" w:hAnsi="Times New Roman" w:cs="Times New Roman" w:eastAsia="Times New Roman" w:hint="default"/>
                <w:sz w:val="18"/>
                <w:szCs w:val="18"/>
              </w:rPr>
              <w:t>.cninf</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com.cn)</w:t>
            </w:r>
            <w:r>
              <w:rPr>
                <w:rFonts w:ascii="宋体" w:hAnsi="宋体" w:cs="宋体" w:eastAsia="宋体" w:hint="default"/>
                <w:spacing w:val="-90"/>
                <w:sz w:val="18"/>
                <w:szCs w:val="18"/>
              </w:rPr>
              <w:t>、</w:t>
            </w:r>
            <w:r>
              <w:rPr>
                <w:rFonts w:ascii="宋体" w:hAnsi="宋体" w:cs="宋体" w:eastAsia="宋体" w:hint="default"/>
                <w:sz w:val="18"/>
                <w:szCs w:val="18"/>
              </w:rPr>
              <w:t>《公</w:t>
            </w:r>
            <w:r>
              <w:rPr>
                <w:rFonts w:ascii="宋体" w:hAnsi="宋体" w:cs="宋体" w:eastAsia="宋体" w:hint="default"/>
                <w:spacing w:val="-2"/>
                <w:sz w:val="18"/>
                <w:szCs w:val="18"/>
              </w:rPr>
              <w:t>司</w:t>
            </w:r>
            <w:r>
              <w:rPr>
                <w:rFonts w:ascii="宋体" w:hAnsi="宋体" w:cs="宋体" w:eastAsia="宋体" w:hint="default"/>
                <w:sz w:val="18"/>
                <w:szCs w:val="18"/>
              </w:rPr>
              <w:t>内控审计报告</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pStyle w:val="BodyText"/>
        <w:spacing w:line="240" w:lineRule="auto" w:before="51"/>
        <w:ind w:right="149"/>
        <w:jc w:val="left"/>
      </w:pPr>
      <w:r>
        <w:rPr/>
        <w:t>会计师事务所是否出具非标准意见的内部控制审计报告</w:t>
      </w:r>
    </w:p>
    <w:p>
      <w:pPr>
        <w:pStyle w:val="BodyText"/>
        <w:spacing w:line="338" w:lineRule="auto" w:before="117"/>
        <w:ind w:right="3650"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2"/>
        <w:ind w:right="1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0"/>
        <w:rPr>
          <w:rFonts w:ascii="宋体" w:hAnsi="宋体" w:cs="宋体" w:eastAsia="宋体" w:hint="default"/>
          <w:sz w:val="24"/>
          <w:szCs w:val="24"/>
        </w:rPr>
      </w:pPr>
    </w:p>
    <w:p>
      <w:pPr>
        <w:pStyle w:val="Heading2"/>
        <w:spacing w:line="240" w:lineRule="auto"/>
        <w:ind w:right="149"/>
        <w:jc w:val="left"/>
        <w:rPr>
          <w:b w:val="0"/>
          <w:bCs w:val="0"/>
        </w:rPr>
      </w:pP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53" w:right="149"/>
        <w:jc w:val="left"/>
      </w:pPr>
      <w:r>
        <w:rPr>
          <w:spacing w:val="-4"/>
        </w:rPr>
        <w:t>公司制定了《年报信息披露重大差错责任追究制度》，于</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rPr>
        <w:t>3 </w:t>
      </w:r>
      <w:r>
        <w:rPr/>
        <w:t>月</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日第二届董事会第二次会议审议通过。报告期内公 司执行此项制度。</w:t>
      </w:r>
    </w:p>
    <w:p>
      <w:pPr>
        <w:spacing w:after="0" w:line="302"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627"/>
        <w:jc w:val="center"/>
        <w:rPr>
          <w:b w:val="0"/>
          <w:bCs w:val="0"/>
        </w:rPr>
      </w:pPr>
      <w:bookmarkStart w:name="_bookmark9" w:id="10"/>
      <w:bookmarkEnd w:id="10"/>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310319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pStyle w:val="BodyText"/>
        <w:spacing w:line="240" w:lineRule="auto" w:before="51"/>
        <w:ind w:left="3590" w:right="3627"/>
        <w:jc w:val="center"/>
      </w:pPr>
      <w:r>
        <w:rPr/>
        <w:t>审计报告正文</w:t>
      </w:r>
    </w:p>
    <w:p>
      <w:pPr>
        <w:pStyle w:val="BodyText"/>
        <w:spacing w:line="240" w:lineRule="auto" w:before="115"/>
        <w:ind w:right="90"/>
        <w:jc w:val="left"/>
      </w:pPr>
      <w:r>
        <w:rPr/>
        <w:t>深圳市证通电子股份有限公司全体股东：</w:t>
      </w:r>
    </w:p>
    <w:p>
      <w:pPr>
        <w:pStyle w:val="BodyText"/>
        <w:spacing w:line="300" w:lineRule="auto" w:before="76"/>
        <w:ind w:right="190" w:firstLine="360"/>
        <w:jc w:val="both"/>
      </w:pPr>
      <w:r>
        <w:rPr>
          <w:spacing w:val="-2"/>
        </w:rPr>
        <w:t>我们审计了后附的深圳市证通电子股份有限公司（以下简称贵公司）财务报表，包括</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日的资产负债表和合</w:t>
      </w:r>
      <w:r>
        <w:rPr/>
        <w:t> </w:t>
      </w:r>
      <w:r>
        <w:rPr>
          <w:spacing w:val="-2"/>
        </w:rPr>
        <w:t>并资产负债表、</w:t>
      </w:r>
      <w:r>
        <w:rPr>
          <w:rFonts w:ascii="Times New Roman" w:hAnsi="Times New Roman" w:cs="Times New Roman" w:eastAsia="Times New Roman" w:hint="default"/>
          <w:spacing w:val="-2"/>
        </w:rPr>
        <w:t>2012</w:t>
      </w:r>
      <w:r>
        <w:rPr>
          <w:spacing w:val="-2"/>
        </w:rPr>
        <w:t>年度的利润表和合并利润表、</w:t>
      </w:r>
      <w:r>
        <w:rPr>
          <w:rFonts w:ascii="Times New Roman" w:hAnsi="Times New Roman" w:cs="Times New Roman" w:eastAsia="Times New Roman" w:hint="default"/>
          <w:spacing w:val="-2"/>
        </w:rPr>
        <w:t>2012</w:t>
      </w:r>
      <w:r>
        <w:rPr>
          <w:spacing w:val="-2"/>
        </w:rPr>
        <w:t>年度的现金流量表和合并现金流量表、</w:t>
      </w:r>
      <w:r>
        <w:rPr>
          <w:rFonts w:ascii="Times New Roman" w:hAnsi="Times New Roman" w:cs="Times New Roman" w:eastAsia="Times New Roman" w:hint="default"/>
          <w:spacing w:val="-2"/>
        </w:rPr>
        <w:t>2012</w:t>
      </w:r>
      <w:r>
        <w:rPr>
          <w:spacing w:val="-2"/>
        </w:rPr>
        <w:t>年度的所有者权益变动表</w:t>
      </w:r>
      <w:r>
        <w:rPr>
          <w:spacing w:val="-54"/>
        </w:rPr>
        <w:t> </w:t>
      </w:r>
      <w:r>
        <w:rPr/>
        <w:t>和合并所有者权益变动表以及财务报表附注。</w:t>
      </w:r>
    </w:p>
    <w:p>
      <w:pPr>
        <w:pStyle w:val="BodyText"/>
        <w:spacing w:line="316" w:lineRule="auto" w:before="31"/>
        <w:ind w:left="514" w:right="180"/>
        <w:jc w:val="left"/>
      </w:pPr>
      <w:r>
        <w:rPr/>
        <w:t>一、管理层对财务报表的责任 编制和公允列报财务报表是贵公司管理层的责任。这种责任包括：（</w:t>
      </w:r>
      <w:r>
        <w:rPr>
          <w:rFonts w:ascii="Times New Roman" w:hAnsi="Times New Roman" w:cs="Times New Roman" w:eastAsia="Times New Roman" w:hint="default"/>
        </w:rPr>
        <w:t>1</w:t>
      </w:r>
      <w:r>
        <w:rPr/>
        <w:t>）按照企业会计准则的规定编制财务报表，并使</w:t>
      </w:r>
    </w:p>
    <w:p>
      <w:pPr>
        <w:pStyle w:val="BodyText"/>
        <w:spacing w:line="309" w:lineRule="auto"/>
        <w:ind w:left="514" w:right="90" w:hanging="360"/>
        <w:jc w:val="left"/>
      </w:pPr>
      <w:r>
        <w:rPr/>
        <w:t>其实现公允反映；（</w:t>
      </w:r>
      <w:r>
        <w:rPr>
          <w:rFonts w:ascii="Times New Roman" w:hAnsi="Times New Roman" w:cs="Times New Roman" w:eastAsia="Times New Roman" w:hint="default"/>
        </w:rPr>
        <w:t>2</w:t>
      </w:r>
      <w:r>
        <w:rPr/>
        <w:t>）设计、执行和维护必要的内部控制，以使财务报表不存在由于舞弊或错误导致的重大错报。 二、注册会计师的责任 </w:t>
      </w:r>
      <w:r>
        <w:rPr>
          <w:spacing w:val="-2"/>
        </w:rPr>
        <w:t>我们的责任是在执行审计工作的基础上对财务报表发表审计意见。我们按照中国注册会计师审计准则的规定执行了审计</w:t>
      </w:r>
    </w:p>
    <w:p>
      <w:pPr>
        <w:pStyle w:val="BodyText"/>
        <w:spacing w:line="316" w:lineRule="auto" w:before="24"/>
        <w:ind w:right="90"/>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8"/>
        <w:ind w:right="90"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报相关的内部控制，以设计恰当的审计程序。审计工作还包括评价管理层选用会计政策的恰当性和作出会计估计的合理性， 以及评价财务报表的总体列报。</w:t>
      </w:r>
    </w:p>
    <w:p>
      <w:pPr>
        <w:pStyle w:val="BodyText"/>
        <w:spacing w:line="316" w:lineRule="auto" w:before="18"/>
        <w:ind w:left="514" w:right="3150"/>
        <w:jc w:val="left"/>
      </w:pPr>
      <w:r>
        <w:rPr/>
        <w:t>我们相信，我们获取的审计证据是充分、适当的，为发表审计意见提供了基础。 三、审计意见</w:t>
      </w:r>
    </w:p>
    <w:p>
      <w:pPr>
        <w:pStyle w:val="BodyText"/>
        <w:spacing w:line="300" w:lineRule="auto" w:before="18"/>
        <w:ind w:right="90" w:firstLine="360"/>
        <w:jc w:val="left"/>
      </w:pPr>
      <w:r>
        <w:rPr>
          <w:spacing w:val="-2"/>
        </w:rPr>
        <w:t>我们认为，贵公司财务报表在所有重大方面按照企业会计准则的规定编制，公允反映了贵公司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w:t>
      </w:r>
      <w:r>
        <w:rPr/>
        <w:t> 况以及</w:t>
      </w:r>
      <w:r>
        <w:rPr>
          <w:rFonts w:ascii="Times New Roman" w:hAnsi="Times New Roman" w:cs="Times New Roman" w:eastAsia="Times New Roman" w:hint="default"/>
        </w:rPr>
        <w:t>2012</w:t>
      </w:r>
      <w:r>
        <w:rPr/>
        <w:t>年度的经营成果和现金流量。</w:t>
      </w:r>
    </w:p>
    <w:p>
      <w:pPr>
        <w:spacing w:line="240" w:lineRule="auto" w:before="5"/>
        <w:rPr>
          <w:rFonts w:ascii="宋体" w:hAnsi="宋体" w:cs="宋体" w:eastAsia="宋体" w:hint="default"/>
          <w:sz w:val="20"/>
          <w:szCs w:val="20"/>
        </w:rPr>
      </w:pPr>
    </w:p>
    <w:p>
      <w:pPr>
        <w:pStyle w:val="Heading2"/>
        <w:spacing w:line="240" w:lineRule="auto"/>
        <w:ind w:right="9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t>财务附注中报表的单位为：人民币元</w:t>
      </w:r>
    </w:p>
    <w:p>
      <w:pPr>
        <w:spacing w:line="240" w:lineRule="auto" w:before="11"/>
        <w:rPr>
          <w:rFonts w:ascii="宋体" w:hAnsi="宋体" w:cs="宋体" w:eastAsia="宋体" w:hint="default"/>
          <w:sz w:val="26"/>
          <w:szCs w:val="26"/>
        </w:rPr>
      </w:pPr>
    </w:p>
    <w:p>
      <w:pPr>
        <w:pStyle w:val="Heading3"/>
        <w:spacing w:line="240" w:lineRule="auto"/>
        <w:ind w:right="9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0"/>
        <w:jc w:val="left"/>
      </w:pPr>
      <w:r>
        <w:rPr/>
        <w:t>编制单位：深圳市证通电子股份有限公司</w:t>
      </w:r>
    </w:p>
    <w:p>
      <w:pPr>
        <w:pStyle w:val="BodyText"/>
        <w:spacing w:line="240" w:lineRule="auto" w:before="117"/>
        <w:ind w:left="0" w:right="189"/>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179,550,268.21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170,394,685.91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61,510,799.99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79,819,630.00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283,480,718.03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238,981,116.20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18,130,828.42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16,504,112.90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12,934,733.66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8,295,446.88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202,671,209.43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264,130,438.88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758,278,557.74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778,125,430.77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35,022,999.92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31,421,067.14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25,845,258.86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48,257,764.16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49,516,321.58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172,883,366.49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172,328,524.03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16,235,093.44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60,448,561.13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36,248,177.18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4,537,823.95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1,337,036.56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232,169.99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5,657,204.89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4,037,946.75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375,800,917.68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288,208,398.39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1,134,079,475.42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1,066,333,829.16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16,849,068.60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12,950,311.58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130,989,225.01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142,455,929.17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22,157,284.41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44,193,105.30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11,484,136.02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14,637,894.19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14,536,930.20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-1,091,191.45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521,688.45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582,382.22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3,861,799.70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13,329,082.18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575,400,132.39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537,057,513.19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6,443,200.00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4,348,950.00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1,087,736.88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2,307,692.30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17,930,936.88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9,656,642.30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593,331,069.27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546,714,155.49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209,832,000.00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209,832,000.00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89,038,198.78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89,038,198.78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13,564,385.97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11,934,714.75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230,357,450.10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210,715,863.10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542,792,034.85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521,520,776.63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-2,043,628.70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-1,901,102.96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540,748,406.15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519,619,673.67</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1,134,079,475.42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1,066,333,829.16</w:t>
            </w:r>
          </w:p>
        </w:tc>
      </w:tr>
    </w:tbl>
    <w:p>
      <w:pPr>
        <w:spacing w:line="240" w:lineRule="auto" w:before="3"/>
        <w:rPr>
          <w:rFonts w:ascii="Times New Roman" w:hAnsi="Times New Roman" w:cs="Times New Roman" w:eastAsia="Times New Roman" w:hint="default"/>
          <w:sz w:val="23"/>
          <w:szCs w:val="23"/>
        </w:rPr>
      </w:pPr>
    </w:p>
    <w:p>
      <w:pPr>
        <w:pStyle w:val="BodyText"/>
        <w:tabs>
          <w:tab w:pos="3573" w:val="left" w:leader="none"/>
          <w:tab w:pos="7713" w:val="left" w:leader="none"/>
        </w:tabs>
        <w:spacing w:line="240" w:lineRule="auto" w:before="44"/>
        <w:ind w:right="149"/>
        <w:jc w:val="left"/>
      </w:pPr>
      <w:r>
        <w:rPr/>
        <w:t>法定代表人：曾胜强</w:t>
        <w:tab/>
        <w:t>主管会计工作负责人：邢俊芳</w:t>
        <w:tab/>
        <w:t>会计机构负责人：易海军</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9"/>
        <w:jc w:val="left"/>
      </w:pPr>
      <w:r>
        <w:rPr/>
        <w:t>编制单位：深圳市证通电子股份有限公司</w:t>
      </w:r>
    </w:p>
    <w:p>
      <w:pPr>
        <w:pStyle w:val="BodyText"/>
        <w:spacing w:line="240" w:lineRule="auto" w:before="117"/>
        <w:ind w:left="0" w:right="149"/>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84"/>
              <w:jc w:val="right"/>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143,001,497.57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145,994,882.08</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98"/>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61,202,800.00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79,774,030.00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278,002,963.13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224,615,657.27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17,103,912.49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13,183,280.27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11,485,603.43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17,886,435.35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159,141,531.09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223,158,482.84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7"/>
        <w:gridCol w:w="3319"/>
        <w:gridCol w:w="3300"/>
      </w:tblGrid>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669,938,307.71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704,612,767.81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35,022,999.92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89,727,451.43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84,151,643.15</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48,257,764.16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49,516,321.58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168,205,194.65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168,649,498.22</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18,290,363.60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62,274,986.67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36,248,177.18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4,537,823.95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4,383,424.34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3,712,536.91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430,700,008.72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342,278,177.04</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1,100,638,316.43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1,046,890,944.85</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310,000,000.00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16,849,068.60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12,950,311.58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327,926,156.68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291,266,909.10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20,662,108.15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41,599,131.80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8,829,399.02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10,955,401.31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8,872,280.22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-8,615,277.59</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509,416.67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582,382.22</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2,761,604.48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12,511,610.55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7"/>
        <w:gridCol w:w="3319"/>
        <w:gridCol w:w="3300"/>
      </w:tblGrid>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721,410,033.82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671,250,468.97</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6,443,200.00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4,348,950.00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1,087,736.88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2,307,692.30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17,930,936.88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9,656,642.30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739,340,970.70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680,907,111.27</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209,832,000.00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209,832,000.00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89,038,198.78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89,038,198.78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13,564,385.97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11,934,714.75</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48,862,760.98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55,178,920.05</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361,297,345.73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365,983,833.58</w:t>
            </w:r>
          </w:p>
        </w:tc>
      </w:tr>
      <w:tr>
        <w:trPr>
          <w:trHeight w:val="714"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1,100,638,316.43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1,046,890,944.85</w:t>
            </w:r>
          </w:p>
        </w:tc>
      </w:tr>
    </w:tbl>
    <w:p>
      <w:pPr>
        <w:spacing w:line="240" w:lineRule="auto" w:before="3"/>
        <w:rPr>
          <w:rFonts w:ascii="Times New Roman" w:hAnsi="Times New Roman" w:cs="Times New Roman" w:eastAsia="Times New Roman" w:hint="default"/>
          <w:sz w:val="23"/>
          <w:szCs w:val="23"/>
        </w:rPr>
      </w:pPr>
    </w:p>
    <w:p>
      <w:pPr>
        <w:pStyle w:val="BodyText"/>
        <w:tabs>
          <w:tab w:pos="3573" w:val="left" w:leader="none"/>
          <w:tab w:pos="7713" w:val="left" w:leader="none"/>
        </w:tabs>
        <w:spacing w:line="240" w:lineRule="auto" w:before="44"/>
        <w:ind w:right="149"/>
        <w:jc w:val="left"/>
      </w:pPr>
      <w:r>
        <w:rPr/>
        <w:t>法定代表人：曾胜强</w:t>
        <w:tab/>
        <w:t>主管会计工作负责人：邢俊芳</w:t>
        <w:tab/>
        <w:t>会计机构负责人：易海军</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9"/>
        <w:jc w:val="left"/>
      </w:pPr>
      <w:r>
        <w:rPr/>
        <w:t>编制单位：深圳市证通电子股份有限公司</w:t>
      </w:r>
    </w:p>
    <w:p>
      <w:pPr>
        <w:pStyle w:val="BodyText"/>
        <w:spacing w:line="240" w:lineRule="auto" w:before="117"/>
        <w:ind w:left="0" w:right="149"/>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85"/>
              <w:jc w:val="right"/>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584,875,543.99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677,480,693.05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301"/>
              <w:jc w:val="righ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584,875,543.99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677,480,693.05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301"/>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39"/>
        <w:gridCol w:w="3329"/>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2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2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548,375,021.60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601,980,543.63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375,289,635.17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444,974,921.17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2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2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2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2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2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2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2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4,349,930.15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3,838,123.61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71,996,466.99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65,446,836.21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69,573,717.89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60,394,919.62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21,775,032.11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22,079,706.26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5,390,239.29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5,246,036.76</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2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-28,641.72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86,634.34</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4"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-306,191.72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-595.66</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5"/>
              <w:jc w:val="lef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2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36,471,880.67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75,586,783.76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11,777,658.38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7,026,614.75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117,357.63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1,136,115.53</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2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48,132,181.42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81,477,282.98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6,020,248.94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12,209,517.55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42,111,932.48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69,267,765.43</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4"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2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42,254,458.22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69,455,613.19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-142,525.74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-187,847.76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42,111,932.48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69,267,765.43</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42,254,458.22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69,455,613.19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-142,525.74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-187,847.76</w:t>
            </w:r>
          </w:p>
        </w:tc>
      </w:tr>
    </w:tbl>
    <w:p>
      <w:pPr>
        <w:pStyle w:val="BodyText"/>
        <w:spacing w:line="240" w:lineRule="auto" w:before="51"/>
        <w:ind w:right="149"/>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573" w:val="left" w:leader="none"/>
          <w:tab w:pos="7713" w:val="left" w:leader="none"/>
        </w:tabs>
        <w:spacing w:line="240" w:lineRule="auto" w:before="141"/>
        <w:ind w:left="153" w:right="149"/>
        <w:jc w:val="left"/>
      </w:pPr>
      <w:r>
        <w:rPr/>
        <w:t>法定代表人：曾胜强</w:t>
        <w:tab/>
        <w:t>主管会计工作负责人：邢俊芳</w:t>
        <w:tab/>
        <w:t>会计机构负责人：易海军</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49"/>
        <w:jc w:val="left"/>
      </w:pPr>
      <w:r>
        <w:rPr/>
        <w:t>编制单位：深圳市证通电子股份有限公司</w:t>
      </w:r>
    </w:p>
    <w:p>
      <w:pPr>
        <w:pStyle w:val="BodyText"/>
        <w:spacing w:line="240" w:lineRule="auto" w:before="116"/>
        <w:ind w:left="0" w:right="149"/>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566,222,133.15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603,385,324.45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420,347,570.84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477,162,812.79</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2,988,925.56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1,610,784.90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56,544,885.19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54,221,424.78</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48,309,606.53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38,724,757.01</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20,504,402.36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17,985,788.46</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3,459,827.91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4,562,413.16</w:t>
            </w: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-28,641.72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86,634.34</w:t>
            </w: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-306,191.72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-595.66</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14,038,273.04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9,203,977.69</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3,793,768.51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4,711,783.12</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31,616.85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1,130,819.22</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7"/>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17,800,424.70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12,784,941.59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1,503,712.55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2,394,425.22</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16,296,712.15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10,390,516.37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16,296,712.15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10,390,516.37</w:t>
            </w:r>
          </w:p>
        </w:tc>
      </w:tr>
    </w:tbl>
    <w:p>
      <w:pPr>
        <w:spacing w:line="240" w:lineRule="auto" w:before="6"/>
        <w:rPr>
          <w:rFonts w:ascii="宋体" w:hAnsi="宋体" w:cs="宋体" w:eastAsia="宋体" w:hint="default"/>
          <w:sz w:val="20"/>
          <w:szCs w:val="20"/>
        </w:rPr>
      </w:pPr>
    </w:p>
    <w:p>
      <w:pPr>
        <w:pStyle w:val="BodyText"/>
        <w:tabs>
          <w:tab w:pos="3573" w:val="left" w:leader="none"/>
          <w:tab w:pos="7713" w:val="left" w:leader="none"/>
        </w:tabs>
        <w:spacing w:line="240" w:lineRule="auto" w:before="44"/>
        <w:ind w:right="149"/>
        <w:jc w:val="left"/>
      </w:pPr>
      <w:r>
        <w:rPr/>
        <w:t>法定代表人：曾胜强</w:t>
        <w:tab/>
        <w:t>主管会计工作负责人：邢俊芳</w:t>
        <w:tab/>
        <w:t>会计机构负责人：易海军</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9"/>
        <w:jc w:val="left"/>
      </w:pPr>
      <w:r>
        <w:rPr/>
        <w:t>编制单位：深圳市证通电子股份有限公司</w:t>
      </w:r>
    </w:p>
    <w:p>
      <w:pPr>
        <w:pStyle w:val="BodyText"/>
        <w:spacing w:line="240" w:lineRule="auto" w:before="117"/>
        <w:ind w:left="0" w:right="149"/>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605,639,668.06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712,187,748.07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3"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3"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3"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3"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3"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3"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3"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3"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15,141,389.81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5,929,181.15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8,458,364.57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10,206,113.47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629,239,422.44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728,323,042.69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376,590,499.48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478,633,394.23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3"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8"/>
        <w:gridCol w:w="3318"/>
        <w:gridCol w:w="3300"/>
      </w:tblGrid>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8"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8"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8"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85,347,754.27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70,082,641.41</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32,032,308.64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61,136,341.66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102,460,681.31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86,006,590.31</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596,431,243.70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695,858,967.61</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32,808,178.74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32,464,075.08</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277,550.00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87,230.00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7,558,550.00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88,230.00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47,663,700.46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19,193,394.32</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4,965,400.00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8"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53,645,700.46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24,158,794.32</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-46,087,150.46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-24,070,564.32</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8"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425,669,672.00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8"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8"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425,669,672.00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343,669,672.00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4"/>
        <w:gridCol w:w="3313"/>
        <w:gridCol w:w="3300"/>
      </w:tblGrid>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41,817,017.45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16,987,199.04</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3"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16,188,781.96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516,505,799.41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360,656,871.04</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6,994,200.59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65,012,800.96</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-38,428.53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-6,323,199.66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73,406,311.72</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169,684,685.91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96,278,374.19</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163,361,486.25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169,684,685.91</w:t>
            </w:r>
          </w:p>
        </w:tc>
      </w:tr>
    </w:tbl>
    <w:p>
      <w:pPr>
        <w:spacing w:line="240" w:lineRule="auto" w:before="3"/>
        <w:rPr>
          <w:rFonts w:ascii="Times New Roman" w:hAnsi="Times New Roman" w:cs="Times New Roman" w:eastAsia="Times New Roman" w:hint="default"/>
          <w:sz w:val="23"/>
          <w:szCs w:val="23"/>
        </w:rPr>
      </w:pPr>
    </w:p>
    <w:p>
      <w:pPr>
        <w:pStyle w:val="BodyText"/>
        <w:tabs>
          <w:tab w:pos="3573" w:val="left" w:leader="none"/>
          <w:tab w:pos="7713" w:val="left" w:leader="none"/>
        </w:tabs>
        <w:spacing w:line="240" w:lineRule="auto" w:before="44"/>
        <w:ind w:right="149"/>
        <w:jc w:val="left"/>
      </w:pPr>
      <w:r>
        <w:rPr/>
        <w:t>法定代表人：曾胜强</w:t>
        <w:tab/>
        <w:t>主管会计工作负责人：邢俊芳</w:t>
        <w:tab/>
        <w:t>会计机构负责人：易海军</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9"/>
        <w:jc w:val="left"/>
      </w:pPr>
      <w:r>
        <w:rPr/>
        <w:t>编制单位：深圳市证通电子股份有限公司</w:t>
      </w:r>
    </w:p>
    <w:p>
      <w:pPr>
        <w:pStyle w:val="BodyText"/>
        <w:spacing w:line="240" w:lineRule="auto" w:before="117"/>
        <w:ind w:left="0" w:right="149"/>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570,287,576.99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632,856,891.08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7,920,478.94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4,760,024.58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226,414,227.21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6,119,182.43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804,622,283.14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643,736,098.09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364,786,846.25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471,659,969.55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68,947,419.13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55,889,546.46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11,522,222.57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26,197,995.23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304,315,525.89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77,076,668.47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749,572,013.84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630,824,179.71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55,050,269.30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12,911,918.38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277,550.00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87,230.00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31,000.00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3"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7,558,550.00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87,230.00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43,160,090.16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17,778,097.29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4,965,400.00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3"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49,142,090.16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22,743,497.29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-41,583,540.16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-22,656,267.29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425,669,672.00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3"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3"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425,669,672.00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343,669,672.00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40,711,685.12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16,987,199.04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16,188,781.96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515,400,467.08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360,656,871.04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-31,900,467.08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65,012,800.96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-38,428.53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-18,472,166.47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55,268,452.05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145,284,882.08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90,016,430.03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126,812,715.61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145,284,882.08</w:t>
            </w:r>
          </w:p>
        </w:tc>
      </w:tr>
    </w:tbl>
    <w:p>
      <w:pPr>
        <w:spacing w:line="240" w:lineRule="auto" w:before="6"/>
        <w:rPr>
          <w:rFonts w:ascii="宋体" w:hAnsi="宋体" w:cs="宋体" w:eastAsia="宋体" w:hint="default"/>
          <w:sz w:val="20"/>
          <w:szCs w:val="20"/>
        </w:rPr>
      </w:pPr>
    </w:p>
    <w:p>
      <w:pPr>
        <w:pStyle w:val="BodyText"/>
        <w:tabs>
          <w:tab w:pos="3573" w:val="left" w:leader="none"/>
          <w:tab w:pos="7713" w:val="left" w:leader="none"/>
        </w:tabs>
        <w:spacing w:line="240" w:lineRule="auto" w:before="44"/>
        <w:ind w:right="149"/>
        <w:jc w:val="left"/>
      </w:pPr>
      <w:r>
        <w:rPr/>
        <w:t>法定代表人：曾胜强</w:t>
        <w:tab/>
        <w:t>主管会计工作负责人：邢俊芳</w:t>
        <w:tab/>
        <w:t>会计机构负责人：易海军</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60" w:lineRule="auto" w:before="44"/>
        <w:ind w:left="153" w:right="-19"/>
        <w:jc w:val="left"/>
      </w:pPr>
      <w:r>
        <w:rPr/>
        <w:t>编制单位：深圳市证通电子股份有限公司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2" w:equalWidth="0">
            <w:col w:w="3395" w:space="5524"/>
            <w:col w:w="1031"/>
          </w:cols>
        </w:sectPr>
      </w:pPr>
    </w:p>
    <w:p>
      <w:pPr>
        <w:spacing w:line="240" w:lineRule="auto" w:before="4"/>
        <w:rPr>
          <w:rFonts w:ascii="Times New Roman" w:hAnsi="Times New Roman" w:cs="Times New Roman" w:eastAsia="Times New Roman" w:hint="default"/>
          <w:sz w:val="3"/>
          <w:szCs w:val="3"/>
        </w:rPr>
      </w:pPr>
      <w:r>
        <w:rPr/>
        <w:pict>
          <v:group style="position:absolute;margin-left:447.110992pt;margin-top:115.019997pt;width:54.15pt;height:27.4pt;mso-position-horizontal-relative:page;mso-position-vertical-relative:page;z-index:-858016" coordorigin="8942,2300" coordsize="1083,548">
            <v:group style="position:absolute;left:8942;top:2300;width:1083;height:548" coordorigin="8942,2300" coordsize="1083,548">
              <v:shape style="position:absolute;left:8942;top:2300;width:1083;height:548" coordorigin="8942,2300" coordsize="1083,548" path="m10025,2455l10025,2300,8942,2300,9248,2455,10025,2455xe" filled="true" fillcolor="#d3d3d3" stroked="false">
                <v:path arrowok="t"/>
                <v:fill type="solid"/>
              </v:shape>
              <v:shape style="position:absolute;left:8942;top:2300;width:1083;height:548" coordorigin="8942,2300" coordsize="1083,548" path="m10001,2848l10001,2835,9248,2455,8966,2455,8966,2848,10001,2848xe" filled="true" fillcolor="#d3d3d3" stroked="false">
                <v:path arrowok="t"/>
                <v:fill type="solid"/>
              </v:shape>
              <v:shape style="position:absolute;left:8942;top:2300;width:1083;height:548" coordorigin="8942,2300" coordsize="1083,548" path="m10025,2848l10025,2455,10001,2455,10001,2835,10025,2848xe" filled="true" fillcolor="#d3d3d3" stroked="false">
                <v:path arrowok="t"/>
                <v:fill type="solid"/>
              </v:shape>
            </v:group>
            <v:group style="position:absolute;left:8966;top:2455;width:1035;height:393" coordorigin="8966,2455" coordsize="1035,393">
              <v:shape style="position:absolute;left:8966;top:2455;width:1035;height:393" coordorigin="8966,2455" coordsize="1035,393" path="m8966,2455l10001,2455,10001,2848,8966,2848,8966,2455xe" filled="true" fillcolor="#d3d3d3" stroked="false">
                <v:path arrowok="t"/>
                <v:fill type="solid"/>
              </v:shape>
            </v:group>
            <w10:wrap type="none"/>
          </v:group>
        </w:pict>
      </w:r>
      <w:r>
        <w:rPr/>
        <w:pict>
          <v:group style="position:absolute;margin-left:240.410995pt;margin-top:250.619995pt;width:57.5pt;height:20.8pt;mso-position-horizontal-relative:page;mso-position-vertical-relative:page;z-index:-857992" coordorigin="4808,5012" coordsize="1150,416">
            <v:group style="position:absolute;left:4820;top:5024;width:2;height:392" coordorigin="4820,5024" coordsize="2,392">
              <v:shape style="position:absolute;left:4820;top:5024;width:2;height:392" coordorigin="4820,5024" coordsize="0,392" path="m4820,5024l4820,5416e" filled="false" stroked="true" strokeweight="1.2pt" strokecolor="#ffffff">
                <v:path arrowok="t"/>
              </v:shape>
            </v:group>
            <v:group style="position:absolute;left:4832;top:5023;width:1126;height:393" coordorigin="4832,5023" coordsize="1126,393">
              <v:shape style="position:absolute;left:4832;top:5023;width:1126;height:393" coordorigin="4832,5023" coordsize="1126,393" path="m4832,5023l4832,5416,5958,5416,5958,5023,4832,5023xe" filled="true" fillcolor="#ffffff" stroked="false">
                <v:path arrowok="t"/>
                <v:fill type="solid"/>
              </v:shape>
            </v:group>
            <w10:wrap type="none"/>
          </v:group>
        </w:pict>
      </w: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368"/>
        <w:gridCol w:w="1193"/>
        <w:gridCol w:w="1091"/>
        <w:gridCol w:w="931"/>
        <w:gridCol w:w="930"/>
        <w:gridCol w:w="1092"/>
        <w:gridCol w:w="930"/>
        <w:gridCol w:w="1182"/>
        <w:gridCol w:w="930"/>
        <w:gridCol w:w="1122"/>
        <w:gridCol w:w="1232"/>
      </w:tblGrid>
      <w:tr>
        <w:trPr>
          <w:trHeight w:val="402" w:hRule="exact"/>
        </w:trPr>
        <w:tc>
          <w:tcPr>
            <w:tcW w:w="3368" w:type="dxa"/>
            <w:vMerge w:val="restart"/>
            <w:tcBorders>
              <w:top w:val="single" w:sz="4" w:space="0" w:color="000000"/>
              <w:left w:val="single" w:sz="4" w:space="0" w:color="000000"/>
              <w:right w:val="single" w:sz="4" w:space="0" w:color="000000"/>
            </w:tcBorders>
            <w:shd w:val="clear" w:color="auto" w:fill="D3D3D3"/>
          </w:tcPr>
          <w:p>
            <w:pPr/>
          </w:p>
        </w:tc>
        <w:tc>
          <w:tcPr>
            <w:tcW w:w="10634"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78" w:hRule="exact"/>
        </w:trPr>
        <w:tc>
          <w:tcPr>
            <w:tcW w:w="3368" w:type="dxa"/>
            <w:vMerge/>
            <w:tcBorders>
              <w:left w:val="single" w:sz="4" w:space="0" w:color="000000"/>
              <w:bottom w:val="nil" w:sz="6" w:space="0" w:color="auto"/>
              <w:right w:val="single" w:sz="4" w:space="0" w:color="000000"/>
            </w:tcBorders>
            <w:shd w:val="clear" w:color="auto" w:fill="D3D3D3"/>
          </w:tcPr>
          <w:p>
            <w:pPr/>
          </w:p>
        </w:tc>
        <w:tc>
          <w:tcPr>
            <w:tcW w:w="8279" w:type="dxa"/>
            <w:gridSpan w:val="8"/>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22" w:type="dxa"/>
            <w:tcBorders>
              <w:top w:val="single" w:sz="4" w:space="0" w:color="000000"/>
              <w:left w:val="single" w:sz="4" w:space="0" w:color="000000"/>
              <w:bottom w:val="nil" w:sz="6" w:space="0" w:color="auto"/>
              <w:right w:val="single" w:sz="4" w:space="0" w:color="000000"/>
            </w:tcBorders>
            <w:shd w:val="clear" w:color="auto" w:fill="D3D3D3"/>
          </w:tcPr>
          <w:p>
            <w:pPr/>
          </w:p>
        </w:tc>
        <w:tc>
          <w:tcPr>
            <w:tcW w:w="123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24" w:hRule="exact"/>
        </w:trPr>
        <w:tc>
          <w:tcPr>
            <w:tcW w:w="33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79" w:type="dxa"/>
            <w:gridSpan w:val="8"/>
            <w:vMerge/>
            <w:tcBorders>
              <w:left w:val="single" w:sz="4" w:space="0" w:color="000000"/>
              <w:bottom w:val="single" w:sz="4" w:space="0" w:color="000000"/>
              <w:right w:val="single" w:sz="4" w:space="0" w:color="000000"/>
            </w:tcBorders>
            <w:shd w:val="clear" w:color="auto" w:fill="D3D3D3"/>
          </w:tcPr>
          <w:p>
            <w:pPr/>
          </w:p>
        </w:tc>
        <w:tc>
          <w:tcPr>
            <w:tcW w:w="1122"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73"/>
              <w:ind w:left="466" w:right="103"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32"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73"/>
              <w:ind w:left="521" w:right="68"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54" w:hRule="exact"/>
        </w:trPr>
        <w:tc>
          <w:tcPr>
            <w:tcW w:w="3368" w:type="dxa"/>
            <w:vMerge/>
            <w:tcBorders>
              <w:left w:val="single" w:sz="4" w:space="0" w:color="000000"/>
              <w:bottom w:val="nil" w:sz="6" w:space="0" w:color="auto"/>
              <w:right w:val="single" w:sz="4" w:space="0" w:color="000000"/>
            </w:tcBorders>
            <w:shd w:val="clear" w:color="auto" w:fill="D3D3D3"/>
          </w:tcPr>
          <w:p>
            <w:pPr/>
          </w:p>
        </w:tc>
        <w:tc>
          <w:tcPr>
            <w:tcW w:w="119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28" w:right="43" w:hanging="270"/>
              <w:jc w:val="left"/>
              <w:rPr>
                <w:rFonts w:ascii="宋体" w:hAnsi="宋体" w:cs="宋体" w:eastAsia="宋体" w:hint="default"/>
                <w:sz w:val="18"/>
                <w:szCs w:val="18"/>
              </w:rPr>
            </w:pPr>
            <w:r>
              <w:rPr>
                <w:rFonts w:ascii="宋体" w:hAnsi="宋体" w:cs="宋体" w:eastAsia="宋体" w:hint="default"/>
                <w:sz w:val="18"/>
                <w:szCs w:val="18"/>
              </w:rPr>
              <w:t>实收资本（或 股本）</w:t>
            </w:r>
          </w:p>
        </w:tc>
        <w:tc>
          <w:tcPr>
            <w:tcW w:w="1091" w:type="dxa"/>
            <w:tcBorders>
              <w:top w:val="single" w:sz="4" w:space="0" w:color="000000"/>
              <w:left w:val="single" w:sz="4" w:space="0" w:color="000000"/>
              <w:bottom w:val="nil" w:sz="6" w:space="0" w:color="auto"/>
              <w:right w:val="single" w:sz="4" w:space="0" w:color="000000"/>
            </w:tcBorders>
            <w:shd w:val="clear" w:color="auto" w:fill="D3D3D3"/>
          </w:tcPr>
          <w:p>
            <w:pPr/>
          </w:p>
        </w:tc>
        <w:tc>
          <w:tcPr>
            <w:tcW w:w="931" w:type="dxa"/>
            <w:tcBorders>
              <w:top w:val="single" w:sz="4" w:space="0" w:color="000000"/>
              <w:left w:val="single" w:sz="4" w:space="0" w:color="000000"/>
              <w:bottom w:val="nil" w:sz="6" w:space="0" w:color="auto"/>
              <w:right w:val="single" w:sz="4" w:space="0" w:color="000000"/>
            </w:tcBorders>
            <w:shd w:val="clear" w:color="auto" w:fill="D3D3D3"/>
          </w:tcPr>
          <w:p>
            <w:pPr/>
          </w:p>
        </w:tc>
        <w:tc>
          <w:tcPr>
            <w:tcW w:w="93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2" w:type="dxa"/>
            <w:vMerge w:val="restart"/>
            <w:tcBorders>
              <w:top w:val="single" w:sz="4" w:space="0" w:color="000000"/>
              <w:left w:val="single" w:sz="9" w:space="0" w:color="D3D3D3"/>
              <w:right w:val="single" w:sz="13" w:space="0" w:color="D3D3D3"/>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3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79" w:right="98"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8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0" w:type="dxa"/>
            <w:tcBorders>
              <w:top w:val="single" w:sz="4" w:space="0" w:color="000000"/>
              <w:left w:val="single" w:sz="4" w:space="0" w:color="000000"/>
              <w:bottom w:val="nil" w:sz="6" w:space="0" w:color="auto"/>
              <w:right w:val="single" w:sz="4" w:space="0" w:color="000000"/>
            </w:tcBorders>
            <w:shd w:val="clear" w:color="auto" w:fill="D3D3D3"/>
          </w:tcPr>
          <w:p>
            <w:pPr/>
          </w:p>
        </w:tc>
        <w:tc>
          <w:tcPr>
            <w:tcW w:w="1122" w:type="dxa"/>
            <w:vMerge/>
            <w:tcBorders>
              <w:left w:val="single" w:sz="4" w:space="0" w:color="000000"/>
              <w:right w:val="single" w:sz="4" w:space="0" w:color="000000"/>
            </w:tcBorders>
            <w:shd w:val="clear" w:color="auto" w:fill="D3D3D3"/>
          </w:tcPr>
          <w:p>
            <w:pPr/>
          </w:p>
        </w:tc>
        <w:tc>
          <w:tcPr>
            <w:tcW w:w="1232" w:type="dxa"/>
            <w:vMerge/>
            <w:tcBorders>
              <w:left w:val="single" w:sz="4" w:space="0" w:color="000000"/>
              <w:right w:val="single" w:sz="4" w:space="0" w:color="000000"/>
            </w:tcBorders>
            <w:shd w:val="clear" w:color="auto" w:fill="D3D3D3"/>
          </w:tcPr>
          <w:p>
            <w:pPr/>
          </w:p>
        </w:tc>
      </w:tr>
      <w:tr>
        <w:trPr>
          <w:trHeight w:val="383" w:hRule="exact"/>
        </w:trPr>
        <w:tc>
          <w:tcPr>
            <w:tcW w:w="3368" w:type="dxa"/>
            <w:vMerge w:val="restart"/>
            <w:tcBorders>
              <w:top w:val="nil" w:sz="6" w:space="0" w:color="auto"/>
              <w:left w:val="single" w:sz="4" w:space="0" w:color="000000"/>
              <w:right w:val="single" w:sz="4" w:space="0" w:color="000000"/>
            </w:tcBorders>
            <w:shd w:val="clear" w:color="auto" w:fill="D3D3D3"/>
          </w:tcPr>
          <w:p>
            <w:pPr/>
          </w:p>
        </w:tc>
        <w:tc>
          <w:tcPr>
            <w:tcW w:w="1193" w:type="dxa"/>
            <w:vMerge/>
            <w:tcBorders>
              <w:left w:val="single" w:sz="4" w:space="0" w:color="000000"/>
              <w:right w:val="single" w:sz="4" w:space="0" w:color="000000"/>
            </w:tcBorders>
            <w:shd w:val="clear" w:color="auto" w:fill="D3D3D3"/>
          </w:tcPr>
          <w:p>
            <w:pPr/>
          </w:p>
        </w:tc>
        <w:tc>
          <w:tcPr>
            <w:tcW w:w="109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93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pacing w:val="-6"/>
                <w:sz w:val="18"/>
                <w:szCs w:val="18"/>
              </w:rPr>
              <w:t>减：库存股</w:t>
            </w:r>
          </w:p>
        </w:tc>
        <w:tc>
          <w:tcPr>
            <w:tcW w:w="9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5"/>
              <w:ind w:left="9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2" w:type="dxa"/>
            <w:vMerge/>
            <w:tcBorders>
              <w:left w:val="single" w:sz="9" w:space="0" w:color="D3D3D3"/>
              <w:right w:val="single" w:sz="13" w:space="0" w:color="D3D3D3"/>
            </w:tcBorders>
          </w:tcPr>
          <w:p>
            <w:pPr/>
          </w:p>
        </w:tc>
        <w:tc>
          <w:tcPr>
            <w:tcW w:w="930" w:type="dxa"/>
            <w:vMerge/>
            <w:tcBorders>
              <w:left w:val="single" w:sz="4" w:space="0" w:color="000000"/>
              <w:right w:val="single" w:sz="4" w:space="0" w:color="000000"/>
            </w:tcBorders>
            <w:shd w:val="clear" w:color="auto" w:fill="D3D3D3"/>
          </w:tcPr>
          <w:p>
            <w:pPr/>
          </w:p>
        </w:tc>
        <w:tc>
          <w:tcPr>
            <w:tcW w:w="1182" w:type="dxa"/>
            <w:tcBorders>
              <w:top w:val="nil" w:sz="6" w:space="0" w:color="auto"/>
              <w:left w:val="single" w:sz="4" w:space="0" w:color="000000"/>
              <w:bottom w:val="single" w:sz="20" w:space="0" w:color="FFFFFF"/>
              <w:right w:val="single" w:sz="4" w:space="0" w:color="000000"/>
            </w:tcBorders>
            <w:shd w:val="clear" w:color="auto" w:fill="D3D3D3"/>
          </w:tcPr>
          <w:p>
            <w:pPr>
              <w:pStyle w:val="TableParagraph"/>
              <w:spacing w:line="240" w:lineRule="auto" w:before="55"/>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30" w:type="dxa"/>
            <w:tcBorders>
              <w:top w:val="nil" w:sz="6" w:space="0" w:color="auto"/>
              <w:left w:val="single" w:sz="4" w:space="0" w:color="000000"/>
              <w:bottom w:val="single" w:sz="20" w:space="0" w:color="FFFFFF"/>
              <w:right w:val="single" w:sz="4" w:space="0" w:color="000000"/>
            </w:tcBorders>
            <w:shd w:val="clear" w:color="auto" w:fill="D3D3D3"/>
          </w:tcPr>
          <w:p>
            <w:pPr>
              <w:pStyle w:val="TableParagraph"/>
              <w:spacing w:line="240" w:lineRule="auto" w:before="55"/>
              <w:ind w:left="27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22" w:type="dxa"/>
            <w:vMerge/>
            <w:tcBorders>
              <w:left w:val="single" w:sz="4" w:space="0" w:color="000000"/>
              <w:bottom w:val="single" w:sz="20" w:space="0" w:color="FFFFFF"/>
              <w:right w:val="single" w:sz="4" w:space="0" w:color="000000"/>
            </w:tcBorders>
            <w:shd w:val="clear" w:color="auto" w:fill="D3D3D3"/>
          </w:tcPr>
          <w:p>
            <w:pPr/>
          </w:p>
        </w:tc>
        <w:tc>
          <w:tcPr>
            <w:tcW w:w="1232" w:type="dxa"/>
            <w:vMerge/>
            <w:tcBorders>
              <w:left w:val="single" w:sz="4" w:space="0" w:color="000000"/>
              <w:bottom w:val="single" w:sz="20" w:space="0" w:color="FFFFFF"/>
              <w:right w:val="single" w:sz="4" w:space="0" w:color="000000"/>
            </w:tcBorders>
            <w:shd w:val="clear" w:color="auto" w:fill="D3D3D3"/>
          </w:tcPr>
          <w:p>
            <w:pPr/>
          </w:p>
        </w:tc>
      </w:tr>
      <w:tr>
        <w:trPr>
          <w:trHeight w:val="173" w:hRule="exact"/>
        </w:trPr>
        <w:tc>
          <w:tcPr>
            <w:tcW w:w="3368" w:type="dxa"/>
            <w:vMerge/>
            <w:tcBorders>
              <w:left w:val="single" w:sz="4" w:space="0" w:color="000000"/>
              <w:bottom w:val="single" w:sz="4" w:space="0" w:color="000000"/>
              <w:right w:val="single" w:sz="4" w:space="0" w:color="000000"/>
            </w:tcBorders>
            <w:shd w:val="clear" w:color="auto" w:fill="D3D3D3"/>
          </w:tcPr>
          <w:p>
            <w:pPr/>
          </w:p>
        </w:tc>
        <w:tc>
          <w:tcPr>
            <w:tcW w:w="1193" w:type="dxa"/>
            <w:vMerge/>
            <w:tcBorders>
              <w:left w:val="single" w:sz="4" w:space="0" w:color="000000"/>
              <w:bottom w:val="single" w:sz="4" w:space="0" w:color="000000"/>
              <w:right w:val="single" w:sz="4" w:space="0" w:color="000000"/>
            </w:tcBorders>
            <w:shd w:val="clear" w:color="auto" w:fill="D3D3D3"/>
          </w:tcPr>
          <w:p>
            <w:pPr/>
          </w:p>
        </w:tc>
        <w:tc>
          <w:tcPr>
            <w:tcW w:w="1091" w:type="dxa"/>
            <w:tcBorders>
              <w:top w:val="nil" w:sz="6" w:space="0" w:color="auto"/>
              <w:left w:val="single" w:sz="4" w:space="0" w:color="000000"/>
              <w:bottom w:val="single" w:sz="4" w:space="0" w:color="000000"/>
              <w:right w:val="single" w:sz="4" w:space="0" w:color="000000"/>
            </w:tcBorders>
            <w:shd w:val="clear" w:color="auto" w:fill="D3D3D3"/>
          </w:tcPr>
          <w:p>
            <w:pPr/>
          </w:p>
        </w:tc>
        <w:tc>
          <w:tcPr>
            <w:tcW w:w="931" w:type="dxa"/>
            <w:tcBorders>
              <w:top w:val="nil" w:sz="6" w:space="0" w:color="auto"/>
              <w:left w:val="single" w:sz="4" w:space="0" w:color="000000"/>
              <w:bottom w:val="single" w:sz="4" w:space="0" w:color="000000"/>
              <w:right w:val="single" w:sz="4" w:space="0" w:color="000000"/>
            </w:tcBorders>
            <w:shd w:val="clear" w:color="auto" w:fill="D3D3D3"/>
          </w:tcPr>
          <w:p>
            <w:pPr/>
          </w:p>
        </w:tc>
        <w:tc>
          <w:tcPr>
            <w:tcW w:w="93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2" w:type="dxa"/>
            <w:vMerge/>
            <w:tcBorders>
              <w:left w:val="single" w:sz="9" w:space="0" w:color="D3D3D3"/>
              <w:bottom w:val="single" w:sz="4" w:space="0" w:color="000000"/>
              <w:right w:val="single" w:sz="13" w:space="0" w:color="D3D3D3"/>
            </w:tcBorders>
          </w:tcPr>
          <w:p>
            <w:pPr/>
          </w:p>
        </w:tc>
        <w:tc>
          <w:tcPr>
            <w:tcW w:w="930" w:type="dxa"/>
            <w:vMerge/>
            <w:tcBorders>
              <w:left w:val="single" w:sz="4" w:space="0" w:color="000000"/>
              <w:bottom w:val="single" w:sz="4" w:space="0" w:color="000000"/>
              <w:right w:val="single" w:sz="4" w:space="0" w:color="000000"/>
            </w:tcBorders>
            <w:shd w:val="clear" w:color="auto" w:fill="D3D3D3"/>
          </w:tcPr>
          <w:p>
            <w:pPr/>
          </w:p>
        </w:tc>
        <w:tc>
          <w:tcPr>
            <w:tcW w:w="1182" w:type="dxa"/>
            <w:tcBorders>
              <w:top w:val="single" w:sz="20" w:space="0" w:color="FFFFFF"/>
              <w:left w:val="single" w:sz="4" w:space="0" w:color="000000"/>
              <w:bottom w:val="single" w:sz="4" w:space="0" w:color="000000"/>
              <w:right w:val="single" w:sz="4" w:space="0" w:color="000000"/>
            </w:tcBorders>
            <w:shd w:val="clear" w:color="auto" w:fill="D3D3D3"/>
          </w:tcPr>
          <w:p>
            <w:pPr/>
          </w:p>
        </w:tc>
        <w:tc>
          <w:tcPr>
            <w:tcW w:w="930" w:type="dxa"/>
            <w:tcBorders>
              <w:top w:val="single" w:sz="20" w:space="0" w:color="FFFFFF"/>
              <w:left w:val="single" w:sz="4" w:space="0" w:color="000000"/>
              <w:bottom w:val="single" w:sz="4" w:space="0" w:color="000000"/>
              <w:right w:val="single" w:sz="4" w:space="0" w:color="000000"/>
            </w:tcBorders>
            <w:shd w:val="clear" w:color="auto" w:fill="D3D3D3"/>
          </w:tcPr>
          <w:p>
            <w:pPr/>
          </w:p>
        </w:tc>
        <w:tc>
          <w:tcPr>
            <w:tcW w:w="1122" w:type="dxa"/>
            <w:tcBorders>
              <w:top w:val="single" w:sz="20" w:space="0" w:color="FFFFFF"/>
              <w:left w:val="single" w:sz="4" w:space="0" w:color="000000"/>
              <w:bottom w:val="single" w:sz="4" w:space="0" w:color="000000"/>
              <w:right w:val="single" w:sz="4" w:space="0" w:color="000000"/>
            </w:tcBorders>
            <w:shd w:val="clear" w:color="auto" w:fill="D3D3D3"/>
          </w:tcPr>
          <w:p>
            <w:pPr/>
          </w:p>
        </w:tc>
        <w:tc>
          <w:tcPr>
            <w:tcW w:w="1232" w:type="dxa"/>
            <w:tcBorders>
              <w:top w:val="single" w:sz="20" w:space="0" w:color="FFFFFF"/>
              <w:left w:val="single" w:sz="4" w:space="0" w:color="000000"/>
              <w:bottom w:val="single" w:sz="4" w:space="0" w:color="000000"/>
              <w:right w:val="single" w:sz="4" w:space="0" w:color="000000"/>
            </w:tcBorders>
            <w:shd w:val="clear" w:color="auto" w:fill="D3D3D3"/>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209,832,000.00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89,038,198.78</w:t>
            </w: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11,934,714.75</w:t>
            </w:r>
          </w:p>
        </w:tc>
        <w:tc>
          <w:tcPr>
            <w:tcW w:w="93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210,715,863.10</w:t>
            </w:r>
          </w:p>
        </w:tc>
        <w:tc>
          <w:tcPr>
            <w:tcW w:w="93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-1,901,102.96</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519,619,673.67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19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209,832,000.00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89,038,198.78</w:t>
            </w: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11,934,714.75</w:t>
            </w:r>
          </w:p>
        </w:tc>
        <w:tc>
          <w:tcPr>
            <w:tcW w:w="93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210,715,863.10</w:t>
            </w:r>
          </w:p>
        </w:tc>
        <w:tc>
          <w:tcPr>
            <w:tcW w:w="93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-1,901,102.96</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519,619,673.67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7"/>
                <w:sz w:val="18"/>
                <w:szCs w:val="18"/>
              </w:rPr>
              <w:t>、</w:t>
            </w:r>
            <w:r>
              <w:rPr>
                <w:rFonts w:ascii="宋体" w:hAnsi="宋体" w:cs="宋体" w:eastAsia="宋体" w:hint="default"/>
                <w:sz w:val="18"/>
                <w:szCs w:val="18"/>
              </w:rPr>
              <w:t>本期增减变动金</w:t>
            </w:r>
            <w:r>
              <w:rPr>
                <w:rFonts w:ascii="宋体" w:hAnsi="宋体" w:cs="宋体" w:eastAsia="宋体" w:hint="default"/>
                <w:spacing w:val="-77"/>
                <w:sz w:val="18"/>
                <w:szCs w:val="18"/>
              </w:rPr>
              <w:t>额</w:t>
            </w:r>
            <w:r>
              <w:rPr>
                <w:rFonts w:ascii="宋体" w:hAnsi="宋体" w:cs="宋体" w:eastAsia="宋体" w:hint="default"/>
                <w:sz w:val="18"/>
                <w:szCs w:val="18"/>
              </w:rPr>
              <w:t>（减少以</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1,629,671.22</w:t>
            </w:r>
          </w:p>
        </w:tc>
        <w:tc>
          <w:tcPr>
            <w:tcW w:w="93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19,641,587.00</w:t>
            </w:r>
          </w:p>
        </w:tc>
        <w:tc>
          <w:tcPr>
            <w:tcW w:w="93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-142,525.74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21,128,732.48</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193" w:type="dxa"/>
            <w:tcBorders>
              <w:top w:val="single" w:sz="4" w:space="0" w:color="000000"/>
              <w:left w:val="single" w:sz="13"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42,254,458.22</w:t>
            </w:r>
          </w:p>
        </w:tc>
        <w:tc>
          <w:tcPr>
            <w:tcW w:w="93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-142,525.74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42,111,932.48</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193" w:type="dxa"/>
            <w:tcBorders>
              <w:top w:val="single" w:sz="4" w:space="0" w:color="000000"/>
              <w:left w:val="single" w:sz="13"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193" w:type="dxa"/>
            <w:tcBorders>
              <w:top w:val="single" w:sz="4" w:space="0" w:color="000000"/>
              <w:left w:val="single" w:sz="13"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42,254,458.22</w:t>
            </w:r>
          </w:p>
        </w:tc>
        <w:tc>
          <w:tcPr>
            <w:tcW w:w="93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-142,525.74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42,111,932.48</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193" w:type="dxa"/>
            <w:tcBorders>
              <w:top w:val="single" w:sz="4" w:space="0" w:color="000000"/>
              <w:left w:val="single" w:sz="13"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193" w:type="dxa"/>
            <w:tcBorders>
              <w:top w:val="single" w:sz="4" w:space="0" w:color="000000"/>
              <w:left w:val="single" w:sz="13"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193" w:type="dxa"/>
            <w:tcBorders>
              <w:top w:val="single" w:sz="4" w:space="0" w:color="000000"/>
              <w:left w:val="single" w:sz="13"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93" w:type="dxa"/>
            <w:tcBorders>
              <w:top w:val="single" w:sz="4" w:space="0" w:color="000000"/>
              <w:left w:val="single" w:sz="13"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193" w:type="dxa"/>
            <w:tcBorders>
              <w:top w:val="single" w:sz="4" w:space="0" w:color="000000"/>
              <w:left w:val="single" w:sz="13"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1,629,671.22</w:t>
            </w:r>
          </w:p>
        </w:tc>
        <w:tc>
          <w:tcPr>
            <w:tcW w:w="93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-22,612,871.22</w:t>
            </w:r>
          </w:p>
        </w:tc>
        <w:tc>
          <w:tcPr>
            <w:tcW w:w="93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-20,983,200.00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1,629,671.22</w:t>
            </w:r>
          </w:p>
        </w:tc>
        <w:tc>
          <w:tcPr>
            <w:tcW w:w="93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-1,629,671.22</w:t>
            </w:r>
          </w:p>
        </w:tc>
        <w:tc>
          <w:tcPr>
            <w:tcW w:w="93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93" w:type="dxa"/>
            <w:tcBorders>
              <w:top w:val="single" w:sz="4" w:space="0" w:color="000000"/>
              <w:left w:val="single" w:sz="13"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193" w:type="dxa"/>
            <w:tcBorders>
              <w:top w:val="single" w:sz="4" w:space="0" w:color="000000"/>
              <w:left w:val="single" w:sz="13"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-20,983,200.00</w:t>
            </w:r>
          </w:p>
        </w:tc>
        <w:tc>
          <w:tcPr>
            <w:tcW w:w="93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-20,983,200.00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193" w:type="dxa"/>
            <w:tcBorders>
              <w:top w:val="single" w:sz="4" w:space="0" w:color="000000"/>
              <w:left w:val="single" w:sz="13"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7"/>
          <w:footerReference w:type="default" r:id="rId18"/>
          <w:pgSz w:w="16840" w:h="11910" w:orient="landscape"/>
          <w:pgMar w:header="867" w:footer="978" w:top="1060" w:bottom="1160" w:left="1300" w:right="1300"/>
          <w:pgNumType w:start="64"/>
        </w:sectPr>
      </w:pPr>
    </w:p>
    <w:p>
      <w:pPr>
        <w:spacing w:line="240" w:lineRule="auto" w:before="4"/>
        <w:rPr>
          <w:rFonts w:ascii="Times New Roman" w:hAnsi="Times New Roman" w:cs="Times New Roman" w:eastAsia="Times New Roman" w:hint="default"/>
          <w:sz w:val="3"/>
          <w:szCs w:val="3"/>
        </w:rPr>
      </w:pPr>
      <w:r>
        <w:rPr/>
        <w:pict>
          <v:group style="position:absolute;margin-left:239.811005pt;margin-top:487.320007pt;width:57.45pt;height:20.8pt;mso-position-horizontal-relative:page;mso-position-vertical-relative:page;z-index:-857968" coordorigin="4796,9746" coordsize="1149,416">
            <v:group style="position:absolute;left:4808;top:9758;width:2;height:392" coordorigin="4808,9758" coordsize="2,392">
              <v:shape style="position:absolute;left:4808;top:9758;width:2;height:392" coordorigin="4808,9758" coordsize="0,392" path="m4808,9758l4808,10150e" filled="false" stroked="true" strokeweight="1.2pt" strokecolor="#ffffff">
                <v:path arrowok="t"/>
              </v:shape>
            </v:group>
            <v:group style="position:absolute;left:4820;top:9757;width:1125;height:393" coordorigin="4820,9757" coordsize="1125,393">
              <v:shape style="position:absolute;left:4820;top:9757;width:1125;height:393" coordorigin="4820,9757" coordsize="1125,393" path="m4820,9757l4820,10150,5945,10150,5945,9757,4820,9757xe" filled="true" fillcolor="#ffffff" stroked="false">
                <v:path arrowok="t"/>
                <v:fill type="solid"/>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3391"/>
        <w:gridCol w:w="1182"/>
        <w:gridCol w:w="1091"/>
        <w:gridCol w:w="931"/>
        <w:gridCol w:w="930"/>
        <w:gridCol w:w="1092"/>
        <w:gridCol w:w="930"/>
        <w:gridCol w:w="1182"/>
        <w:gridCol w:w="930"/>
        <w:gridCol w:w="1122"/>
        <w:gridCol w:w="1232"/>
      </w:tblGrid>
      <w:tr>
        <w:trPr>
          <w:trHeight w:val="416" w:hRule="exact"/>
        </w:trPr>
        <w:tc>
          <w:tcPr>
            <w:tcW w:w="3391"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82"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931" w:type="dxa"/>
            <w:tcBorders>
              <w:top w:val="single" w:sz="15" w:space="0" w:color="000000"/>
              <w:left w:val="single" w:sz="4" w:space="0" w:color="000000"/>
              <w:bottom w:val="single" w:sz="4" w:space="0" w:color="000000"/>
              <w:right w:val="single" w:sz="4" w:space="0" w:color="000000"/>
            </w:tcBorders>
          </w:tcPr>
          <w:p>
            <w:pPr/>
          </w:p>
        </w:tc>
        <w:tc>
          <w:tcPr>
            <w:tcW w:w="930"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930" w:type="dxa"/>
            <w:tcBorders>
              <w:top w:val="single" w:sz="15" w:space="0" w:color="000000"/>
              <w:left w:val="single" w:sz="4" w:space="0" w:color="000000"/>
              <w:bottom w:val="single" w:sz="4" w:space="0" w:color="000000"/>
              <w:right w:val="single" w:sz="4" w:space="0" w:color="000000"/>
            </w:tcBorders>
          </w:tcPr>
          <w:p>
            <w:pPr/>
          </w:p>
        </w:tc>
        <w:tc>
          <w:tcPr>
            <w:tcW w:w="1182" w:type="dxa"/>
            <w:tcBorders>
              <w:top w:val="single" w:sz="15" w:space="0" w:color="000000"/>
              <w:left w:val="single" w:sz="4" w:space="0" w:color="000000"/>
              <w:bottom w:val="single" w:sz="4" w:space="0" w:color="000000"/>
              <w:right w:val="single" w:sz="4" w:space="0" w:color="000000"/>
            </w:tcBorders>
          </w:tcPr>
          <w:p>
            <w:pPr/>
          </w:p>
        </w:tc>
        <w:tc>
          <w:tcPr>
            <w:tcW w:w="930" w:type="dxa"/>
            <w:tcBorders>
              <w:top w:val="single" w:sz="15" w:space="0" w:color="000000"/>
              <w:left w:val="single" w:sz="4" w:space="0" w:color="000000"/>
              <w:bottom w:val="single" w:sz="4" w:space="0" w:color="000000"/>
              <w:right w:val="single" w:sz="4" w:space="0" w:color="000000"/>
            </w:tcBorders>
          </w:tcPr>
          <w:p>
            <w:pPr/>
          </w:p>
        </w:tc>
        <w:tc>
          <w:tcPr>
            <w:tcW w:w="1122" w:type="dxa"/>
            <w:tcBorders>
              <w:top w:val="single" w:sz="15" w:space="0" w:color="000000"/>
              <w:left w:val="single" w:sz="4" w:space="0" w:color="000000"/>
              <w:bottom w:val="single" w:sz="4" w:space="0" w:color="000000"/>
              <w:right w:val="single" w:sz="4" w:space="0" w:color="000000"/>
            </w:tcBorders>
          </w:tcPr>
          <w:p>
            <w:pPr/>
          </w:p>
        </w:tc>
        <w:tc>
          <w:tcPr>
            <w:tcW w:w="1232"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3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209,832,000.00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89,038,198.78</w:t>
            </w:r>
          </w:p>
        </w:tc>
        <w:tc>
          <w:tcPr>
            <w:tcW w:w="931"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13,564,385.97</w:t>
            </w:r>
          </w:p>
        </w:tc>
        <w:tc>
          <w:tcPr>
            <w:tcW w:w="93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230,357,450.10</w:t>
            </w:r>
          </w:p>
        </w:tc>
        <w:tc>
          <w:tcPr>
            <w:tcW w:w="93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-2,043,628.70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540,748,406.15</w:t>
            </w:r>
          </w:p>
        </w:tc>
      </w:tr>
    </w:tbl>
    <w:p>
      <w:pPr>
        <w:pStyle w:val="BodyText"/>
        <w:spacing w:line="240" w:lineRule="auto" w:before="51"/>
        <w:ind w:left="139" w:right="0"/>
        <w:jc w:val="left"/>
      </w:pPr>
      <w:r>
        <w:rPr/>
        <w:t>上年金额</w:t>
      </w:r>
    </w:p>
    <w:p>
      <w:pPr>
        <w:pStyle w:val="BodyText"/>
        <w:spacing w:line="240" w:lineRule="auto" w:before="117"/>
        <w:ind w:left="0" w:right="236"/>
        <w:jc w:val="right"/>
      </w:pPr>
      <w:r>
        <w:rPr/>
        <w:t>单位：元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3356"/>
        <w:gridCol w:w="1193"/>
        <w:gridCol w:w="1181"/>
        <w:gridCol w:w="919"/>
        <w:gridCol w:w="918"/>
        <w:gridCol w:w="1086"/>
        <w:gridCol w:w="918"/>
        <w:gridCol w:w="1182"/>
        <w:gridCol w:w="918"/>
        <w:gridCol w:w="1110"/>
        <w:gridCol w:w="1220"/>
      </w:tblGrid>
      <w:tr>
        <w:trPr>
          <w:trHeight w:val="402" w:hRule="exact"/>
        </w:trPr>
        <w:tc>
          <w:tcPr>
            <w:tcW w:w="3356" w:type="dxa"/>
            <w:vMerge w:val="restart"/>
            <w:tcBorders>
              <w:top w:val="single" w:sz="4" w:space="0" w:color="000000"/>
              <w:left w:val="single" w:sz="4" w:space="0" w:color="000000"/>
              <w:right w:val="single" w:sz="4" w:space="0" w:color="000000"/>
            </w:tcBorders>
            <w:shd w:val="clear" w:color="auto" w:fill="D3D3D3"/>
          </w:tcPr>
          <w:p>
            <w:pPr/>
          </w:p>
        </w:tc>
        <w:tc>
          <w:tcPr>
            <w:tcW w:w="1064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78" w:hRule="exact"/>
        </w:trPr>
        <w:tc>
          <w:tcPr>
            <w:tcW w:w="3356" w:type="dxa"/>
            <w:vMerge/>
            <w:tcBorders>
              <w:left w:val="single" w:sz="4" w:space="0" w:color="000000"/>
              <w:bottom w:val="nil" w:sz="6" w:space="0" w:color="auto"/>
              <w:right w:val="single" w:sz="4" w:space="0" w:color="000000"/>
            </w:tcBorders>
            <w:shd w:val="clear" w:color="auto" w:fill="D3D3D3"/>
          </w:tcPr>
          <w:p>
            <w:pPr/>
          </w:p>
        </w:tc>
        <w:tc>
          <w:tcPr>
            <w:tcW w:w="8315" w:type="dxa"/>
            <w:gridSpan w:val="8"/>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1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2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24" w:hRule="exact"/>
        </w:trPr>
        <w:tc>
          <w:tcPr>
            <w:tcW w:w="33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5" w:type="dxa"/>
            <w:gridSpan w:val="8"/>
            <w:vMerge/>
            <w:tcBorders>
              <w:left w:val="single" w:sz="4" w:space="0" w:color="000000"/>
              <w:bottom w:val="single" w:sz="4" w:space="0" w:color="000000"/>
              <w:right w:val="single" w:sz="4" w:space="0" w:color="000000"/>
            </w:tcBorders>
            <w:shd w:val="clear" w:color="auto" w:fill="D3D3D3"/>
          </w:tcPr>
          <w:p>
            <w:pPr/>
          </w:p>
        </w:tc>
        <w:tc>
          <w:tcPr>
            <w:tcW w:w="1110"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73"/>
              <w:ind w:left="460" w:right="97"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20"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73"/>
              <w:ind w:left="515" w:right="62"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53" w:hRule="exact"/>
        </w:trPr>
        <w:tc>
          <w:tcPr>
            <w:tcW w:w="3356" w:type="dxa"/>
            <w:vMerge/>
            <w:tcBorders>
              <w:left w:val="single" w:sz="4" w:space="0" w:color="000000"/>
              <w:bottom w:val="nil" w:sz="6" w:space="0" w:color="auto"/>
              <w:right w:val="single" w:sz="4" w:space="0" w:color="000000"/>
            </w:tcBorders>
            <w:shd w:val="clear" w:color="auto" w:fill="D3D3D3"/>
          </w:tcPr>
          <w:p>
            <w:pPr/>
          </w:p>
        </w:tc>
        <w:tc>
          <w:tcPr>
            <w:tcW w:w="119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328" w:right="43" w:hanging="270"/>
              <w:jc w:val="left"/>
              <w:rPr>
                <w:rFonts w:ascii="宋体" w:hAnsi="宋体" w:cs="宋体" w:eastAsia="宋体" w:hint="default"/>
                <w:sz w:val="18"/>
                <w:szCs w:val="18"/>
              </w:rPr>
            </w:pPr>
            <w:r>
              <w:rPr>
                <w:rFonts w:ascii="宋体" w:hAnsi="宋体" w:cs="宋体" w:eastAsia="宋体" w:hint="default"/>
                <w:sz w:val="18"/>
                <w:szCs w:val="18"/>
              </w:rPr>
              <w:t>实收资本（或 股本）</w:t>
            </w:r>
          </w:p>
        </w:tc>
        <w:tc>
          <w:tcPr>
            <w:tcW w:w="1181" w:type="dxa"/>
            <w:tcBorders>
              <w:top w:val="single" w:sz="4" w:space="0" w:color="000000"/>
              <w:left w:val="single" w:sz="4" w:space="0" w:color="000000"/>
              <w:bottom w:val="nil" w:sz="6" w:space="0" w:color="auto"/>
              <w:right w:val="single" w:sz="4" w:space="0" w:color="000000"/>
            </w:tcBorders>
            <w:shd w:val="clear" w:color="auto" w:fill="D3D3D3"/>
          </w:tcPr>
          <w:p>
            <w:pPr/>
          </w:p>
        </w:tc>
        <w:tc>
          <w:tcPr>
            <w:tcW w:w="919" w:type="dxa"/>
            <w:tcBorders>
              <w:top w:val="single" w:sz="4" w:space="0" w:color="000000"/>
              <w:left w:val="single" w:sz="4" w:space="0" w:color="000000"/>
              <w:bottom w:val="nil" w:sz="6" w:space="0" w:color="auto"/>
              <w:right w:val="single" w:sz="4" w:space="0" w:color="000000"/>
            </w:tcBorders>
            <w:shd w:val="clear" w:color="auto" w:fill="D3D3D3"/>
          </w:tcPr>
          <w:p>
            <w:pPr/>
          </w:p>
        </w:tc>
        <w:tc>
          <w:tcPr>
            <w:tcW w:w="918"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6" w:type="dxa"/>
            <w:tcBorders>
              <w:top w:val="single" w:sz="4" w:space="0" w:color="000000"/>
              <w:left w:val="single" w:sz="4" w:space="0" w:color="000000"/>
              <w:bottom w:val="nil" w:sz="6" w:space="0" w:color="auto"/>
              <w:right w:val="single" w:sz="4" w:space="0" w:color="000000"/>
            </w:tcBorders>
            <w:shd w:val="clear" w:color="auto" w:fill="D3D3D3"/>
          </w:tcPr>
          <w:p>
            <w:pPr/>
          </w:p>
        </w:tc>
        <w:tc>
          <w:tcPr>
            <w:tcW w:w="91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273" w:right="92"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82" w:type="dxa"/>
            <w:tcBorders>
              <w:top w:val="single" w:sz="4" w:space="0" w:color="000000"/>
              <w:left w:val="single" w:sz="4" w:space="0" w:color="000000"/>
              <w:bottom w:val="nil" w:sz="6" w:space="0" w:color="auto"/>
              <w:right w:val="single" w:sz="4" w:space="0" w:color="000000"/>
            </w:tcBorders>
            <w:shd w:val="clear" w:color="auto" w:fill="D3D3D3"/>
          </w:tcPr>
          <w:p>
            <w:pPr/>
          </w:p>
        </w:tc>
        <w:tc>
          <w:tcPr>
            <w:tcW w:w="918" w:type="dxa"/>
            <w:tcBorders>
              <w:top w:val="single" w:sz="4" w:space="0" w:color="000000"/>
              <w:left w:val="single" w:sz="4" w:space="0" w:color="000000"/>
              <w:bottom w:val="nil" w:sz="6" w:space="0" w:color="auto"/>
              <w:right w:val="single" w:sz="4" w:space="0" w:color="000000"/>
            </w:tcBorders>
            <w:shd w:val="clear" w:color="auto" w:fill="D3D3D3"/>
          </w:tcPr>
          <w:p>
            <w:pPr/>
          </w:p>
        </w:tc>
        <w:tc>
          <w:tcPr>
            <w:tcW w:w="1110" w:type="dxa"/>
            <w:vMerge/>
            <w:tcBorders>
              <w:left w:val="single" w:sz="4" w:space="0" w:color="000000"/>
              <w:right w:val="single" w:sz="4" w:space="0" w:color="000000"/>
            </w:tcBorders>
            <w:shd w:val="clear" w:color="auto" w:fill="D3D3D3"/>
          </w:tcPr>
          <w:p>
            <w:pPr/>
          </w:p>
        </w:tc>
        <w:tc>
          <w:tcPr>
            <w:tcW w:w="1220" w:type="dxa"/>
            <w:vMerge/>
            <w:tcBorders>
              <w:left w:val="single" w:sz="4" w:space="0" w:color="000000"/>
              <w:right w:val="single" w:sz="4" w:space="0" w:color="000000"/>
            </w:tcBorders>
            <w:shd w:val="clear" w:color="auto" w:fill="D3D3D3"/>
          </w:tcPr>
          <w:p>
            <w:pPr/>
          </w:p>
        </w:tc>
      </w:tr>
      <w:tr>
        <w:trPr>
          <w:trHeight w:val="383" w:hRule="exact"/>
        </w:trPr>
        <w:tc>
          <w:tcPr>
            <w:tcW w:w="3356" w:type="dxa"/>
            <w:vMerge w:val="restart"/>
            <w:tcBorders>
              <w:top w:val="nil" w:sz="6" w:space="0" w:color="auto"/>
              <w:left w:val="single" w:sz="4" w:space="0" w:color="000000"/>
              <w:right w:val="single" w:sz="4" w:space="0" w:color="000000"/>
            </w:tcBorders>
            <w:shd w:val="clear" w:color="auto" w:fill="D3D3D3"/>
          </w:tcPr>
          <w:p>
            <w:pPr/>
          </w:p>
        </w:tc>
        <w:tc>
          <w:tcPr>
            <w:tcW w:w="1193" w:type="dxa"/>
            <w:vMerge/>
            <w:tcBorders>
              <w:left w:val="single" w:sz="4" w:space="0" w:color="000000"/>
              <w:right w:val="single" w:sz="4" w:space="0" w:color="000000"/>
            </w:tcBorders>
            <w:shd w:val="clear" w:color="auto" w:fill="D3D3D3"/>
          </w:tcPr>
          <w:p>
            <w:pPr/>
          </w:p>
        </w:tc>
        <w:tc>
          <w:tcPr>
            <w:tcW w:w="11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91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pacing w:val="-8"/>
                <w:sz w:val="18"/>
                <w:szCs w:val="18"/>
              </w:rPr>
              <w:t>减：库存股</w:t>
            </w:r>
          </w:p>
        </w:tc>
        <w:tc>
          <w:tcPr>
            <w:tcW w:w="9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5"/>
              <w:ind w:left="9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5"/>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18" w:type="dxa"/>
            <w:vMerge/>
            <w:tcBorders>
              <w:left w:val="single" w:sz="4" w:space="0" w:color="000000"/>
              <w:right w:val="single" w:sz="4" w:space="0" w:color="000000"/>
            </w:tcBorders>
            <w:shd w:val="clear" w:color="auto" w:fill="D3D3D3"/>
          </w:tcPr>
          <w:p>
            <w:pPr/>
          </w:p>
        </w:tc>
        <w:tc>
          <w:tcPr>
            <w:tcW w:w="1182" w:type="dxa"/>
            <w:tcBorders>
              <w:top w:val="nil" w:sz="6" w:space="0" w:color="auto"/>
              <w:left w:val="single" w:sz="4" w:space="0" w:color="000000"/>
              <w:bottom w:val="single" w:sz="20" w:space="0" w:color="FFFFFF"/>
              <w:right w:val="single" w:sz="4" w:space="0" w:color="000000"/>
            </w:tcBorders>
            <w:shd w:val="clear" w:color="auto" w:fill="D3D3D3"/>
          </w:tcPr>
          <w:p>
            <w:pPr>
              <w:pStyle w:val="TableParagraph"/>
              <w:spacing w:line="240" w:lineRule="auto" w:before="55"/>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18" w:type="dxa"/>
            <w:tcBorders>
              <w:top w:val="nil" w:sz="6" w:space="0" w:color="auto"/>
              <w:left w:val="single" w:sz="4" w:space="0" w:color="000000"/>
              <w:bottom w:val="single" w:sz="20" w:space="0" w:color="FFFFFF"/>
              <w:right w:val="single" w:sz="4" w:space="0" w:color="000000"/>
            </w:tcBorders>
            <w:shd w:val="clear" w:color="auto" w:fill="D3D3D3"/>
          </w:tcPr>
          <w:p>
            <w:pPr>
              <w:pStyle w:val="TableParagraph"/>
              <w:spacing w:line="240" w:lineRule="auto" w:before="55"/>
              <w:ind w:left="27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10" w:type="dxa"/>
            <w:vMerge/>
            <w:tcBorders>
              <w:left w:val="single" w:sz="4" w:space="0" w:color="000000"/>
              <w:bottom w:val="single" w:sz="20" w:space="0" w:color="FFFFFF"/>
              <w:right w:val="single" w:sz="4" w:space="0" w:color="000000"/>
            </w:tcBorders>
            <w:shd w:val="clear" w:color="auto" w:fill="D3D3D3"/>
          </w:tcPr>
          <w:p>
            <w:pPr/>
          </w:p>
        </w:tc>
        <w:tc>
          <w:tcPr>
            <w:tcW w:w="1220" w:type="dxa"/>
            <w:vMerge/>
            <w:tcBorders>
              <w:left w:val="single" w:sz="4" w:space="0" w:color="000000"/>
              <w:bottom w:val="single" w:sz="20" w:space="0" w:color="FFFFFF"/>
              <w:right w:val="single" w:sz="4" w:space="0" w:color="000000"/>
            </w:tcBorders>
            <w:shd w:val="clear" w:color="auto" w:fill="D3D3D3"/>
          </w:tcPr>
          <w:p>
            <w:pPr/>
          </w:p>
        </w:tc>
      </w:tr>
      <w:tr>
        <w:trPr>
          <w:trHeight w:val="173" w:hRule="exact"/>
        </w:trPr>
        <w:tc>
          <w:tcPr>
            <w:tcW w:w="3356" w:type="dxa"/>
            <w:vMerge/>
            <w:tcBorders>
              <w:left w:val="single" w:sz="4" w:space="0" w:color="000000"/>
              <w:bottom w:val="single" w:sz="4" w:space="0" w:color="000000"/>
              <w:right w:val="single" w:sz="4" w:space="0" w:color="000000"/>
            </w:tcBorders>
            <w:shd w:val="clear" w:color="auto" w:fill="D3D3D3"/>
          </w:tcPr>
          <w:p>
            <w:pPr/>
          </w:p>
        </w:tc>
        <w:tc>
          <w:tcPr>
            <w:tcW w:w="1193"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nil" w:sz="6" w:space="0" w:color="auto"/>
              <w:left w:val="single" w:sz="4" w:space="0" w:color="000000"/>
              <w:bottom w:val="single" w:sz="4" w:space="0" w:color="000000"/>
              <w:right w:val="single" w:sz="4" w:space="0" w:color="000000"/>
            </w:tcBorders>
            <w:shd w:val="clear" w:color="auto" w:fill="D3D3D3"/>
          </w:tcPr>
          <w:p>
            <w:pPr/>
          </w:p>
        </w:tc>
        <w:tc>
          <w:tcPr>
            <w:tcW w:w="919" w:type="dxa"/>
            <w:tcBorders>
              <w:top w:val="nil" w:sz="6" w:space="0" w:color="auto"/>
              <w:left w:val="single" w:sz="4" w:space="0" w:color="000000"/>
              <w:bottom w:val="single" w:sz="4" w:space="0" w:color="000000"/>
              <w:right w:val="single" w:sz="4" w:space="0" w:color="000000"/>
            </w:tcBorders>
            <w:shd w:val="clear" w:color="auto" w:fill="D3D3D3"/>
          </w:tcPr>
          <w:p>
            <w:pPr/>
          </w:p>
        </w:tc>
        <w:tc>
          <w:tcPr>
            <w:tcW w:w="918"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6" w:type="dxa"/>
            <w:tcBorders>
              <w:top w:val="nil" w:sz="6" w:space="0" w:color="auto"/>
              <w:left w:val="single" w:sz="4" w:space="0" w:color="000000"/>
              <w:bottom w:val="single" w:sz="4" w:space="0" w:color="000000"/>
              <w:right w:val="single" w:sz="4" w:space="0" w:color="000000"/>
            </w:tcBorders>
            <w:shd w:val="clear" w:color="auto" w:fill="D3D3D3"/>
          </w:tcPr>
          <w:p>
            <w:pPr/>
          </w:p>
        </w:tc>
        <w:tc>
          <w:tcPr>
            <w:tcW w:w="918" w:type="dxa"/>
            <w:vMerge/>
            <w:tcBorders>
              <w:left w:val="single" w:sz="4" w:space="0" w:color="000000"/>
              <w:bottom w:val="single" w:sz="4" w:space="0" w:color="000000"/>
              <w:right w:val="single" w:sz="4" w:space="0" w:color="000000"/>
            </w:tcBorders>
            <w:shd w:val="clear" w:color="auto" w:fill="D3D3D3"/>
          </w:tcPr>
          <w:p>
            <w:pPr/>
          </w:p>
        </w:tc>
        <w:tc>
          <w:tcPr>
            <w:tcW w:w="1182" w:type="dxa"/>
            <w:tcBorders>
              <w:top w:val="single" w:sz="20" w:space="0" w:color="FFFFFF"/>
              <w:left w:val="single" w:sz="4" w:space="0" w:color="000000"/>
              <w:bottom w:val="single" w:sz="4" w:space="0" w:color="000000"/>
              <w:right w:val="single" w:sz="4" w:space="0" w:color="000000"/>
            </w:tcBorders>
            <w:shd w:val="clear" w:color="auto" w:fill="D3D3D3"/>
          </w:tcPr>
          <w:p>
            <w:pPr/>
          </w:p>
        </w:tc>
        <w:tc>
          <w:tcPr>
            <w:tcW w:w="918" w:type="dxa"/>
            <w:tcBorders>
              <w:top w:val="single" w:sz="20" w:space="0" w:color="FFFFFF"/>
              <w:left w:val="single" w:sz="4" w:space="0" w:color="000000"/>
              <w:bottom w:val="single" w:sz="4" w:space="0" w:color="000000"/>
              <w:right w:val="single" w:sz="4" w:space="0" w:color="000000"/>
            </w:tcBorders>
            <w:shd w:val="clear" w:color="auto" w:fill="D3D3D3"/>
          </w:tcPr>
          <w:p>
            <w:pPr/>
          </w:p>
        </w:tc>
        <w:tc>
          <w:tcPr>
            <w:tcW w:w="1110" w:type="dxa"/>
            <w:tcBorders>
              <w:top w:val="single" w:sz="20" w:space="0" w:color="FFFFFF"/>
              <w:left w:val="single" w:sz="4" w:space="0" w:color="000000"/>
              <w:bottom w:val="single" w:sz="4" w:space="0" w:color="000000"/>
              <w:right w:val="single" w:sz="4" w:space="0" w:color="000000"/>
            </w:tcBorders>
            <w:shd w:val="clear" w:color="auto" w:fill="D3D3D3"/>
          </w:tcPr>
          <w:p>
            <w:pPr/>
          </w:p>
        </w:tc>
        <w:tc>
          <w:tcPr>
            <w:tcW w:w="1220" w:type="dxa"/>
            <w:tcBorders>
              <w:top w:val="single" w:sz="20" w:space="0" w:color="FFFFFF"/>
              <w:left w:val="single" w:sz="4" w:space="0" w:color="000000"/>
              <w:bottom w:val="single" w:sz="4" w:space="0" w:color="000000"/>
              <w:right w:val="single" w:sz="4" w:space="0" w:color="000000"/>
            </w:tcBorders>
            <w:shd w:val="clear" w:color="auto" w:fill="D3D3D3"/>
          </w:tcPr>
          <w:p>
            <w:pPr/>
          </w:p>
        </w:tc>
      </w:tr>
      <w:tr>
        <w:trPr>
          <w:trHeight w:val="402" w:hRule="exact"/>
        </w:trPr>
        <w:tc>
          <w:tcPr>
            <w:tcW w:w="3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131,145,000.00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167,725,198.78</w:t>
            </w:r>
          </w:p>
        </w:tc>
        <w:tc>
          <w:tcPr>
            <w:tcW w:w="91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11,060,074.36</w:t>
            </w:r>
          </w:p>
        </w:tc>
        <w:tc>
          <w:tcPr>
            <w:tcW w:w="91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143,779,002.80</w:t>
            </w:r>
          </w:p>
        </w:tc>
        <w:tc>
          <w:tcPr>
            <w:tcW w:w="918"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-1,713,255.20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451,996,020.74</w:t>
            </w:r>
          </w:p>
        </w:tc>
      </w:tr>
      <w:tr>
        <w:trPr>
          <w:trHeight w:val="714" w:hRule="exact"/>
        </w:trPr>
        <w:tc>
          <w:tcPr>
            <w:tcW w:w="3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93" w:firstLine="360"/>
              <w:jc w:val="left"/>
              <w:rPr>
                <w:rFonts w:ascii="宋体" w:hAnsi="宋体" w:cs="宋体" w:eastAsia="宋体" w:hint="default"/>
                <w:sz w:val="18"/>
                <w:szCs w:val="18"/>
              </w:rPr>
            </w:pPr>
            <w:r>
              <w:rPr>
                <w:rFonts w:ascii="宋体" w:hAnsi="宋体" w:cs="宋体" w:eastAsia="宋体" w:hint="default"/>
                <w:sz w:val="18"/>
                <w:szCs w:val="18"/>
              </w:rPr>
              <w:t>加：同一控制下企业合并产生的追溯 调整</w:t>
            </w:r>
          </w:p>
        </w:tc>
        <w:tc>
          <w:tcPr>
            <w:tcW w:w="1193" w:type="dxa"/>
            <w:tcBorders>
              <w:top w:val="single" w:sz="4" w:space="0" w:color="000000"/>
              <w:left w:val="single" w:sz="13" w:space="0" w:color="D3D3D3"/>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3D3D3"/>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3D3D3"/>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-164,411.25</w:t>
            </w:r>
          </w:p>
        </w:tc>
        <w:tc>
          <w:tcPr>
            <w:tcW w:w="91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-1,479,701.25</w:t>
            </w:r>
          </w:p>
        </w:tc>
        <w:tc>
          <w:tcPr>
            <w:tcW w:w="918"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-1,644,112.50</w:t>
            </w:r>
          </w:p>
        </w:tc>
      </w:tr>
      <w:tr>
        <w:trPr>
          <w:trHeight w:val="402" w:hRule="exact"/>
        </w:trPr>
        <w:tc>
          <w:tcPr>
            <w:tcW w:w="3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3D3D3"/>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131,145,000.00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167,725,198.78</w:t>
            </w:r>
          </w:p>
        </w:tc>
        <w:tc>
          <w:tcPr>
            <w:tcW w:w="91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10,895,663.11</w:t>
            </w:r>
          </w:p>
        </w:tc>
        <w:tc>
          <w:tcPr>
            <w:tcW w:w="91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142,299,301.55</w:t>
            </w:r>
          </w:p>
        </w:tc>
        <w:tc>
          <w:tcPr>
            <w:tcW w:w="918"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-1,713,255.20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450,351,908.24</w:t>
            </w:r>
          </w:p>
        </w:tc>
      </w:tr>
      <w:tr>
        <w:trPr>
          <w:trHeight w:val="402" w:hRule="exact"/>
        </w:trPr>
        <w:tc>
          <w:tcPr>
            <w:tcW w:w="3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3"/>
                <w:sz w:val="18"/>
                <w:szCs w:val="18"/>
              </w:rPr>
              <w:t>、</w:t>
            </w:r>
            <w:r>
              <w:rPr>
                <w:rFonts w:ascii="宋体" w:hAnsi="宋体" w:cs="宋体" w:eastAsia="宋体" w:hint="default"/>
                <w:sz w:val="18"/>
                <w:szCs w:val="18"/>
              </w:rPr>
              <w:t>本期增减变动金</w:t>
            </w:r>
            <w:r>
              <w:rPr>
                <w:rFonts w:ascii="宋体" w:hAnsi="宋体" w:cs="宋体" w:eastAsia="宋体" w:hint="default"/>
                <w:spacing w:val="-83"/>
                <w:sz w:val="18"/>
                <w:szCs w:val="18"/>
              </w:rPr>
              <w:t>额</w:t>
            </w:r>
            <w:r>
              <w:rPr>
                <w:rFonts w:ascii="宋体" w:hAnsi="宋体" w:cs="宋体" w:eastAsia="宋体" w:hint="default"/>
                <w:sz w:val="18"/>
                <w:szCs w:val="18"/>
              </w:rPr>
              <w:t>（减少以</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23"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78,687,000.00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-78,687,000.00</w:t>
            </w:r>
          </w:p>
        </w:tc>
        <w:tc>
          <w:tcPr>
            <w:tcW w:w="91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1,039,051.64</w:t>
            </w:r>
          </w:p>
        </w:tc>
        <w:tc>
          <w:tcPr>
            <w:tcW w:w="91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68,416,561.55</w:t>
            </w:r>
          </w:p>
        </w:tc>
        <w:tc>
          <w:tcPr>
            <w:tcW w:w="918"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-187,847.76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69,267,765.43</w:t>
            </w:r>
          </w:p>
        </w:tc>
      </w:tr>
      <w:tr>
        <w:trPr>
          <w:trHeight w:val="403" w:hRule="exact"/>
        </w:trPr>
        <w:tc>
          <w:tcPr>
            <w:tcW w:w="3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193" w:type="dxa"/>
            <w:tcBorders>
              <w:top w:val="single" w:sz="4" w:space="0" w:color="000000"/>
              <w:left w:val="single" w:sz="13" w:space="0" w:color="D3D3D3"/>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69,455,613.19</w:t>
            </w:r>
          </w:p>
        </w:tc>
        <w:tc>
          <w:tcPr>
            <w:tcW w:w="918"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-187,847.76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69,267,765.43</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8" w:top="1060" w:bottom="1160" w:left="1300" w:right="130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tbl>
      <w:tblPr>
        <w:tblW w:w="0" w:type="auto"/>
        <w:jc w:val="left"/>
        <w:tblInd w:w="107" w:type="dxa"/>
        <w:tblLayout w:type="fixed"/>
        <w:tblCellMar>
          <w:top w:w="0" w:type="dxa"/>
          <w:left w:w="0" w:type="dxa"/>
          <w:bottom w:w="0" w:type="dxa"/>
          <w:right w:w="0" w:type="dxa"/>
        </w:tblCellMar>
        <w:tblLook w:val="01E0"/>
      </w:tblPr>
      <w:tblGrid>
        <w:gridCol w:w="3379"/>
        <w:gridCol w:w="1182"/>
        <w:gridCol w:w="1181"/>
        <w:gridCol w:w="919"/>
        <w:gridCol w:w="918"/>
        <w:gridCol w:w="1086"/>
        <w:gridCol w:w="918"/>
        <w:gridCol w:w="1182"/>
        <w:gridCol w:w="918"/>
        <w:gridCol w:w="1110"/>
        <w:gridCol w:w="1220"/>
      </w:tblGrid>
      <w:tr>
        <w:trPr>
          <w:trHeight w:val="397" w:hRule="exact"/>
        </w:trPr>
        <w:tc>
          <w:tcPr>
            <w:tcW w:w="337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182"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c>
          <w:tcPr>
            <w:tcW w:w="918" w:type="dxa"/>
            <w:tcBorders>
              <w:top w:val="nil" w:sz="6" w:space="0" w:color="auto"/>
              <w:left w:val="single" w:sz="4" w:space="0" w:color="000000"/>
              <w:bottom w:val="single" w:sz="4" w:space="0" w:color="000000"/>
              <w:right w:val="single" w:sz="4" w:space="0" w:color="000000"/>
            </w:tcBorders>
          </w:tcPr>
          <w:p>
            <w:pPr/>
          </w:p>
        </w:tc>
        <w:tc>
          <w:tcPr>
            <w:tcW w:w="1086" w:type="dxa"/>
            <w:tcBorders>
              <w:top w:val="nil" w:sz="6" w:space="0" w:color="auto"/>
              <w:left w:val="single" w:sz="4" w:space="0" w:color="000000"/>
              <w:bottom w:val="single" w:sz="4" w:space="0" w:color="000000"/>
              <w:right w:val="single" w:sz="4" w:space="0" w:color="000000"/>
            </w:tcBorders>
          </w:tcPr>
          <w:p>
            <w:pPr/>
          </w:p>
        </w:tc>
        <w:tc>
          <w:tcPr>
            <w:tcW w:w="918" w:type="dxa"/>
            <w:tcBorders>
              <w:top w:val="nil" w:sz="6" w:space="0" w:color="auto"/>
              <w:left w:val="single" w:sz="4" w:space="0" w:color="000000"/>
              <w:bottom w:val="single" w:sz="4" w:space="0" w:color="000000"/>
              <w:right w:val="single" w:sz="4" w:space="0" w:color="000000"/>
            </w:tcBorders>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918" w:type="dxa"/>
            <w:tcBorders>
              <w:top w:val="nil" w:sz="6" w:space="0" w:color="auto"/>
              <w:left w:val="single" w:sz="4" w:space="0" w:color="000000"/>
              <w:bottom w:val="single" w:sz="4" w:space="0" w:color="000000"/>
              <w:right w:val="single" w:sz="4" w:space="0" w:color="000000"/>
            </w:tcBorders>
          </w:tcPr>
          <w:p>
            <w:pPr/>
          </w:p>
        </w:tc>
        <w:tc>
          <w:tcPr>
            <w:tcW w:w="1110" w:type="dxa"/>
            <w:tcBorders>
              <w:top w:val="nil" w:sz="6" w:space="0" w:color="auto"/>
              <w:left w:val="single" w:sz="4" w:space="0" w:color="000000"/>
              <w:bottom w:val="single" w:sz="4" w:space="0" w:color="000000"/>
              <w:right w:val="single" w:sz="4" w:space="0" w:color="000000"/>
            </w:tcBorders>
          </w:tcPr>
          <w:p>
            <w:pPr/>
          </w:p>
        </w:tc>
        <w:tc>
          <w:tcPr>
            <w:tcW w:w="122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69,455,613.19</w:t>
            </w:r>
          </w:p>
        </w:tc>
        <w:tc>
          <w:tcPr>
            <w:tcW w:w="918"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-187,847.76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69,267,765.43</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1,039,051.64</w:t>
            </w:r>
          </w:p>
        </w:tc>
        <w:tc>
          <w:tcPr>
            <w:tcW w:w="91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-1,039,051.64</w:t>
            </w:r>
          </w:p>
        </w:tc>
        <w:tc>
          <w:tcPr>
            <w:tcW w:w="918"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1,039,051.64</w:t>
            </w:r>
          </w:p>
        </w:tc>
        <w:tc>
          <w:tcPr>
            <w:tcW w:w="91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-1,039,051.64</w:t>
            </w:r>
          </w:p>
        </w:tc>
        <w:tc>
          <w:tcPr>
            <w:tcW w:w="918"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78,687,000.00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-78,687,000.00</w:t>
            </w:r>
          </w:p>
        </w:tc>
        <w:tc>
          <w:tcPr>
            <w:tcW w:w="91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78,687,000.00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-78,687,000.00</w:t>
            </w:r>
          </w:p>
        </w:tc>
        <w:tc>
          <w:tcPr>
            <w:tcW w:w="91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209,832,000.00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89,038,198.78</w:t>
            </w:r>
          </w:p>
        </w:tc>
        <w:tc>
          <w:tcPr>
            <w:tcW w:w="91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11,934,714.75</w:t>
            </w:r>
          </w:p>
        </w:tc>
        <w:tc>
          <w:tcPr>
            <w:tcW w:w="91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210,715,863.10</w:t>
            </w:r>
          </w:p>
        </w:tc>
        <w:tc>
          <w:tcPr>
            <w:tcW w:w="918"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-1,901,102.96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519,619,673.67</w:t>
            </w:r>
          </w:p>
        </w:tc>
      </w:tr>
    </w:tbl>
    <w:p>
      <w:pPr>
        <w:spacing w:line="240" w:lineRule="auto" w:before="6"/>
        <w:rPr>
          <w:rFonts w:ascii="宋体" w:hAnsi="宋体" w:cs="宋体" w:eastAsia="宋体" w:hint="default"/>
          <w:sz w:val="21"/>
          <w:szCs w:val="21"/>
        </w:rPr>
      </w:pPr>
    </w:p>
    <w:p>
      <w:pPr>
        <w:pStyle w:val="BodyText"/>
        <w:tabs>
          <w:tab w:pos="3559" w:val="left" w:leader="none"/>
          <w:tab w:pos="7699" w:val="left" w:leader="none"/>
        </w:tabs>
        <w:spacing w:line="240" w:lineRule="auto" w:before="44"/>
        <w:ind w:left="139" w:right="0"/>
        <w:jc w:val="left"/>
      </w:pPr>
      <w:r>
        <w:rPr/>
        <w:t>法定代表人：曾胜强</w:t>
        <w:tab/>
        <w:t>主管会计工作负责人：邢俊芳</w:t>
        <w:tab/>
        <w:t>会计机构负责人：易海军</w:t>
      </w:r>
    </w:p>
    <w:p>
      <w:pPr>
        <w:spacing w:after="0" w:line="240" w:lineRule="auto"/>
        <w:jc w:val="left"/>
        <w:sectPr>
          <w:pgSz w:w="16840" w:h="11910" w:orient="landscape"/>
          <w:pgMar w:header="867" w:footer="978" w:top="1060" w:bottom="1160" w:left="1300" w:right="130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39"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6840" w:h="11910" w:orient="landscape"/>
          <w:pgMar w:header="867" w:footer="978" w:top="1060" w:bottom="1160" w:left="1300" w:right="1300"/>
        </w:sectPr>
      </w:pPr>
    </w:p>
    <w:p>
      <w:pPr>
        <w:pStyle w:val="BodyText"/>
        <w:spacing w:line="357" w:lineRule="auto" w:before="44"/>
        <w:ind w:left="139" w:right="-20"/>
        <w:jc w:val="left"/>
      </w:pPr>
      <w:r>
        <w:rPr/>
        <w:t>编制单位：深圳市证通电子股份有限公司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39" w:right="0"/>
        <w:jc w:val="left"/>
      </w:pPr>
      <w:r>
        <w:rPr/>
        <w:t>单位：元</w:t>
      </w:r>
    </w:p>
    <w:p>
      <w:pPr>
        <w:spacing w:after="0" w:line="240" w:lineRule="auto"/>
        <w:jc w:val="left"/>
        <w:sectPr>
          <w:type w:val="continuous"/>
          <w:pgSz w:w="16840" w:h="11910" w:orient="landscape"/>
          <w:pgMar w:top="1060" w:bottom="1180" w:left="1300" w:right="1300"/>
          <w:cols w:num="2" w:equalWidth="0">
            <w:col w:w="3380" w:space="9761"/>
            <w:col w:w="1099"/>
          </w:cols>
        </w:sectPr>
      </w:pP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3602"/>
        <w:gridCol w:w="1309"/>
        <w:gridCol w:w="1298"/>
        <w:gridCol w:w="1298"/>
        <w:gridCol w:w="1297"/>
        <w:gridCol w:w="1298"/>
        <w:gridCol w:w="1298"/>
        <w:gridCol w:w="1297"/>
        <w:gridCol w:w="1303"/>
      </w:tblGrid>
      <w:tr>
        <w:trPr>
          <w:trHeight w:val="402" w:hRule="exact"/>
        </w:trPr>
        <w:tc>
          <w:tcPr>
            <w:tcW w:w="3602" w:type="dxa"/>
            <w:tcBorders>
              <w:top w:val="single" w:sz="4" w:space="0" w:color="000000"/>
              <w:left w:val="single" w:sz="4" w:space="0" w:color="000000"/>
              <w:bottom w:val="nil" w:sz="6" w:space="0" w:color="auto"/>
              <w:right w:val="single" w:sz="4" w:space="0" w:color="000000"/>
            </w:tcBorders>
            <w:shd w:val="clear" w:color="auto" w:fill="D3D3D3"/>
          </w:tcPr>
          <w:p>
            <w:pPr/>
          </w:p>
        </w:tc>
        <w:tc>
          <w:tcPr>
            <w:tcW w:w="1040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1" w:hRule="exact"/>
        </w:trPr>
        <w:tc>
          <w:tcPr>
            <w:tcW w:w="360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0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75" w:right="20" w:hanging="441"/>
              <w:jc w:val="left"/>
              <w:rPr>
                <w:rFonts w:ascii="宋体" w:hAnsi="宋体" w:cs="宋体" w:eastAsia="宋体" w:hint="default"/>
                <w:sz w:val="18"/>
                <w:szCs w:val="18"/>
              </w:rPr>
            </w:pPr>
            <w:r>
              <w:rPr>
                <w:rFonts w:ascii="宋体" w:hAnsi="宋体" w:cs="宋体" w:eastAsia="宋体" w:hint="default"/>
                <w:spacing w:val="-3"/>
                <w:sz w:val="18"/>
                <w:szCs w:val="18"/>
              </w:rPr>
              <w:t>实收资本（或股</w:t>
            </w:r>
            <w:r>
              <w:rPr>
                <w:rFonts w:ascii="宋体" w:hAnsi="宋体" w:cs="宋体" w:eastAsia="宋体" w:hint="default"/>
                <w:sz w:val="18"/>
                <w:szCs w:val="18"/>
              </w:rPr>
              <w:t> 本）</w:t>
            </w:r>
          </w:p>
        </w:tc>
        <w:tc>
          <w:tcPr>
            <w:tcW w:w="1298" w:type="dxa"/>
            <w:tcBorders>
              <w:top w:val="single" w:sz="4" w:space="0" w:color="000000"/>
              <w:left w:val="single" w:sz="4" w:space="0" w:color="000000"/>
              <w:bottom w:val="nil" w:sz="6" w:space="0" w:color="auto"/>
              <w:right w:val="single" w:sz="4" w:space="0" w:color="000000"/>
            </w:tcBorders>
            <w:shd w:val="clear" w:color="auto" w:fill="D3D3D3"/>
          </w:tcPr>
          <w:p>
            <w:pPr/>
          </w:p>
        </w:tc>
        <w:tc>
          <w:tcPr>
            <w:tcW w:w="1298" w:type="dxa"/>
            <w:tcBorders>
              <w:top w:val="single" w:sz="4" w:space="0" w:color="000000"/>
              <w:left w:val="single" w:sz="4" w:space="0" w:color="000000"/>
              <w:bottom w:val="nil" w:sz="6" w:space="0" w:color="auto"/>
              <w:right w:val="single" w:sz="4" w:space="0" w:color="000000"/>
            </w:tcBorders>
            <w:shd w:val="clear" w:color="auto" w:fill="D3D3D3"/>
          </w:tcPr>
          <w:p>
            <w:pPr/>
          </w:p>
        </w:tc>
        <w:tc>
          <w:tcPr>
            <w:tcW w:w="1297" w:type="dxa"/>
            <w:tcBorders>
              <w:top w:val="single" w:sz="4" w:space="0" w:color="000000"/>
              <w:left w:val="single" w:sz="4" w:space="0" w:color="000000"/>
              <w:bottom w:val="nil" w:sz="6" w:space="0" w:color="auto"/>
              <w:right w:val="single" w:sz="4" w:space="0" w:color="000000"/>
            </w:tcBorders>
            <w:shd w:val="clear" w:color="auto" w:fill="D3D3D3"/>
          </w:tcPr>
          <w:p>
            <w:pPr/>
          </w:p>
        </w:tc>
        <w:tc>
          <w:tcPr>
            <w:tcW w:w="1298" w:type="dxa"/>
            <w:tcBorders>
              <w:top w:val="single" w:sz="4" w:space="0" w:color="000000"/>
              <w:left w:val="single" w:sz="4" w:space="0" w:color="000000"/>
              <w:bottom w:val="nil" w:sz="6" w:space="0" w:color="auto"/>
              <w:right w:val="single" w:sz="4" w:space="0" w:color="000000"/>
            </w:tcBorders>
            <w:shd w:val="clear" w:color="auto" w:fill="D3D3D3"/>
          </w:tcPr>
          <w:p>
            <w:pPr/>
          </w:p>
        </w:tc>
        <w:tc>
          <w:tcPr>
            <w:tcW w:w="1298" w:type="dxa"/>
            <w:tcBorders>
              <w:top w:val="single" w:sz="4" w:space="0" w:color="000000"/>
              <w:left w:val="single" w:sz="4" w:space="0" w:color="000000"/>
              <w:bottom w:val="nil" w:sz="6" w:space="0" w:color="auto"/>
              <w:right w:val="single" w:sz="4" w:space="0" w:color="000000"/>
            </w:tcBorders>
            <w:shd w:val="clear" w:color="auto" w:fill="D3D3D3"/>
          </w:tcPr>
          <w:p>
            <w:pPr/>
          </w:p>
        </w:tc>
        <w:tc>
          <w:tcPr>
            <w:tcW w:w="129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0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56" w:right="104"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86" w:hRule="exact"/>
        </w:trPr>
        <w:tc>
          <w:tcPr>
            <w:tcW w:w="3602" w:type="dxa"/>
            <w:vMerge/>
            <w:tcBorders>
              <w:left w:val="single" w:sz="4" w:space="0" w:color="000000"/>
              <w:bottom w:val="nil" w:sz="6" w:space="0" w:color="auto"/>
              <w:right w:val="single" w:sz="4" w:space="0" w:color="000000"/>
            </w:tcBorders>
            <w:shd w:val="clear" w:color="auto" w:fill="D3D3D3"/>
          </w:tcPr>
          <w:p>
            <w:pPr/>
          </w:p>
        </w:tc>
        <w:tc>
          <w:tcPr>
            <w:tcW w:w="1309" w:type="dxa"/>
            <w:vMerge/>
            <w:tcBorders>
              <w:left w:val="single" w:sz="4" w:space="0" w:color="000000"/>
              <w:right w:val="single" w:sz="4" w:space="0" w:color="000000"/>
            </w:tcBorders>
            <w:shd w:val="clear" w:color="auto" w:fill="D3D3D3"/>
          </w:tcPr>
          <w:p>
            <w:pPr/>
          </w:p>
        </w:tc>
        <w:tc>
          <w:tcPr>
            <w:tcW w:w="12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2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03" w:type="dxa"/>
            <w:vMerge/>
            <w:tcBorders>
              <w:left w:val="single" w:sz="4" w:space="0" w:color="000000"/>
              <w:right w:val="single" w:sz="4" w:space="0" w:color="000000"/>
            </w:tcBorders>
            <w:shd w:val="clear" w:color="auto" w:fill="D3D3D3"/>
          </w:tcPr>
          <w:p>
            <w:pPr/>
          </w:p>
        </w:tc>
      </w:tr>
      <w:tr>
        <w:trPr>
          <w:trHeight w:val="206" w:hRule="exact"/>
        </w:trPr>
        <w:tc>
          <w:tcPr>
            <w:tcW w:w="3602" w:type="dxa"/>
            <w:vMerge w:val="restart"/>
            <w:tcBorders>
              <w:top w:val="nil" w:sz="6" w:space="0" w:color="auto"/>
              <w:left w:val="single" w:sz="4" w:space="0" w:color="000000"/>
              <w:right w:val="single" w:sz="4" w:space="0" w:color="000000"/>
            </w:tcBorders>
            <w:shd w:val="clear" w:color="auto" w:fill="D3D3D3"/>
          </w:tcPr>
          <w:p>
            <w:pPr/>
          </w:p>
        </w:tc>
        <w:tc>
          <w:tcPr>
            <w:tcW w:w="1309" w:type="dxa"/>
            <w:vMerge/>
            <w:tcBorders>
              <w:left w:val="single" w:sz="4" w:space="0" w:color="000000"/>
              <w:right w:val="single" w:sz="4" w:space="0" w:color="000000"/>
            </w:tcBorders>
            <w:shd w:val="clear" w:color="auto" w:fill="D3D3D3"/>
          </w:tcPr>
          <w:p>
            <w:pPr/>
          </w:p>
        </w:tc>
        <w:tc>
          <w:tcPr>
            <w:tcW w:w="1298" w:type="dxa"/>
            <w:vMerge/>
            <w:tcBorders>
              <w:left w:val="single" w:sz="4" w:space="0" w:color="000000"/>
              <w:bottom w:val="nil" w:sz="6" w:space="0" w:color="auto"/>
              <w:right w:val="single" w:sz="4" w:space="0" w:color="000000"/>
            </w:tcBorders>
            <w:shd w:val="clear" w:color="auto" w:fill="D3D3D3"/>
          </w:tcPr>
          <w:p>
            <w:pPr/>
          </w:p>
        </w:tc>
        <w:tc>
          <w:tcPr>
            <w:tcW w:w="1298" w:type="dxa"/>
            <w:vMerge/>
            <w:tcBorders>
              <w:left w:val="single" w:sz="4" w:space="0" w:color="000000"/>
              <w:bottom w:val="nil" w:sz="6" w:space="0" w:color="auto"/>
              <w:right w:val="single" w:sz="4" w:space="0" w:color="000000"/>
            </w:tcBorders>
            <w:shd w:val="clear" w:color="auto" w:fill="D3D3D3"/>
          </w:tcPr>
          <w:p>
            <w:pPr/>
          </w:p>
        </w:tc>
        <w:tc>
          <w:tcPr>
            <w:tcW w:w="1297" w:type="dxa"/>
            <w:vMerge/>
            <w:tcBorders>
              <w:left w:val="single" w:sz="4" w:space="0" w:color="000000"/>
              <w:bottom w:val="nil" w:sz="6" w:space="0" w:color="auto"/>
              <w:right w:val="single" w:sz="4" w:space="0" w:color="000000"/>
            </w:tcBorders>
            <w:shd w:val="clear" w:color="auto" w:fill="D3D3D3"/>
          </w:tcPr>
          <w:p>
            <w:pPr/>
          </w:p>
        </w:tc>
        <w:tc>
          <w:tcPr>
            <w:tcW w:w="1298" w:type="dxa"/>
            <w:vMerge/>
            <w:tcBorders>
              <w:left w:val="single" w:sz="4" w:space="0" w:color="000000"/>
              <w:bottom w:val="nil" w:sz="6" w:space="0" w:color="auto"/>
              <w:right w:val="single" w:sz="4" w:space="0" w:color="000000"/>
            </w:tcBorders>
            <w:shd w:val="clear" w:color="auto" w:fill="D3D3D3"/>
          </w:tcPr>
          <w:p>
            <w:pPr/>
          </w:p>
        </w:tc>
        <w:tc>
          <w:tcPr>
            <w:tcW w:w="1298" w:type="dxa"/>
            <w:vMerge/>
            <w:tcBorders>
              <w:left w:val="single" w:sz="4" w:space="0" w:color="000000"/>
              <w:bottom w:val="nil" w:sz="6" w:space="0" w:color="auto"/>
              <w:right w:val="single" w:sz="4" w:space="0" w:color="000000"/>
            </w:tcBorders>
            <w:shd w:val="clear" w:color="auto" w:fill="D3D3D3"/>
          </w:tcPr>
          <w:p>
            <w:pPr/>
          </w:p>
        </w:tc>
        <w:tc>
          <w:tcPr>
            <w:tcW w:w="1297" w:type="dxa"/>
            <w:vMerge/>
            <w:tcBorders>
              <w:left w:val="single" w:sz="4" w:space="0" w:color="000000"/>
              <w:bottom w:val="nil" w:sz="6" w:space="0" w:color="auto"/>
              <w:right w:val="single" w:sz="4" w:space="0" w:color="000000"/>
            </w:tcBorders>
            <w:shd w:val="clear" w:color="auto" w:fill="D3D3D3"/>
          </w:tcPr>
          <w:p>
            <w:pPr/>
          </w:p>
        </w:tc>
        <w:tc>
          <w:tcPr>
            <w:tcW w:w="1303" w:type="dxa"/>
            <w:vMerge/>
            <w:tcBorders>
              <w:left w:val="single" w:sz="4" w:space="0" w:color="000000"/>
              <w:right w:val="single" w:sz="4" w:space="0" w:color="000000"/>
            </w:tcBorders>
            <w:shd w:val="clear" w:color="auto" w:fill="D3D3D3"/>
          </w:tcPr>
          <w:p>
            <w:pPr/>
          </w:p>
        </w:tc>
      </w:tr>
      <w:tr>
        <w:trPr>
          <w:trHeight w:val="161" w:hRule="exact"/>
        </w:trPr>
        <w:tc>
          <w:tcPr>
            <w:tcW w:w="3602" w:type="dxa"/>
            <w:vMerge/>
            <w:tcBorders>
              <w:left w:val="single" w:sz="4" w:space="0" w:color="000000"/>
              <w:bottom w:val="single" w:sz="4" w:space="0" w:color="000000"/>
              <w:right w:val="single" w:sz="4" w:space="0" w:color="000000"/>
            </w:tcBorders>
            <w:shd w:val="clear" w:color="auto" w:fill="D3D3D3"/>
          </w:tcPr>
          <w:p>
            <w:pPr/>
          </w:p>
        </w:tc>
        <w:tc>
          <w:tcPr>
            <w:tcW w:w="1309" w:type="dxa"/>
            <w:vMerge/>
            <w:tcBorders>
              <w:left w:val="single" w:sz="4" w:space="0" w:color="000000"/>
              <w:bottom w:val="single" w:sz="4" w:space="0" w:color="000000"/>
              <w:right w:val="single" w:sz="4" w:space="0" w:color="000000"/>
            </w:tcBorders>
            <w:shd w:val="clear" w:color="auto" w:fill="D3D3D3"/>
          </w:tcPr>
          <w:p>
            <w:pPr/>
          </w:p>
        </w:tc>
        <w:tc>
          <w:tcPr>
            <w:tcW w:w="12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0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0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209,832,000.00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89,038,198.78</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11,934,714.75</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55,178,920.05</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365,983,833.58</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09" w:type="dxa"/>
            <w:tcBorders>
              <w:top w:val="single" w:sz="4" w:space="0" w:color="000000"/>
              <w:left w:val="single" w:sz="9" w:space="0" w:color="D3D3D3"/>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09" w:type="dxa"/>
            <w:tcBorders>
              <w:top w:val="single" w:sz="4" w:space="0" w:color="000000"/>
              <w:left w:val="single" w:sz="9" w:space="0" w:color="D3D3D3"/>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9" w:type="dxa"/>
            <w:tcBorders>
              <w:top w:val="single" w:sz="4" w:space="0" w:color="000000"/>
              <w:left w:val="single" w:sz="9" w:space="0" w:color="D3D3D3"/>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0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209,832,000.00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89,038,198.78</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11,934,714.75</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55,178,920.05</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365,983,833.58</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09" w:type="dxa"/>
            <w:tcBorders>
              <w:top w:val="single" w:sz="4" w:space="0" w:color="000000"/>
              <w:left w:val="single" w:sz="9" w:space="0" w:color="D3D3D3"/>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1,629,671.22</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-6,316,159.07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-4,686,487.85</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09" w:type="dxa"/>
            <w:tcBorders>
              <w:top w:val="single" w:sz="4" w:space="0" w:color="000000"/>
              <w:left w:val="single" w:sz="9" w:space="0" w:color="D3D3D3"/>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16,296,712.15</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16,296,712.15</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09" w:type="dxa"/>
            <w:tcBorders>
              <w:top w:val="single" w:sz="4" w:space="0" w:color="000000"/>
              <w:left w:val="single" w:sz="9" w:space="0" w:color="D3D3D3"/>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09" w:type="dxa"/>
            <w:tcBorders>
              <w:top w:val="single" w:sz="4" w:space="0" w:color="000000"/>
              <w:left w:val="single" w:sz="13" w:space="0" w:color="D3D3D3"/>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16,296,712.15</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16,296,712.15</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09" w:type="dxa"/>
            <w:tcBorders>
              <w:top w:val="single" w:sz="4" w:space="0" w:color="000000"/>
              <w:left w:val="single" w:sz="13" w:space="0" w:color="D3D3D3"/>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309" w:type="dxa"/>
            <w:tcBorders>
              <w:top w:val="single" w:sz="4" w:space="0" w:color="000000"/>
              <w:left w:val="single" w:sz="13" w:space="0" w:color="D3D3D3"/>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309" w:type="dxa"/>
            <w:tcBorders>
              <w:top w:val="single" w:sz="4" w:space="0" w:color="000000"/>
              <w:left w:val="single" w:sz="13" w:space="0" w:color="D3D3D3"/>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09" w:type="dxa"/>
            <w:tcBorders>
              <w:top w:val="single" w:sz="4" w:space="0" w:color="000000"/>
              <w:left w:val="single" w:sz="13" w:space="0" w:color="D3D3D3"/>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09" w:type="dxa"/>
            <w:tcBorders>
              <w:top w:val="single" w:sz="4" w:space="0" w:color="000000"/>
              <w:left w:val="single" w:sz="13" w:space="0" w:color="D3D3D3"/>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1,629,671.22</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-22,612,871.22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-20,983,200.00</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09" w:type="dxa"/>
            <w:tcBorders>
              <w:top w:val="single" w:sz="4" w:space="0" w:color="000000"/>
              <w:left w:val="single" w:sz="13" w:space="0" w:color="D3D3D3"/>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1,629,671.22</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-1,629,671.22</w:t>
            </w: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09" w:type="dxa"/>
            <w:tcBorders>
              <w:top w:val="single" w:sz="4" w:space="0" w:color="000000"/>
              <w:left w:val="single" w:sz="13" w:space="0" w:color="D3D3D3"/>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1180" w:left="1300" w:right="1300"/>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625"/>
        <w:gridCol w:w="1297"/>
        <w:gridCol w:w="1298"/>
        <w:gridCol w:w="1298"/>
        <w:gridCol w:w="1297"/>
        <w:gridCol w:w="1298"/>
        <w:gridCol w:w="1298"/>
        <w:gridCol w:w="1297"/>
        <w:gridCol w:w="1303"/>
      </w:tblGrid>
      <w:tr>
        <w:trPr>
          <w:trHeight w:val="416" w:hRule="exact"/>
        </w:trPr>
        <w:tc>
          <w:tcPr>
            <w:tcW w:w="3625"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97" w:type="dxa"/>
            <w:tcBorders>
              <w:top w:val="single" w:sz="15" w:space="0" w:color="000000"/>
              <w:left w:val="single" w:sz="4" w:space="0" w:color="000000"/>
              <w:bottom w:val="single" w:sz="4" w:space="0" w:color="000000"/>
              <w:right w:val="single" w:sz="4" w:space="0" w:color="000000"/>
            </w:tcBorders>
          </w:tcPr>
          <w:p>
            <w:pPr/>
          </w:p>
        </w:tc>
        <w:tc>
          <w:tcPr>
            <w:tcW w:w="1298" w:type="dxa"/>
            <w:tcBorders>
              <w:top w:val="single" w:sz="15" w:space="0" w:color="000000"/>
              <w:left w:val="single" w:sz="4" w:space="0" w:color="000000"/>
              <w:bottom w:val="single" w:sz="4" w:space="0" w:color="000000"/>
              <w:right w:val="single" w:sz="4" w:space="0" w:color="000000"/>
            </w:tcBorders>
          </w:tcPr>
          <w:p>
            <w:pPr/>
          </w:p>
        </w:tc>
        <w:tc>
          <w:tcPr>
            <w:tcW w:w="1298" w:type="dxa"/>
            <w:tcBorders>
              <w:top w:val="single" w:sz="15" w:space="0" w:color="000000"/>
              <w:left w:val="single" w:sz="4" w:space="0" w:color="000000"/>
              <w:bottom w:val="single" w:sz="4" w:space="0" w:color="000000"/>
              <w:right w:val="single" w:sz="4" w:space="0" w:color="000000"/>
            </w:tcBorders>
          </w:tcPr>
          <w:p>
            <w:pPr/>
          </w:p>
        </w:tc>
        <w:tc>
          <w:tcPr>
            <w:tcW w:w="1297" w:type="dxa"/>
            <w:tcBorders>
              <w:top w:val="single" w:sz="15" w:space="0" w:color="000000"/>
              <w:left w:val="single" w:sz="4" w:space="0" w:color="000000"/>
              <w:bottom w:val="single" w:sz="4" w:space="0" w:color="000000"/>
              <w:right w:val="single" w:sz="4" w:space="0" w:color="000000"/>
            </w:tcBorders>
          </w:tcPr>
          <w:p>
            <w:pPr/>
          </w:p>
        </w:tc>
        <w:tc>
          <w:tcPr>
            <w:tcW w:w="1298" w:type="dxa"/>
            <w:tcBorders>
              <w:top w:val="single" w:sz="15" w:space="0" w:color="000000"/>
              <w:left w:val="single" w:sz="4" w:space="0" w:color="000000"/>
              <w:bottom w:val="single" w:sz="4" w:space="0" w:color="000000"/>
              <w:right w:val="single" w:sz="4" w:space="0" w:color="000000"/>
            </w:tcBorders>
          </w:tcPr>
          <w:p>
            <w:pPr/>
          </w:p>
        </w:tc>
        <w:tc>
          <w:tcPr>
            <w:tcW w:w="1298" w:type="dxa"/>
            <w:tcBorders>
              <w:top w:val="single" w:sz="15" w:space="0" w:color="000000"/>
              <w:left w:val="single" w:sz="4" w:space="0" w:color="000000"/>
              <w:bottom w:val="single" w:sz="4" w:space="0" w:color="000000"/>
              <w:right w:val="single" w:sz="4" w:space="0" w:color="000000"/>
            </w:tcBorders>
          </w:tcPr>
          <w:p>
            <w:pPr/>
          </w:p>
        </w:tc>
        <w:tc>
          <w:tcPr>
            <w:tcW w:w="129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-20,983,200.00</w:t>
            </w:r>
          </w:p>
        </w:tc>
        <w:tc>
          <w:tcPr>
            <w:tcW w:w="130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left="154" w:right="0"/>
              <w:jc w:val="center"/>
              <w:rPr>
                <w:rFonts w:ascii="Times New Roman" w:hAnsi="Times New Roman" w:cs="Times New Roman" w:eastAsia="Times New Roman" w:hint="default"/>
                <w:sz w:val="18"/>
                <w:szCs w:val="18"/>
              </w:rPr>
            </w:pPr>
            <w:r>
              <w:rPr>
                <w:rFonts w:ascii="Times New Roman"/>
                <w:sz w:val="18"/>
              </w:rPr>
              <w:t>-20,983,200.00</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209,832,000.00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89,038,198.78</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13,564,385.97</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48,862,760.98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center"/>
              <w:rPr>
                <w:rFonts w:ascii="Times New Roman" w:hAnsi="Times New Roman" w:cs="Times New Roman" w:eastAsia="Times New Roman" w:hint="default"/>
                <w:sz w:val="18"/>
                <w:szCs w:val="18"/>
              </w:rPr>
            </w:pPr>
            <w:r>
              <w:rPr>
                <w:rFonts w:ascii="Times New Roman"/>
                <w:sz w:val="18"/>
              </w:rPr>
              <w:t>361,297,345.73</w:t>
            </w:r>
          </w:p>
        </w:tc>
      </w:tr>
    </w:tbl>
    <w:p>
      <w:pPr>
        <w:pStyle w:val="BodyText"/>
        <w:spacing w:line="240" w:lineRule="auto" w:before="51"/>
        <w:ind w:left="139" w:right="0"/>
        <w:jc w:val="left"/>
      </w:pPr>
      <w:r>
        <w:rPr/>
        <w:t>上年金额</w:t>
      </w:r>
    </w:p>
    <w:p>
      <w:pPr>
        <w:pStyle w:val="BodyText"/>
        <w:spacing w:line="240" w:lineRule="auto" w:before="117"/>
        <w:ind w:left="0" w:right="236"/>
        <w:jc w:val="right"/>
      </w:pPr>
      <w:r>
        <w:rPr/>
        <w:t>单位：元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3631"/>
        <w:gridCol w:w="1307"/>
        <w:gridCol w:w="1295"/>
        <w:gridCol w:w="1295"/>
        <w:gridCol w:w="1295"/>
        <w:gridCol w:w="1296"/>
        <w:gridCol w:w="1295"/>
        <w:gridCol w:w="1295"/>
        <w:gridCol w:w="1295"/>
      </w:tblGrid>
      <w:tr>
        <w:trPr>
          <w:trHeight w:val="403" w:hRule="exact"/>
        </w:trPr>
        <w:tc>
          <w:tcPr>
            <w:tcW w:w="363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37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0" w:hRule="exact"/>
        </w:trPr>
        <w:tc>
          <w:tcPr>
            <w:tcW w:w="363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0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473" w:right="22" w:hanging="440"/>
              <w:jc w:val="left"/>
              <w:rPr>
                <w:rFonts w:ascii="宋体" w:hAnsi="宋体" w:cs="宋体" w:eastAsia="宋体" w:hint="default"/>
                <w:sz w:val="18"/>
                <w:szCs w:val="18"/>
              </w:rPr>
            </w:pPr>
            <w:r>
              <w:rPr>
                <w:rFonts w:ascii="宋体" w:hAnsi="宋体" w:cs="宋体" w:eastAsia="宋体" w:hint="default"/>
                <w:spacing w:val="-4"/>
                <w:sz w:val="18"/>
                <w:szCs w:val="18"/>
              </w:rPr>
              <w:t>实收资本（或股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本）</w:t>
            </w:r>
          </w:p>
        </w:tc>
        <w:tc>
          <w:tcPr>
            <w:tcW w:w="12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2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2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2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2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2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295"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551" w:right="101"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86" w:hRule="exact"/>
        </w:trPr>
        <w:tc>
          <w:tcPr>
            <w:tcW w:w="3631" w:type="dxa"/>
            <w:vMerge/>
            <w:tcBorders>
              <w:left w:val="single" w:sz="4" w:space="0" w:color="000000"/>
              <w:bottom w:val="nil" w:sz="6" w:space="0" w:color="auto"/>
              <w:right w:val="single" w:sz="4" w:space="0" w:color="000000"/>
            </w:tcBorders>
            <w:shd w:val="clear" w:color="auto" w:fill="D3D3D3"/>
          </w:tcPr>
          <w:p>
            <w:pPr/>
          </w:p>
        </w:tc>
        <w:tc>
          <w:tcPr>
            <w:tcW w:w="1307" w:type="dxa"/>
            <w:vMerge/>
            <w:tcBorders>
              <w:left w:val="single" w:sz="4" w:space="0" w:color="000000"/>
              <w:right w:val="single" w:sz="4" w:space="0" w:color="000000"/>
            </w:tcBorders>
            <w:shd w:val="clear" w:color="auto" w:fill="D3D3D3"/>
          </w:tcPr>
          <w:p>
            <w:pPr/>
          </w:p>
        </w:tc>
        <w:tc>
          <w:tcPr>
            <w:tcW w:w="12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2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95" w:type="dxa"/>
            <w:vMerge/>
            <w:tcBorders>
              <w:left w:val="single" w:sz="4" w:space="0" w:color="000000"/>
              <w:right w:val="single" w:sz="4" w:space="0" w:color="000000"/>
            </w:tcBorders>
            <w:shd w:val="clear" w:color="auto" w:fill="D3D3D3"/>
          </w:tcPr>
          <w:p>
            <w:pPr/>
          </w:p>
        </w:tc>
      </w:tr>
      <w:tr>
        <w:trPr>
          <w:trHeight w:val="206" w:hRule="exact"/>
        </w:trPr>
        <w:tc>
          <w:tcPr>
            <w:tcW w:w="3631" w:type="dxa"/>
            <w:vMerge w:val="restart"/>
            <w:tcBorders>
              <w:top w:val="nil" w:sz="6" w:space="0" w:color="auto"/>
              <w:left w:val="single" w:sz="4" w:space="0" w:color="000000"/>
              <w:right w:val="single" w:sz="4" w:space="0" w:color="000000"/>
            </w:tcBorders>
            <w:shd w:val="clear" w:color="auto" w:fill="D3D3D3"/>
          </w:tcPr>
          <w:p>
            <w:pPr/>
          </w:p>
        </w:tc>
        <w:tc>
          <w:tcPr>
            <w:tcW w:w="1307" w:type="dxa"/>
            <w:vMerge/>
            <w:tcBorders>
              <w:left w:val="single" w:sz="4" w:space="0" w:color="000000"/>
              <w:right w:val="single" w:sz="4" w:space="0" w:color="000000"/>
            </w:tcBorders>
            <w:shd w:val="clear" w:color="auto" w:fill="D3D3D3"/>
          </w:tcPr>
          <w:p>
            <w:pPr/>
          </w:p>
        </w:tc>
        <w:tc>
          <w:tcPr>
            <w:tcW w:w="1295" w:type="dxa"/>
            <w:vMerge/>
            <w:tcBorders>
              <w:left w:val="single" w:sz="4" w:space="0" w:color="000000"/>
              <w:bottom w:val="nil" w:sz="6" w:space="0" w:color="auto"/>
              <w:right w:val="single" w:sz="4" w:space="0" w:color="000000"/>
            </w:tcBorders>
            <w:shd w:val="clear" w:color="auto" w:fill="D3D3D3"/>
          </w:tcPr>
          <w:p>
            <w:pPr/>
          </w:p>
        </w:tc>
        <w:tc>
          <w:tcPr>
            <w:tcW w:w="1295" w:type="dxa"/>
            <w:vMerge/>
            <w:tcBorders>
              <w:left w:val="single" w:sz="4" w:space="0" w:color="000000"/>
              <w:bottom w:val="nil" w:sz="6" w:space="0" w:color="auto"/>
              <w:right w:val="single" w:sz="4" w:space="0" w:color="000000"/>
            </w:tcBorders>
            <w:shd w:val="clear" w:color="auto" w:fill="D3D3D3"/>
          </w:tcPr>
          <w:p>
            <w:pPr/>
          </w:p>
        </w:tc>
        <w:tc>
          <w:tcPr>
            <w:tcW w:w="1295" w:type="dxa"/>
            <w:vMerge/>
            <w:tcBorders>
              <w:left w:val="single" w:sz="4" w:space="0" w:color="000000"/>
              <w:bottom w:val="nil" w:sz="6" w:space="0" w:color="auto"/>
              <w:right w:val="single" w:sz="4" w:space="0" w:color="000000"/>
            </w:tcBorders>
            <w:shd w:val="clear" w:color="auto" w:fill="D3D3D3"/>
          </w:tcPr>
          <w:p>
            <w:pPr/>
          </w:p>
        </w:tc>
        <w:tc>
          <w:tcPr>
            <w:tcW w:w="1296" w:type="dxa"/>
            <w:vMerge/>
            <w:tcBorders>
              <w:left w:val="single" w:sz="4" w:space="0" w:color="000000"/>
              <w:bottom w:val="nil" w:sz="6" w:space="0" w:color="auto"/>
              <w:right w:val="single" w:sz="4" w:space="0" w:color="000000"/>
            </w:tcBorders>
            <w:shd w:val="clear" w:color="auto" w:fill="D3D3D3"/>
          </w:tcPr>
          <w:p>
            <w:pPr/>
          </w:p>
        </w:tc>
        <w:tc>
          <w:tcPr>
            <w:tcW w:w="1295" w:type="dxa"/>
            <w:vMerge/>
            <w:tcBorders>
              <w:left w:val="single" w:sz="4" w:space="0" w:color="000000"/>
              <w:bottom w:val="nil" w:sz="6" w:space="0" w:color="auto"/>
              <w:right w:val="single" w:sz="4" w:space="0" w:color="000000"/>
            </w:tcBorders>
            <w:shd w:val="clear" w:color="auto" w:fill="D3D3D3"/>
          </w:tcPr>
          <w:p>
            <w:pPr/>
          </w:p>
        </w:tc>
        <w:tc>
          <w:tcPr>
            <w:tcW w:w="1295" w:type="dxa"/>
            <w:vMerge/>
            <w:tcBorders>
              <w:left w:val="single" w:sz="4" w:space="0" w:color="000000"/>
              <w:bottom w:val="nil" w:sz="6" w:space="0" w:color="auto"/>
              <w:right w:val="single" w:sz="4" w:space="0" w:color="000000"/>
            </w:tcBorders>
            <w:shd w:val="clear" w:color="auto" w:fill="D3D3D3"/>
          </w:tcPr>
          <w:p>
            <w:pPr/>
          </w:p>
        </w:tc>
        <w:tc>
          <w:tcPr>
            <w:tcW w:w="1295" w:type="dxa"/>
            <w:vMerge/>
            <w:tcBorders>
              <w:left w:val="single" w:sz="4" w:space="0" w:color="000000"/>
              <w:right w:val="single" w:sz="4" w:space="0" w:color="000000"/>
            </w:tcBorders>
            <w:shd w:val="clear" w:color="auto" w:fill="D3D3D3"/>
          </w:tcPr>
          <w:p>
            <w:pPr/>
          </w:p>
        </w:tc>
      </w:tr>
      <w:tr>
        <w:trPr>
          <w:trHeight w:val="161" w:hRule="exact"/>
        </w:trPr>
        <w:tc>
          <w:tcPr>
            <w:tcW w:w="3631" w:type="dxa"/>
            <w:vMerge/>
            <w:tcBorders>
              <w:left w:val="single" w:sz="4" w:space="0" w:color="000000"/>
              <w:bottom w:val="single" w:sz="4" w:space="0" w:color="000000"/>
              <w:right w:val="single" w:sz="4" w:space="0" w:color="000000"/>
            </w:tcBorders>
            <w:shd w:val="clear" w:color="auto" w:fill="D3D3D3"/>
          </w:tcPr>
          <w:p>
            <w:pPr/>
          </w:p>
        </w:tc>
        <w:tc>
          <w:tcPr>
            <w:tcW w:w="1307" w:type="dxa"/>
            <w:vMerge/>
            <w:tcBorders>
              <w:left w:val="single" w:sz="4" w:space="0" w:color="000000"/>
              <w:bottom w:val="single" w:sz="4" w:space="0" w:color="000000"/>
              <w:right w:val="single" w:sz="4" w:space="0" w:color="000000"/>
            </w:tcBorders>
            <w:shd w:val="clear" w:color="auto" w:fill="D3D3D3"/>
          </w:tcPr>
          <w:p>
            <w:pPr/>
          </w:p>
        </w:tc>
        <w:tc>
          <w:tcPr>
            <w:tcW w:w="12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131,145,000.00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center"/>
              <w:rPr>
                <w:rFonts w:ascii="Times New Roman" w:hAnsi="Times New Roman" w:cs="Times New Roman" w:eastAsia="Times New Roman" w:hint="default"/>
                <w:sz w:val="18"/>
                <w:szCs w:val="18"/>
              </w:rPr>
            </w:pPr>
            <w:r>
              <w:rPr>
                <w:rFonts w:ascii="Times New Roman"/>
                <w:sz w:val="18"/>
              </w:rPr>
              <w:t>167,725,198.78</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11,060,074.36</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47,307,156.57</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357,237,429.71</w:t>
            </w:r>
          </w:p>
        </w:tc>
      </w:tr>
      <w:tr>
        <w:trPr>
          <w:trHeight w:val="402" w:hRule="exact"/>
        </w:trPr>
        <w:tc>
          <w:tcPr>
            <w:tcW w:w="3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07" w:type="dxa"/>
            <w:tcBorders>
              <w:top w:val="single" w:sz="4" w:space="0" w:color="000000"/>
              <w:left w:val="single" w:sz="13" w:space="0" w:color="D3D3D3"/>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07" w:type="dxa"/>
            <w:tcBorders>
              <w:top w:val="single" w:sz="4" w:space="0" w:color="000000"/>
              <w:left w:val="single" w:sz="13" w:space="0" w:color="D3D3D3"/>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-164,411.25</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-1,479,701.25</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-1,644,112.50</w:t>
            </w:r>
          </w:p>
        </w:tc>
      </w:tr>
      <w:tr>
        <w:trPr>
          <w:trHeight w:val="402" w:hRule="exact"/>
        </w:trPr>
        <w:tc>
          <w:tcPr>
            <w:tcW w:w="3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7" w:type="dxa"/>
            <w:tcBorders>
              <w:top w:val="single" w:sz="4" w:space="0" w:color="000000"/>
              <w:left w:val="single" w:sz="13" w:space="0" w:color="D3D3D3"/>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131,145,000.00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center"/>
              <w:rPr>
                <w:rFonts w:ascii="Times New Roman" w:hAnsi="Times New Roman" w:cs="Times New Roman" w:eastAsia="Times New Roman" w:hint="default"/>
                <w:sz w:val="18"/>
                <w:szCs w:val="18"/>
              </w:rPr>
            </w:pPr>
            <w:r>
              <w:rPr>
                <w:rFonts w:ascii="Times New Roman"/>
                <w:sz w:val="18"/>
              </w:rPr>
              <w:t>167,725,198.78</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10,895,663.11</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45,827,455.32</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355,593,317.21</w:t>
            </w:r>
          </w:p>
        </w:tc>
      </w:tr>
      <w:tr>
        <w:trPr>
          <w:trHeight w:val="402" w:hRule="exact"/>
        </w:trPr>
        <w:tc>
          <w:tcPr>
            <w:tcW w:w="3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78,687,000.00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-78,687,000.00</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1,039,051.64</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9,351,464.73</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10,390,516.37</w:t>
            </w:r>
          </w:p>
        </w:tc>
      </w:tr>
      <w:tr>
        <w:trPr>
          <w:trHeight w:val="403" w:hRule="exact"/>
        </w:trPr>
        <w:tc>
          <w:tcPr>
            <w:tcW w:w="3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07" w:type="dxa"/>
            <w:tcBorders>
              <w:top w:val="single" w:sz="4" w:space="0" w:color="000000"/>
              <w:left w:val="single" w:sz="13" w:space="0" w:color="D3D3D3"/>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10,390,516.37</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10,390,516.37</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8" w:top="1060" w:bottom="1160" w:left="1300" w:right="1300"/>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654"/>
        <w:gridCol w:w="1295"/>
        <w:gridCol w:w="1295"/>
        <w:gridCol w:w="1295"/>
        <w:gridCol w:w="1295"/>
        <w:gridCol w:w="1296"/>
        <w:gridCol w:w="1295"/>
        <w:gridCol w:w="1295"/>
        <w:gridCol w:w="1295"/>
      </w:tblGrid>
      <w:tr>
        <w:trPr>
          <w:trHeight w:val="416" w:hRule="exact"/>
        </w:trPr>
        <w:tc>
          <w:tcPr>
            <w:tcW w:w="3654"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95" w:type="dxa"/>
            <w:tcBorders>
              <w:top w:val="single" w:sz="15" w:space="0" w:color="000000"/>
              <w:left w:val="single" w:sz="4" w:space="0" w:color="000000"/>
              <w:bottom w:val="single" w:sz="4" w:space="0" w:color="000000"/>
              <w:right w:val="single" w:sz="4" w:space="0" w:color="000000"/>
            </w:tcBorders>
          </w:tcPr>
          <w:p>
            <w:pPr/>
          </w:p>
        </w:tc>
        <w:tc>
          <w:tcPr>
            <w:tcW w:w="1295" w:type="dxa"/>
            <w:tcBorders>
              <w:top w:val="single" w:sz="15" w:space="0" w:color="000000"/>
              <w:left w:val="single" w:sz="4" w:space="0" w:color="000000"/>
              <w:bottom w:val="single" w:sz="4" w:space="0" w:color="000000"/>
              <w:right w:val="single" w:sz="4" w:space="0" w:color="000000"/>
            </w:tcBorders>
          </w:tcPr>
          <w:p>
            <w:pPr/>
          </w:p>
        </w:tc>
        <w:tc>
          <w:tcPr>
            <w:tcW w:w="1295" w:type="dxa"/>
            <w:tcBorders>
              <w:top w:val="single" w:sz="15" w:space="0" w:color="000000"/>
              <w:left w:val="single" w:sz="4" w:space="0" w:color="000000"/>
              <w:bottom w:val="single" w:sz="4" w:space="0" w:color="000000"/>
              <w:right w:val="single" w:sz="4" w:space="0" w:color="000000"/>
            </w:tcBorders>
          </w:tcPr>
          <w:p>
            <w:pPr/>
          </w:p>
        </w:tc>
        <w:tc>
          <w:tcPr>
            <w:tcW w:w="1295" w:type="dxa"/>
            <w:tcBorders>
              <w:top w:val="single" w:sz="15" w:space="0" w:color="000000"/>
              <w:left w:val="single" w:sz="4" w:space="0" w:color="000000"/>
              <w:bottom w:val="single" w:sz="4" w:space="0" w:color="000000"/>
              <w:right w:val="single" w:sz="4" w:space="0" w:color="000000"/>
            </w:tcBorders>
          </w:tcPr>
          <w:p>
            <w:pPr/>
          </w:p>
        </w:tc>
        <w:tc>
          <w:tcPr>
            <w:tcW w:w="1296" w:type="dxa"/>
            <w:tcBorders>
              <w:top w:val="single" w:sz="15" w:space="0" w:color="000000"/>
              <w:left w:val="single" w:sz="4" w:space="0" w:color="000000"/>
              <w:bottom w:val="single" w:sz="4" w:space="0" w:color="000000"/>
              <w:right w:val="single" w:sz="4" w:space="0" w:color="000000"/>
            </w:tcBorders>
          </w:tcPr>
          <w:p>
            <w:pPr/>
          </w:p>
        </w:tc>
        <w:tc>
          <w:tcPr>
            <w:tcW w:w="1295" w:type="dxa"/>
            <w:tcBorders>
              <w:top w:val="single" w:sz="15" w:space="0" w:color="000000"/>
              <w:left w:val="single" w:sz="4" w:space="0" w:color="000000"/>
              <w:bottom w:val="single" w:sz="4" w:space="0" w:color="000000"/>
              <w:right w:val="single" w:sz="4" w:space="0" w:color="000000"/>
            </w:tcBorders>
          </w:tcPr>
          <w:p>
            <w:pPr/>
          </w:p>
        </w:tc>
        <w:tc>
          <w:tcPr>
            <w:tcW w:w="1295" w:type="dxa"/>
            <w:tcBorders>
              <w:top w:val="single" w:sz="15" w:space="0" w:color="000000"/>
              <w:left w:val="single" w:sz="4" w:space="0" w:color="000000"/>
              <w:bottom w:val="single" w:sz="4" w:space="0" w:color="000000"/>
              <w:right w:val="single" w:sz="4" w:space="0" w:color="000000"/>
            </w:tcBorders>
          </w:tcPr>
          <w:p>
            <w:pPr/>
          </w:p>
        </w:tc>
        <w:tc>
          <w:tcPr>
            <w:tcW w:w="1295"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10,390,516.37</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center"/>
              <w:rPr>
                <w:rFonts w:ascii="Times New Roman" w:hAnsi="Times New Roman" w:cs="Times New Roman" w:eastAsia="Times New Roman" w:hint="default"/>
                <w:sz w:val="18"/>
                <w:szCs w:val="18"/>
              </w:rPr>
            </w:pPr>
            <w:r>
              <w:rPr>
                <w:rFonts w:ascii="Times New Roman"/>
                <w:sz w:val="18"/>
              </w:rPr>
              <w:t>10,390,516.37</w:t>
            </w: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1,039,051.64</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-1,039,051.64</w:t>
            </w: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1,039,051.64</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-1,039,051.64</w:t>
            </w: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78,687,000.00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-78,687,000.00</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78,687,000.00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-78,687,000.00</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209,832,000.00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89,038,198.78</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11,934,714.75</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55,178,920.05</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center"/>
              <w:rPr>
                <w:rFonts w:ascii="Times New Roman" w:hAnsi="Times New Roman" w:cs="Times New Roman" w:eastAsia="Times New Roman" w:hint="default"/>
                <w:sz w:val="18"/>
                <w:szCs w:val="18"/>
              </w:rPr>
            </w:pPr>
            <w:r>
              <w:rPr>
                <w:rFonts w:ascii="Times New Roman"/>
                <w:sz w:val="18"/>
              </w:rPr>
              <w:t>365,983,833.58</w:t>
            </w:r>
          </w:p>
        </w:tc>
      </w:tr>
    </w:tbl>
    <w:p>
      <w:pPr>
        <w:spacing w:line="240" w:lineRule="auto" w:before="6"/>
        <w:rPr>
          <w:rFonts w:ascii="宋体" w:hAnsi="宋体" w:cs="宋体" w:eastAsia="宋体" w:hint="default"/>
          <w:sz w:val="20"/>
          <w:szCs w:val="20"/>
        </w:rPr>
      </w:pPr>
    </w:p>
    <w:p>
      <w:pPr>
        <w:pStyle w:val="BodyText"/>
        <w:tabs>
          <w:tab w:pos="3559" w:val="left" w:leader="none"/>
          <w:tab w:pos="7699" w:val="left" w:leader="none"/>
        </w:tabs>
        <w:spacing w:line="240" w:lineRule="auto" w:before="44"/>
        <w:ind w:left="139" w:right="0"/>
        <w:jc w:val="left"/>
      </w:pPr>
      <w:r>
        <w:rPr/>
        <w:t>法定代表人：曾胜强</w:t>
        <w:tab/>
        <w:t>主管会计工作负责人：邢俊芳</w:t>
        <w:tab/>
        <w:t>会计机构负责人：易海军</w:t>
      </w:r>
    </w:p>
    <w:p>
      <w:pPr>
        <w:spacing w:after="0" w:line="240" w:lineRule="auto"/>
        <w:jc w:val="left"/>
        <w:sectPr>
          <w:pgSz w:w="16840" w:h="11910" w:orient="landscape"/>
          <w:pgMar w:header="867" w:footer="978" w:top="1060" w:bottom="1160" w:left="1300" w:right="1300"/>
        </w:sectPr>
      </w:pPr>
    </w:p>
    <w:p>
      <w:pPr>
        <w:spacing w:line="240" w:lineRule="auto" w:before="9"/>
        <w:rPr>
          <w:rFonts w:ascii="宋体" w:hAnsi="宋体" w:cs="宋体" w:eastAsia="宋体" w:hint="default"/>
          <w:sz w:val="19"/>
          <w:szCs w:val="19"/>
        </w:rPr>
      </w:pPr>
    </w:p>
    <w:p>
      <w:pPr>
        <w:pStyle w:val="Heading2"/>
        <w:spacing w:line="240" w:lineRule="auto" w:before="26"/>
        <w:ind w:right="90"/>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88" w:firstLine="359"/>
        <w:jc w:val="left"/>
      </w:pPr>
      <w:r>
        <w:rPr>
          <w:spacing w:val="-1"/>
        </w:rPr>
        <w:t>深圳市证通电子股份有限公司（以下简称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）系于</w:t>
      </w:r>
      <w:r>
        <w:rPr>
          <w:rFonts w:ascii="Times New Roman" w:hAnsi="Times New Roman" w:cs="Times New Roman" w:eastAsia="Times New Roman" w:hint="default"/>
          <w:spacing w:val="-1"/>
        </w:rPr>
        <w:t>1993</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4</w:t>
      </w:r>
      <w:r>
        <w:rPr>
          <w:spacing w:val="-1"/>
        </w:rPr>
        <w:t>日经深圳市工商行政管理局核准成立。公</w:t>
      </w:r>
      <w:r>
        <w:rPr/>
        <w:t> 司的企业法人营业执照注册号：</w:t>
      </w:r>
      <w:r>
        <w:rPr>
          <w:rFonts w:ascii="Times New Roman" w:hAnsi="Times New Roman" w:cs="Times New Roman" w:eastAsia="Times New Roman" w:hint="default"/>
        </w:rPr>
        <w:t>440301103106038</w:t>
      </w:r>
      <w:r>
        <w:rPr/>
        <w:t>。公司于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月在深圳市证券交易所上市。属制造业。</w:t>
      </w:r>
    </w:p>
    <w:p>
      <w:pPr>
        <w:pStyle w:val="BodyText"/>
        <w:spacing w:line="300" w:lineRule="auto" w:before="13"/>
        <w:ind w:right="90" w:firstLine="360"/>
        <w:jc w:val="left"/>
      </w:pPr>
      <w:r>
        <w:rPr>
          <w:spacing w:val="-2"/>
        </w:rPr>
        <w:t>公司前身为深圳市证通电子有限公司，于</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4</w:t>
      </w:r>
      <w:r>
        <w:rPr>
          <w:spacing w:val="-2"/>
        </w:rPr>
        <w:t>日由曾胜强、许忠桂共同出资组建，注册资本为人民币</w:t>
      </w:r>
      <w:r>
        <w:rPr>
          <w:rFonts w:ascii="Times New Roman" w:hAnsi="Times New Roman" w:cs="Times New Roman" w:eastAsia="Times New Roman" w:hint="default"/>
          <w:spacing w:val="-2"/>
        </w:rPr>
        <w:t>47</w:t>
      </w:r>
      <w:r>
        <w:rPr>
          <w:spacing w:val="-2"/>
        </w:rPr>
        <w:t>万元，其</w:t>
      </w:r>
      <w:r>
        <w:rPr/>
        <w:t> 中，曾胜强以货币资金</w:t>
      </w:r>
      <w:r>
        <w:rPr>
          <w:rFonts w:ascii="Times New Roman" w:hAnsi="Times New Roman" w:cs="Times New Roman" w:eastAsia="Times New Roman" w:hint="default"/>
        </w:rPr>
        <w:t>30</w:t>
      </w:r>
      <w:r>
        <w:rPr/>
        <w:t>万元出资，许忠桂以实物资产</w:t>
      </w:r>
      <w:r>
        <w:rPr>
          <w:rFonts w:ascii="Times New Roman" w:hAnsi="Times New Roman" w:cs="Times New Roman" w:eastAsia="Times New Roman" w:hint="default"/>
        </w:rPr>
        <w:t>17</w:t>
      </w:r>
      <w:r>
        <w:rPr/>
        <w:t>万元出资。</w:t>
      </w:r>
    </w:p>
    <w:p>
      <w:pPr>
        <w:pStyle w:val="BodyText"/>
        <w:spacing w:line="240" w:lineRule="auto" w:before="13"/>
        <w:ind w:left="514" w:right="90"/>
        <w:jc w:val="left"/>
      </w:pPr>
      <w:r>
        <w:rPr/>
        <w:t>截止</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日，经过六次增资后公司注册资本变更为</w:t>
      </w:r>
      <w:r>
        <w:rPr>
          <w:rFonts w:ascii="Times New Roman" w:hAnsi="Times New Roman" w:cs="Times New Roman" w:eastAsia="Times New Roman" w:hint="default"/>
        </w:rPr>
        <w:t>3,000</w:t>
      </w:r>
      <w:r>
        <w:rPr/>
        <w:t>万元。</w:t>
      </w:r>
    </w:p>
    <w:p>
      <w:pPr>
        <w:pStyle w:val="BodyText"/>
        <w:spacing w:line="300" w:lineRule="auto" w:before="62"/>
        <w:ind w:right="90" w:firstLine="360"/>
        <w:jc w:val="left"/>
      </w:pP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12</w:t>
      </w:r>
      <w:r>
        <w:rPr>
          <w:spacing w:val="-2"/>
        </w:rPr>
        <w:t>日股东会决议同意以整体变更的方式共同发起设立深圳市证通电子股份有限公司，根据深圳市鹏城会计师</w:t>
      </w:r>
      <w:r>
        <w:rPr/>
        <w:t> 事务所有限公司出具的深鹏所审字（</w:t>
      </w:r>
      <w:r>
        <w:rPr>
          <w:rFonts w:ascii="Times New Roman" w:hAnsi="Times New Roman" w:cs="Times New Roman" w:eastAsia="Times New Roman" w:hint="default"/>
        </w:rPr>
        <w:t>2006</w:t>
      </w:r>
      <w:r>
        <w:rPr/>
        <w:t>）</w:t>
      </w:r>
      <w:r>
        <w:rPr>
          <w:rFonts w:ascii="Times New Roman" w:hAnsi="Times New Roman" w:cs="Times New Roman" w:eastAsia="Times New Roman" w:hint="default"/>
        </w:rPr>
        <w:t>901</w:t>
      </w:r>
      <w:r>
        <w:rPr/>
        <w:t>号《审计报告》，公司截止</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日的净资产为</w:t>
      </w:r>
      <w:r>
        <w:rPr>
          <w:rFonts w:ascii="Times New Roman" w:hAnsi="Times New Roman" w:cs="Times New Roman" w:eastAsia="Times New Roman" w:hint="default"/>
        </w:rPr>
        <w:t>58,567,628.78</w:t>
      </w:r>
      <w:r>
        <w:rPr/>
        <w:t>元，各发 起人同意将前述净资产全部投入股份公司，其中</w:t>
      </w:r>
      <w:r>
        <w:rPr>
          <w:rFonts w:ascii="Times New Roman" w:hAnsi="Times New Roman" w:cs="Times New Roman" w:eastAsia="Times New Roman" w:hint="default"/>
        </w:rPr>
        <w:t>58,560,000</w:t>
      </w:r>
      <w:r>
        <w:rPr/>
        <w:t>元按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比例折合为</w:t>
      </w:r>
      <w:r>
        <w:rPr>
          <w:rFonts w:ascii="Times New Roman" w:hAnsi="Times New Roman" w:cs="Times New Roman" w:eastAsia="Times New Roman" w:hint="default"/>
        </w:rPr>
        <w:t>5,856</w:t>
      </w:r>
      <w:r>
        <w:rPr/>
        <w:t>万股，余额</w:t>
      </w:r>
      <w:r>
        <w:rPr>
          <w:rFonts w:ascii="Times New Roman" w:hAnsi="Times New Roman" w:cs="Times New Roman" w:eastAsia="Times New Roman" w:hint="default"/>
        </w:rPr>
        <w:t>7,628.78</w:t>
      </w:r>
      <w:r>
        <w:rPr/>
        <w:t>元计入资本公积， </w:t>
      </w:r>
      <w:r>
        <w:rPr>
          <w:spacing w:val="-3"/>
        </w:rPr>
        <w:t>股份公司注册资本为</w:t>
      </w:r>
      <w:r>
        <w:rPr>
          <w:rFonts w:ascii="Times New Roman" w:hAnsi="Times New Roman" w:cs="Times New Roman" w:eastAsia="Times New Roman" w:hint="default"/>
          <w:spacing w:val="-3"/>
        </w:rPr>
        <w:t>5,856</w:t>
      </w:r>
      <w:r>
        <w:rPr>
          <w:spacing w:val="-3"/>
        </w:rPr>
        <w:t>万元。上述出资额业经深圳市鹏城会计师事务所有限公司深鹏所验字〔</w:t>
      </w:r>
      <w:r>
        <w:rPr>
          <w:rFonts w:ascii="Times New Roman" w:hAnsi="Times New Roman" w:cs="Times New Roman" w:eastAsia="Times New Roman" w:hint="default"/>
          <w:spacing w:val="-3"/>
        </w:rPr>
        <w:t>2006</w:t>
      </w:r>
      <w:r>
        <w:rPr>
          <w:spacing w:val="-3"/>
        </w:rPr>
        <w:t>〕第</w:t>
      </w:r>
      <w:r>
        <w:rPr>
          <w:rFonts w:ascii="Times New Roman" w:hAnsi="Times New Roman" w:cs="Times New Roman" w:eastAsia="Times New Roman" w:hint="default"/>
          <w:spacing w:val="-3"/>
        </w:rPr>
        <w:t>108</w:t>
      </w:r>
      <w:r>
        <w:rPr>
          <w:spacing w:val="-3"/>
        </w:rPr>
        <w:t>号《验资报告》</w:t>
      </w:r>
      <w:r>
        <w:rPr>
          <w:spacing w:val="-42"/>
        </w:rPr>
        <w:t> </w:t>
      </w:r>
      <w:r>
        <w:rPr>
          <w:spacing w:val="-42"/>
        </w:rPr>
      </w:r>
      <w:r>
        <w:rPr/>
        <w:t>验证。</w:t>
      </w:r>
    </w:p>
    <w:p>
      <w:pPr>
        <w:pStyle w:val="BodyText"/>
        <w:spacing w:line="300" w:lineRule="auto" w:before="31"/>
        <w:ind w:right="90" w:firstLine="360"/>
        <w:jc w:val="left"/>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日，各发起人召开了股份公司创立大会暨第一次股东大会，</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日公司办理了工商变更登记手续， 公司名称变更为深圳市证通电子股份有限公司，并领取了新的营业执照。</w:t>
      </w:r>
    </w:p>
    <w:p>
      <w:pPr>
        <w:pStyle w:val="BodyText"/>
        <w:spacing w:line="300" w:lineRule="auto" w:before="32"/>
        <w:ind w:right="198" w:firstLine="359"/>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日，公司股东大会决议同意将注册资本由</w:t>
      </w:r>
      <w:r>
        <w:rPr>
          <w:rFonts w:ascii="Times New Roman" w:hAnsi="Times New Roman" w:cs="Times New Roman" w:eastAsia="Times New Roman" w:hint="default"/>
        </w:rPr>
        <w:t>5,856</w:t>
      </w:r>
      <w:r>
        <w:rPr/>
        <w:t>万增加到</w:t>
      </w:r>
      <w:r>
        <w:rPr>
          <w:rFonts w:ascii="Times New Roman" w:hAnsi="Times New Roman" w:cs="Times New Roman" w:eastAsia="Times New Roman" w:hint="default"/>
        </w:rPr>
        <w:t>6,543</w:t>
      </w:r>
      <w:r>
        <w:rPr/>
        <w:t>万元，股东由原来</w:t>
      </w:r>
      <w:r>
        <w:rPr>
          <w:rFonts w:ascii="Times New Roman" w:hAnsi="Times New Roman" w:cs="Times New Roman" w:eastAsia="Times New Roman" w:hint="default"/>
        </w:rPr>
        <w:t>18</w:t>
      </w:r>
      <w:r>
        <w:rPr/>
        <w:t>人增加到</w:t>
      </w:r>
      <w:r>
        <w:rPr>
          <w:rFonts w:ascii="Times New Roman" w:hAnsi="Times New Roman" w:cs="Times New Roman" w:eastAsia="Times New Roman" w:hint="default"/>
        </w:rPr>
        <w:t>59</w:t>
      </w:r>
      <w:r>
        <w:rPr/>
        <w:t>人，增资方 式为原股东卞海波等</w:t>
      </w:r>
      <w:r>
        <w:rPr>
          <w:rFonts w:ascii="Times New Roman" w:hAnsi="Times New Roman" w:cs="Times New Roman" w:eastAsia="Times New Roman" w:hint="default"/>
        </w:rPr>
        <w:t>3</w:t>
      </w:r>
      <w:r>
        <w:rPr/>
        <w:t>人以现金出资</w:t>
      </w:r>
      <w:r>
        <w:rPr>
          <w:rFonts w:ascii="Times New Roman" w:hAnsi="Times New Roman" w:cs="Times New Roman" w:eastAsia="Times New Roman" w:hint="default"/>
        </w:rPr>
        <w:t>125</w:t>
      </w:r>
      <w:r>
        <w:rPr/>
        <w:t>万元，新股东许忠慈等</w:t>
      </w:r>
      <w:r>
        <w:rPr>
          <w:rFonts w:ascii="Times New Roman" w:hAnsi="Times New Roman" w:cs="Times New Roman" w:eastAsia="Times New Roman" w:hint="default"/>
        </w:rPr>
        <w:t>41</w:t>
      </w:r>
      <w:r>
        <w:rPr/>
        <w:t>人以现金增资</w:t>
      </w:r>
      <w:r>
        <w:rPr>
          <w:rFonts w:ascii="Times New Roman" w:hAnsi="Times New Roman" w:cs="Times New Roman" w:eastAsia="Times New Roman" w:hint="default"/>
        </w:rPr>
        <w:t>562</w:t>
      </w:r>
      <w:r>
        <w:rPr/>
        <w:t>万元。上述增资额业经深圳市鹏城会计师 事务所有限公司深鹏所验字〔</w:t>
      </w:r>
      <w:r>
        <w:rPr>
          <w:rFonts w:ascii="Times New Roman" w:hAnsi="Times New Roman" w:cs="Times New Roman" w:eastAsia="Times New Roman" w:hint="default"/>
        </w:rPr>
        <w:t>2006</w:t>
      </w:r>
      <w:r>
        <w:rPr/>
        <w:t>〕第</w:t>
      </w:r>
      <w:r>
        <w:rPr>
          <w:rFonts w:ascii="Times New Roman" w:hAnsi="Times New Roman" w:cs="Times New Roman" w:eastAsia="Times New Roman" w:hint="default"/>
        </w:rPr>
        <w:t>127</w:t>
      </w:r>
      <w:r>
        <w:rPr/>
        <w:t>号《验资报告》验证。</w:t>
      </w:r>
    </w:p>
    <w:p>
      <w:pPr>
        <w:pStyle w:val="BodyText"/>
        <w:spacing w:line="300" w:lineRule="auto" w:before="13"/>
        <w:ind w:right="240" w:firstLine="360"/>
        <w:jc w:val="left"/>
      </w:pPr>
      <w:r>
        <w:rPr/>
        <w:t>根据公司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2006</w:t>
      </w:r>
      <w:r>
        <w:rPr/>
        <w:t>年股东大会决议，并经</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日中国证券监督管理委员会证监发行字 </w:t>
      </w:r>
      <w:r>
        <w:rPr>
          <w:rFonts w:ascii="Times New Roman" w:hAnsi="Times New Roman" w:cs="Times New Roman" w:eastAsia="Times New Roman" w:hint="default"/>
        </w:rPr>
        <w:t>[2007]441</w:t>
      </w:r>
      <w:r>
        <w:rPr/>
        <w:t>号文《关于核准深圳市证通电子股份有限公司首次公开发行股票的通知》核准，公司向社会公开发行人民币普通 股</w:t>
      </w:r>
      <w:r>
        <w:rPr>
          <w:rFonts w:ascii="Times New Roman" w:hAnsi="Times New Roman" w:cs="Times New Roman" w:eastAsia="Times New Roman" w:hint="default"/>
        </w:rPr>
        <w:t>2200</w:t>
      </w:r>
      <w:r>
        <w:rPr/>
        <w:t>万股</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，发行后股本增至</w:t>
      </w:r>
      <w:r>
        <w:rPr>
          <w:rFonts w:ascii="Times New Roman" w:hAnsi="Times New Roman" w:cs="Times New Roman" w:eastAsia="Times New Roman" w:hint="default"/>
        </w:rPr>
        <w:t>8,743</w:t>
      </w:r>
      <w:r>
        <w:rPr/>
        <w:t>万股，</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日在深圳证券交易所挂牌交易，股票代码</w:t>
      </w:r>
      <w:r>
        <w:rPr>
          <w:rFonts w:ascii="Times New Roman" w:hAnsi="Times New Roman" w:cs="Times New Roman" w:eastAsia="Times New Roman" w:hint="default"/>
        </w:rPr>
        <w:t>002197</w:t>
      </w:r>
      <w:r>
        <w:rPr/>
        <w:t>。</w:t>
      </w:r>
    </w:p>
    <w:p>
      <w:pPr>
        <w:pStyle w:val="BodyText"/>
        <w:spacing w:line="300" w:lineRule="auto" w:before="13"/>
        <w:ind w:left="153" w:right="199" w:firstLine="360"/>
        <w:jc w:val="right"/>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19</w:t>
      </w:r>
      <w:r>
        <w:rPr>
          <w:spacing w:val="-1"/>
        </w:rPr>
        <w:t>日公司召开</w:t>
      </w:r>
      <w:r>
        <w:rPr>
          <w:rFonts w:ascii="Times New Roman" w:hAnsi="Times New Roman" w:cs="Times New Roman" w:eastAsia="Times New Roman" w:hint="default"/>
          <w:spacing w:val="-1"/>
        </w:rPr>
        <w:t>2009</w:t>
      </w:r>
      <w:r>
        <w:rPr>
          <w:spacing w:val="-1"/>
        </w:rPr>
        <w:t>年股东大会决议：公司以股本</w:t>
      </w:r>
      <w:r>
        <w:rPr>
          <w:rFonts w:ascii="Times New Roman" w:hAnsi="Times New Roman" w:cs="Times New Roman" w:eastAsia="Times New Roman" w:hint="default"/>
          <w:spacing w:val="-1"/>
        </w:rPr>
        <w:t>8,743</w:t>
      </w:r>
      <w:r>
        <w:rPr>
          <w:spacing w:val="-1"/>
        </w:rPr>
        <w:t>万股为基数以资本公积向全体股东每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5</w:t>
      </w:r>
      <w:r>
        <w:rPr>
          <w:spacing w:val="-1"/>
        </w:rPr>
        <w:t>股，转</w:t>
      </w:r>
      <w:r>
        <w:rPr/>
        <w:t> </w:t>
      </w:r>
      <w:r>
        <w:rPr>
          <w:spacing w:val="-1"/>
        </w:rPr>
        <w:t>增后公司股本增至</w:t>
      </w:r>
      <w:r>
        <w:rPr>
          <w:rFonts w:ascii="Times New Roman" w:hAnsi="Times New Roman" w:cs="Times New Roman" w:eastAsia="Times New Roman" w:hint="default"/>
          <w:spacing w:val="-1"/>
        </w:rPr>
        <w:t>13,114.5</w:t>
      </w:r>
      <w:r>
        <w:rPr>
          <w:spacing w:val="-1"/>
        </w:rPr>
        <w:t>万元。上述增资额业经深圳市鹏城会计师事务所有限公司深鹏所验字</w:t>
      </w:r>
      <w:r>
        <w:rPr>
          <w:rFonts w:ascii="Times New Roman" w:hAnsi="Times New Roman" w:cs="Times New Roman" w:eastAsia="Times New Roman" w:hint="default"/>
          <w:spacing w:val="-1"/>
        </w:rPr>
        <w:t>[2009]65</w:t>
      </w:r>
      <w:r>
        <w:rPr>
          <w:spacing w:val="-1"/>
        </w:rPr>
        <w:t>号验资报告验证。</w:t>
      </w:r>
      <w:r>
        <w:rPr/>
        <w:t>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日公司</w:t>
      </w:r>
      <w:r>
        <w:rPr>
          <w:rFonts w:ascii="Times New Roman" w:hAnsi="Times New Roman" w:cs="Times New Roman" w:eastAsia="Times New Roman" w:hint="default"/>
        </w:rPr>
        <w:t>2010</w:t>
      </w:r>
      <w:r>
        <w:rPr/>
        <w:t>年股东大会决议：公司以股本</w:t>
      </w:r>
      <w:r>
        <w:rPr>
          <w:rFonts w:ascii="Times New Roman" w:hAnsi="Times New Roman" w:cs="Times New Roman" w:eastAsia="Times New Roman" w:hint="default"/>
        </w:rPr>
        <w:t>13,114.5</w:t>
      </w:r>
      <w:r>
        <w:rPr/>
        <w:t>万股为基数以资本公积向全体股东每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w:t>
      </w:r>
      <w:r>
        <w:rPr>
          <w:spacing w:val="-4"/>
        </w:rPr>
        <w:t> </w:t>
      </w:r>
      <w:r>
        <w:rPr/>
        <w:t>，转增 </w:t>
      </w:r>
      <w:r>
        <w:rPr>
          <w:spacing w:val="-1"/>
        </w:rPr>
        <w:t>后公司股本增至</w:t>
      </w:r>
      <w:r>
        <w:rPr>
          <w:rFonts w:ascii="Times New Roman" w:hAnsi="Times New Roman" w:cs="Times New Roman" w:eastAsia="Times New Roman" w:hint="default"/>
          <w:spacing w:val="-1"/>
        </w:rPr>
        <w:t>20,983.2</w:t>
      </w:r>
      <w:r>
        <w:rPr>
          <w:spacing w:val="-1"/>
        </w:rPr>
        <w:t>万元。上述增资额业经深圳市鹏城会计师事务所验字</w:t>
      </w:r>
      <w:r>
        <w:rPr>
          <w:rFonts w:ascii="Times New Roman" w:hAnsi="Times New Roman" w:cs="Times New Roman" w:eastAsia="Times New Roman" w:hint="default"/>
          <w:spacing w:val="-1"/>
        </w:rPr>
        <w:t>[2011]0217</w:t>
      </w:r>
      <w:r>
        <w:rPr>
          <w:spacing w:val="-1"/>
        </w:rPr>
        <w:t>号验资报告验证，并已办理工商变</w:t>
      </w:r>
    </w:p>
    <w:p>
      <w:pPr>
        <w:pStyle w:val="BodyText"/>
        <w:spacing w:line="240" w:lineRule="auto" w:before="13"/>
        <w:ind w:right="90"/>
        <w:jc w:val="left"/>
      </w:pPr>
      <w:r>
        <w:rPr/>
        <w:t>更手续。</w:t>
      </w:r>
    </w:p>
    <w:p>
      <w:pPr>
        <w:pStyle w:val="BodyText"/>
        <w:spacing w:line="312" w:lineRule="auto" w:before="76"/>
        <w:ind w:right="107" w:firstLine="360"/>
        <w:jc w:val="left"/>
      </w:pPr>
      <w:r>
        <w:rPr/>
        <w:t>经营范围：计算机软件、硬件、外围设备，自助服务设备和机具、打印设备的研发、生产、销售；，支付设备（有线、 无线固定电话机，固网、移动支付电话设备，</w:t>
      </w:r>
      <w:r>
        <w:rPr>
          <w:rFonts w:ascii="Times New Roman" w:hAnsi="Times New Roman" w:cs="Times New Roman" w:eastAsia="Times New Roman" w:hint="default"/>
        </w:rPr>
        <w:t>POS</w:t>
      </w:r>
      <w:r>
        <w:rPr/>
        <w:t>，</w:t>
      </w:r>
      <w:r>
        <w:rPr>
          <w:rFonts w:ascii="Times New Roman" w:hAnsi="Times New Roman" w:cs="Times New Roman" w:eastAsia="Times New Roman" w:hint="default"/>
        </w:rPr>
        <w:t>ATM</w:t>
      </w:r>
      <w:r>
        <w:rPr/>
        <w:t>，现金出纳机）和支付系统的销售及营销推广服务；经国家密码 </w:t>
      </w:r>
      <w:r>
        <w:rPr>
          <w:spacing w:val="-2"/>
        </w:rPr>
        <w:t>管理机构批准的商用密码产品的开发、生产、销售、维护保养及相关技术咨询和运营维护（以上均不含限制项目）；系统集</w:t>
      </w:r>
      <w:r>
        <w:rPr>
          <w:spacing w:val="-68"/>
        </w:rPr>
        <w:t> </w:t>
      </w:r>
      <w:r>
        <w:rPr>
          <w:spacing w:val="-68"/>
        </w:rPr>
      </w:r>
      <w:r>
        <w:rPr>
          <w:spacing w:val="-2"/>
        </w:rPr>
        <w:t>成、软件外包开发服务；</w:t>
      </w:r>
      <w:r>
        <w:rPr>
          <w:rFonts w:ascii="Times New Roman" w:hAnsi="Times New Roman" w:cs="Times New Roman" w:eastAsia="Times New Roman" w:hint="default"/>
          <w:spacing w:val="-2"/>
        </w:rPr>
        <w:t>IC</w:t>
      </w:r>
      <w:r>
        <w:rPr>
          <w:spacing w:val="-2"/>
        </w:rPr>
        <w:t>卡读写器的研发、生产、销售；</w:t>
      </w:r>
      <w:r>
        <w:rPr>
          <w:rFonts w:ascii="Times New Roman" w:hAnsi="Times New Roman" w:cs="Times New Roman" w:eastAsia="Times New Roman" w:hint="default"/>
          <w:spacing w:val="-2"/>
        </w:rPr>
        <w:t>LED</w:t>
      </w:r>
      <w:r>
        <w:rPr>
          <w:spacing w:val="-2"/>
        </w:rPr>
        <w:t>照明、风光发电设备、太阳能应用系统及相关应用工程的研</w:t>
      </w:r>
      <w:r>
        <w:rPr>
          <w:spacing w:val="-55"/>
        </w:rPr>
        <w:t> </w:t>
      </w:r>
      <w:r>
        <w:rPr>
          <w:spacing w:val="-55"/>
        </w:rPr>
      </w:r>
      <w:r>
        <w:rPr/>
        <w:t>发、生产、销售；汽车电子产品的研发、生产、销售；自有房屋租赁；能源管理方案的设计和实施及运营；节能方案咨询； </w:t>
      </w:r>
      <w:r>
        <w:rPr>
          <w:rFonts w:ascii="Times New Roman" w:hAnsi="Times New Roman" w:cs="Times New Roman" w:eastAsia="Times New Roman" w:hint="default"/>
        </w:rPr>
        <w:t>EMC</w:t>
      </w:r>
      <w:r>
        <w:rPr/>
        <w:t>合同能源管理服务；进出口业务（具体按深贸管登证字第</w:t>
      </w:r>
      <w:r>
        <w:rPr>
          <w:rFonts w:ascii="Times New Roman" w:hAnsi="Times New Roman" w:cs="Times New Roman" w:eastAsia="Times New Roman" w:hint="default"/>
        </w:rPr>
        <w:t>2001-101</w:t>
      </w:r>
      <w:r>
        <w:rPr/>
        <w:t>号资格证书办）。</w:t>
      </w:r>
    </w:p>
    <w:p>
      <w:pPr>
        <w:pStyle w:val="BodyText"/>
        <w:spacing w:line="300" w:lineRule="auto" w:before="3"/>
        <w:ind w:left="514" w:right="2171"/>
        <w:jc w:val="left"/>
      </w:pPr>
      <w:r>
        <w:rPr/>
        <w:t>公司主要从事金融自助服务终端</w:t>
      </w:r>
      <w:r>
        <w:rPr>
          <w:spacing w:val="-1"/>
        </w:rPr>
        <w:t> </w:t>
      </w:r>
      <w:r>
        <w:rPr/>
        <w:t>、金融支付终端设备、</w:t>
      </w:r>
      <w:r>
        <w:rPr>
          <w:rFonts w:ascii="Times New Roman" w:hAnsi="Times New Roman" w:cs="Times New Roman" w:eastAsia="Times New Roman" w:hint="default"/>
        </w:rPr>
        <w:t>LED</w:t>
      </w:r>
      <w:r>
        <w:rPr/>
        <w:t>照明产品等开发、生产和销售。 公司注册地</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深圳市南山区南油天安工业村</w:t>
      </w:r>
      <w:r>
        <w:rPr>
          <w:rFonts w:ascii="Times New Roman" w:hAnsi="Times New Roman" w:cs="Times New Roman" w:eastAsia="Times New Roman" w:hint="default"/>
        </w:rPr>
        <w:t>8</w:t>
      </w:r>
      <w:r>
        <w:rPr/>
        <w:t>座</w:t>
      </w:r>
      <w:r>
        <w:rPr>
          <w:rFonts w:ascii="Times New Roman" w:hAnsi="Times New Roman" w:cs="Times New Roman" w:eastAsia="Times New Roman" w:hint="default"/>
        </w:rPr>
        <w:t>3A</w:t>
      </w:r>
      <w:r>
        <w:rPr/>
        <w:t>单元。</w:t>
      </w:r>
    </w:p>
    <w:p>
      <w:pPr>
        <w:spacing w:line="240" w:lineRule="auto" w:before="5"/>
        <w:rPr>
          <w:rFonts w:ascii="宋体" w:hAnsi="宋体" w:cs="宋体" w:eastAsia="宋体" w:hint="default"/>
          <w:sz w:val="20"/>
          <w:szCs w:val="20"/>
        </w:rPr>
      </w:pPr>
    </w:p>
    <w:p>
      <w:pPr>
        <w:pStyle w:val="Heading2"/>
        <w:spacing w:line="240" w:lineRule="auto"/>
        <w:ind w:right="90"/>
        <w:jc w:val="left"/>
        <w:rPr>
          <w:b w:val="0"/>
          <w:bCs w:val="0"/>
        </w:rPr>
      </w:pPr>
      <w:r>
        <w:rPr/>
        <w:t>四、公司主要会计政策、会计估计和前期差错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98" w:firstLine="360"/>
        <w:jc w:val="both"/>
      </w:pPr>
      <w:r>
        <w:rPr/>
        <w:t>公司以持续经营为基础，根据实际发生的交易和事项，按照财政部于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日颁布的《企业会计准则——基本准 则》和</w:t>
      </w:r>
      <w:r>
        <w:rPr>
          <w:rFonts w:ascii="Times New Roman" w:hAnsi="Times New Roman" w:cs="Times New Roman" w:eastAsia="Times New Roman" w:hint="default"/>
        </w:rPr>
        <w:t>38</w:t>
      </w:r>
      <w:r>
        <w:rPr/>
        <w:t>项具体会计准则、其后颁布的企业会计准则应用指南、企业会计准则解释及其他相关规定</w:t>
      </w:r>
      <w:r>
        <w:rPr>
          <w:rFonts w:ascii="Times New Roman" w:hAnsi="Times New Roman" w:cs="Times New Roman" w:eastAsia="Times New Roman" w:hint="default"/>
        </w:rPr>
        <w:t>(</w:t>
      </w:r>
      <w:r>
        <w:rPr/>
        <w:t>以下合称“企业会计准 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44"/>
        </w:rPr>
        <w:t> </w:t>
      </w:r>
      <w:r>
        <w:rPr/>
        <w:t>号——财务报告的一般规定》</w:t>
      </w:r>
      <w:r>
        <w:rPr>
          <w:rFonts w:ascii="Times New Roman" w:hAnsi="Times New Roman" w:cs="Times New Roman" w:eastAsia="Times New Roman" w:hint="default"/>
        </w:rPr>
        <w:t>(2010</w:t>
      </w:r>
      <w:r>
        <w:rPr/>
        <w:t>年 修订</w:t>
      </w:r>
      <w:r>
        <w:rPr>
          <w:rFonts w:ascii="Times New Roman" w:hAnsi="Times New Roman" w:cs="Times New Roman" w:eastAsia="Times New Roman" w:hint="default"/>
        </w:rPr>
        <w:t>)</w:t>
      </w:r>
      <w:r>
        <w:rPr/>
        <w:t>的披露规定编制财务报表。</w:t>
      </w:r>
    </w:p>
    <w:p>
      <w:pPr>
        <w:spacing w:after="0" w:line="300" w:lineRule="auto"/>
        <w:jc w:val="both"/>
        <w:sectPr>
          <w:headerReference w:type="default" r:id="rId19"/>
          <w:footerReference w:type="default" r:id="rId20"/>
          <w:pgSz w:w="11910" w:h="16840"/>
          <w:pgMar w:header="877" w:footer="982" w:top="1100" w:bottom="1180" w:left="980" w:right="940"/>
          <w:pgNumType w:start="70"/>
        </w:sectPr>
      </w:pPr>
    </w:p>
    <w:p>
      <w:pPr>
        <w:spacing w:line="240" w:lineRule="auto" w:before="10"/>
        <w:rPr>
          <w:rFonts w:ascii="宋体" w:hAnsi="宋体" w:cs="宋体" w:eastAsia="宋体" w:hint="default"/>
          <w:sz w:val="20"/>
          <w:szCs w:val="20"/>
        </w:rPr>
      </w:pPr>
    </w:p>
    <w:p>
      <w:pPr>
        <w:pStyle w:val="Heading3"/>
        <w:spacing w:line="240" w:lineRule="auto" w:before="35"/>
        <w:ind w:right="0"/>
        <w:jc w:val="both"/>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360"/>
        <w:jc w:val="left"/>
      </w:pPr>
      <w:r>
        <w:rPr>
          <w:spacing w:val="-2"/>
        </w:rPr>
        <w:t>公司所编制的财务报表符合企业会计准则的要求，真实、完整地反映了报告期公司的财务状况、经营成果、现金流量等</w:t>
      </w:r>
      <w:r>
        <w:rPr/>
        <w:t> 有关信息。</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pPr>
      <w:r>
        <w:rPr/>
        <w:t>采用人民币为记账本位币。</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360"/>
        <w:jc w:val="left"/>
      </w:pPr>
      <w:r>
        <w:rPr>
          <w:spacing w:val="-2"/>
        </w:rPr>
        <w:t>本公司在企业合并中取得的资产和负债，按照合并日在被合并方的账面价值计量。被合并各方采用的会计政策与本公司</w:t>
      </w:r>
      <w:r>
        <w:rPr/>
        <w:t> 不一致的，本公司在合并日按照本公司会计政策进行调整，在此基础上按照调整后的账面价值确认。</w:t>
      </w:r>
    </w:p>
    <w:p>
      <w:pPr>
        <w:pStyle w:val="BodyText"/>
        <w:spacing w:line="316" w:lineRule="auto" w:before="18"/>
        <w:ind w:left="153" w:right="90" w:firstLine="360"/>
        <w:jc w:val="left"/>
      </w:pPr>
      <w:r>
        <w:rPr>
          <w:spacing w:val="-2"/>
        </w:rPr>
        <w:t>在合并中取得的净资产账面价值与支付的合并对价账面价值（或发行股份面值总额）的差额，调整资本公积中的股本溢</w:t>
      </w:r>
      <w:r>
        <w:rPr/>
        <w:t> 价，资本公积中的股本溢价不足冲减的，调整留存收益。</w:t>
      </w:r>
    </w:p>
    <w:p>
      <w:pPr>
        <w:pStyle w:val="BodyText"/>
        <w:spacing w:line="316" w:lineRule="auto" w:before="18"/>
        <w:ind w:left="153" w:right="90" w:firstLine="360"/>
        <w:jc w:val="left"/>
      </w:pPr>
      <w:r>
        <w:rPr>
          <w:spacing w:val="-4"/>
        </w:rPr>
        <w:t>本公司为进行企业合并而发生的各项直接相关费用，包括为进行企业合并而支付的审计费用、评估费用、法律服务费等，</w:t>
      </w:r>
      <w:r>
        <w:rPr/>
        <w:t> 于发生时计入当期损益。</w:t>
      </w:r>
    </w:p>
    <w:p>
      <w:pPr>
        <w:pStyle w:val="BodyText"/>
        <w:spacing w:line="240" w:lineRule="auto" w:before="18"/>
        <w:ind w:left="513" w:right="0"/>
        <w:jc w:val="left"/>
      </w:pPr>
      <w:r>
        <w:rPr/>
        <w:t>企业合并中发行权益性证券发生的手续费、佣金等，抵减权益性证券溢价收入，溢价收入不足冲减的，冲减留存收益。</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90" w:firstLine="360"/>
        <w:jc w:val="left"/>
      </w:pPr>
      <w:r>
        <w:rPr>
          <w:spacing w:val="-4"/>
        </w:rPr>
        <w:t>本公司在购买日对作为企业合并对价付出的资产、发生或承担的负债按照公允价值计量。公允价值与其账面价值的差额，</w:t>
      </w:r>
      <w:r>
        <w:rPr/>
        <w:t> 计入当期损益。</w:t>
      </w:r>
    </w:p>
    <w:p>
      <w:pPr>
        <w:pStyle w:val="BodyText"/>
        <w:spacing w:line="316" w:lineRule="auto" w:before="18"/>
        <w:ind w:left="513" w:right="90"/>
        <w:jc w:val="left"/>
      </w:pPr>
      <w:r>
        <w:rPr/>
        <w:t>本公司在购买日对合并成本进行分配，确认所取得的被购买方各项可辨认资产、负债及或有负债的公允价值。 </w:t>
      </w:r>
      <w:r>
        <w:rPr>
          <w:spacing w:val="-2"/>
        </w:rPr>
        <w:t>本公司对合并成本大于合并中取得的被购买方可辨认净资产公允价值份额的差额，确认为商誉；合并成本小于合并中取</w:t>
      </w:r>
    </w:p>
    <w:p>
      <w:pPr>
        <w:pStyle w:val="BodyText"/>
        <w:spacing w:line="316" w:lineRule="auto" w:before="18"/>
        <w:ind w:left="513" w:right="90" w:hanging="360"/>
        <w:jc w:val="left"/>
      </w:pPr>
      <w:r>
        <w:rPr/>
        <w:t>得的被购买方可辨认净资产公允价值份额的差额，经复核后，计入当期损益。 </w:t>
      </w:r>
      <w:r>
        <w:rPr>
          <w:spacing w:val="-2"/>
        </w:rPr>
        <w:t>企业合并中取得的被购买方除无形资产外的其他各项资产（不仅限于被购买方原已确认的资产），其所带来的经济利益</w:t>
      </w:r>
    </w:p>
    <w:p>
      <w:pPr>
        <w:pStyle w:val="BodyText"/>
        <w:spacing w:line="316" w:lineRule="auto" w:before="18"/>
        <w:ind w:left="153" w:right="189"/>
        <w:jc w:val="both"/>
      </w:pPr>
      <w:r>
        <w:rPr>
          <w:spacing w:val="-2"/>
        </w:rPr>
        <w:t>很可能流入本公司且公允价值能够可靠计量的，单独确认并按公允价值计量；公允价值能够可靠计量的无形资产，单独确认</w:t>
      </w:r>
      <w:r>
        <w:rPr>
          <w:spacing w:val="-66"/>
        </w:rPr>
        <w:t> </w:t>
      </w:r>
      <w:r>
        <w:rPr>
          <w:spacing w:val="-66"/>
        </w:rPr>
      </w:r>
      <w:r>
        <w:rPr>
          <w:spacing w:val="-2"/>
        </w:rPr>
        <w:t>为无形资产并按公允价值计量；取得的被购买方除或有负债以外的其他各项负债，履行有关义务很可能导致经济利益流出本</w:t>
      </w:r>
      <w:r>
        <w:rPr>
          <w:spacing w:val="-64"/>
        </w:rPr>
        <w:t> </w:t>
      </w:r>
      <w:r>
        <w:rPr>
          <w:spacing w:val="-64"/>
        </w:rPr>
      </w:r>
      <w:r>
        <w:rPr>
          <w:spacing w:val="-2"/>
        </w:rPr>
        <w:t>公司且公允价值能够可靠计量的，单独确认并按照公允价值计量；取得的被购买方或有负债，其公允价值能可靠计量的，单</w:t>
      </w:r>
      <w:r>
        <w:rPr>
          <w:spacing w:val="-66"/>
        </w:rPr>
        <w:t> </w:t>
      </w:r>
      <w:r>
        <w:rPr>
          <w:spacing w:val="-66"/>
        </w:rPr>
      </w:r>
      <w:r>
        <w:rPr/>
        <w:t>独确认为负债并按照公允价值计量。</w:t>
      </w:r>
    </w:p>
    <w:p>
      <w:pPr>
        <w:pStyle w:val="BodyText"/>
        <w:spacing w:line="312" w:lineRule="auto" w:before="18"/>
        <w:ind w:left="153" w:right="91" w:firstLine="360"/>
        <w:jc w:val="left"/>
      </w:pPr>
      <w:r>
        <w:rPr/>
        <w:t>本公司在企业合并中取得的被购买方的可抵扣暂时性差异，在购买日不符合递延所得税资产确认条件的，不予以确认。 </w:t>
      </w:r>
      <w:r>
        <w:rPr>
          <w:spacing w:val="-2"/>
        </w:rPr>
        <w:t>购买日后</w:t>
      </w:r>
      <w:r>
        <w:rPr>
          <w:rFonts w:ascii="Times New Roman" w:hAnsi="Times New Roman" w:cs="Times New Roman" w:eastAsia="Times New Roman" w:hint="default"/>
          <w:spacing w:val="-2"/>
        </w:rPr>
        <w:t>12</w:t>
      </w:r>
      <w:r>
        <w:rPr>
          <w:spacing w:val="-2"/>
        </w:rPr>
        <w:t>个月内，如取得新的或进一步的信息表明购买日的相关情况已经存在，预期被购买方在购买日可抵扣暂时性差异</w:t>
      </w:r>
      <w:r>
        <w:rPr>
          <w:spacing w:val="-62"/>
        </w:rPr>
        <w:t> </w:t>
      </w:r>
      <w:r>
        <w:rPr>
          <w:spacing w:val="-62"/>
        </w:rPr>
      </w:r>
      <w:r>
        <w:rPr>
          <w:spacing w:val="-2"/>
        </w:rPr>
        <w:t>带来的经济利益能够实现的，确认相关的递延所得税资产，同时减少商誉，商誉不足冲减的，差额部分确认为当期损益；除</w:t>
      </w:r>
      <w:r>
        <w:rPr>
          <w:spacing w:val="-66"/>
        </w:rPr>
        <w:t> </w:t>
      </w:r>
      <w:r>
        <w:rPr>
          <w:spacing w:val="-66"/>
        </w:rPr>
      </w:r>
      <w:r>
        <w:rPr/>
        <w:t>上述情况以外，确认与企业合并相关的递延所得税资产，计入当期损益。</w:t>
      </w:r>
    </w:p>
    <w:p>
      <w:pPr>
        <w:pStyle w:val="BodyText"/>
        <w:spacing w:line="316" w:lineRule="auto" w:before="22"/>
        <w:ind w:left="153" w:right="189" w:firstLine="360"/>
        <w:jc w:val="both"/>
      </w:pPr>
      <w:r>
        <w:rPr>
          <w:spacing w:val="-2"/>
        </w:rPr>
        <w:t>非同一控制下企业合并，购买方为企业合并发生的审计、法律服务、评估咨询等中介费用以及其他相关管理费用，应当</w:t>
      </w:r>
      <w:r>
        <w:rPr/>
        <w:t> </w:t>
      </w:r>
      <w:r>
        <w:rPr>
          <w:spacing w:val="-2"/>
        </w:rPr>
        <w:t>于发生时计入当期损益；购买方作为合并对价发行的权益性证券或债务性证券的交易费用，应当计入权益性证券或债务性证</w:t>
      </w:r>
      <w:r>
        <w:rPr>
          <w:spacing w:val="-64"/>
        </w:rPr>
        <w:t> </w:t>
      </w:r>
      <w:r>
        <w:rPr>
          <w:spacing w:val="-64"/>
        </w:rPr>
      </w:r>
      <w:r>
        <w:rPr/>
        <w:t>券的初始确认金额。</w:t>
      </w:r>
    </w:p>
    <w:p>
      <w:pPr>
        <w:spacing w:after="0" w:line="316" w:lineRule="auto"/>
        <w:jc w:val="both"/>
        <w:sectPr>
          <w:pgSz w:w="11910" w:h="16840"/>
          <w:pgMar w:header="877" w:footer="982" w:top="1100" w:bottom="1180" w:left="980" w:right="940"/>
        </w:sectPr>
      </w:pPr>
    </w:p>
    <w:p>
      <w:pPr>
        <w:spacing w:line="240" w:lineRule="auto" w:before="10"/>
        <w:rPr>
          <w:rFonts w:ascii="宋体" w:hAnsi="宋体" w:cs="宋体" w:eastAsia="宋体" w:hint="default"/>
          <w:sz w:val="20"/>
          <w:szCs w:val="20"/>
        </w:rPr>
      </w:pPr>
    </w:p>
    <w:p>
      <w:pPr>
        <w:pStyle w:val="Heading3"/>
        <w:spacing w:line="240" w:lineRule="auto" w:before="35"/>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90"/>
        <w:jc w:val="left"/>
      </w:pPr>
      <w:r>
        <w:rPr/>
        <w:t>本公司合并财务报表的合并范围以控制为基础确定，所有子公司均纳入合并财务报表。 </w:t>
      </w:r>
      <w:r>
        <w:rPr>
          <w:spacing w:val="-2"/>
        </w:rPr>
        <w:t>所有纳入合并财务报表合并范围的子公司所采用的会计政策、会计期间与本公司一致，如子公司采用的会计政策、会计</w:t>
      </w:r>
    </w:p>
    <w:p>
      <w:pPr>
        <w:pStyle w:val="BodyText"/>
        <w:spacing w:line="316" w:lineRule="auto" w:before="18"/>
        <w:ind w:left="153" w:right="189"/>
        <w:jc w:val="both"/>
      </w:pPr>
      <w:r>
        <w:rPr>
          <w:spacing w:val="-2"/>
        </w:rPr>
        <w:t>期间与本公司不一致的，在编制合并财务报表时，按本公司的会计政策、会计期间进行必要的调整。对于非同一控制下企业</w:t>
      </w:r>
      <w:r>
        <w:rPr>
          <w:spacing w:val="-66"/>
        </w:rPr>
        <w:t> </w:t>
      </w:r>
      <w:r>
        <w:rPr>
          <w:spacing w:val="-66"/>
        </w:rPr>
      </w:r>
      <w:r>
        <w:rPr>
          <w:spacing w:val="-2"/>
        </w:rPr>
        <w:t>合并取得的子公司，以购买日可辨认净资产公允价值为基础对其财务报表进行调整。合并财务报表以本公司及子公司的财务</w:t>
      </w:r>
      <w:r>
        <w:rPr>
          <w:spacing w:val="-64"/>
        </w:rPr>
        <w:t> </w:t>
      </w:r>
      <w:r>
        <w:rPr>
          <w:spacing w:val="-64"/>
        </w:rPr>
      </w:r>
      <w:r>
        <w:rPr/>
        <w:t>报表为基础，根据其他有关资料，按照权益法调整对子公司的长期股权投资后，由本公司编制。</w:t>
      </w:r>
    </w:p>
    <w:p>
      <w:pPr>
        <w:pStyle w:val="BodyText"/>
        <w:spacing w:line="316" w:lineRule="auto" w:before="18"/>
        <w:ind w:left="153" w:right="191" w:firstLine="360"/>
        <w:jc w:val="both"/>
      </w:pPr>
      <w:r>
        <w:rPr>
          <w:spacing w:val="-2"/>
        </w:rPr>
        <w:t>合并财务报表时抵销本公司与各子公司、各子公司相互之间发生的内部交易对合并资产负债表、合并利润表、合并现金</w:t>
      </w:r>
      <w:r>
        <w:rPr/>
        <w:t> 流量表、合并所有者权益变动表的影响。</w:t>
      </w:r>
    </w:p>
    <w:p>
      <w:pPr>
        <w:pStyle w:val="BodyText"/>
        <w:spacing w:line="316" w:lineRule="auto" w:before="18"/>
        <w:ind w:left="153" w:right="91" w:firstLine="360"/>
        <w:jc w:val="left"/>
      </w:pPr>
      <w:r>
        <w:rPr/>
        <w:t>子公司少数股东应占的权益和损益分别在合并资产负债表中所有者权益项目下和合并利润表中净利润项目下单独列示。 子公司少数股东分担的当期亏损超过了少数股东在该子公司期初所有者权益中所享有份额而形成的余额，冲减少数股东权 益。</w:t>
      </w:r>
    </w:p>
    <w:p>
      <w:pPr>
        <w:pStyle w:val="BodyText"/>
        <w:spacing w:line="316" w:lineRule="auto" w:before="18"/>
        <w:ind w:left="153" w:right="189" w:firstLine="360"/>
        <w:jc w:val="both"/>
      </w:pPr>
      <w:r>
        <w:rPr>
          <w:spacing w:val="-2"/>
        </w:rPr>
        <w:t>在报告期内，若因同一控制下企业合并增加子公司的，则调整合并资产负债表的年初余额；将子公司合并当期期初至报</w:t>
      </w:r>
      <w:r>
        <w:rPr/>
        <w:t> </w:t>
      </w:r>
      <w:r>
        <w:rPr>
          <w:spacing w:val="-2"/>
        </w:rPr>
        <w:t>告年末的收入、费用、利润纳入合并利润表；将子公司合并当期期初至报告年末的现金流量纳入合并现金流量表，同时对比</w:t>
      </w:r>
      <w:r>
        <w:rPr>
          <w:spacing w:val="-66"/>
        </w:rPr>
        <w:t> </w:t>
      </w:r>
      <w:r>
        <w:rPr>
          <w:spacing w:val="-66"/>
        </w:rPr>
      </w:r>
      <w:r>
        <w:rPr/>
        <w:t>较报表的相关项目进行调整，视同合并后的报告主体在以前期间一直存在。</w:t>
      </w:r>
    </w:p>
    <w:p>
      <w:pPr>
        <w:pStyle w:val="BodyText"/>
        <w:spacing w:line="316" w:lineRule="auto" w:before="18"/>
        <w:ind w:left="153" w:right="189" w:firstLine="360"/>
        <w:jc w:val="both"/>
      </w:pPr>
      <w:r>
        <w:rPr>
          <w:spacing w:val="-2"/>
        </w:rPr>
        <w:t>在报告期内，若因非同一控制下企业合并增加子公司的，则不调整合并资产负债表年初余额；将子公司自购买日至报告</w:t>
      </w:r>
      <w:r>
        <w:rPr/>
        <w:t> </w:t>
      </w:r>
      <w:r>
        <w:rPr>
          <w:spacing w:val="-2"/>
        </w:rPr>
        <w:t>年末的收入、费用、利润纳入合并利润表；该子公司自购买日至报告年末的现金流量纳入合并现金流量表。通过多次交易分</w:t>
      </w:r>
      <w:r>
        <w:rPr>
          <w:spacing w:val="-66"/>
        </w:rPr>
        <w:t> </w:t>
      </w:r>
      <w:r>
        <w:rPr>
          <w:spacing w:val="-66"/>
        </w:rPr>
      </w:r>
      <w:r>
        <w:rPr>
          <w:spacing w:val="-2"/>
        </w:rPr>
        <w:t>步实现非同一控制下企业合并时，对于购买日之前持有的被购买方的股权，本公司按照该股权在购买日的公允价值进行重新</w:t>
      </w:r>
      <w:r>
        <w:rPr>
          <w:spacing w:val="-64"/>
        </w:rPr>
        <w:t> </w:t>
      </w:r>
      <w:r>
        <w:rPr>
          <w:spacing w:val="-64"/>
        </w:rPr>
      </w:r>
      <w:r>
        <w:rPr>
          <w:spacing w:val="-2"/>
        </w:rPr>
        <w:t>计量，公允价值与其账面价值的差额计入当期投资收益。购买日之前持有的被购买方的股权涉及其他综合收益的，与其相关</w:t>
      </w:r>
      <w:r>
        <w:rPr>
          <w:spacing w:val="-66"/>
        </w:rPr>
        <w:t> </w:t>
      </w:r>
      <w:r>
        <w:rPr>
          <w:spacing w:val="-66"/>
        </w:rPr>
      </w:r>
      <w:r>
        <w:rPr/>
        <w:t>的其他综合收益转为购买日所属当期投资收益。</w:t>
      </w:r>
    </w:p>
    <w:p>
      <w:pPr>
        <w:pStyle w:val="BodyText"/>
        <w:spacing w:line="316" w:lineRule="auto" w:before="18"/>
        <w:ind w:left="153" w:right="190" w:firstLine="360"/>
        <w:jc w:val="both"/>
      </w:pPr>
      <w:r>
        <w:rPr>
          <w:spacing w:val="-2"/>
        </w:rPr>
        <w:t>在报告期内，本公司处置子公司，则该子公司期初至处置日的收入、费用、利润纳入合并利润表；该子公司期初至处置</w:t>
      </w:r>
      <w:r>
        <w:rPr/>
        <w:t> </w:t>
      </w:r>
      <w:r>
        <w:rPr>
          <w:spacing w:val="-2"/>
        </w:rPr>
        <w:t>日的现金流量纳入合并现金流量表。因处置部分股权投资或其他原因丧失了对原有子公司控制权时，对于处置后的剩余股权</w:t>
      </w:r>
      <w:r>
        <w:rPr>
          <w:spacing w:val="-64"/>
        </w:rPr>
        <w:t> </w:t>
      </w:r>
      <w:r>
        <w:rPr>
          <w:spacing w:val="-64"/>
        </w:rPr>
      </w:r>
      <w:r>
        <w:rPr>
          <w:spacing w:val="-2"/>
        </w:rPr>
        <w:t>投资，本公司按照其在丧失控制权日的公允价值进行重新计量。处置股权取得的对价与剩余股权公允价值之和，减去按原持</w:t>
      </w:r>
      <w:r>
        <w:rPr>
          <w:spacing w:val="-66"/>
        </w:rPr>
        <w:t> </w:t>
      </w:r>
      <w:r>
        <w:rPr>
          <w:spacing w:val="-66"/>
        </w:rPr>
      </w:r>
      <w:r>
        <w:rPr>
          <w:spacing w:val="-2"/>
        </w:rPr>
        <w:t>股比例计算应享有原有子公司自购买日开始持续计算的净资产的份额之间的差额，计入丧失控制权当期的投资收益。与原有</w:t>
      </w:r>
      <w:r>
        <w:rPr>
          <w:spacing w:val="-64"/>
        </w:rPr>
        <w:t> </w:t>
      </w:r>
      <w:r>
        <w:rPr>
          <w:spacing w:val="-64"/>
        </w:rPr>
      </w:r>
      <w:r>
        <w:rPr/>
        <w:t>子公司股权投资相关的其他综合收益，在丧失控制权时转为当期投资收益。</w:t>
      </w:r>
    </w:p>
    <w:p>
      <w:pPr>
        <w:pStyle w:val="BodyText"/>
        <w:spacing w:line="316" w:lineRule="auto" w:before="18"/>
        <w:ind w:left="153" w:right="91" w:firstLine="360"/>
        <w:jc w:val="left"/>
      </w:pPr>
      <w:r>
        <w:rPr/>
        <w:t>本公司因购买少数股权新取得的长期股权投资与按照新增持股比例计算应享有子公司的可辨认净资产份额之间的差额， 以及在不丧失控制权的情况下因部分处置对子公司的股权投资而取得的处置价款与处置长期股权投资相对应享有子公司净 资产份额的差额，均调整合并资产负债表中的资本公积中的股本溢价，资本公积中的股本溢价不足冲减的，调整留存收益。</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90"/>
        <w:jc w:val="left"/>
      </w:pPr>
      <w:r>
        <w:rPr/>
        <w:t>外币业务采用月初的即期汇率作为折算汇率将外币金额折合成人民币记账。 </w:t>
      </w:r>
      <w:r>
        <w:rPr>
          <w:spacing w:val="-2"/>
        </w:rPr>
        <w:t>外币货币性项目余额按资产负债表日即期汇率折算，由此产生的汇兑差额，除属于与购建符合资本化条件的资产相关的</w:t>
      </w:r>
    </w:p>
    <w:p>
      <w:pPr>
        <w:pStyle w:val="BodyText"/>
        <w:spacing w:line="240" w:lineRule="auto" w:before="18"/>
        <w:ind w:left="153" w:right="0"/>
        <w:jc w:val="both"/>
      </w:pPr>
      <w:r>
        <w:rPr/>
        <w:t>外币专门借款产生的汇兑差额按照借款费用资本化的原则处理外，均计入当期损益。以历史成本计量的外币非货币性项目，</w:t>
      </w:r>
    </w:p>
    <w:p>
      <w:pPr>
        <w:spacing w:after="0" w:line="240" w:lineRule="auto"/>
        <w:jc w:val="both"/>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153" w:right="149"/>
        <w:jc w:val="left"/>
      </w:pPr>
      <w:r>
        <w:rPr>
          <w:spacing w:val="-2"/>
        </w:rPr>
        <w:t>仍采用交易发生日的即期汇率折算，不改变其记账本位币金额。以公允价值计量的外币非货币性项目，采用公允价值确定日</w:t>
      </w:r>
      <w:r>
        <w:rPr>
          <w:spacing w:val="-66"/>
        </w:rPr>
        <w:t> </w:t>
      </w:r>
      <w:r>
        <w:rPr>
          <w:spacing w:val="-66"/>
        </w:rPr>
      </w:r>
      <w:r>
        <w:rPr/>
        <w:t>的即期汇率折算，由此产生的汇兑差额计入当期损益或资本公积。</w:t>
      </w:r>
    </w:p>
    <w:p>
      <w:pPr>
        <w:spacing w:line="240" w:lineRule="auto" w:before="7"/>
        <w:rPr>
          <w:rFonts w:ascii="宋体" w:hAnsi="宋体" w:cs="宋体" w:eastAsia="宋体" w:hint="default"/>
          <w:sz w:val="22"/>
          <w:szCs w:val="22"/>
        </w:rPr>
      </w:pPr>
    </w:p>
    <w:p>
      <w:pPr>
        <w:pStyle w:val="Heading3"/>
        <w:spacing w:line="240" w:lineRule="auto"/>
        <w:ind w:right="149"/>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49"/>
        <w:jc w:val="left"/>
      </w:pPr>
      <w:r>
        <w:rPr/>
        <w:t>金融工具包括金融资产、金融负债和权益工具。</w:t>
      </w:r>
    </w:p>
    <w:p>
      <w:pPr>
        <w:spacing w:line="240" w:lineRule="auto" w:before="12"/>
        <w:rPr>
          <w:rFonts w:ascii="宋体" w:hAnsi="宋体" w:cs="宋体" w:eastAsia="宋体" w:hint="default"/>
          <w:sz w:val="26"/>
          <w:szCs w:val="26"/>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49" w:firstLine="360"/>
        <w:jc w:val="left"/>
      </w:pPr>
      <w:r>
        <w:rPr>
          <w:spacing w:val="-2"/>
        </w:rPr>
        <w:t>管理层按照取得持有金融资产和承担金融负债的目的，将其划分为：以公允价值计量且其变动计入当期损益的金融资产</w:t>
      </w:r>
      <w:r>
        <w:rPr/>
        <w:t> 或金融负债，包括交易性金融资产或金融负债；持有至到期投资；应收款项；可供出售金融资产；其他金融负债等。</w:t>
      </w:r>
    </w:p>
    <w:p>
      <w:pPr>
        <w:spacing w:line="240" w:lineRule="auto" w:before="7"/>
        <w:rPr>
          <w:rFonts w:ascii="宋体" w:hAnsi="宋体" w:cs="宋体" w:eastAsia="宋体" w:hint="default"/>
          <w:sz w:val="22"/>
          <w:szCs w:val="22"/>
        </w:rPr>
      </w:pPr>
    </w:p>
    <w:p>
      <w:pPr>
        <w:pStyle w:val="Heading3"/>
        <w:spacing w:line="240" w:lineRule="auto"/>
        <w:ind w:right="149"/>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149"/>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316" w:lineRule="auto" w:before="31"/>
        <w:ind w:left="513" w:right="1851" w:hanging="360"/>
        <w:jc w:val="left"/>
      </w:pPr>
      <w:r>
        <w:rPr/>
        <w:t>的交易费用计入当期损益。 持有期间将取得的利息或现金股利确认为投资收益，年末将公允价值变动计入当期损益。 处置时，其公允价值与初始入账金额之间的差额确认为投资收益，同时调整公允价值变动损益。</w:t>
      </w:r>
    </w:p>
    <w:p>
      <w:pPr>
        <w:pStyle w:val="BodyText"/>
        <w:spacing w:line="309" w:lineRule="auto" w:before="18"/>
        <w:ind w:left="513" w:right="149"/>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w:t>
      </w:r>
    </w:p>
    <w:p>
      <w:pPr>
        <w:pStyle w:val="BodyText"/>
        <w:spacing w:line="316" w:lineRule="auto" w:before="24"/>
        <w:ind w:left="513" w:right="4011" w:hanging="360"/>
        <w:jc w:val="left"/>
      </w:pPr>
      <w:r>
        <w:rPr/>
        <w:t>用的更短期间内保持不变。 处置时，将所取得价款与该投资账面价值之间的差额计入投资收益。</w:t>
      </w:r>
    </w:p>
    <w:p>
      <w:pPr>
        <w:pStyle w:val="BodyText"/>
        <w:spacing w:line="300" w:lineRule="auto" w:before="18"/>
        <w:ind w:left="513" w:right="0"/>
        <w:jc w:val="left"/>
      </w:pPr>
      <w:r>
        <w:rPr/>
        <w:t>（</w:t>
      </w:r>
      <w:r>
        <w:rPr>
          <w:rFonts w:ascii="Times New Roman" w:hAnsi="Times New Roman" w:cs="Times New Roman" w:eastAsia="Times New Roman" w:hint="default"/>
        </w:rPr>
        <w:t>3</w:t>
      </w:r>
      <w:r>
        <w:rPr/>
        <w:t>）应收款项 </w:t>
      </w:r>
      <w:r>
        <w:rPr>
          <w:spacing w:val="-2"/>
        </w:rPr>
        <w:t>公司对外销售商品或提供劳务形成的应收债权，以及公司持有的其他企业的不包括在活跃市场上有报价的债务工具的债</w:t>
      </w:r>
    </w:p>
    <w:p>
      <w:pPr>
        <w:pStyle w:val="BodyText"/>
        <w:spacing w:line="316" w:lineRule="auto" w:before="31"/>
        <w:ind w:left="153" w:right="141"/>
        <w:jc w:val="left"/>
      </w:pPr>
      <w:r>
        <w:rPr/>
        <w:t>权，包括应收账款、其他应收款、 应收票据、预付账款、长期应收款等，以向购货方应收的合同或协议价款作为初始确认 金额；具有融资性质的，按其现值进行初始确认。</w:t>
      </w:r>
    </w:p>
    <w:p>
      <w:pPr>
        <w:pStyle w:val="BodyText"/>
        <w:spacing w:line="240" w:lineRule="auto" w:before="18"/>
        <w:ind w:left="513" w:right="149"/>
        <w:jc w:val="left"/>
      </w:pPr>
      <w:r>
        <w:rPr/>
        <w:t>收回或处置时，将取得的价款与该应收款项账面价值之间的差额计入当期损益。</w:t>
      </w:r>
    </w:p>
    <w:p>
      <w:pPr>
        <w:pStyle w:val="BodyText"/>
        <w:spacing w:line="300" w:lineRule="auto" w:before="76"/>
        <w:ind w:left="513" w:right="149"/>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取得时按公允价值（扣除已宣告但尚未发放的现金股利或已到付息期但尚未领取的债券利息）和相关交易费用之和作为</w:t>
      </w:r>
    </w:p>
    <w:p>
      <w:pPr>
        <w:pStyle w:val="BodyText"/>
        <w:spacing w:line="316" w:lineRule="auto" w:before="31"/>
        <w:ind w:left="513" w:right="149" w:hanging="360"/>
        <w:jc w:val="left"/>
      </w:pPr>
      <w:r>
        <w:rPr/>
        <w:t>初始确认金额。 </w:t>
      </w:r>
      <w:r>
        <w:rPr>
          <w:spacing w:val="-2"/>
        </w:rPr>
        <w:t>持有期间将取得的利息或现金股利确认为投资收益。年末以公允价值计量且将公允价值变动计入资本公积（其他资本公</w:t>
      </w:r>
    </w:p>
    <w:p>
      <w:pPr>
        <w:pStyle w:val="BodyText"/>
        <w:spacing w:line="240" w:lineRule="auto" w:before="18"/>
        <w:ind w:left="153" w:right="149"/>
        <w:jc w:val="left"/>
      </w:pPr>
      <w:r>
        <w:rPr/>
        <w:t>积）。</w:t>
      </w:r>
    </w:p>
    <w:p>
      <w:pPr>
        <w:pStyle w:val="BodyText"/>
        <w:spacing w:line="316" w:lineRule="auto" w:before="76"/>
        <w:ind w:left="153" w:right="0" w:firstLine="360"/>
        <w:jc w:val="left"/>
      </w:pPr>
      <w:r>
        <w:rPr>
          <w:spacing w:val="-2"/>
        </w:rPr>
        <w:t>处置时，将取得的价款与该金融资产账面价值之间的差额，计入投资损益；同时，将原直接计入所有者权益的公允价值</w:t>
      </w:r>
      <w:r>
        <w:rPr/>
        <w:t> 变动累计额对应处置部分的金额转出，计入投资损益。</w:t>
      </w:r>
    </w:p>
    <w:p>
      <w:pPr>
        <w:pStyle w:val="BodyText"/>
        <w:spacing w:line="300" w:lineRule="auto" w:before="18"/>
        <w:ind w:left="513" w:right="2751"/>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8"/>
        <w:rPr>
          <w:rFonts w:ascii="宋体" w:hAnsi="宋体" w:cs="宋体" w:eastAsia="宋体" w:hint="default"/>
          <w:sz w:val="23"/>
          <w:szCs w:val="23"/>
        </w:rPr>
      </w:pPr>
    </w:p>
    <w:p>
      <w:pPr>
        <w:pStyle w:val="Heading3"/>
        <w:spacing w:line="240" w:lineRule="auto"/>
        <w:ind w:right="149"/>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49" w:firstLine="360"/>
        <w:jc w:val="left"/>
      </w:pPr>
      <w:r>
        <w:rPr>
          <w:spacing w:val="-2"/>
        </w:rPr>
        <w:t>公司发生金融资产转移时，如已将金融资产所有权上几乎所有的风险和报酬转移给转入方，则终止确认该金融资产；如</w:t>
      </w:r>
      <w:r>
        <w:rPr/>
        <w:t> 保留了金融资产所有权上几乎所有的风险和报酬的，则不终止确认该金融资产。</w:t>
      </w:r>
    </w:p>
    <w:p>
      <w:pPr>
        <w:spacing w:after="0" w:line="316" w:lineRule="auto"/>
        <w:jc w:val="left"/>
        <w:sectPr>
          <w:footerReference w:type="default" r:id="rId21"/>
          <w:pgSz w:w="11910" w:h="16840"/>
          <w:pgMar w:footer="982" w:header="877" w:top="1100" w:bottom="1180" w:left="980" w:right="980"/>
          <w:pgNumType w:start="73"/>
        </w:sectPr>
      </w:pPr>
    </w:p>
    <w:p>
      <w:pPr>
        <w:spacing w:line="240" w:lineRule="auto" w:before="12"/>
        <w:rPr>
          <w:rFonts w:ascii="宋体" w:hAnsi="宋体" w:cs="宋体" w:eastAsia="宋体" w:hint="default"/>
          <w:sz w:val="21"/>
          <w:szCs w:val="21"/>
        </w:rPr>
      </w:pPr>
    </w:p>
    <w:p>
      <w:pPr>
        <w:pStyle w:val="BodyText"/>
        <w:spacing w:line="316" w:lineRule="auto" w:before="44"/>
        <w:ind w:left="153" w:right="90" w:firstLine="360"/>
        <w:jc w:val="left"/>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pStyle w:val="BodyText"/>
        <w:spacing w:line="240" w:lineRule="auto" w:before="18"/>
        <w:ind w:left="513" w:right="90"/>
        <w:jc w:val="left"/>
      </w:pPr>
      <w:r>
        <w:rPr/>
        <w:t>（</w:t>
      </w:r>
      <w:r>
        <w:rPr>
          <w:rFonts w:ascii="Times New Roman" w:hAnsi="Times New Roman" w:cs="Times New Roman" w:eastAsia="Times New Roman" w:hint="default"/>
        </w:rPr>
        <w:t>1</w:t>
      </w:r>
      <w:r>
        <w:rPr/>
        <w:t>）所转移金融资产的账面价值；</w:t>
      </w:r>
    </w:p>
    <w:p>
      <w:pPr>
        <w:pStyle w:val="BodyText"/>
        <w:spacing w:line="300" w:lineRule="auto" w:before="62"/>
        <w:ind w:left="153" w:right="181" w:firstLine="36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 产的情形）之和。</w:t>
      </w:r>
    </w:p>
    <w:p>
      <w:pPr>
        <w:pStyle w:val="BodyText"/>
        <w:spacing w:line="316" w:lineRule="auto" w:before="31"/>
        <w:ind w:left="153" w:right="91"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8"/>
        <w:ind w:left="513" w:right="90"/>
        <w:jc w:val="left"/>
      </w:pPr>
      <w:r>
        <w:rPr/>
        <w:t>（</w:t>
      </w:r>
      <w:r>
        <w:rPr>
          <w:rFonts w:ascii="Times New Roman" w:hAnsi="Times New Roman" w:cs="Times New Roman" w:eastAsia="Times New Roman" w:hint="default"/>
        </w:rPr>
        <w:t>1</w:t>
      </w:r>
      <w:r>
        <w:rPr/>
        <w:t>）终止确认部分的账面价值；</w:t>
      </w:r>
    </w:p>
    <w:p>
      <w:pPr>
        <w:pStyle w:val="BodyText"/>
        <w:spacing w:line="300" w:lineRule="auto" w:before="62"/>
        <w:ind w:left="153" w:right="181" w:firstLine="36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 金融资产为可供出售金融资产的情形）之和。</w:t>
      </w:r>
    </w:p>
    <w:p>
      <w:pPr>
        <w:pStyle w:val="BodyText"/>
        <w:spacing w:line="240" w:lineRule="auto" w:before="31"/>
        <w:ind w:left="513" w:right="90"/>
        <w:jc w:val="left"/>
      </w:pPr>
      <w:r>
        <w:rPr/>
        <w:t>金融资产转移不满足终止确认条件的，继续确认该金融资产，所收到的对价确认为一项金融负债。</w:t>
      </w:r>
    </w:p>
    <w:p>
      <w:pPr>
        <w:spacing w:line="240" w:lineRule="auto" w:before="13"/>
        <w:rPr>
          <w:rFonts w:ascii="宋体" w:hAnsi="宋体" w:cs="宋体" w:eastAsia="宋体" w:hint="default"/>
          <w:sz w:val="26"/>
          <w:szCs w:val="26"/>
        </w:rPr>
      </w:pPr>
    </w:p>
    <w:p>
      <w:pPr>
        <w:pStyle w:val="Heading3"/>
        <w:spacing w:line="240" w:lineRule="auto"/>
        <w:ind w:right="90"/>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金融负债的现时义务全部或部分已经解除的，则终止确认该金融负债或其一部分；本公司若与债权人签定协议，以承担</w:t>
      </w:r>
      <w:r>
        <w:rPr/>
        <w:t> </w:t>
      </w:r>
      <w:r>
        <w:rPr>
          <w:spacing w:val="-2"/>
        </w:rPr>
        <w:t>新金融负债方式替换现存金融负债，且新金融负债与现存金融负债的合同条款实质上不同的，则终止确认现存金融负债，并</w:t>
      </w:r>
      <w:r>
        <w:rPr>
          <w:spacing w:val="-66"/>
        </w:rPr>
        <w:t> </w:t>
      </w:r>
      <w:r>
        <w:rPr>
          <w:spacing w:val="-66"/>
        </w:rPr>
      </w:r>
      <w:r>
        <w:rPr/>
        <w:t>同时确认新金融负债。</w:t>
      </w:r>
    </w:p>
    <w:p>
      <w:pPr>
        <w:pStyle w:val="BodyText"/>
        <w:spacing w:line="316" w:lineRule="auto" w:before="18"/>
        <w:ind w:left="153" w:right="90"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8"/>
        <w:ind w:left="153" w:right="90"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8"/>
        <w:ind w:left="153" w:right="91"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spacing w:line="240" w:lineRule="auto" w:before="7"/>
        <w:rPr>
          <w:rFonts w:ascii="宋体" w:hAnsi="宋体" w:cs="宋体" w:eastAsia="宋体" w:hint="default"/>
          <w:sz w:val="22"/>
          <w:szCs w:val="22"/>
        </w:rPr>
      </w:pPr>
    </w:p>
    <w:p>
      <w:pPr>
        <w:pStyle w:val="Heading3"/>
        <w:spacing w:line="240" w:lineRule="auto"/>
        <w:ind w:right="90"/>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pPr>
      <w:r>
        <w:rPr/>
        <w:t>本公司采用公允价值计量的金融资产和金融负债全部直接参考活跃市场中的报价。</w:t>
      </w:r>
    </w:p>
    <w:p>
      <w:pPr>
        <w:spacing w:line="240" w:lineRule="auto" w:before="12"/>
        <w:rPr>
          <w:rFonts w:ascii="宋体" w:hAnsi="宋体" w:cs="宋体" w:eastAsia="宋体" w:hint="default"/>
          <w:sz w:val="26"/>
          <w:szCs w:val="26"/>
        </w:rPr>
      </w:pPr>
    </w:p>
    <w:p>
      <w:pPr>
        <w:pStyle w:val="Heading3"/>
        <w:spacing w:line="240" w:lineRule="auto"/>
        <w:ind w:right="90"/>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360"/>
        <w:jc w:val="left"/>
      </w:pPr>
      <w:r>
        <w:rPr>
          <w:spacing w:val="-2"/>
        </w:rPr>
        <w:t>除以公允价值计量且其变动计入当期损益的金融资产外，本公司于资产负债表日对金融资产的账面价值进行检查，如果</w:t>
      </w:r>
      <w:r>
        <w:rPr/>
        <w:t> 有客观证据表明某项金融资产发生减值的，计提减值准备。</w:t>
      </w:r>
    </w:p>
    <w:p>
      <w:pPr>
        <w:pStyle w:val="BodyText"/>
        <w:spacing w:line="300" w:lineRule="auto" w:before="18"/>
        <w:ind w:left="513" w:right="90"/>
        <w:jc w:val="left"/>
      </w:pPr>
      <w:r>
        <w:rPr/>
        <w:t>（</w:t>
      </w:r>
      <w:r>
        <w:rPr>
          <w:rFonts w:ascii="Times New Roman" w:hAnsi="Times New Roman" w:cs="Times New Roman" w:eastAsia="Times New Roman" w:hint="default"/>
        </w:rPr>
        <w:t>1</w:t>
      </w:r>
      <w:r>
        <w:rPr/>
        <w:t>）可供出售金融资产的减值准备： </w:t>
      </w:r>
      <w:r>
        <w:rPr>
          <w:spacing w:val="-2"/>
        </w:rPr>
        <w:t>年末如果可供出售金融资产的公允价值发生严重下降，或在综合考虑各种相关因素后，预期这种下降趋势属于非暂时性</w:t>
      </w:r>
    </w:p>
    <w:p>
      <w:pPr>
        <w:pStyle w:val="BodyText"/>
        <w:spacing w:line="316" w:lineRule="auto" w:before="31"/>
        <w:ind w:left="513" w:right="90" w:hanging="360"/>
        <w:jc w:val="left"/>
      </w:pPr>
      <w:r>
        <w:rPr/>
        <w:t>的，就认定其已发生减值，将原直接计入所有者权益的公允价值下降形成的累计损失一并转出，确认减值损失。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w:t>
      </w:r>
    </w:p>
    <w:p>
      <w:pPr>
        <w:pStyle w:val="BodyText"/>
        <w:spacing w:line="316" w:lineRule="auto" w:before="18"/>
        <w:ind w:left="513" w:right="4591" w:hanging="360"/>
        <w:jc w:val="left"/>
      </w:pPr>
      <w:r>
        <w:rPr/>
        <w:t>事项有关的，原确认的减值损失予以转回，计入当期损益。 可供出售权益工具投资发生的减值损失，不得通过损益转回。</w:t>
      </w:r>
    </w:p>
    <w:p>
      <w:pPr>
        <w:pStyle w:val="BodyText"/>
        <w:spacing w:line="300" w:lineRule="auto" w:before="18"/>
        <w:ind w:left="513" w:right="3871"/>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after="0" w:line="300" w:lineRule="auto"/>
        <w:jc w:val="left"/>
        <w:sectPr>
          <w:pgSz w:w="11910" w:h="16840"/>
          <w:pgMar w:header="877" w:footer="982" w:top="1100" w:bottom="1180" w:left="980" w:right="940"/>
        </w:sectPr>
      </w:pPr>
    </w:p>
    <w:p>
      <w:pPr>
        <w:spacing w:line="240" w:lineRule="auto" w:before="10"/>
        <w:rPr>
          <w:rFonts w:ascii="宋体" w:hAnsi="宋体" w:cs="宋体" w:eastAsia="宋体" w:hint="default"/>
          <w:sz w:val="20"/>
          <w:szCs w:val="20"/>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5901"/>
        <w:jc w:val="left"/>
      </w:pPr>
      <w:r>
        <w:rPr>
          <w:rFonts w:ascii="Times New Roman" w:hAnsi="Times New Roman" w:cs="Times New Roman" w:eastAsia="Times New Roman" w:hint="default"/>
        </w:rPr>
        <w:t>1</w:t>
      </w:r>
      <w:r>
        <w:rPr/>
        <w:t>、单项金额重大的应收款项坏账准备计提： 单项金额重大的判断依据或金额标准：</w:t>
      </w:r>
    </w:p>
    <w:p>
      <w:pPr>
        <w:pStyle w:val="BodyText"/>
        <w:spacing w:line="300" w:lineRule="auto" w:before="31"/>
        <w:ind w:right="140" w:firstLine="360"/>
        <w:jc w:val="left"/>
      </w:pPr>
      <w:r>
        <w:rPr/>
        <w:t>单项金额重大的应收账款指单笔金额为</w:t>
      </w:r>
      <w:r>
        <w:rPr>
          <w:rFonts w:ascii="Times New Roman" w:hAnsi="Times New Roman" w:cs="Times New Roman" w:eastAsia="Times New Roman" w:hint="default"/>
        </w:rPr>
        <w:t>100</w:t>
      </w:r>
      <w:r>
        <w:rPr/>
        <w:t>万元以上的客户应收账款，单项金额重大的其他应收款指单笔金额为</w:t>
      </w:r>
      <w:r>
        <w:rPr>
          <w:rFonts w:ascii="Times New Roman" w:hAnsi="Times New Roman" w:cs="Times New Roman" w:eastAsia="Times New Roman" w:hint="default"/>
        </w:rPr>
        <w:t>30</w:t>
      </w:r>
      <w:r>
        <w:rPr/>
        <w:t>万元 以上的其他应收款。。</w:t>
      </w:r>
    </w:p>
    <w:p>
      <w:pPr>
        <w:pStyle w:val="BodyText"/>
        <w:spacing w:line="316" w:lineRule="auto" w:before="31"/>
        <w:ind w:left="514" w:right="149"/>
        <w:jc w:val="left"/>
      </w:pPr>
      <w:r>
        <w:rPr/>
        <w:t>单项金额重大应收款项坏账准备的计提方法： </w:t>
      </w:r>
      <w:r>
        <w:rPr>
          <w:spacing w:val="-2"/>
        </w:rPr>
        <w:t>对于单项金额重大的应收款项，单独进行减值测试，如有客观证据表明其发生了减值的，根据其未来现金流量现值低于</w:t>
      </w:r>
    </w:p>
    <w:p>
      <w:pPr>
        <w:pStyle w:val="BodyText"/>
        <w:spacing w:line="240" w:lineRule="auto" w:before="18"/>
        <w:ind w:right="149"/>
        <w:jc w:val="left"/>
      </w:pPr>
      <w:r>
        <w:rPr/>
        <w:t>其账面价值的差额，确认减值损失，计提坏账准备。</w:t>
      </w:r>
    </w:p>
    <w:p>
      <w:pPr>
        <w:pStyle w:val="BodyText"/>
        <w:spacing w:line="300" w:lineRule="auto" w:before="76"/>
        <w:ind w:left="514" w:right="770"/>
        <w:jc w:val="left"/>
      </w:pPr>
      <w:r>
        <w:rPr>
          <w:rFonts w:ascii="Times New Roman" w:hAnsi="Times New Roman" w:cs="Times New Roman" w:eastAsia="Times New Roman" w:hint="default"/>
        </w:rPr>
        <w:t>2</w:t>
      </w:r>
      <w:r>
        <w:rPr/>
        <w:t>、单项金额虽不重大但单项计提坏账准备的应收账款： 单项金额虽不重大但单项计提坏账准备的应收账款，是指单笔金额为</w:t>
      </w:r>
      <w:r>
        <w:rPr>
          <w:rFonts w:ascii="Times New Roman" w:hAnsi="Times New Roman" w:cs="Times New Roman" w:eastAsia="Times New Roman" w:hint="default"/>
        </w:rPr>
        <w:t>100</w:t>
      </w:r>
      <w:r>
        <w:rPr/>
        <w:t>万元以下、账龄超过</w:t>
      </w:r>
      <w:r>
        <w:rPr>
          <w:rFonts w:ascii="Times New Roman" w:hAnsi="Times New Roman" w:cs="Times New Roman" w:eastAsia="Times New Roman" w:hint="default"/>
        </w:rPr>
        <w:t>3</w:t>
      </w:r>
      <w:r>
        <w:rPr/>
        <w:t>年的应收款项。 单项金额不重大但单项计提坏账准备的其他应收账款，是指单笔金额为</w:t>
      </w:r>
      <w:r>
        <w:rPr>
          <w:rFonts w:ascii="Times New Roman" w:hAnsi="Times New Roman" w:cs="Times New Roman" w:eastAsia="Times New Roman" w:hint="default"/>
        </w:rPr>
        <w:t>30</w:t>
      </w:r>
      <w:r>
        <w:rPr/>
        <w:t>万元以下、账龄超过</w:t>
      </w:r>
      <w:r>
        <w:rPr>
          <w:rFonts w:ascii="Times New Roman" w:hAnsi="Times New Roman" w:cs="Times New Roman" w:eastAsia="Times New Roman" w:hint="default"/>
        </w:rPr>
        <w:t>3</w:t>
      </w:r>
      <w:r>
        <w:rPr/>
        <w:t>年的应收款项</w:t>
      </w:r>
    </w:p>
    <w:p>
      <w:pPr>
        <w:spacing w:line="240" w:lineRule="auto" w:before="1"/>
        <w:rPr>
          <w:rFonts w:ascii="宋体" w:hAnsi="宋体" w:cs="宋体" w:eastAsia="宋体" w:hint="default"/>
          <w:sz w:val="22"/>
          <w:szCs w:val="22"/>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6"/>
        <w:gridCol w:w="4512"/>
      </w:tblGrid>
      <w:tr>
        <w:trPr>
          <w:trHeight w:val="714" w:hRule="exact"/>
        </w:trPr>
        <w:tc>
          <w:tcPr>
            <w:tcW w:w="5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单项金额重大的应收账款指单笔金额为</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万元以上的客 户应收账款</w:t>
            </w:r>
          </w:p>
        </w:tc>
      </w:tr>
      <w:tr>
        <w:trPr>
          <w:trHeight w:val="1027" w:hRule="exact"/>
        </w:trPr>
        <w:tc>
          <w:tcPr>
            <w:tcW w:w="5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对于单项金额重大的应收款项，单独进行减值测试，如有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客观证据表明其发生了减值的，根据其未来现金流量现值</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低于其账面价值的差额，确认减值损失，计提坏账准备。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9"/>
        <w:gridCol w:w="2186"/>
        <w:gridCol w:w="4782"/>
      </w:tblGrid>
      <w:tr>
        <w:trPr>
          <w:trHeight w:val="714"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17" w:right="97"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以账龄特征划分为若干应收款项组合</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应收合并范围内关联方款项</w:t>
            </w:r>
          </w:p>
        </w:tc>
      </w:tr>
    </w:tbl>
    <w:p>
      <w:pPr>
        <w:pStyle w:val="BodyText"/>
        <w:spacing w:line="240" w:lineRule="auto" w:before="51"/>
        <w:ind w:right="149"/>
        <w:jc w:val="left"/>
      </w:pPr>
      <w:r>
        <w:rPr/>
        <w:t>组合中，采用账龄分析法计提坏账准备的</w:t>
      </w:r>
    </w:p>
    <w:p>
      <w:pPr>
        <w:pStyle w:val="BodyText"/>
        <w:spacing w:line="240" w:lineRule="auto" w:before="117"/>
        <w:ind w:left="153" w:right="149"/>
        <w:jc w:val="left"/>
      </w:pPr>
      <w:r>
        <w:rPr/>
        <w:t>√ 适用 □ 不适用</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87"/>
        <w:gridCol w:w="2975"/>
        <w:gridCol w:w="3994"/>
      </w:tblGrid>
      <w:tr>
        <w:trPr>
          <w:trHeight w:val="402" w:hRule="exact"/>
        </w:trPr>
        <w:tc>
          <w:tcPr>
            <w:tcW w:w="2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2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2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2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2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2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51"/>
        <w:ind w:right="149"/>
        <w:jc w:val="left"/>
      </w:pPr>
      <w:r>
        <w:rPr/>
        <w:t>组合中，采用余额百分比法计提坏账准备的</w:t>
      </w:r>
    </w:p>
    <w:p>
      <w:pPr>
        <w:pStyle w:val="BodyText"/>
        <w:spacing w:line="240" w:lineRule="auto" w:before="117"/>
        <w:ind w:left="153" w:right="149"/>
        <w:jc w:val="left"/>
      </w:pPr>
      <w:r>
        <w:rPr/>
        <w:t>□ 适用 √ 不适用</w:t>
      </w:r>
    </w:p>
    <w:p>
      <w:pPr>
        <w:spacing w:after="0" w:line="240" w:lineRule="auto"/>
        <w:jc w:val="left"/>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153" w:right="149"/>
        <w:jc w:val="left"/>
      </w:pPr>
      <w:r>
        <w:rPr/>
        <w:t>组合中，采用其他方法计提坏账准备的</w:t>
      </w:r>
    </w:p>
    <w:p>
      <w:pPr>
        <w:pStyle w:val="BodyText"/>
        <w:spacing w:line="240" w:lineRule="auto" w:before="116"/>
        <w:ind w:left="153" w:right="149"/>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4"/>
        <w:gridCol w:w="6214"/>
      </w:tblGrid>
      <w:tr>
        <w:trPr>
          <w:trHeight w:val="714"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有客观证据表明可能发生减值，如债务人出现撤销、破产或死亡，以其破产财 产或遗产清偿后仍不能收回，现金流量严重不足等情况的。</w:t>
            </w:r>
          </w:p>
        </w:tc>
      </w:tr>
      <w:tr>
        <w:trPr>
          <w:trHeight w:val="1339"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对有客观证据表明可能发生了减值的应收款项，将其从相关组合中分离出来， 单独进行减值测试，根据其未来现金流量现值低于其账面价值的差额，确认减 值损失，计提坏账准备。单独测试未发生减值的应收款项，将其归入相应组合 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r>
        <w:rPr>
          <w:rFonts w:ascii="Times New Roman" w:hAnsi="Times New Roman" w:cs="Times New Roman" w:eastAsia="Times New Roman" w:hint="default"/>
        </w:rPr>
        <w:t>11</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49"/>
        <w:jc w:val="left"/>
      </w:pPr>
      <w:r>
        <w:rPr/>
        <w:t>存货分类为：原材料、包装物、、库存商品、在产品、低值易耗品、发出商品、委托加工物资等。</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6891"/>
        <w:jc w:val="left"/>
      </w:pPr>
      <w:r>
        <w:rPr/>
        <w:t>计价方法：加权平均法 存货发出时按加权平均法计价。</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49"/>
        <w:jc w:val="left"/>
      </w:pPr>
      <w:r>
        <w:rPr/>
        <w:t>年末对存货进行全面清查后，按存货的成本与可变现净值孰低提取或调整存货跌价准备。 </w:t>
      </w:r>
      <w:r>
        <w:rPr>
          <w:spacing w:val="-2"/>
        </w:rPr>
        <w:t>产成品、库存商品和用于出售的材料等直接用于出售的商品存货，在正常生产经营过程中，以该存货的估计售价减去估</w:t>
      </w:r>
    </w:p>
    <w:p>
      <w:pPr>
        <w:pStyle w:val="BodyText"/>
        <w:spacing w:line="316" w:lineRule="auto" w:before="18"/>
        <w:ind w:left="153" w:right="149"/>
        <w:jc w:val="both"/>
      </w:pPr>
      <w:r>
        <w:rPr>
          <w:spacing w:val="-2"/>
        </w:rPr>
        <w:t>计的销售费用和相关税费后的金额，确定其可变现净值；需要经过加工的材料存货，在正常生产经营过程中，以所生产的产</w:t>
      </w:r>
      <w:r>
        <w:rPr>
          <w:spacing w:val="-66"/>
        </w:rPr>
        <w:t> </w:t>
      </w:r>
      <w:r>
        <w:rPr>
          <w:spacing w:val="-66"/>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6"/>
        </w:rPr>
        <w:t> </w:t>
      </w:r>
      <w:r>
        <w:rPr>
          <w:spacing w:val="-66"/>
        </w:rPr>
      </w:r>
      <w:r>
        <w:rPr/>
        <w:t>部分的存货的可变现净值以一般销售价格为基础计算。</w:t>
      </w:r>
    </w:p>
    <w:p>
      <w:pPr>
        <w:pStyle w:val="BodyText"/>
        <w:spacing w:line="316" w:lineRule="auto" w:before="18"/>
        <w:ind w:left="153" w:right="149" w:firstLine="360"/>
        <w:jc w:val="both"/>
      </w:pPr>
      <w:r>
        <w:rPr>
          <w:spacing w:val="-2"/>
        </w:rPr>
        <w:t>年末按照单个存货项目计提存货跌价准备；但对于数量繁多、单价较低的存货，按照存货类别计提存货跌价准备；与在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6"/>
        </w:rPr>
        <w:t> </w:t>
      </w:r>
      <w:r>
        <w:rPr>
          <w:spacing w:val="-66"/>
        </w:rPr>
      </w:r>
      <w:r>
        <w:rPr/>
        <w:t>货跌价准备。</w:t>
      </w:r>
    </w:p>
    <w:p>
      <w:pPr>
        <w:pStyle w:val="BodyText"/>
        <w:spacing w:line="316" w:lineRule="auto" w:before="18"/>
        <w:ind w:left="153" w:right="151" w:firstLine="360"/>
        <w:jc w:val="both"/>
      </w:pPr>
      <w:r>
        <w:rPr>
          <w:spacing w:val="-2"/>
        </w:rPr>
        <w:t>以前减记存货价值的影响因素已经消失的，减记的金额予以恢复，并在原已计提的存货跌价准备金额内转回，转回的金</w:t>
      </w:r>
      <w:r>
        <w:rPr/>
        <w:t> 额计入当期损益。</w:t>
      </w:r>
    </w:p>
    <w:p>
      <w:pPr>
        <w:pStyle w:val="BodyText"/>
        <w:spacing w:line="316" w:lineRule="auto" w:before="18"/>
        <w:ind w:left="514" w:right="590"/>
        <w:jc w:val="left"/>
      </w:pPr>
      <w:r>
        <w:rPr/>
        <w:t>除有明确证据表明资产负债表日市场价格异常外，存货项目的可变现净值以资产负债表日市场价格为基础确定。 资产负债表日市场价格异常的判断依据为： 本期年末存货项目的可变现净值以资产负债表日市场价格为基础确定。</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49"/>
        <w:jc w:val="left"/>
      </w:pPr>
      <w:r>
        <w:rPr/>
        <w:t>盘存制度：永续盘存制</w:t>
      </w:r>
    </w:p>
    <w:p>
      <w:pPr>
        <w:pStyle w:val="BodyText"/>
        <w:spacing w:line="240" w:lineRule="auto" w:before="76"/>
        <w:ind w:left="513" w:right="149"/>
        <w:jc w:val="left"/>
      </w:pPr>
      <w:r>
        <w:rPr/>
        <w:t>采用永续盘存制 （在产品采用实地盘存制）</w:t>
      </w:r>
    </w:p>
    <w:p>
      <w:pPr>
        <w:spacing w:after="0" w:line="240"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8150"/>
        <w:jc w:val="left"/>
      </w:pPr>
      <w:r>
        <w:rPr/>
        <w:t>低值易耗品 摊销方法：其他</w:t>
      </w:r>
    </w:p>
    <w:p>
      <w:pPr>
        <w:pStyle w:val="BodyText"/>
        <w:spacing w:line="300" w:lineRule="auto" w:before="18"/>
        <w:ind w:left="513" w:right="6621"/>
        <w:jc w:val="left"/>
      </w:pPr>
      <w:r>
        <w:rPr/>
        <w:t>（</w:t>
      </w:r>
      <w:r>
        <w:rPr>
          <w:rFonts w:ascii="Times New Roman" w:hAnsi="Times New Roman" w:cs="Times New Roman" w:eastAsia="Times New Roman" w:hint="default"/>
        </w:rPr>
        <w:t>1</w:t>
      </w:r>
      <w:r>
        <w:rPr/>
        <w:t>）低值易耗品采用一次转销法； 包装物</w:t>
      </w:r>
    </w:p>
    <w:p>
      <w:pPr>
        <w:pStyle w:val="BodyText"/>
        <w:spacing w:line="240" w:lineRule="auto" w:before="31"/>
        <w:ind w:left="513" w:right="149"/>
        <w:jc w:val="left"/>
      </w:pPr>
      <w:r>
        <w:rPr/>
        <w:t>摊销方法：其他</w:t>
      </w:r>
    </w:p>
    <w:p>
      <w:pPr>
        <w:pStyle w:val="BodyText"/>
        <w:spacing w:line="240" w:lineRule="auto" w:before="76"/>
        <w:ind w:left="513" w:right="149"/>
        <w:jc w:val="left"/>
      </w:pPr>
      <w:r>
        <w:rPr/>
        <w:t>（</w:t>
      </w:r>
      <w:r>
        <w:rPr>
          <w:rFonts w:ascii="Times New Roman" w:hAnsi="Times New Roman" w:cs="Times New Roman" w:eastAsia="Times New Roman" w:hint="default"/>
        </w:rPr>
        <w:t>2</w:t>
      </w:r>
      <w:r>
        <w:rPr/>
        <w:t>）包装物采用一次转销法。</w:t>
      </w:r>
    </w:p>
    <w:p>
      <w:pPr>
        <w:spacing w:line="240" w:lineRule="auto" w:before="12"/>
        <w:rPr>
          <w:rFonts w:ascii="宋体" w:hAnsi="宋体" w:cs="宋体" w:eastAsia="宋体" w:hint="default"/>
          <w:sz w:val="25"/>
          <w:szCs w:val="25"/>
        </w:rPr>
      </w:pPr>
    </w:p>
    <w:p>
      <w:pPr>
        <w:pStyle w:val="Heading3"/>
        <w:spacing w:line="240" w:lineRule="auto"/>
        <w:ind w:right="149"/>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149"/>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316" w:lineRule="auto" w:before="31"/>
        <w:ind w:left="153" w:right="149"/>
        <w:jc w:val="both"/>
      </w:pPr>
      <w:r>
        <w:rPr>
          <w:spacing w:val="-2"/>
        </w:rPr>
        <w:t>合并日按照取得被合并方所有者权益账面价值的份额作为长期股权投资的初始投资成本。长期股权投资初始投资成本与支付</w:t>
      </w:r>
      <w:r>
        <w:rPr>
          <w:spacing w:val="-64"/>
        </w:rPr>
        <w:t> </w:t>
      </w:r>
      <w:r>
        <w:rPr>
          <w:spacing w:val="-64"/>
        </w:rPr>
      </w:r>
      <w:r>
        <w:rPr>
          <w:spacing w:val="-2"/>
        </w:rPr>
        <w:t>合并对价之间的差额，调整资本公积中的股本溢价；资本公积中的股本溢价不足冲减的，调整留存收益。合并发生的各项直</w:t>
      </w:r>
      <w:r>
        <w:rPr>
          <w:spacing w:val="-66"/>
        </w:rPr>
        <w:t> </w:t>
      </w:r>
      <w:r>
        <w:rPr>
          <w:spacing w:val="-66"/>
        </w:rPr>
      </w:r>
      <w:r>
        <w:rPr/>
        <w:t>接相关费用，包括为进行合并而支付的审计费用、评估费用、法律服务费用等，于发生时计入当期损益。</w:t>
      </w:r>
    </w:p>
    <w:p>
      <w:pPr>
        <w:pStyle w:val="BodyText"/>
        <w:spacing w:line="316" w:lineRule="auto" w:before="18"/>
        <w:ind w:left="153" w:right="150" w:firstLine="360"/>
        <w:jc w:val="both"/>
      </w:pPr>
      <w:r>
        <w:rPr>
          <w:spacing w:val="-2"/>
        </w:rPr>
        <w:t>非同一控制下的企业合并：公司按照购买日确定的合并成本作为长期股权投资的初始投资成本。合并成本为购买日购买</w:t>
      </w:r>
      <w:r>
        <w:rPr/>
        <w:t> </w:t>
      </w:r>
      <w:r>
        <w:rPr>
          <w:spacing w:val="-2"/>
        </w:rPr>
        <w:t>方为取得对被购买方的控制权而付出的资产、发生或承担的负债以及发行的权益性证券的公允价值。购买方为企业合并而发</w:t>
      </w:r>
      <w:r>
        <w:rPr>
          <w:spacing w:val="-64"/>
        </w:rPr>
        <w:t> </w:t>
      </w:r>
      <w:r>
        <w:rPr>
          <w:spacing w:val="-64"/>
        </w:rPr>
      </w:r>
      <w:r>
        <w:rPr>
          <w:spacing w:val="-2"/>
        </w:rPr>
        <w:t>生的审计、法律服务、评估咨询等中介费用以及其他相关管理费用于发生时计入当期损益；购买方作为合并对价发行的权益</w:t>
      </w:r>
      <w:r>
        <w:rPr>
          <w:spacing w:val="-66"/>
        </w:rPr>
        <w:t> </w:t>
      </w:r>
      <w:r>
        <w:rPr>
          <w:spacing w:val="-66"/>
        </w:rPr>
      </w:r>
      <w:r>
        <w:rPr>
          <w:spacing w:val="-2"/>
        </w:rPr>
        <w:t>性证券或债务性证券的交易费用，计入权益性证券或债务性证券的初始确认金额。通过多次交易分步实现的非同一控制下企</w:t>
      </w:r>
      <w:r>
        <w:rPr>
          <w:spacing w:val="-64"/>
        </w:rPr>
        <w:t> </w:t>
      </w:r>
      <w:r>
        <w:rPr>
          <w:spacing w:val="-64"/>
        </w:rPr>
      </w:r>
      <w:r>
        <w:rPr>
          <w:spacing w:val="-2"/>
        </w:rPr>
        <w:t>业合并，以购买日之前所持被购买方的股权投资的账面价值与购买日新增投资成本之和，作为该项投资的初始投资成本。本</w:t>
      </w:r>
      <w:r>
        <w:rPr>
          <w:spacing w:val="-66"/>
        </w:rPr>
        <w:t> </w:t>
      </w:r>
      <w:r>
        <w:rPr>
          <w:spacing w:val="-66"/>
        </w:rPr>
      </w:r>
      <w:r>
        <w:rPr/>
        <w:t>公司将合并协议约定的或有对价作为企业合并转移对价的一部分，按照其在购买日的公允价值计入企业合并成本。</w:t>
      </w:r>
    </w:p>
    <w:p>
      <w:pPr>
        <w:pStyle w:val="BodyText"/>
        <w:spacing w:line="300" w:lineRule="auto" w:before="18"/>
        <w:ind w:left="513" w:right="149"/>
        <w:jc w:val="left"/>
      </w:pPr>
      <w:r>
        <w:rPr/>
        <w:t>（</w:t>
      </w:r>
      <w:r>
        <w:rPr>
          <w:rFonts w:ascii="Times New Roman" w:hAnsi="Times New Roman" w:cs="Times New Roman" w:eastAsia="Times New Roman" w:hint="default"/>
        </w:rPr>
        <w:t>2</w:t>
      </w:r>
      <w:r>
        <w:rPr/>
        <w:t>）其他方式取得的长期股权投资 </w:t>
      </w:r>
      <w:r>
        <w:rPr>
          <w:spacing w:val="-2"/>
        </w:rPr>
        <w:t>以支付现金方式取得的长期股权投资，按照实际支付的购买价款作为初始投资成本。以发行权益性证券取得的长期股权</w:t>
      </w:r>
    </w:p>
    <w:p>
      <w:pPr>
        <w:pStyle w:val="BodyText"/>
        <w:spacing w:line="316" w:lineRule="auto" w:before="31"/>
        <w:ind w:left="513" w:right="149" w:hanging="360"/>
        <w:jc w:val="left"/>
      </w:pPr>
      <w:r>
        <w:rPr/>
        <w:t>投资，按照发行权益性证券的公允价值作为初始投资成本。 </w:t>
      </w:r>
      <w:r>
        <w:rPr>
          <w:spacing w:val="-2"/>
        </w:rPr>
        <w:t>投资者投入的长期股权投资，按照投资合同或协议约定的价值（扣除已宣告但尚未发放的现金股利或利润）作为初始投</w:t>
      </w:r>
    </w:p>
    <w:p>
      <w:pPr>
        <w:pStyle w:val="BodyText"/>
        <w:spacing w:line="316" w:lineRule="auto" w:before="18"/>
        <w:ind w:left="513" w:right="0" w:hanging="360"/>
        <w:jc w:val="left"/>
      </w:pPr>
      <w:r>
        <w:rPr/>
        <w:t>资成本，但合同或协议约定价值不公允的除外。 </w:t>
      </w:r>
      <w:r>
        <w:rPr>
          <w:spacing w:val="-2"/>
        </w:rPr>
        <w:t>在非货币性资产交换具备商业实质和换入资产或换出资产的公允价值能够可靠计量的前提下，非货币性资产交换换入的</w:t>
      </w:r>
    </w:p>
    <w:p>
      <w:pPr>
        <w:pStyle w:val="BodyText"/>
        <w:spacing w:line="316" w:lineRule="auto" w:before="18"/>
        <w:ind w:left="153" w:right="149"/>
        <w:jc w:val="left"/>
      </w:pPr>
      <w:r>
        <w:rPr>
          <w:spacing w:val="-2"/>
        </w:rPr>
        <w:t>长期股权投资以换出资产的公允价值为基础确定其初始投资成本，除非有确凿证据表明换入资产的公允价值更加可靠；不满</w:t>
      </w:r>
      <w:r>
        <w:rPr>
          <w:spacing w:val="-64"/>
        </w:rPr>
        <w:t> </w:t>
      </w:r>
      <w:r>
        <w:rPr>
          <w:spacing w:val="-64"/>
        </w:rPr>
      </w:r>
      <w:r>
        <w:rPr/>
        <w:t>足上述前提的非货币性资产交换，以换出资产的账面价值和应支付的相关税费作为换入长期股权投资的初始投资成本。</w:t>
      </w:r>
    </w:p>
    <w:p>
      <w:pPr>
        <w:pStyle w:val="BodyText"/>
        <w:spacing w:line="240" w:lineRule="auto" w:before="18"/>
        <w:ind w:left="514" w:right="149"/>
        <w:jc w:val="left"/>
      </w:pPr>
      <w:r>
        <w:rPr/>
        <w:t>通过债务重组取得的长期股权投资，其初始投资成本按照公允价值为基础确定。</w:t>
      </w:r>
    </w:p>
    <w:p>
      <w:pPr>
        <w:spacing w:line="240" w:lineRule="auto" w:before="0"/>
        <w:rPr>
          <w:rFonts w:ascii="宋体" w:hAnsi="宋体" w:cs="宋体" w:eastAsia="宋体" w:hint="default"/>
          <w:sz w:val="18"/>
          <w:szCs w:val="18"/>
        </w:rPr>
      </w:pPr>
    </w:p>
    <w:p>
      <w:pPr>
        <w:pStyle w:val="Heading3"/>
        <w:spacing w:line="240" w:lineRule="auto" w:before="118"/>
        <w:ind w:right="149"/>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149"/>
        <w:jc w:val="left"/>
      </w:pPr>
      <w:r>
        <w:rPr/>
        <w:t>（</w:t>
      </w:r>
      <w:r>
        <w:rPr>
          <w:rFonts w:ascii="Times New Roman" w:hAnsi="Times New Roman" w:cs="Times New Roman" w:eastAsia="Times New Roman" w:hint="default"/>
        </w:rPr>
        <w:t>1</w:t>
      </w:r>
      <w:r>
        <w:rPr/>
        <w:t>）后续计量 </w:t>
      </w:r>
      <w:r>
        <w:rPr>
          <w:spacing w:val="-2"/>
        </w:rPr>
        <w:t>公司对子公司的长期股权投资，采用成本法核算，编制合并财务报表时按照权益法进行调整。对被投资单位不具有共同</w:t>
      </w:r>
    </w:p>
    <w:p>
      <w:pPr>
        <w:pStyle w:val="BodyText"/>
        <w:spacing w:line="316" w:lineRule="auto" w:before="31"/>
        <w:ind w:left="513" w:right="149" w:hanging="360"/>
        <w:jc w:val="left"/>
      </w:pPr>
      <w:r>
        <w:rPr/>
        <w:t>控制或重大影响，并且在活跃市场中没有报价、公允价值不能可靠计量的长期股权投资，采用成本法核算。 </w:t>
      </w:r>
      <w:r>
        <w:rPr>
          <w:spacing w:val="-2"/>
        </w:rPr>
        <w:t>对被投资单位具有共同控制或重大影响的长期股权投资，采用权益法核算。初始投资成本大于投资时应享有被投资单位</w:t>
      </w:r>
    </w:p>
    <w:p>
      <w:pPr>
        <w:pStyle w:val="BodyText"/>
        <w:spacing w:line="316" w:lineRule="auto" w:before="18"/>
        <w:ind w:left="153" w:right="149"/>
        <w:jc w:val="left"/>
      </w:pPr>
      <w:r>
        <w:rPr>
          <w:spacing w:val="-2"/>
        </w:rPr>
        <w:t>可辨认净资产公允价值份额的差额，不调整长期股权投资的初始投资成本；初始投资成本小于投资时应享有被投资单位可辨</w:t>
      </w:r>
      <w:r>
        <w:rPr>
          <w:spacing w:val="-64"/>
        </w:rPr>
        <w:t> </w:t>
      </w:r>
      <w:r>
        <w:rPr>
          <w:spacing w:val="-64"/>
        </w:rPr>
      </w:r>
      <w:r>
        <w:rPr/>
        <w:t>认净资产公允价值份额的差额，计入当期损益。</w:t>
      </w:r>
    </w:p>
    <w:p>
      <w:pPr>
        <w:pStyle w:val="BodyText"/>
        <w:spacing w:line="240" w:lineRule="auto" w:before="18"/>
        <w:ind w:left="513" w:right="0"/>
        <w:jc w:val="left"/>
      </w:pPr>
      <w:r>
        <w:rPr/>
        <w:t>被投资单位除净损益以外所有者权益其他变动的处理：对于被投资单位除净损益以外所有者权益的其他变动，在持股比</w:t>
      </w:r>
    </w:p>
    <w:p>
      <w:pPr>
        <w:spacing w:after="0" w:line="240" w:lineRule="auto"/>
        <w:jc w:val="left"/>
        <w:sectPr>
          <w:footerReference w:type="default" r:id="rId22"/>
          <w:pgSz w:w="11910" w:h="16840"/>
          <w:pgMar w:footer="982" w:header="877" w:top="1100" w:bottom="1180" w:left="980" w:right="980"/>
          <w:pgNumType w:start="77"/>
        </w:sectPr>
      </w:pPr>
    </w:p>
    <w:p>
      <w:pPr>
        <w:spacing w:line="240" w:lineRule="auto" w:before="12"/>
        <w:rPr>
          <w:rFonts w:ascii="宋体" w:hAnsi="宋体" w:cs="宋体" w:eastAsia="宋体" w:hint="default"/>
          <w:sz w:val="21"/>
          <w:szCs w:val="21"/>
        </w:rPr>
      </w:pPr>
    </w:p>
    <w:p>
      <w:pPr>
        <w:pStyle w:val="BodyText"/>
        <w:spacing w:line="316" w:lineRule="auto" w:before="44"/>
        <w:ind w:left="153" w:right="190"/>
        <w:jc w:val="both"/>
      </w:pPr>
      <w:r>
        <w:rPr>
          <w:spacing w:val="-5"/>
        </w:rPr>
        <w:t>例不变的情况下，公司按照持股比例计算应享有或承担的部分，调整长期股权投资的账面价值，同时增加或减少资本公积（其</w:t>
      </w:r>
      <w:r>
        <w:rPr>
          <w:spacing w:val="-81"/>
        </w:rPr>
        <w:t> </w:t>
      </w:r>
      <w:r>
        <w:rPr>
          <w:spacing w:val="-81"/>
        </w:rPr>
      </w:r>
      <w:r>
        <w:rPr/>
        <w:t>他资本公积）。</w:t>
      </w:r>
    </w:p>
    <w:p>
      <w:pPr>
        <w:pStyle w:val="BodyText"/>
        <w:spacing w:line="300" w:lineRule="auto" w:before="18"/>
        <w:ind w:left="513" w:right="90"/>
        <w:jc w:val="left"/>
      </w:pPr>
      <w:r>
        <w:rPr/>
        <w:t>（</w:t>
      </w:r>
      <w:r>
        <w:rPr>
          <w:rFonts w:ascii="Times New Roman" w:hAnsi="Times New Roman" w:cs="Times New Roman" w:eastAsia="Times New Roman" w:hint="default"/>
        </w:rPr>
        <w:t>2</w:t>
      </w:r>
      <w:r>
        <w:rPr/>
        <w:t>）损益确认 </w:t>
      </w:r>
      <w:r>
        <w:rPr>
          <w:spacing w:val="-2"/>
        </w:rPr>
        <w:t>成本法下，除取得投资时实际支付的价款或对价中包含的已宣告但尚未发放的现金股利或利润外，公司按照享有被投资</w:t>
      </w:r>
    </w:p>
    <w:p>
      <w:pPr>
        <w:pStyle w:val="BodyText"/>
        <w:spacing w:line="316" w:lineRule="auto" w:before="31"/>
        <w:ind w:left="513" w:right="90" w:hanging="360"/>
        <w:jc w:val="left"/>
      </w:pPr>
      <w:r>
        <w:rPr/>
        <w:t>单位宣告发放的现金股利或利润确认投资收益。 </w:t>
      </w:r>
      <w:r>
        <w:rPr>
          <w:spacing w:val="-2"/>
        </w:rPr>
        <w:t>权益法下，在被投资单位账面净利润的基础上考虑：被投资单位与本公司采用的会计政策及会计期间不一致，按本公司</w:t>
      </w:r>
    </w:p>
    <w:p>
      <w:pPr>
        <w:pStyle w:val="BodyText"/>
        <w:spacing w:line="316" w:lineRule="auto" w:before="18"/>
        <w:ind w:left="153" w:right="190"/>
        <w:jc w:val="both"/>
      </w:pPr>
      <w:r>
        <w:rPr>
          <w:spacing w:val="-2"/>
        </w:rPr>
        <w:t>的会计政策及会计期间对被投资单位财务报表进行调整；以取得投资时被投资单位固定资产、无形资产的公允价值为基础计</w:t>
      </w:r>
      <w:r>
        <w:rPr>
          <w:spacing w:val="-64"/>
        </w:rPr>
        <w:t> </w:t>
      </w:r>
      <w:r>
        <w:rPr>
          <w:spacing w:val="-64"/>
        </w:rPr>
      </w:r>
      <w:r>
        <w:rPr>
          <w:spacing w:val="-2"/>
        </w:rPr>
        <w:t>提的折旧额或摊销额以及有关资产减值准备金额等对被投资单位净利润的影响；对本公司与联营企业及合营企业之间发生的</w:t>
      </w:r>
      <w:r>
        <w:rPr>
          <w:spacing w:val="-64"/>
        </w:rPr>
        <w:t> </w:t>
      </w:r>
      <w:r>
        <w:rPr>
          <w:spacing w:val="-64"/>
        </w:rPr>
      </w:r>
      <w:r>
        <w:rPr/>
        <w:t>未实现内部交易予以抵销等事项的适当调整后，确认应享有或应负担被投资单位的净利润或净亏损。</w:t>
      </w:r>
    </w:p>
    <w:p>
      <w:pPr>
        <w:pStyle w:val="BodyText"/>
        <w:spacing w:line="316" w:lineRule="auto" w:before="18"/>
        <w:ind w:left="153" w:right="91"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spacing w:val="-2"/>
        </w:rPr>
        <w:t>务确认预计负债，计入当期投资损失。被投资单位以后期间实现盈利的，公司在扣除未确认的亏损分担额后，按与上述相反</w:t>
      </w:r>
      <w:r>
        <w:rPr>
          <w:spacing w:val="-66"/>
        </w:rPr>
        <w:t> </w:t>
      </w:r>
      <w:r>
        <w:rPr>
          <w:spacing w:val="-66"/>
        </w:rPr>
      </w:r>
      <w:r>
        <w:rPr>
          <w:spacing w:val="-2"/>
        </w:rPr>
        <w:t>的顺序处理，减记已确认预计负债的账面余额、恢复其他实质上构成对被投资单位净投资的长期权益及长期股权投资的账面</w:t>
      </w:r>
      <w:r>
        <w:rPr>
          <w:spacing w:val="-64"/>
        </w:rPr>
        <w:t> </w:t>
      </w:r>
      <w:r>
        <w:rPr>
          <w:spacing w:val="-64"/>
        </w:rPr>
      </w:r>
      <w:r>
        <w:rPr/>
        <w:t>价值，同时确认投资收益。</w:t>
      </w:r>
    </w:p>
    <w:p>
      <w:pPr>
        <w:pStyle w:val="BodyText"/>
        <w:spacing w:line="316" w:lineRule="auto" w:before="18"/>
        <w:ind w:left="153" w:right="90" w:firstLine="360"/>
        <w:jc w:val="left"/>
      </w:pPr>
      <w:r>
        <w:rPr>
          <w:spacing w:val="-2"/>
        </w:rPr>
        <w:t>在持有投资期间，被投资单位能够提供合并财务报表的，应当以合并财务报表中的净利润和其他权益变动为基础进行核</w:t>
      </w:r>
      <w:r>
        <w:rPr/>
        <w:t> 算。</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360"/>
        <w:jc w:val="left"/>
      </w:pPr>
      <w:r>
        <w:rPr>
          <w:spacing w:val="-2"/>
        </w:rPr>
        <w:t>共同控制，是指按照合同约定对某项经济活动所共有的控制，仅在与该项经济活动相关的重要财务和经营决策需要分享</w:t>
      </w:r>
      <w:r>
        <w:rPr/>
        <w:t> 控制权的投资方一致同意时存在。投资企业与其他方对被投资单位实施共同控制的，被投资单位为其合营企业。重大影响， </w:t>
      </w:r>
      <w:r>
        <w:rPr>
          <w:spacing w:val="-2"/>
        </w:rPr>
        <w:t>是指对一个企业的财务和经营决策有参与决策的权力，但并不能够控制或者与其他方一起共同控制这些政策的制定。投资企</w:t>
      </w:r>
      <w:r>
        <w:rPr>
          <w:spacing w:val="-64"/>
        </w:rPr>
        <w:t> </w:t>
      </w:r>
      <w:r>
        <w:rPr>
          <w:spacing w:val="-64"/>
        </w:rPr>
      </w:r>
      <w:r>
        <w:rPr/>
        <w:t>业能够对被投资单位施加重大影响的，被投资单位为其联营企业。</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360"/>
        <w:jc w:val="left"/>
      </w:pPr>
      <w:r>
        <w:rPr>
          <w:spacing w:val="-2"/>
        </w:rPr>
        <w:t>重大影响以下的、在活跃市场中没有报价、公允价值不能可靠计量的长期股权投资，其减值损失是根据其账面价值与按</w:t>
      </w:r>
      <w:r>
        <w:rPr/>
        <w:t> 类似金融资产当时市场收益率对未来现金流量折现确定的现值之间的差额进行确定。</w:t>
      </w:r>
    </w:p>
    <w:p>
      <w:pPr>
        <w:pStyle w:val="BodyText"/>
        <w:spacing w:line="316" w:lineRule="auto" w:before="18"/>
        <w:ind w:left="153" w:right="90" w:firstLine="360"/>
        <w:jc w:val="left"/>
      </w:pPr>
      <w:r>
        <w:rPr>
          <w:spacing w:val="-2"/>
        </w:rPr>
        <w:t>除因企业合并形成的商誉以外的存在减值迹象的其他长期股权投资，如果可收回金额的计量结果表明，该长期股权投资</w:t>
      </w:r>
      <w:r>
        <w:rPr/>
        <w:t> 的可收回金额低于其账面价值的，将差额确认为减值损失。</w:t>
      </w:r>
    </w:p>
    <w:p>
      <w:pPr>
        <w:pStyle w:val="BodyText"/>
        <w:spacing w:line="240" w:lineRule="auto" w:before="18"/>
        <w:ind w:left="513" w:right="90"/>
        <w:jc w:val="left"/>
      </w:pPr>
      <w:r>
        <w:rPr/>
        <w:t>长期股权投资减值损失一经确认，不再转回。</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转让的土地使用权、已出租的建筑物（含自行建造或开发活动完成后用于出租的建筑物以及正在建造或开发过程中将来用于</w:t>
      </w:r>
      <w:r>
        <w:rPr>
          <w:spacing w:val="-64"/>
        </w:rPr>
        <w:t> </w:t>
      </w:r>
      <w:r>
        <w:rPr>
          <w:spacing w:val="-64"/>
        </w:rPr>
      </w:r>
      <w:r>
        <w:rPr/>
        <w:t>出租的建筑物）。</w:t>
      </w:r>
    </w:p>
    <w:p>
      <w:pPr>
        <w:pStyle w:val="BodyText"/>
        <w:spacing w:line="316" w:lineRule="auto" w:before="18"/>
        <w:ind w:left="153" w:right="90" w:firstLine="360"/>
        <w:jc w:val="left"/>
      </w:pPr>
      <w:r>
        <w:rPr>
          <w:spacing w:val="-2"/>
        </w:rPr>
        <w:t>公司对现有投资性房地产采用成本模式计量。对按照成本模式计量的投资性房地产－出租用建筑物采用与本公司固定资</w:t>
      </w:r>
      <w:r>
        <w:rPr/>
        <w:t> 产相同的折旧政策，出租用土地使用权按与无形资产相同的摊销政策执行。</w:t>
      </w:r>
    </w:p>
    <w:p>
      <w:pPr>
        <w:pStyle w:val="BodyText"/>
        <w:spacing w:line="316" w:lineRule="auto" w:before="18"/>
        <w:ind w:left="513" w:right="1531"/>
        <w:jc w:val="left"/>
      </w:pPr>
      <w:r>
        <w:rPr/>
        <w:t>公司对存在减值迹象的，估计其可收回金额，可收回金额低于其账面价值的，确认相应的减值损失。 投资性房地产减值损失一经确认，不再转回。</w:t>
      </w:r>
    </w:p>
    <w:p>
      <w:pPr>
        <w:spacing w:after="0" w:line="316" w:lineRule="auto"/>
        <w:jc w:val="left"/>
        <w:sectPr>
          <w:pgSz w:w="11910" w:h="16840"/>
          <w:pgMar w:header="877" w:footer="982" w:top="1100" w:bottom="1180" w:left="980" w:right="940"/>
        </w:sectPr>
      </w:pPr>
    </w:p>
    <w:p>
      <w:pPr>
        <w:spacing w:line="240" w:lineRule="auto" w:before="10"/>
        <w:rPr>
          <w:rFonts w:ascii="宋体" w:hAnsi="宋体" w:cs="宋体" w:eastAsia="宋体" w:hint="default"/>
          <w:sz w:val="20"/>
          <w:szCs w:val="20"/>
        </w:rPr>
      </w:pPr>
    </w:p>
    <w:p>
      <w:pPr>
        <w:pStyle w:val="Heading3"/>
        <w:spacing w:line="240" w:lineRule="auto" w:before="35"/>
        <w:ind w:right="149"/>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149" w:firstLine="360"/>
        <w:jc w:val="both"/>
      </w:pPr>
      <w:r>
        <w:rPr>
          <w:spacing w:val="-2"/>
        </w:rPr>
        <w:t>固定资产指为生产商品、提供劳务、出租或经营管理而持有，并且使用寿命超过一个会计年度的有形资产。固定资产在</w:t>
      </w:r>
      <w:r>
        <w:rPr/>
        <w:t> </w:t>
      </w:r>
      <w:r>
        <w:rPr>
          <w:spacing w:val="-2"/>
        </w:rPr>
        <w:t>同时满足下列条件时予以确认：（</w:t>
      </w:r>
      <w:r>
        <w:rPr>
          <w:rFonts w:ascii="Times New Roman" w:hAnsi="Times New Roman" w:cs="Times New Roman" w:eastAsia="Times New Roman" w:hint="default"/>
          <w:spacing w:val="-2"/>
        </w:rPr>
        <w:t>1</w:t>
      </w:r>
      <w:r>
        <w:rPr>
          <w:spacing w:val="-2"/>
        </w:rPr>
        <w:t>）与该固定资产有关的经济利益很可能流入企业；（</w:t>
      </w:r>
      <w:r>
        <w:rPr>
          <w:rFonts w:ascii="Times New Roman" w:hAnsi="Times New Roman" w:cs="Times New Roman" w:eastAsia="Times New Roman" w:hint="default"/>
          <w:spacing w:val="-2"/>
        </w:rPr>
        <w:t>2</w:t>
      </w:r>
      <w:r>
        <w:rPr>
          <w:spacing w:val="-2"/>
        </w:rPr>
        <w:t>）该固定资产的成本能够可靠地计</w:t>
      </w:r>
      <w:r>
        <w:rPr>
          <w:spacing w:val="-66"/>
        </w:rPr>
        <w:t> </w:t>
      </w:r>
      <w:r>
        <w:rPr>
          <w:spacing w:val="-66"/>
        </w:rPr>
      </w:r>
      <w:r>
        <w:rPr/>
        <w:t>量。</w:t>
      </w:r>
    </w:p>
    <w:p>
      <w:pPr>
        <w:spacing w:line="240" w:lineRule="auto" w:before="12"/>
        <w:rPr>
          <w:rFonts w:ascii="宋体" w:hAnsi="宋体" w:cs="宋体" w:eastAsia="宋体" w:hint="default"/>
          <w:sz w:val="22"/>
          <w:szCs w:val="22"/>
        </w:rPr>
      </w:pPr>
    </w:p>
    <w:p>
      <w:pPr>
        <w:pStyle w:val="Heading3"/>
        <w:spacing w:line="240" w:lineRule="auto"/>
        <w:ind w:right="149"/>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left="153" w:right="149" w:firstLine="360"/>
        <w:jc w:val="both"/>
      </w:pPr>
      <w:r>
        <w:rPr/>
        <w:t>公司与租赁方所签订的租赁协议条款中规定了下列条件之一的，确认为融资租入资产：（</w:t>
      </w:r>
      <w:r>
        <w:rPr>
          <w:rFonts w:ascii="Times New Roman" w:hAnsi="Times New Roman" w:cs="Times New Roman" w:eastAsia="Times New Roman" w:hint="default"/>
        </w:rPr>
        <w:t>1</w:t>
      </w:r>
      <w:r>
        <w:rPr/>
        <w:t>）租赁期满后租赁资产的所 </w:t>
      </w:r>
      <w:r>
        <w:rPr>
          <w:spacing w:val="-2"/>
        </w:rPr>
        <w:t>有权归属于本公司；（</w:t>
      </w:r>
      <w:r>
        <w:rPr>
          <w:rFonts w:ascii="Times New Roman" w:hAnsi="Times New Roman" w:cs="Times New Roman" w:eastAsia="Times New Roman" w:hint="default"/>
          <w:spacing w:val="-2"/>
        </w:rPr>
        <w:t>2</w:t>
      </w:r>
      <w:r>
        <w:rPr>
          <w:spacing w:val="-2"/>
        </w:rPr>
        <w:t>）公司具有购买资产的选择权，购买价款远低于行使选择权时该资产的公允价值；（</w:t>
      </w:r>
      <w:r>
        <w:rPr>
          <w:rFonts w:ascii="Times New Roman" w:hAnsi="Times New Roman" w:cs="Times New Roman" w:eastAsia="Times New Roman" w:hint="default"/>
          <w:spacing w:val="-2"/>
        </w:rPr>
        <w:t>3</w:t>
      </w:r>
      <w:r>
        <w:rPr>
          <w:spacing w:val="-2"/>
        </w:rPr>
        <w:t>）租赁期占所</w:t>
      </w:r>
      <w:r>
        <w:rPr>
          <w:spacing w:val="-64"/>
        </w:rPr>
        <w:t> </w:t>
      </w:r>
      <w:r>
        <w:rPr>
          <w:spacing w:val="-64"/>
        </w:rPr>
      </w:r>
      <w:r>
        <w:rPr/>
        <w:t>租赁资产使用寿命的大部分；（</w:t>
      </w:r>
      <w:r>
        <w:rPr>
          <w:rFonts w:ascii="Times New Roman" w:hAnsi="Times New Roman" w:cs="Times New Roman" w:eastAsia="Times New Roman" w:hint="default"/>
        </w:rPr>
        <w:t>4</w:t>
      </w:r>
      <w:r>
        <w:rPr/>
        <w:t>）租赁开始日的最低租赁付款额现值，与该资产的公允价值不存在较大的差异。公司在承 </w:t>
      </w:r>
      <w:r>
        <w:rPr>
          <w:spacing w:val="-2"/>
        </w:rPr>
        <w:t>租开始日，将租赁资产公允价值与最低租赁付款额现值两者中较低者作为租入资产的入账价值，将最低租赁付款额作为长期</w:t>
      </w:r>
      <w:r>
        <w:rPr>
          <w:spacing w:val="-64"/>
        </w:rPr>
        <w:t> </w:t>
      </w:r>
      <w:r>
        <w:rPr>
          <w:spacing w:val="-64"/>
        </w:rPr>
      </w:r>
      <w:r>
        <w:rPr/>
        <w:t>应付款的入账价值，其差额作为未确认的融资费。</w:t>
      </w:r>
    </w:p>
    <w:p>
      <w:pPr>
        <w:spacing w:line="240" w:lineRule="auto" w:before="3"/>
        <w:rPr>
          <w:rFonts w:ascii="宋体" w:hAnsi="宋体" w:cs="宋体" w:eastAsia="宋体" w:hint="default"/>
          <w:sz w:val="23"/>
          <w:szCs w:val="23"/>
        </w:rPr>
      </w:pPr>
    </w:p>
    <w:p>
      <w:pPr>
        <w:pStyle w:val="Heading3"/>
        <w:spacing w:line="240" w:lineRule="auto"/>
        <w:ind w:right="149"/>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1" w:firstLine="360"/>
        <w:jc w:val="both"/>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pStyle w:val="BodyText"/>
        <w:spacing w:line="316" w:lineRule="auto" w:before="18"/>
        <w:ind w:left="153" w:right="150" w:firstLine="360"/>
        <w:jc w:val="both"/>
      </w:pPr>
      <w:r>
        <w:rPr>
          <w:spacing w:val="-2"/>
        </w:rPr>
        <w:t>融资租赁方式租入的固定资产，能合理确定租赁期届满时将会取得租赁资产所有权的，在租赁资产尚可使用年限内计提</w:t>
      </w:r>
      <w:r>
        <w:rPr/>
        <w:t> </w:t>
      </w:r>
      <w:r>
        <w:rPr>
          <w:spacing w:val="-2"/>
        </w:rPr>
        <w:t>折旧；无法合理确定租赁期届满时能够取得租赁资产所有权的，在租赁期与租赁资产尚可使用年限两者中较短的期间内计提</w:t>
      </w:r>
      <w:r>
        <w:rPr>
          <w:spacing w:val="-64"/>
        </w:rPr>
        <w:t> </w:t>
      </w:r>
      <w:r>
        <w:rPr>
          <w:spacing w:val="-64"/>
        </w:rPr>
      </w:r>
      <w:r>
        <w:rPr/>
        <w:t>折旧。</w:t>
      </w:r>
    </w:p>
    <w:p>
      <w:pPr>
        <w:pStyle w:val="BodyText"/>
        <w:spacing w:line="240" w:lineRule="auto" w:before="18"/>
        <w:ind w:left="513" w:right="149"/>
        <w:jc w:val="left"/>
      </w:pPr>
      <w:r>
        <w:rPr/>
        <w:t>各类固定资产折旧年限和年折旧率如下：</w:t>
      </w:r>
    </w:p>
    <w:p>
      <w:pPr>
        <w:spacing w:line="240" w:lineRule="auto" w:before="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494"/>
        <w:gridCol w:w="2117"/>
        <w:gridCol w:w="2220"/>
        <w:gridCol w:w="2725"/>
      </w:tblGrid>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49"/>
        <w:jc w:val="left"/>
      </w:pPr>
      <w:r>
        <w:rPr/>
        <w:t>公司在每年末判断固定资产是否存在可能发生减值的迹象。 </w:t>
      </w:r>
      <w:r>
        <w:rPr>
          <w:spacing w:val="-2"/>
        </w:rPr>
        <w:t>固定资产存在减值迹象的，估计其可收回金额。可收回金额根据固定资产的公允价值减去处置费用后的净额与固定资产</w:t>
      </w:r>
    </w:p>
    <w:p>
      <w:pPr>
        <w:pStyle w:val="BodyText"/>
        <w:spacing w:line="316" w:lineRule="auto" w:before="18"/>
        <w:ind w:left="513" w:right="149" w:hanging="360"/>
        <w:jc w:val="left"/>
      </w:pPr>
      <w:r>
        <w:rPr/>
        <w:t>预计未来现金流量的现值两者之间较高者确定。 </w:t>
      </w:r>
      <w:r>
        <w:rPr>
          <w:spacing w:val="-2"/>
        </w:rPr>
        <w:t>当固定资产的可收回金额低于其账面价值的，将固定资产的账面价值减记至可收回金额，减记的金额确认为固定资产减</w:t>
      </w:r>
    </w:p>
    <w:p>
      <w:pPr>
        <w:pStyle w:val="BodyText"/>
        <w:spacing w:line="316" w:lineRule="auto" w:before="18"/>
        <w:ind w:left="513" w:right="149" w:hanging="360"/>
        <w:jc w:val="left"/>
      </w:pPr>
      <w:r>
        <w:rPr/>
        <w:t>值损失，计入当期损益，同时计提相应的固定资产减值准备。 </w:t>
      </w:r>
      <w:r>
        <w:rPr>
          <w:spacing w:val="-2"/>
        </w:rPr>
        <w:t>固定资产减值损失确认后，减值固定资产的折旧在未来期间作相应调整，以使该固定资产在剩余使用寿命内，系统地分</w:t>
      </w:r>
    </w:p>
    <w:p>
      <w:pPr>
        <w:pStyle w:val="BodyText"/>
        <w:spacing w:line="240" w:lineRule="auto" w:before="18"/>
        <w:ind w:left="153" w:right="149"/>
        <w:jc w:val="left"/>
      </w:pPr>
      <w:r>
        <w:rPr/>
        <w:t>摊调整后的固定资产账面价值（扣除预计净残值）。</w:t>
      </w:r>
    </w:p>
    <w:p>
      <w:pPr>
        <w:spacing w:after="0" w:line="240"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316" w:lineRule="auto" w:before="44"/>
        <w:ind w:left="513" w:right="90"/>
        <w:jc w:val="left"/>
      </w:pPr>
      <w:r>
        <w:rPr/>
        <w:t>固定资产的减值损失一经确认，在以后会计期间不再转回。 </w:t>
      </w:r>
      <w:r>
        <w:rPr>
          <w:spacing w:val="-2"/>
        </w:rPr>
        <w:t>有迹象表明一项固定资产可能发生减值的，企业以单项固定资产为基础估计其可收回金额。企业难以对单项固定资产的</w:t>
      </w:r>
    </w:p>
    <w:p>
      <w:pPr>
        <w:pStyle w:val="BodyText"/>
        <w:spacing w:line="240" w:lineRule="auto" w:before="18"/>
        <w:ind w:left="153" w:right="90"/>
        <w:jc w:val="left"/>
      </w:pPr>
      <w:r>
        <w:rPr/>
        <w:t>可收回金额进行估计的，以该固定资产所属的资产组为基础确定资产组的可收回金额。</w:t>
      </w:r>
    </w:p>
    <w:p>
      <w:pPr>
        <w:spacing w:line="240" w:lineRule="auto" w:before="12"/>
        <w:rPr>
          <w:rFonts w:ascii="宋体" w:hAnsi="宋体" w:cs="宋体" w:eastAsia="宋体" w:hint="default"/>
          <w:sz w:val="26"/>
          <w:szCs w:val="26"/>
        </w:rPr>
      </w:pPr>
    </w:p>
    <w:p>
      <w:pPr>
        <w:pStyle w:val="Heading3"/>
        <w:spacing w:line="240" w:lineRule="auto"/>
        <w:ind w:right="90"/>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0"/>
        <w:jc w:val="left"/>
      </w:pPr>
      <w:r>
        <w:rPr/>
        <w:t>在建工程以立项项目分类核算。</w:t>
      </w:r>
    </w:p>
    <w:p>
      <w:pPr>
        <w:spacing w:line="240" w:lineRule="auto" w:before="11"/>
        <w:rPr>
          <w:rFonts w:ascii="宋体" w:hAnsi="宋体" w:cs="宋体" w:eastAsia="宋体" w:hint="default"/>
          <w:sz w:val="26"/>
          <w:szCs w:val="26"/>
        </w:rPr>
      </w:pPr>
    </w:p>
    <w:p>
      <w:pPr>
        <w:pStyle w:val="Heading3"/>
        <w:spacing w:line="240" w:lineRule="auto"/>
        <w:ind w:right="90"/>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9" w:firstLine="360"/>
        <w:jc w:val="both"/>
      </w:pPr>
      <w:r>
        <w:rPr>
          <w:spacing w:val="-2"/>
        </w:rPr>
        <w:t>在建工程项目按建造该项资产达到预定可使用状态前所发生的全部支出，作为固定资产的入账价值。所建造的固定资产</w:t>
      </w:r>
      <w:r>
        <w:rPr/>
        <w:t> </w:t>
      </w:r>
      <w:r>
        <w:rPr>
          <w:spacing w:val="-2"/>
        </w:rPr>
        <w:t>在建工程已达到预定可使用状态，但尚未办理竣工决算的，自达到预定可使用状态之日起，根据工程预算、造价或者工程实</w:t>
      </w:r>
      <w:r>
        <w:rPr>
          <w:spacing w:val="-66"/>
        </w:rPr>
        <w:t> </w:t>
      </w:r>
      <w:r>
        <w:rPr>
          <w:spacing w:val="-66"/>
        </w:rPr>
      </w:r>
      <w:r>
        <w:rPr>
          <w:spacing w:val="-2"/>
        </w:rPr>
        <w:t>际成本等，按估计的价值转入固定资产，并按本公司固定资产折旧政策计提固定资产的折旧，待办理竣工决算后，再按实际</w:t>
      </w:r>
      <w:r>
        <w:rPr>
          <w:spacing w:val="-66"/>
        </w:rPr>
        <w:t> </w:t>
      </w:r>
      <w:r>
        <w:rPr>
          <w:spacing w:val="-66"/>
        </w:rPr>
      </w:r>
      <w:r>
        <w:rPr/>
        <w:t>成本调整原来的暂估价值，但不调整原已计提的折旧额。</w:t>
      </w:r>
    </w:p>
    <w:p>
      <w:pPr>
        <w:spacing w:line="240" w:lineRule="auto" w:before="7"/>
        <w:rPr>
          <w:rFonts w:ascii="宋体" w:hAnsi="宋体" w:cs="宋体" w:eastAsia="宋体" w:hint="default"/>
          <w:sz w:val="22"/>
          <w:szCs w:val="22"/>
        </w:rPr>
      </w:pPr>
    </w:p>
    <w:p>
      <w:pPr>
        <w:pStyle w:val="Heading3"/>
        <w:spacing w:line="240" w:lineRule="auto"/>
        <w:ind w:right="90"/>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90"/>
        <w:jc w:val="left"/>
      </w:pPr>
      <w:r>
        <w:rPr/>
        <w:t>公司在每年末判断在建工程是否存在可能发生减值的迹象。 </w:t>
      </w:r>
      <w:r>
        <w:rPr>
          <w:spacing w:val="-2"/>
        </w:rPr>
        <w:t>在建工程存在减值迹象的，估计其可收回金额。有迹象表明一项在建工程可能发生减值的，企业以单项在建工程为基础</w:t>
      </w:r>
    </w:p>
    <w:p>
      <w:pPr>
        <w:pStyle w:val="BodyText"/>
        <w:spacing w:line="316" w:lineRule="auto" w:before="18"/>
        <w:ind w:left="153" w:right="90"/>
        <w:jc w:val="left"/>
      </w:pPr>
      <w:r>
        <w:rPr>
          <w:spacing w:val="-2"/>
        </w:rPr>
        <w:t>估计其可收回金额。企业难以对单项在建工程的可收回金额进行估计的，以该在建工程所属的资产组为基础确定资产组的可</w:t>
      </w:r>
      <w:r>
        <w:rPr>
          <w:spacing w:val="-64"/>
        </w:rPr>
        <w:t> </w:t>
      </w:r>
      <w:r>
        <w:rPr>
          <w:spacing w:val="-64"/>
        </w:rPr>
      </w:r>
      <w:r>
        <w:rPr/>
        <w:t>收回金额。</w:t>
      </w:r>
    </w:p>
    <w:p>
      <w:pPr>
        <w:pStyle w:val="BodyText"/>
        <w:spacing w:line="316" w:lineRule="auto" w:before="18"/>
        <w:ind w:left="514" w:right="90"/>
        <w:jc w:val="left"/>
      </w:pPr>
      <w:r>
        <w:rPr/>
        <w:t>可收回金额根据在建工程的公允价值减去处置费用后的净额与在建工程预计未来现金流量的现值两者之间较高者确定。 </w:t>
      </w:r>
      <w:r>
        <w:rPr>
          <w:spacing w:val="-2"/>
        </w:rPr>
        <w:t>当在建工程的可收回金额低于其账面价值的，将在建工程的账面价值减记至可收回金额，减记的金额确认为在建工程减</w:t>
      </w:r>
    </w:p>
    <w:p>
      <w:pPr>
        <w:pStyle w:val="BodyText"/>
        <w:spacing w:line="316" w:lineRule="auto" w:before="18"/>
        <w:ind w:left="514" w:right="4770" w:hanging="360"/>
        <w:jc w:val="left"/>
      </w:pPr>
      <w:r>
        <w:rPr/>
        <w:t>值损失，计入当期损益，同时计提相应的在建工程减值准备。 在建工程的减值损失一经确认，在以后会计期间不再转回。</w:t>
      </w:r>
    </w:p>
    <w:p>
      <w:pPr>
        <w:spacing w:line="240" w:lineRule="auto" w:before="7"/>
        <w:rPr>
          <w:rFonts w:ascii="宋体" w:hAnsi="宋体" w:cs="宋体" w:eastAsia="宋体" w:hint="default"/>
          <w:sz w:val="22"/>
          <w:szCs w:val="22"/>
        </w:rPr>
      </w:pPr>
    </w:p>
    <w:p>
      <w:pPr>
        <w:pStyle w:val="Heading3"/>
        <w:spacing w:line="240" w:lineRule="auto"/>
        <w:ind w:right="90"/>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513" w:right="90"/>
        <w:jc w:val="left"/>
      </w:pPr>
      <w:r>
        <w:rPr/>
        <w:t>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pStyle w:val="BodyText"/>
        <w:spacing w:line="316" w:lineRule="auto" w:before="18"/>
        <w:ind w:left="513" w:right="271" w:hanging="360"/>
        <w:jc w:val="left"/>
      </w:pPr>
      <w:r>
        <w:rPr/>
        <w:t>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6" w:lineRule="auto" w:before="18"/>
        <w:ind w:left="513" w:right="6031" w:hanging="360"/>
        <w:jc w:val="left"/>
      </w:pPr>
      <w:r>
        <w:rPr/>
        <w:t>产、投资性房地产和存货等资产。 借款费用同时满足下列条件时开始资本化：</w:t>
      </w:r>
    </w:p>
    <w:p>
      <w:pPr>
        <w:pStyle w:val="BodyText"/>
        <w:spacing w:line="300" w:lineRule="auto" w:before="18"/>
        <w:ind w:left="153" w:right="198" w:firstLine="360"/>
        <w:jc w:val="both"/>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31"/>
        <w:ind w:left="513" w:right="90"/>
        <w:jc w:val="left"/>
      </w:pPr>
      <w:r>
        <w:rPr/>
        <w:t>（</w:t>
      </w:r>
      <w:r>
        <w:rPr>
          <w:rFonts w:ascii="Times New Roman" w:hAnsi="Times New Roman" w:cs="Times New Roman" w:eastAsia="Times New Roman" w:hint="default"/>
        </w:rPr>
        <w:t>2</w:t>
      </w:r>
      <w:r>
        <w:rPr/>
        <w:t>）借款费用已经发生；</w:t>
      </w:r>
    </w:p>
    <w:p>
      <w:pPr>
        <w:pStyle w:val="BodyText"/>
        <w:spacing w:line="240" w:lineRule="auto" w:before="61"/>
        <w:ind w:left="513" w:right="9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after="0" w:line="240" w:lineRule="auto"/>
        <w:jc w:val="left"/>
        <w:sectPr>
          <w:pgSz w:w="11910" w:h="16840"/>
          <w:pgMar w:header="877" w:footer="982" w:top="1100" w:bottom="1180" w:left="980" w:right="940"/>
        </w:sectPr>
      </w:pPr>
    </w:p>
    <w:p>
      <w:pPr>
        <w:spacing w:line="240" w:lineRule="auto" w:before="10"/>
        <w:rPr>
          <w:rFonts w:ascii="宋体" w:hAnsi="宋体" w:cs="宋体" w:eastAsia="宋体" w:hint="default"/>
          <w:sz w:val="20"/>
          <w:szCs w:val="20"/>
        </w:rPr>
      </w:pPr>
    </w:p>
    <w:p>
      <w:pPr>
        <w:pStyle w:val="Heading3"/>
        <w:spacing w:line="240" w:lineRule="auto" w:before="35"/>
        <w:ind w:right="9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90"/>
        <w:jc w:val="left"/>
      </w:pP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18"/>
        <w:ind w:right="90"/>
        <w:jc w:val="left"/>
      </w:pPr>
      <w:r>
        <w:rPr/>
        <w:t>款费用资本化。</w:t>
      </w:r>
    </w:p>
    <w:p>
      <w:pPr>
        <w:spacing w:line="240" w:lineRule="auto" w:before="12"/>
        <w:rPr>
          <w:rFonts w:ascii="宋体" w:hAnsi="宋体" w:cs="宋体" w:eastAsia="宋体" w:hint="default"/>
          <w:sz w:val="26"/>
          <w:szCs w:val="26"/>
        </w:rPr>
      </w:pPr>
    </w:p>
    <w:p>
      <w:pPr>
        <w:pStyle w:val="Heading3"/>
        <w:spacing w:line="240" w:lineRule="auto"/>
        <w:ind w:right="90"/>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90" w:firstLine="360"/>
        <w:jc w:val="left"/>
      </w:pP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r>
        <w:rPr/>
        <w:t> </w:t>
      </w: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240" w:lineRule="auto" w:before="12"/>
        <w:rPr>
          <w:rFonts w:ascii="宋体" w:hAnsi="宋体" w:cs="宋体" w:eastAsia="宋体" w:hint="default"/>
          <w:sz w:val="22"/>
          <w:szCs w:val="22"/>
        </w:rPr>
      </w:pPr>
    </w:p>
    <w:p>
      <w:pPr>
        <w:pStyle w:val="Heading3"/>
        <w:spacing w:line="240" w:lineRule="auto"/>
        <w:ind w:right="9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513" w:right="90"/>
        <w:jc w:val="left"/>
      </w:pPr>
      <w:r>
        <w:rPr/>
        <w:t>（</w:t>
      </w:r>
      <w:r>
        <w:rPr>
          <w:rFonts w:ascii="Times New Roman" w:hAnsi="Times New Roman" w:cs="Times New Roman" w:eastAsia="Times New Roman" w:hint="default"/>
        </w:rPr>
        <w:t>1</w:t>
      </w:r>
      <w:r>
        <w:rPr/>
        <w:t>）公司取得无形资产时按成本进行初始计量；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316" w:lineRule="auto" w:before="31"/>
        <w:ind w:left="513" w:right="90" w:hanging="360"/>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16" w:lineRule="auto" w:before="18"/>
        <w:ind w:left="513" w:right="90" w:hanging="360"/>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316" w:lineRule="auto" w:before="18"/>
        <w:ind w:left="153" w:right="90"/>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16" w:lineRule="auto" w:before="18"/>
        <w:ind w:left="153" w:right="90" w:firstLine="360"/>
        <w:jc w:val="left"/>
      </w:pPr>
      <w:r>
        <w:rPr>
          <w:spacing w:val="-2"/>
        </w:rPr>
        <w:t>以同一控制下的企业吸收合并方式取得的无形资产按被合并方的账面价值确定其入账价值；以非同一控制下的企业吸收</w:t>
      </w:r>
      <w:r>
        <w:rPr/>
        <w:t> 合并方式取得的无形资产按公允价值确定其入账价值。</w:t>
      </w:r>
    </w:p>
    <w:p>
      <w:pPr>
        <w:pStyle w:val="BodyText"/>
        <w:spacing w:line="316" w:lineRule="auto" w:before="18"/>
        <w:ind w:left="153" w:right="90" w:firstLine="360"/>
        <w:jc w:val="left"/>
      </w:pPr>
      <w:r>
        <w:rPr>
          <w:spacing w:val="-2"/>
        </w:rPr>
        <w:t>内部自行开发的无形资产，其成本包括：开发该无形资产时耗用的材料、劳务成本、注册费、在开发过程中使用的其他</w:t>
      </w:r>
      <w:r>
        <w:rPr/>
        <w:t> 专利权和特许权的摊销以及满足资本化条件的利息费用，以及为使该无形资产达到预定用途前所发生的其他直接费用。</w:t>
      </w:r>
    </w:p>
    <w:p>
      <w:pPr>
        <w:pStyle w:val="BodyText"/>
        <w:spacing w:line="300" w:lineRule="auto" w:before="18"/>
        <w:ind w:left="514" w:right="6210"/>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16" w:lineRule="auto" w:before="31"/>
        <w:ind w:right="90"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spacing w:line="240" w:lineRule="auto" w:before="8"/>
        <w:rPr>
          <w:rFonts w:ascii="宋体" w:hAnsi="宋体" w:cs="宋体" w:eastAsia="宋体" w:hint="default"/>
          <w:sz w:val="22"/>
          <w:szCs w:val="22"/>
        </w:rPr>
      </w:pPr>
    </w:p>
    <w:p>
      <w:pPr>
        <w:pStyle w:val="Heading3"/>
        <w:spacing w:line="240" w:lineRule="auto"/>
        <w:ind w:right="9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3691"/>
        <w:jc w:val="left"/>
      </w:pPr>
      <w:r>
        <w:rPr/>
        <w:t>每年末，对使用寿命有限的无形资产的使用寿命及摊销方法进行复核。 经复核，本年年末无形资产的使用寿命及摊销方法与以前估计未有不同。</w:t>
      </w:r>
    </w:p>
    <w:p>
      <w:pPr>
        <w:spacing w:after="0" w:line="316" w:lineRule="auto"/>
        <w:jc w:val="left"/>
        <w:sectPr>
          <w:pgSz w:w="11910" w:h="16840"/>
          <w:pgMar w:header="877" w:footer="982" w:top="1100" w:bottom="1180" w:left="980" w:right="94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80"/>
        <w:gridCol w:w="2215"/>
        <w:gridCol w:w="5072"/>
      </w:tblGrid>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产权年限</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风电散热及联通装置</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w:t>
            </w:r>
          </w:p>
        </w:tc>
      </w:tr>
    </w:tbl>
    <w:p>
      <w:pPr>
        <w:spacing w:line="240" w:lineRule="auto" w:before="2"/>
        <w:rPr>
          <w:rFonts w:ascii="宋体" w:hAnsi="宋体" w:cs="宋体" w:eastAsia="宋体" w:hint="default"/>
          <w:sz w:val="19"/>
          <w:szCs w:val="19"/>
        </w:rPr>
      </w:pPr>
    </w:p>
    <w:p>
      <w:pPr>
        <w:pStyle w:val="Heading3"/>
        <w:spacing w:line="240" w:lineRule="auto" w:before="35"/>
        <w:ind w:right="90"/>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90"/>
        <w:jc w:val="left"/>
      </w:pPr>
      <w:r>
        <w:rPr/>
        <w:t>对于使用寿命确定的无形资产，如有明显减值迹象的，年末进行减值测试。 对于使用寿命不确定的无形资产，每年末进行减值测试。 </w:t>
      </w:r>
      <w:r>
        <w:rPr>
          <w:spacing w:val="-2"/>
        </w:rPr>
        <w:t>对无形资产进行减值测试，估计其可收回金额。有迹象表明一项无形资产可能发生减值的，公司以单项无形资产为基础</w:t>
      </w:r>
    </w:p>
    <w:p>
      <w:pPr>
        <w:pStyle w:val="BodyText"/>
        <w:spacing w:line="316" w:lineRule="auto" w:before="18"/>
        <w:ind w:left="153" w:right="90"/>
        <w:jc w:val="left"/>
      </w:pPr>
      <w:r>
        <w:rPr>
          <w:spacing w:val="-2"/>
        </w:rPr>
        <w:t>估计其可收回金额。公司难以对单项资产的可收回金额进行估计的，以该无形资产所属的资产组为基础确定无形资产组的可</w:t>
      </w:r>
      <w:r>
        <w:rPr>
          <w:spacing w:val="-64"/>
        </w:rPr>
        <w:t> </w:t>
      </w:r>
      <w:r>
        <w:rPr>
          <w:spacing w:val="-64"/>
        </w:rPr>
      </w:r>
      <w:r>
        <w:rPr/>
        <w:t>收回金额。</w:t>
      </w:r>
    </w:p>
    <w:p>
      <w:pPr>
        <w:pStyle w:val="BodyText"/>
        <w:spacing w:line="316" w:lineRule="auto" w:before="18"/>
        <w:ind w:left="514" w:right="90"/>
        <w:jc w:val="left"/>
      </w:pPr>
      <w:r>
        <w:rPr/>
        <w:t>可收回金额根据无形资产的公允价值减去处置费用后的净额与无形资产预计未来现金流量的现值两者之间较高者确定。 </w:t>
      </w:r>
      <w:r>
        <w:rPr>
          <w:spacing w:val="-2"/>
        </w:rPr>
        <w:t>当无形资产的可收回金额低于其账面价值的，将无形资产的账面价值减记至可收回金额，减记的金额确认为无形资产减</w:t>
      </w:r>
    </w:p>
    <w:p>
      <w:pPr>
        <w:pStyle w:val="BodyText"/>
        <w:spacing w:line="316" w:lineRule="auto" w:before="18"/>
        <w:ind w:left="514" w:right="90" w:hanging="360"/>
        <w:jc w:val="left"/>
      </w:pPr>
      <w:r>
        <w:rPr/>
        <w:t>值损失，计入当期损益，同时计提相应的无形资产减值准备。 </w:t>
      </w:r>
      <w:r>
        <w:rPr>
          <w:spacing w:val="-2"/>
        </w:rPr>
        <w:t>无形资产减值损失确认后，减值无形资产的折耗或者摊销费用在未来期间作相应调整，以使该无形资产在剩余使用寿命</w:t>
      </w:r>
    </w:p>
    <w:p>
      <w:pPr>
        <w:pStyle w:val="BodyText"/>
        <w:spacing w:line="316" w:lineRule="auto" w:before="18"/>
        <w:ind w:left="514" w:right="4590" w:hanging="360"/>
        <w:jc w:val="left"/>
      </w:pPr>
      <w:r>
        <w:rPr/>
        <w:t>内，系统地分摊调整后的无形资产账面价值（扣除预计净残值）。 无形资产的减值损失一经确认，在以后会计期间不再转回。</w:t>
      </w:r>
    </w:p>
    <w:p>
      <w:pPr>
        <w:spacing w:line="240" w:lineRule="auto" w:before="7"/>
        <w:rPr>
          <w:rFonts w:ascii="宋体" w:hAnsi="宋体" w:cs="宋体" w:eastAsia="宋体" w:hint="default"/>
          <w:sz w:val="22"/>
          <w:szCs w:val="22"/>
        </w:rPr>
      </w:pPr>
    </w:p>
    <w:p>
      <w:pPr>
        <w:pStyle w:val="Heading3"/>
        <w:spacing w:line="240" w:lineRule="auto"/>
        <w:ind w:right="90"/>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513" w:right="90"/>
        <w:jc w:val="left"/>
      </w:pPr>
      <w:r>
        <w:rPr/>
        <w:t>公司内部研究开发项目的支出分为研究阶段支出和开发阶段支出。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240" w:lineRule="auto" w:before="18"/>
        <w:ind w:left="153" w:right="90"/>
        <w:jc w:val="left"/>
      </w:pPr>
      <w:r>
        <w:rPr/>
        <w:t>进的材料、装置、产品等活动的阶段。</w:t>
      </w:r>
    </w:p>
    <w:p>
      <w:pPr>
        <w:spacing w:line="240" w:lineRule="auto" w:before="12"/>
        <w:rPr>
          <w:rFonts w:ascii="宋体" w:hAnsi="宋体" w:cs="宋体" w:eastAsia="宋体" w:hint="default"/>
          <w:sz w:val="26"/>
          <w:szCs w:val="26"/>
        </w:rPr>
      </w:pPr>
    </w:p>
    <w:p>
      <w:pPr>
        <w:pStyle w:val="Heading3"/>
        <w:spacing w:line="240" w:lineRule="auto"/>
        <w:ind w:right="90"/>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3511"/>
        <w:jc w:val="left"/>
      </w:pPr>
      <w:r>
        <w:rPr/>
        <w:t>开发阶段支出符合资本化的具体标准 内部研究开发项目开发阶段的支出，同时满足下列条件时确认为无形资产：</w:t>
      </w:r>
    </w:p>
    <w:p>
      <w:pPr>
        <w:pStyle w:val="BodyText"/>
        <w:spacing w:line="240" w:lineRule="auto" w:before="18"/>
        <w:ind w:left="513" w:right="9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2"/>
        <w:ind w:left="513" w:right="9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62"/>
        <w:ind w:left="153" w:right="181" w:firstLine="36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 形资产将在内部使用的，能够证明其有用性；</w:t>
      </w:r>
    </w:p>
    <w:p>
      <w:pPr>
        <w:pStyle w:val="BodyText"/>
        <w:spacing w:line="240" w:lineRule="auto" w:before="31"/>
        <w:ind w:left="513" w:right="9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00" w:lineRule="auto" w:before="62"/>
        <w:ind w:left="513" w:right="811"/>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7"/>
        <w:rPr>
          <w:rFonts w:ascii="宋体" w:hAnsi="宋体" w:cs="宋体" w:eastAsia="宋体" w:hint="default"/>
          <w:sz w:val="23"/>
          <w:szCs w:val="23"/>
        </w:rPr>
      </w:pPr>
    </w:p>
    <w:p>
      <w:pPr>
        <w:pStyle w:val="Heading3"/>
        <w:spacing w:line="240" w:lineRule="auto"/>
        <w:ind w:right="90"/>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2431"/>
        <w:jc w:val="left"/>
      </w:pPr>
      <w:r>
        <w:rPr/>
        <w:t>长期待摊费用为已经发生但应由本期和以后各期负担的分摊期限在一年以上的各项费用。 长期待摊费用在受益期内平均摊销</w:t>
      </w:r>
    </w:p>
    <w:p>
      <w:pPr>
        <w:spacing w:after="0" w:line="316" w:lineRule="auto"/>
        <w:jc w:val="left"/>
        <w:sectPr>
          <w:pgSz w:w="11910" w:h="16840"/>
          <w:pgMar w:header="877" w:footer="982" w:top="1100" w:bottom="1180" w:left="980" w:right="940"/>
        </w:sectPr>
      </w:pPr>
    </w:p>
    <w:p>
      <w:pPr>
        <w:spacing w:line="240" w:lineRule="auto" w:before="10"/>
        <w:rPr>
          <w:rFonts w:ascii="宋体" w:hAnsi="宋体" w:cs="宋体" w:eastAsia="宋体" w:hint="default"/>
          <w:sz w:val="20"/>
          <w:szCs w:val="20"/>
        </w:rPr>
      </w:pPr>
    </w:p>
    <w:p>
      <w:pPr>
        <w:pStyle w:val="Heading3"/>
        <w:spacing w:line="240" w:lineRule="auto" w:before="35"/>
        <w:ind w:right="90"/>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360"/>
        <w:jc w:val="left"/>
      </w:pPr>
      <w:r>
        <w:rPr>
          <w:spacing w:val="-2"/>
        </w:rPr>
        <w:t>本公司涉及诉讼、债务担保、亏损合同、重组事项时，如该等事项很可能需要未来以交付资产或提供劳务、其金额能够</w:t>
      </w:r>
      <w:r>
        <w:rPr/>
        <w:t> 可靠计量的，确认为预计负债。</w:t>
      </w:r>
    </w:p>
    <w:p>
      <w:pPr>
        <w:spacing w:line="240" w:lineRule="auto" w:before="7"/>
        <w:rPr>
          <w:rFonts w:ascii="宋体" w:hAnsi="宋体" w:cs="宋体" w:eastAsia="宋体" w:hint="default"/>
          <w:sz w:val="22"/>
          <w:szCs w:val="22"/>
        </w:rPr>
      </w:pPr>
    </w:p>
    <w:p>
      <w:pPr>
        <w:pStyle w:val="Heading3"/>
        <w:spacing w:line="240" w:lineRule="auto"/>
        <w:ind w:right="90"/>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pPr>
      <w:r>
        <w:rPr/>
        <w:t>与或有事项相关的义务同时满足下列条件时，本公司确认为预计负债：</w:t>
      </w:r>
    </w:p>
    <w:p>
      <w:pPr>
        <w:pStyle w:val="BodyText"/>
        <w:spacing w:line="240" w:lineRule="auto" w:before="76"/>
        <w:ind w:left="513" w:right="90"/>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62"/>
        <w:ind w:left="513" w:right="90"/>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62"/>
        <w:ind w:left="513" w:right="90"/>
        <w:jc w:val="left"/>
      </w:pPr>
      <w:r>
        <w:rPr/>
        <w:t>（</w:t>
      </w:r>
      <w:r>
        <w:rPr>
          <w:rFonts w:ascii="Times New Roman" w:hAnsi="Times New Roman" w:cs="Times New Roman" w:eastAsia="Times New Roman" w:hint="default"/>
        </w:rPr>
        <w:t>3</w:t>
      </w:r>
      <w:r>
        <w:rPr/>
        <w:t>）该义务的金额能够可靠地计量。</w:t>
      </w:r>
    </w:p>
    <w:p>
      <w:pPr>
        <w:spacing w:line="240" w:lineRule="auto" w:before="12"/>
        <w:rPr>
          <w:rFonts w:ascii="宋体" w:hAnsi="宋体" w:cs="宋体" w:eastAsia="宋体" w:hint="default"/>
          <w:sz w:val="25"/>
          <w:szCs w:val="25"/>
        </w:rPr>
      </w:pPr>
    </w:p>
    <w:p>
      <w:pPr>
        <w:pStyle w:val="Heading3"/>
        <w:spacing w:line="240" w:lineRule="auto"/>
        <w:ind w:right="90"/>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90"/>
        <w:jc w:val="left"/>
      </w:pPr>
      <w:r>
        <w:rPr/>
        <w:t>本公司预计负债按履行相关现时义务所需的支出的最佳估计数进行初始计量。 </w:t>
      </w:r>
      <w:r>
        <w:rPr>
          <w:spacing w:val="-2"/>
        </w:rPr>
        <w:t>本公司在确定最佳估计数时，综合考虑与或有事项有关的风险、不确定性和货币时间价值等因素。对于货币时间价值影</w:t>
      </w:r>
    </w:p>
    <w:p>
      <w:pPr>
        <w:pStyle w:val="BodyText"/>
        <w:spacing w:line="316" w:lineRule="auto" w:before="18"/>
        <w:ind w:left="513" w:right="4591" w:hanging="360"/>
        <w:jc w:val="left"/>
      </w:pPr>
      <w:r>
        <w:rPr/>
        <w:t>响重大的，通过对相关未来现金流出进行折现后确定最佳估计数。 最佳估计数分别以下情况处理：</w:t>
      </w:r>
    </w:p>
    <w:p>
      <w:pPr>
        <w:pStyle w:val="BodyText"/>
        <w:spacing w:line="316" w:lineRule="auto" w:before="18"/>
        <w:ind w:left="153" w:right="90" w:firstLine="360"/>
        <w:jc w:val="left"/>
      </w:pPr>
      <w:r>
        <w:rPr>
          <w:spacing w:val="-2"/>
        </w:rPr>
        <w:t>所需支出存在一个连续范围（或区间），且该范围内各种结果发生的可能性相同的，则最佳估计数按照该范围的中间值</w:t>
      </w:r>
      <w:r>
        <w:rPr/>
        <w:t> 即上下限金额的平均数确定。</w:t>
      </w:r>
    </w:p>
    <w:p>
      <w:pPr>
        <w:pStyle w:val="BodyText"/>
        <w:spacing w:line="316" w:lineRule="auto" w:before="18"/>
        <w:ind w:left="153" w:right="189" w:firstLine="360"/>
        <w:jc w:val="both"/>
      </w:pPr>
      <w:r>
        <w:rPr>
          <w:spacing w:val="-2"/>
        </w:rPr>
        <w:t>所需支出不存在一个连续范围（或区间），或虽然存在一个连续范围但该范围内各种结果发生的可能性不相同的，如或</w:t>
      </w:r>
      <w:r>
        <w:rPr/>
        <w:t> </w:t>
      </w:r>
      <w:r>
        <w:rPr>
          <w:spacing w:val="-2"/>
        </w:rPr>
        <w:t>有事项涉及单个项目的，则最佳估计数按照最可能发生金额确定；如或有事项涉及多个项目的，则最佳估计数按各种可能结</w:t>
      </w:r>
      <w:r>
        <w:rPr>
          <w:spacing w:val="-66"/>
        </w:rPr>
        <w:t> </w:t>
      </w:r>
      <w:r>
        <w:rPr>
          <w:spacing w:val="-66"/>
        </w:rPr>
      </w:r>
      <w:r>
        <w:rPr/>
        <w:t>果及相关概率计算确定。</w:t>
      </w:r>
    </w:p>
    <w:p>
      <w:pPr>
        <w:pStyle w:val="BodyText"/>
        <w:spacing w:line="316" w:lineRule="auto" w:before="18"/>
        <w:ind w:left="153" w:right="91" w:firstLine="360"/>
        <w:jc w:val="left"/>
      </w:pPr>
      <w:r>
        <w:rPr/>
        <w:t>本公司清偿预计负债所需支出全部或部分预期由第三方补偿的，补偿金额在基本确定能够收到时，作为资产单独确认， 确认的补偿金额不超过预计负债的账面价值。</w:t>
      </w:r>
    </w:p>
    <w:p>
      <w:pPr>
        <w:spacing w:line="240" w:lineRule="auto" w:before="7"/>
        <w:rPr>
          <w:rFonts w:ascii="宋体" w:hAnsi="宋体" w:cs="宋体" w:eastAsia="宋体" w:hint="default"/>
          <w:sz w:val="22"/>
          <w:szCs w:val="22"/>
        </w:rPr>
      </w:pPr>
    </w:p>
    <w:p>
      <w:pPr>
        <w:pStyle w:val="Heading3"/>
        <w:spacing w:line="240" w:lineRule="auto"/>
        <w:ind w:right="90"/>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0"/>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4" w:right="90"/>
        <w:jc w:val="left"/>
      </w:pPr>
      <w:r>
        <w:rPr/>
        <w:t>销售商品收入确认和计量的总体原则</w:t>
      </w:r>
    </w:p>
    <w:p>
      <w:pPr>
        <w:spacing w:after="0" w:line="240"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153" w:right="190" w:firstLine="360"/>
        <w:jc w:val="both"/>
      </w:pPr>
      <w:r>
        <w:rPr>
          <w:spacing w:val="-2"/>
        </w:rPr>
        <w:t>公司已将商品所有权上的主要风险和报酬转移给购买方；公司既没有保留与所有权相联系的继续管理权，也没有对已售</w:t>
      </w:r>
      <w:r>
        <w:rPr/>
        <w:t> </w:t>
      </w:r>
      <w:r>
        <w:rPr>
          <w:spacing w:val="-2"/>
        </w:rPr>
        <w:t>出的商品实施有效控制；收入的金额能够可靠地计量；相关的经济利益很可能流入企业；相关的已发生或将发生的成本能够</w:t>
      </w:r>
      <w:r>
        <w:rPr>
          <w:spacing w:val="-66"/>
        </w:rPr>
        <w:t> </w:t>
      </w:r>
      <w:r>
        <w:rPr>
          <w:spacing w:val="-66"/>
        </w:rPr>
      </w:r>
      <w:r>
        <w:rPr/>
        <w:t>可靠地计量时，确认商品销售收入实现。</w:t>
      </w:r>
    </w:p>
    <w:p>
      <w:pPr>
        <w:pStyle w:val="BodyText"/>
        <w:spacing w:line="309" w:lineRule="auto" w:before="18"/>
        <w:ind w:left="513" w:right="90"/>
        <w:jc w:val="left"/>
      </w:pPr>
      <w:r>
        <w:rPr/>
        <w:t>本公司销售商品收入确认的确认的具体方法： 公司主要业务为向客户提供加密键盘、自助服务终端、</w:t>
      </w:r>
      <w:r>
        <w:rPr>
          <w:rFonts w:ascii="Times New Roman" w:hAnsi="Times New Roman" w:cs="Times New Roman" w:eastAsia="Times New Roman" w:hint="default"/>
        </w:rPr>
        <w:t>POS</w:t>
      </w:r>
      <w:r>
        <w:rPr/>
        <w:t>支付产品等金融电子服务设备和</w:t>
      </w:r>
      <w:r>
        <w:rPr>
          <w:rFonts w:ascii="Times New Roman" w:hAnsi="Times New Roman" w:cs="Times New Roman" w:eastAsia="Times New Roman" w:hint="default"/>
        </w:rPr>
        <w:t>LED</w:t>
      </w:r>
      <w:r>
        <w:rPr/>
        <w:t>照明电子等。 </w:t>
      </w:r>
      <w:r>
        <w:rPr>
          <w:spacing w:val="-2"/>
        </w:rPr>
        <w:t>公司根据与客户的合同约定，以加密键盘、</w:t>
      </w:r>
      <w:r>
        <w:rPr>
          <w:rFonts w:ascii="Times New Roman" w:hAnsi="Times New Roman" w:cs="Times New Roman" w:eastAsia="Times New Roman" w:hint="default"/>
          <w:spacing w:val="-2"/>
        </w:rPr>
        <w:t>POS</w:t>
      </w:r>
      <w:r>
        <w:rPr>
          <w:spacing w:val="-2"/>
        </w:rPr>
        <w:t>支付产品移交作为收入确认的标准，在产品经客户验收合格并移交给客</w:t>
      </w:r>
    </w:p>
    <w:p>
      <w:pPr>
        <w:pStyle w:val="BodyText"/>
        <w:spacing w:line="312" w:lineRule="auto" w:before="5"/>
        <w:ind w:left="514" w:right="990" w:hanging="360"/>
        <w:jc w:val="left"/>
      </w:pPr>
      <w:r>
        <w:rPr/>
        <w:t>户后作为公司收入确认的时间； 自助服务终端以安装调试验收合格作为收入确认的标准，以客户安装调试验收单作为公司收入确认的时间； </w:t>
      </w:r>
      <w:r>
        <w:rPr>
          <w:rFonts w:ascii="Times New Roman" w:hAnsi="Times New Roman" w:cs="Times New Roman" w:eastAsia="Times New Roman" w:hint="default"/>
        </w:rPr>
        <w:t>LED</w:t>
      </w:r>
      <w:r>
        <w:rPr/>
        <w:t>照明电子根据合同约定以公司移交或安装调试验收合格作为收入确认标准。 公司出口货物以报关单作为收入确认的标准。</w:t>
      </w:r>
    </w:p>
    <w:p>
      <w:pPr>
        <w:pStyle w:val="BodyText"/>
        <w:spacing w:line="316" w:lineRule="auto" w:before="22"/>
        <w:ind w:left="514" w:right="5130"/>
        <w:jc w:val="left"/>
      </w:pPr>
      <w:r>
        <w:rPr/>
        <w:t>本公司合同能源管理项目相关收入确认的依据和方法： 按照合同约定的收费方法和时间确认为收入。</w:t>
      </w:r>
    </w:p>
    <w:p>
      <w:pPr>
        <w:spacing w:line="240" w:lineRule="auto" w:before="7"/>
        <w:rPr>
          <w:rFonts w:ascii="宋体" w:hAnsi="宋体" w:cs="宋体" w:eastAsia="宋体" w:hint="default"/>
          <w:sz w:val="22"/>
          <w:szCs w:val="22"/>
        </w:rPr>
      </w:pPr>
    </w:p>
    <w:p>
      <w:pPr>
        <w:pStyle w:val="Heading3"/>
        <w:spacing w:line="240" w:lineRule="auto"/>
        <w:ind w:right="90"/>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91"/>
        <w:jc w:val="left"/>
      </w:pPr>
      <w:r>
        <w:rPr/>
        <w:t>让渡资产使用权收入确认和计量的总体原则 与交易相关的经济利益很可能流入企业，收入的金额能够可靠地计量时。分别下列情况确定让渡资产使用权收入金额：</w:t>
      </w:r>
    </w:p>
    <w:p>
      <w:pPr>
        <w:pStyle w:val="BodyText"/>
        <w:spacing w:line="240" w:lineRule="auto" w:before="18"/>
        <w:ind w:left="514" w:right="90"/>
        <w:jc w:val="left"/>
      </w:pPr>
      <w:r>
        <w:rPr/>
        <w:t>①利息收入金额，按照他人使用本企业货币资金的时间和实际利率计算确定。</w:t>
      </w:r>
    </w:p>
    <w:p>
      <w:pPr>
        <w:pStyle w:val="BodyText"/>
        <w:spacing w:line="316" w:lineRule="auto" w:before="76"/>
        <w:ind w:left="514" w:right="1530"/>
        <w:jc w:val="left"/>
      </w:pPr>
      <w:r>
        <w:rPr/>
        <w:t>②使用费收入金额，按照有关合同或协议约定的收费时间和方法计算确定。 本公司确认让渡资产使用权收入具体方法： 依据相关合同或协议，收入金额能够可靠地计量，且公司已经完全履行了合同或者协议约定的义务。</w:t>
      </w:r>
    </w:p>
    <w:p>
      <w:pPr>
        <w:spacing w:line="240" w:lineRule="auto" w:before="7"/>
        <w:rPr>
          <w:rFonts w:ascii="宋体" w:hAnsi="宋体" w:cs="宋体" w:eastAsia="宋体" w:hint="default"/>
          <w:sz w:val="22"/>
          <w:szCs w:val="22"/>
        </w:rPr>
      </w:pPr>
    </w:p>
    <w:p>
      <w:pPr>
        <w:pStyle w:val="Heading3"/>
        <w:spacing w:line="240" w:lineRule="auto"/>
        <w:ind w:right="90"/>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对在同一会计年度内开始并完成的劳务，于完成劳务时确认收入；如果劳务的开始和完成分属不同的会计年度，则在提</w:t>
      </w:r>
      <w:r>
        <w:rPr/>
        <w:t> 供劳务交易的结果能够可靠估计的情况下，于期末按完工百分比法确认相关的劳务收入。</w:t>
      </w:r>
    </w:p>
    <w:p>
      <w:pPr>
        <w:spacing w:line="240" w:lineRule="auto" w:before="7"/>
        <w:rPr>
          <w:rFonts w:ascii="宋体" w:hAnsi="宋体" w:cs="宋体" w:eastAsia="宋体" w:hint="default"/>
          <w:sz w:val="22"/>
          <w:szCs w:val="22"/>
        </w:rPr>
      </w:pPr>
    </w:p>
    <w:p>
      <w:pPr>
        <w:pStyle w:val="Heading3"/>
        <w:spacing w:line="240" w:lineRule="auto"/>
        <w:ind w:right="90"/>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0"/>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0"/>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360"/>
        <w:jc w:val="both"/>
      </w:pPr>
      <w:r>
        <w:rPr>
          <w:spacing w:val="-2"/>
        </w:rPr>
        <w:t>政府补助，是本公司从政府无偿取得的货币性资产与非货币性资产。分为与资产相关的政府补助和与收益相关的政府补</w:t>
      </w:r>
      <w:r>
        <w:rPr/>
        <w:t> 助。</w:t>
      </w:r>
    </w:p>
    <w:p>
      <w:pPr>
        <w:spacing w:line="240" w:lineRule="auto" w:before="7"/>
        <w:rPr>
          <w:rFonts w:ascii="宋体" w:hAnsi="宋体" w:cs="宋体" w:eastAsia="宋体" w:hint="default"/>
          <w:sz w:val="22"/>
          <w:szCs w:val="22"/>
        </w:rPr>
      </w:pPr>
    </w:p>
    <w:p>
      <w:pPr>
        <w:pStyle w:val="Heading3"/>
        <w:spacing w:line="240" w:lineRule="auto"/>
        <w:ind w:right="90"/>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与购建固定资产、无形资产等长期资产相关的政府补助，确认为递延收益，按照所建造或购买的资产使用年限分期计入</w:t>
      </w:r>
      <w:r>
        <w:rPr/>
        <w:t> 营业外收入；</w:t>
      </w:r>
    </w:p>
    <w:p>
      <w:pPr>
        <w:pStyle w:val="BodyText"/>
        <w:spacing w:line="316" w:lineRule="auto" w:before="18"/>
        <w:ind w:right="191" w:firstLine="360"/>
        <w:jc w:val="both"/>
      </w:pPr>
      <w:r>
        <w:rPr>
          <w:spacing w:val="-2"/>
        </w:rPr>
        <w:t>与收益相关的政府补助，用于补偿企业以后期间的相关费用或损失的，取得时确认为递延收益，在确认相关费用的期间</w:t>
      </w:r>
      <w:r>
        <w:rPr/>
        <w:t> 计入当期营业外收入；用于补偿企业已发生的相关费用或损失的，取得时直接计入当期营业外收入。</w:t>
      </w:r>
    </w:p>
    <w:p>
      <w:pPr>
        <w:spacing w:after="0" w:line="316" w:lineRule="auto"/>
        <w:jc w:val="both"/>
        <w:sectPr>
          <w:pgSz w:w="11910" w:h="16840"/>
          <w:pgMar w:header="877" w:footer="982" w:top="1100" w:bottom="1180" w:left="980" w:right="940"/>
        </w:sectPr>
      </w:pPr>
    </w:p>
    <w:p>
      <w:pPr>
        <w:spacing w:line="240" w:lineRule="auto" w:before="10"/>
        <w:rPr>
          <w:rFonts w:ascii="宋体" w:hAnsi="宋体" w:cs="宋体" w:eastAsia="宋体" w:hint="default"/>
          <w:sz w:val="20"/>
          <w:szCs w:val="20"/>
        </w:rPr>
      </w:pPr>
    </w:p>
    <w:p>
      <w:pPr>
        <w:pStyle w:val="Heading3"/>
        <w:spacing w:line="240" w:lineRule="auto" w:before="35"/>
        <w:ind w:right="90"/>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0"/>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360"/>
        <w:jc w:val="left"/>
      </w:pPr>
      <w:r>
        <w:rPr/>
        <w:t>对于可抵扣暂时性差异确认递延所得税资产，以未来期间很可能取得的用来抵扣可抵扣暂时性差异的应纳税所得额为 </w:t>
      </w:r>
      <w:r>
        <w:rPr>
          <w:spacing w:val="-2"/>
        </w:rPr>
        <w:t>限。对于应纳税暂时性差异，除特殊情况外，确认递延所得税负债。不确认递延所得税资产或递延所得税负债的特殊情况包</w:t>
      </w:r>
      <w:r>
        <w:rPr>
          <w:spacing w:val="-66"/>
        </w:rPr>
        <w:t> </w:t>
      </w:r>
      <w:r>
        <w:rPr>
          <w:spacing w:val="-66"/>
        </w:rPr>
      </w:r>
      <w:r>
        <w:rPr>
          <w:spacing w:val="-2"/>
        </w:rPr>
        <w:t>括：商誉的初始确认；除企业合并以外的发生时既不影响会计利润也不影响应纳税所得额（或可抵扣亏损）的其他交易或事</w:t>
      </w:r>
      <w:r>
        <w:rPr>
          <w:spacing w:val="-66"/>
        </w:rPr>
        <w:t> </w:t>
      </w:r>
      <w:r>
        <w:rPr>
          <w:spacing w:val="-66"/>
        </w:rPr>
      </w:r>
      <w:r>
        <w:rPr/>
        <w:t>项。</w:t>
      </w:r>
    </w:p>
    <w:p>
      <w:pPr>
        <w:pStyle w:val="BodyText"/>
        <w:spacing w:line="316" w:lineRule="auto" w:before="18"/>
        <w:ind w:left="153" w:right="90" w:firstLine="360"/>
        <w:jc w:val="left"/>
      </w:pPr>
      <w:r>
        <w:rPr>
          <w:spacing w:val="-2"/>
        </w:rPr>
        <w:t>当拥有以净额结算的法定权利，且意图以净额结算或取得资产、清偿负债同时进行时，当期所得税资产及当期所得税负</w:t>
      </w:r>
      <w:r>
        <w:rPr/>
        <w:t> </w:t>
      </w:r>
      <w:r>
        <w:rPr>
          <w:spacing w:val="-2"/>
        </w:rPr>
        <w:t>债以抵销后的净额列报。当拥有以净额结算当期所得税资产及当期所得税负债的法定权利，且递延所得税资产及递延所得税</w:t>
      </w:r>
      <w:r>
        <w:rPr>
          <w:spacing w:val="-64"/>
        </w:rPr>
        <w:t> </w:t>
      </w:r>
      <w:r>
        <w:rPr>
          <w:spacing w:val="-64"/>
        </w:rPr>
      </w:r>
      <w:r>
        <w:rPr>
          <w:spacing w:val="-2"/>
        </w:rPr>
        <w:t>负债是与同一税收征管部门对同一纳税主体征收的所得税相关或者是对不同的纳税主体相关，但在未来每一具有重要性的递</w:t>
      </w:r>
      <w:r>
        <w:rPr>
          <w:spacing w:val="-64"/>
        </w:rPr>
        <w:t> </w:t>
      </w:r>
      <w:r>
        <w:rPr>
          <w:spacing w:val="-64"/>
        </w:rPr>
      </w:r>
      <w:r>
        <w:rPr>
          <w:spacing w:val="-4"/>
        </w:rPr>
        <w:t>延所得税资产及负债转回的期间内，涉及的纳税主体意图以净额结算当期所得税资产和负债或是同时取得资产、清偿负债时，</w:t>
      </w:r>
      <w:r>
        <w:rPr>
          <w:spacing w:val="-44"/>
        </w:rPr>
        <w:t> </w:t>
      </w:r>
      <w:r>
        <w:rPr>
          <w:spacing w:val="-44"/>
        </w:rPr>
      </w:r>
      <w:r>
        <w:rPr/>
        <w:t>递延所得税资产及递延所得税负债以抵销后的净额列报。</w:t>
      </w:r>
    </w:p>
    <w:p>
      <w:pPr>
        <w:spacing w:line="240" w:lineRule="auto" w:before="7"/>
        <w:rPr>
          <w:rFonts w:ascii="宋体" w:hAnsi="宋体" w:cs="宋体" w:eastAsia="宋体" w:hint="default"/>
          <w:sz w:val="22"/>
          <w:szCs w:val="22"/>
        </w:rPr>
      </w:pPr>
    </w:p>
    <w:p>
      <w:pPr>
        <w:pStyle w:val="Heading3"/>
        <w:spacing w:line="240" w:lineRule="auto"/>
        <w:ind w:right="90"/>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80" w:firstLine="360"/>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）公司租入资产所支付的租赁费，在不扣除免租期的整个租赁期内，按直线法进行分摊，计入当期费用。公司支付 的与租赁交易相关的初始直接费用，计入当期费用。</w:t>
      </w:r>
    </w:p>
    <w:p>
      <w:pPr>
        <w:pStyle w:val="BodyText"/>
        <w:spacing w:line="316" w:lineRule="auto" w:before="31"/>
        <w:ind w:left="153" w:right="90" w:firstLine="360"/>
        <w:jc w:val="left"/>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309" w:lineRule="auto" w:before="18"/>
        <w:ind w:left="153" w:right="189" w:firstLine="360"/>
        <w:jc w:val="both"/>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）公司出租资产所收取的租赁费，在不扣除免租期的整个租赁期内，按直线法进行分摊，确认为租赁收入。公司支 </w:t>
      </w:r>
      <w:r>
        <w:rPr>
          <w:spacing w:val="-2"/>
        </w:rPr>
        <w:t>付的与租赁交易相关的初始直接费用，计入当期费用；如金额较大的，则予以资本化，在整个租赁期间内按照与租赁收入确</w:t>
      </w:r>
      <w:r>
        <w:rPr>
          <w:spacing w:val="-66"/>
        </w:rPr>
        <w:t> </w:t>
      </w:r>
      <w:r>
        <w:rPr>
          <w:spacing w:val="-66"/>
        </w:rPr>
      </w:r>
      <w:r>
        <w:rPr/>
        <w:t>认相同的基础分期计入当期收益。</w:t>
      </w:r>
    </w:p>
    <w:p>
      <w:pPr>
        <w:pStyle w:val="BodyText"/>
        <w:spacing w:line="316" w:lineRule="auto" w:before="24"/>
        <w:ind w:left="153" w:right="90" w:firstLine="360"/>
        <w:jc w:val="left"/>
      </w:pPr>
      <w:r>
        <w:rPr>
          <w:spacing w:val="-2"/>
        </w:rPr>
        <w:t>公司承担了应由承租方承担的与租赁相关的费用时，公司将该部分费用从租金收入总额中扣除，按扣除后的租金费用在</w:t>
      </w:r>
      <w:r>
        <w:rPr/>
        <w:t> 租赁期内分配。</w:t>
      </w:r>
    </w:p>
    <w:p>
      <w:pPr>
        <w:spacing w:line="240" w:lineRule="auto" w:before="7"/>
        <w:rPr>
          <w:rFonts w:ascii="宋体" w:hAnsi="宋体" w:cs="宋体" w:eastAsia="宋体" w:hint="default"/>
          <w:sz w:val="22"/>
          <w:szCs w:val="22"/>
        </w:rPr>
      </w:pPr>
    </w:p>
    <w:p>
      <w:pPr>
        <w:pStyle w:val="Heading3"/>
        <w:spacing w:line="240" w:lineRule="auto"/>
        <w:ind w:right="90"/>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1" w:firstLine="360"/>
        <w:jc w:val="both"/>
      </w:pPr>
      <w:r>
        <w:rPr>
          <w:spacing w:val="-4"/>
        </w:rPr>
        <w:t>融资租入资产：公司在承租开始日，将租赁资产公允价值与最低租赁付款额现值两者中较低者作为租入资产的入账价值，</w:t>
      </w:r>
      <w:r>
        <w:rPr/>
        <w:t> 将最低租赁付款额作为长期应付款的入账价值，其差额作为未确认的融资费用。公司采用实际利率法对未确认的融资费用， 在资产租赁期间内摊销，计入财务费用。公司发生的初始直接费用，计入租入资产价值。</w:t>
      </w:r>
    </w:p>
    <w:p>
      <w:pPr>
        <w:spacing w:after="0" w:line="316" w:lineRule="auto"/>
        <w:jc w:val="both"/>
        <w:sectPr>
          <w:pgSz w:w="11910" w:h="16840"/>
          <w:pgMar w:header="877" w:footer="982" w:top="1100" w:bottom="1180" w:left="980" w:right="940"/>
        </w:sectPr>
      </w:pPr>
    </w:p>
    <w:p>
      <w:pPr>
        <w:spacing w:line="240" w:lineRule="auto" w:before="10"/>
        <w:rPr>
          <w:rFonts w:ascii="宋体" w:hAnsi="宋体" w:cs="宋体" w:eastAsia="宋体" w:hint="default"/>
          <w:sz w:val="20"/>
          <w:szCs w:val="20"/>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9"/>
        <w:jc w:val="left"/>
      </w:pPr>
      <w:r>
        <w:rPr/>
        <w:t>本报告期主要会计政策、会计估计是否变更</w:t>
      </w:r>
    </w:p>
    <w:p>
      <w:pPr>
        <w:pStyle w:val="BodyText"/>
        <w:spacing w:line="240" w:lineRule="auto" w:before="116"/>
        <w:ind w:left="153" w:right="149"/>
        <w:jc w:val="left"/>
      </w:pPr>
      <w:r>
        <w:rPr/>
        <w:t>□ 是 √ 否</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9"/>
        <w:jc w:val="left"/>
      </w:pPr>
      <w:r>
        <w:rPr/>
        <w:t>本报告期主要会计政策是否变更</w:t>
      </w:r>
    </w:p>
    <w:p>
      <w:pPr>
        <w:pStyle w:val="BodyText"/>
        <w:spacing w:line="240" w:lineRule="auto" w:before="116"/>
        <w:ind w:left="153" w:right="1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pStyle w:val="BodyText"/>
        <w:spacing w:line="240" w:lineRule="auto" w:before="102"/>
        <w:ind w:left="514" w:right="149"/>
        <w:jc w:val="left"/>
      </w:pPr>
      <w:r>
        <w:rPr/>
        <w:t>本报告期公司主要会计政策未发生变更。</w:t>
      </w:r>
    </w:p>
    <w:p>
      <w:pPr>
        <w:spacing w:line="240" w:lineRule="auto" w:before="12"/>
        <w:rPr>
          <w:rFonts w:ascii="宋体" w:hAnsi="宋体" w:cs="宋体" w:eastAsia="宋体" w:hint="default"/>
          <w:sz w:val="26"/>
          <w:szCs w:val="26"/>
        </w:rPr>
      </w:pPr>
    </w:p>
    <w:p>
      <w:pPr>
        <w:pStyle w:val="Heading3"/>
        <w:spacing w:line="240" w:lineRule="auto"/>
        <w:ind w:right="149"/>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9"/>
        <w:jc w:val="left"/>
      </w:pPr>
      <w:r>
        <w:rPr/>
        <w:t>本报告期主要会计估计是否变更</w:t>
      </w:r>
    </w:p>
    <w:p>
      <w:pPr>
        <w:pStyle w:val="BodyText"/>
        <w:spacing w:line="240" w:lineRule="auto" w:before="116"/>
        <w:ind w:left="153" w:right="149"/>
        <w:jc w:val="left"/>
      </w:pPr>
      <w:r>
        <w:rPr/>
        <w:t>□ 是 √ 否</w:t>
      </w:r>
    </w:p>
    <w:p>
      <w:pPr>
        <w:pStyle w:val="BodyText"/>
        <w:spacing w:line="300" w:lineRule="auto" w:before="115"/>
        <w:ind w:left="513" w:right="231"/>
        <w:jc w:val="left"/>
      </w:pPr>
      <w:r>
        <w:rPr/>
        <w:t>（</w:t>
      </w:r>
      <w:r>
        <w:rPr>
          <w:rFonts w:ascii="Times New Roman" w:hAnsi="Times New Roman" w:cs="Times New Roman" w:eastAsia="Times New Roman" w:hint="default"/>
        </w:rPr>
        <w:t>1</w:t>
      </w:r>
      <w:r>
        <w:rPr/>
        <w:t>）公司对会计估计变更适用时点的确定原则： 公司会计估计变更自董事会正式批准后生效，除非有确凿证据表明导致会计估计变更的情况在董事会决议日前已经存</w:t>
      </w:r>
    </w:p>
    <w:p>
      <w:pPr>
        <w:pStyle w:val="BodyText"/>
        <w:spacing w:line="240" w:lineRule="auto" w:before="31"/>
        <w:ind w:left="153" w:right="149"/>
        <w:jc w:val="left"/>
      </w:pPr>
      <w:r>
        <w:rPr/>
        <w:t>在。</w:t>
      </w:r>
    </w:p>
    <w:p>
      <w:pPr>
        <w:pStyle w:val="BodyText"/>
        <w:spacing w:line="240" w:lineRule="auto" w:before="76"/>
        <w:ind w:left="513" w:right="149"/>
        <w:jc w:val="left"/>
      </w:pPr>
      <w:r>
        <w:rPr/>
        <w:t>（</w:t>
      </w:r>
      <w:r>
        <w:rPr>
          <w:rFonts w:ascii="Times New Roman" w:hAnsi="Times New Roman" w:cs="Times New Roman" w:eastAsia="Times New Roman" w:hint="default"/>
        </w:rPr>
        <w:t>2</w:t>
      </w:r>
      <w:r>
        <w:rPr/>
        <w:t>）本报告期公司主要会计估计未发生变更。</w:t>
      </w:r>
    </w:p>
    <w:p>
      <w:pPr>
        <w:spacing w:line="240" w:lineRule="auto" w:before="12"/>
        <w:rPr>
          <w:rFonts w:ascii="宋体" w:hAnsi="宋体" w:cs="宋体" w:eastAsia="宋体" w:hint="default"/>
          <w:sz w:val="25"/>
          <w:szCs w:val="25"/>
        </w:rPr>
      </w:pPr>
    </w:p>
    <w:p>
      <w:pPr>
        <w:pStyle w:val="Heading3"/>
        <w:spacing w:line="240" w:lineRule="auto"/>
        <w:ind w:right="149"/>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9"/>
        <w:jc w:val="left"/>
      </w:pPr>
      <w:r>
        <w:rPr/>
        <w:t>本报告期是否发现前期会计差错</w:t>
      </w:r>
    </w:p>
    <w:p>
      <w:pPr>
        <w:pStyle w:val="BodyText"/>
        <w:spacing w:line="240" w:lineRule="auto" w:before="117"/>
        <w:ind w:left="153" w:right="1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9"/>
        <w:rPr>
          <w:rFonts w:ascii="宋体" w:hAnsi="宋体" w:cs="宋体" w:eastAsia="宋体" w:hint="default"/>
          <w:sz w:val="25"/>
          <w:szCs w:val="25"/>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9"/>
        <w:jc w:val="left"/>
      </w:pPr>
      <w:r>
        <w:rPr/>
        <w:t>本报告期是否发现采用追溯重述法的前期会计差错</w:t>
      </w:r>
    </w:p>
    <w:p>
      <w:pPr>
        <w:pStyle w:val="BodyText"/>
        <w:spacing w:line="240" w:lineRule="auto" w:before="116"/>
        <w:ind w:left="153" w:right="149"/>
        <w:jc w:val="left"/>
      </w:pPr>
      <w:r>
        <w:rPr/>
        <w:t>√ 是 □ 否</w:t>
      </w:r>
    </w:p>
    <w:p>
      <w:pPr>
        <w:pStyle w:val="BodyText"/>
        <w:spacing w:line="300" w:lineRule="auto" w:before="116"/>
        <w:ind w:left="513" w:right="5501"/>
        <w:jc w:val="left"/>
      </w:pPr>
      <w:r>
        <w:rPr>
          <w:rFonts w:ascii="Times New Roman" w:hAnsi="Times New Roman" w:cs="Times New Roman" w:eastAsia="Times New Roman" w:hint="default"/>
        </w:rPr>
        <w:t>1</w:t>
      </w:r>
      <w:r>
        <w:rPr/>
        <w:t>、追溯重述法 </w:t>
      </w:r>
      <w:r>
        <w:rPr>
          <w:rFonts w:ascii="Times New Roman" w:hAnsi="Times New Roman" w:cs="Times New Roman" w:eastAsia="Times New Roman" w:hint="default"/>
        </w:rPr>
        <w:t>A</w:t>
      </w:r>
      <w:r>
        <w:rPr/>
        <w:t>、本公司前期会计差错事项的性质及原因如下：</w:t>
      </w:r>
    </w:p>
    <w:p>
      <w:pPr>
        <w:pStyle w:val="BodyText"/>
        <w:spacing w:line="240" w:lineRule="auto" w:before="13"/>
        <w:ind w:left="51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本公司销售自助产品合同约定有一定年限的免费维修，出于谨慎性考虑，应当预计产品保修费。本次补提本公司截</w:t>
      </w:r>
    </w:p>
    <w:p>
      <w:pPr>
        <w:spacing w:after="0" w:line="240"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300" w:lineRule="auto" w:before="44"/>
        <w:ind w:left="153" w:right="91"/>
        <w:jc w:val="left"/>
      </w:pPr>
      <w:r>
        <w:rPr/>
        <w:t>止</w:t>
      </w:r>
      <w:r>
        <w:rPr>
          <w:rFonts w:ascii="Times New Roman" w:hAnsi="Times New Roman" w:cs="Times New Roman" w:eastAsia="Times New Roman" w:hint="default"/>
        </w:rPr>
        <w:t>2011</w:t>
      </w:r>
      <w:r>
        <w:rPr/>
        <w:t>年末应承担的产品保修费</w:t>
      </w:r>
      <w:r>
        <w:rPr>
          <w:rFonts w:ascii="Times New Roman" w:hAnsi="Times New Roman" w:cs="Times New Roman" w:eastAsia="Times New Roman" w:hint="default"/>
        </w:rPr>
        <w:t>4,348,950.00</w:t>
      </w:r>
      <w:r>
        <w:rPr/>
        <w:t>元，调增</w:t>
      </w:r>
      <w:r>
        <w:rPr>
          <w:rFonts w:ascii="Times New Roman" w:hAnsi="Times New Roman" w:cs="Times New Roman" w:eastAsia="Times New Roman" w:hint="default"/>
        </w:rPr>
        <w:t>2012</w:t>
      </w:r>
      <w:r>
        <w:rPr/>
        <w:t>年初预计负债</w:t>
      </w:r>
      <w:r>
        <w:rPr>
          <w:rFonts w:ascii="Times New Roman" w:hAnsi="Times New Roman" w:cs="Times New Roman" w:eastAsia="Times New Roman" w:hint="default"/>
        </w:rPr>
        <w:t>4,348,950.00</w:t>
      </w:r>
      <w:r>
        <w:rPr/>
        <w:t>元，调增递延所得税资产</w:t>
      </w:r>
      <w:r>
        <w:rPr>
          <w:rFonts w:ascii="Times New Roman" w:hAnsi="Times New Roman" w:cs="Times New Roman" w:eastAsia="Times New Roman" w:hint="default"/>
        </w:rPr>
        <w:t>652,342.50</w:t>
      </w:r>
      <w:r>
        <w:rPr/>
        <w:t>元， 调减</w:t>
      </w:r>
      <w:r>
        <w:rPr>
          <w:rFonts w:ascii="Times New Roman" w:hAnsi="Times New Roman" w:cs="Times New Roman" w:eastAsia="Times New Roman" w:hint="default"/>
        </w:rPr>
        <w:t>2012</w:t>
      </w:r>
      <w:r>
        <w:rPr/>
        <w:t>年初未分配利润</w:t>
      </w:r>
      <w:r>
        <w:rPr>
          <w:rFonts w:ascii="Times New Roman" w:hAnsi="Times New Roman" w:cs="Times New Roman" w:eastAsia="Times New Roman" w:hint="default"/>
        </w:rPr>
        <w:t>3,326,946.75</w:t>
      </w:r>
      <w:r>
        <w:rPr/>
        <w:t>元，调减盈余公积</w:t>
      </w:r>
      <w:r>
        <w:rPr>
          <w:rFonts w:ascii="Times New Roman" w:hAnsi="Times New Roman" w:cs="Times New Roman" w:eastAsia="Times New Roman" w:hint="default"/>
        </w:rPr>
        <w:t>369,660.75</w:t>
      </w:r>
      <w:r>
        <w:rPr/>
        <w:t>元。</w:t>
      </w:r>
    </w:p>
    <w:p>
      <w:pPr>
        <w:pStyle w:val="BodyText"/>
        <w:spacing w:line="307" w:lineRule="auto" w:before="13"/>
        <w:ind w:left="153" w:right="153" w:firstLine="360"/>
        <w:jc w:val="both"/>
      </w:pPr>
      <w:r>
        <w:rPr>
          <w:rFonts w:ascii="Times New Roman" w:hAnsi="Times New Roman" w:cs="Times New Roman" w:eastAsia="Times New Roman" w:hint="default"/>
          <w:spacing w:val="-2"/>
        </w:rPr>
        <w:t>(2)</w:t>
      </w:r>
      <w:r>
        <w:rPr>
          <w:spacing w:val="-2"/>
        </w:rPr>
        <w:t>本公司将位于深圳市光明新区的证通产业园和西海岸大厦十八楼用于出租目的，根据《企业会计准则第</w:t>
      </w:r>
      <w:r>
        <w:rPr>
          <w:rFonts w:ascii="Times New Roman" w:hAnsi="Times New Roman" w:cs="Times New Roman" w:eastAsia="Times New Roman" w:hint="default"/>
          <w:spacing w:val="-2"/>
        </w:rPr>
        <w:t>3</w:t>
      </w:r>
      <w:r>
        <w:rPr>
          <w:spacing w:val="-2"/>
        </w:rPr>
        <w:t>号</w:t>
      </w:r>
      <w:r>
        <w:rPr>
          <w:rFonts w:ascii="Times New Roman" w:hAnsi="Times New Roman" w:cs="Times New Roman" w:eastAsia="Times New Roman" w:hint="default"/>
          <w:spacing w:val="-2"/>
        </w:rPr>
        <w:t>-</w:t>
      </w:r>
      <w:r>
        <w:rPr>
          <w:spacing w:val="-2"/>
        </w:rPr>
        <w:t>投资性房</w:t>
      </w:r>
      <w:r>
        <w:rPr/>
        <w:t> </w:t>
      </w:r>
      <w:r>
        <w:rPr>
          <w:spacing w:val="-2"/>
        </w:rPr>
        <w:t>地产》的规定，上述出租房产应列示于投资性房地产科目，本公司董事会确认投资性房地产采用成本法模式核算，此事项导</w:t>
      </w:r>
      <w:r>
        <w:rPr>
          <w:spacing w:val="-66"/>
        </w:rPr>
        <w:t> </w:t>
      </w:r>
      <w:r>
        <w:rPr>
          <w:spacing w:val="-66"/>
        </w:rPr>
      </w:r>
      <w:r>
        <w:rPr>
          <w:spacing w:val="-1"/>
        </w:rPr>
        <w:t>致</w:t>
      </w:r>
      <w:r>
        <w:rPr>
          <w:rFonts w:ascii="Times New Roman" w:hAnsi="Times New Roman" w:cs="Times New Roman" w:eastAsia="Times New Roman" w:hint="default"/>
          <w:spacing w:val="-1"/>
        </w:rPr>
        <w:t>2012</w:t>
      </w:r>
      <w:r>
        <w:rPr>
          <w:spacing w:val="-1"/>
        </w:rPr>
        <w:t>年年初固定资产原值减少</w:t>
      </w:r>
      <w:r>
        <w:rPr>
          <w:rFonts w:ascii="Times New Roman" w:hAnsi="Times New Roman" w:cs="Times New Roman" w:eastAsia="Times New Roman" w:hint="default"/>
          <w:spacing w:val="-1"/>
        </w:rPr>
        <w:t>52,443,521.60</w:t>
      </w:r>
      <w:r>
        <w:rPr>
          <w:spacing w:val="-1"/>
        </w:rPr>
        <w:t>元，累计折旧减少</w:t>
      </w:r>
      <w:r>
        <w:rPr>
          <w:rFonts w:ascii="Times New Roman" w:hAnsi="Times New Roman" w:cs="Times New Roman" w:eastAsia="Times New Roman" w:hint="default"/>
          <w:spacing w:val="-1"/>
        </w:rPr>
        <w:t>2,927,200.02</w:t>
      </w:r>
      <w:r>
        <w:rPr>
          <w:spacing w:val="-1"/>
        </w:rPr>
        <w:t>元，固定资产净值减少</w:t>
      </w:r>
      <w:r>
        <w:rPr>
          <w:rFonts w:ascii="Times New Roman" w:hAnsi="Times New Roman" w:cs="Times New Roman" w:eastAsia="Times New Roman" w:hint="default"/>
          <w:spacing w:val="-1"/>
        </w:rPr>
        <w:t>49,516,321.58</w:t>
      </w:r>
      <w:r>
        <w:rPr>
          <w:spacing w:val="-1"/>
        </w:rPr>
        <w:t>元；年初投</w:t>
      </w:r>
      <w:r>
        <w:rPr>
          <w:spacing w:val="-61"/>
        </w:rPr>
        <w:t> </w:t>
      </w:r>
      <w:r>
        <w:rPr>
          <w:spacing w:val="-61"/>
        </w:rPr>
      </w:r>
      <w:r>
        <w:rPr/>
        <w:t>资性房地产成本增加</w:t>
      </w:r>
      <w:r>
        <w:rPr>
          <w:rFonts w:ascii="Times New Roman" w:hAnsi="Times New Roman" w:cs="Times New Roman" w:eastAsia="Times New Roman" w:hint="default"/>
        </w:rPr>
        <w:t>52,443,521.60</w:t>
      </w:r>
      <w:r>
        <w:rPr/>
        <w:t>元，投资性房地产累计折旧增加</w:t>
      </w:r>
      <w:r>
        <w:rPr>
          <w:rFonts w:ascii="Times New Roman" w:hAnsi="Times New Roman" w:cs="Times New Roman" w:eastAsia="Times New Roman" w:hint="default"/>
        </w:rPr>
        <w:t>2,927,200.02</w:t>
      </w:r>
      <w:r>
        <w:rPr/>
        <w:t>元，投资性房地产净值增加</w:t>
      </w:r>
      <w:r>
        <w:rPr>
          <w:rFonts w:ascii="Times New Roman" w:hAnsi="Times New Roman" w:cs="Times New Roman" w:eastAsia="Times New Roman" w:hint="default"/>
        </w:rPr>
        <w:t>49,516,321.58</w:t>
      </w:r>
      <w:r>
        <w:rPr/>
        <w:t>元。</w:t>
      </w:r>
    </w:p>
    <w:p>
      <w:pPr>
        <w:pStyle w:val="BodyText"/>
        <w:spacing w:line="240" w:lineRule="auto" w:before="7"/>
        <w:ind w:left="513" w:right="90"/>
        <w:jc w:val="left"/>
      </w:pPr>
      <w:r>
        <w:rPr>
          <w:rFonts w:ascii="Times New Roman" w:hAnsi="Times New Roman" w:cs="Times New Roman" w:eastAsia="Times New Roman" w:hint="default"/>
        </w:rPr>
        <w:t>B</w:t>
      </w:r>
      <w:r>
        <w:rPr/>
        <w:t>、前期重要会计差错更正追溯调整对公司</w:t>
      </w:r>
      <w:r>
        <w:rPr>
          <w:rFonts w:ascii="Times New Roman" w:hAnsi="Times New Roman" w:cs="Times New Roman" w:eastAsia="Times New Roman" w:hint="default"/>
        </w:rPr>
        <w:t>2011</w:t>
      </w:r>
      <w:r>
        <w:rPr/>
        <w:t>年度合并财务报表的影响</w:t>
      </w:r>
    </w:p>
    <w:p>
      <w:pPr>
        <w:spacing w:line="240" w:lineRule="auto" w:before="11"/>
        <w:rPr>
          <w:rFonts w:ascii="宋体" w:hAnsi="宋体" w:cs="宋体" w:eastAsia="宋体" w:hint="default"/>
          <w:sz w:val="27"/>
          <w:szCs w:val="27"/>
        </w:rPr>
      </w:pPr>
    </w:p>
    <w:tbl>
      <w:tblPr>
        <w:tblW w:w="0" w:type="auto"/>
        <w:jc w:val="left"/>
        <w:tblInd w:w="137" w:type="dxa"/>
        <w:tblLayout w:type="fixed"/>
        <w:tblCellMar>
          <w:top w:w="0" w:type="dxa"/>
          <w:left w:w="0" w:type="dxa"/>
          <w:bottom w:w="0" w:type="dxa"/>
          <w:right w:w="0" w:type="dxa"/>
        </w:tblCellMar>
        <w:tblLook w:val="01E0"/>
      </w:tblPr>
      <w:tblGrid>
        <w:gridCol w:w="3986"/>
        <w:gridCol w:w="1657"/>
        <w:gridCol w:w="2357"/>
        <w:gridCol w:w="1657"/>
      </w:tblGrid>
      <w:tr>
        <w:trPr>
          <w:trHeight w:val="347" w:hRule="exact"/>
        </w:trPr>
        <w:tc>
          <w:tcPr>
            <w:tcW w:w="3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调整前金额</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前期会计出错更正调整</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调整后金额</w:t>
            </w:r>
          </w:p>
        </w:tc>
      </w:tr>
      <w:tr>
        <w:trPr>
          <w:trHeight w:val="347" w:hRule="exact"/>
        </w:trPr>
        <w:tc>
          <w:tcPr>
            <w:tcW w:w="3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52" w:right="0"/>
              <w:jc w:val="left"/>
              <w:rPr>
                <w:rFonts w:ascii="Times New Roman" w:hAnsi="Times New Roman" w:cs="Times New Roman" w:eastAsia="Times New Roman" w:hint="default"/>
                <w:sz w:val="18"/>
                <w:szCs w:val="18"/>
              </w:rPr>
            </w:pPr>
            <w:r>
              <w:rPr>
                <w:rFonts w:ascii="Times New Roman"/>
                <w:sz w:val="18"/>
              </w:rPr>
              <w:t>49,516,321.58</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49,516,321.58</w:t>
            </w:r>
          </w:p>
        </w:tc>
      </w:tr>
      <w:tr>
        <w:trPr>
          <w:trHeight w:val="347" w:hRule="exact"/>
        </w:trPr>
        <w:tc>
          <w:tcPr>
            <w:tcW w:w="3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221,844,845.61</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23" w:right="0"/>
              <w:jc w:val="left"/>
              <w:rPr>
                <w:rFonts w:ascii="Times New Roman" w:hAnsi="Times New Roman" w:cs="Times New Roman" w:eastAsia="Times New Roman" w:hint="default"/>
                <w:sz w:val="18"/>
                <w:szCs w:val="18"/>
              </w:rPr>
            </w:pPr>
            <w:r>
              <w:rPr>
                <w:rFonts w:ascii="Times New Roman"/>
                <w:sz w:val="18"/>
              </w:rPr>
              <w:t>-49,516,321.58</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8" w:right="0"/>
              <w:jc w:val="left"/>
              <w:rPr>
                <w:rFonts w:ascii="Times New Roman" w:hAnsi="Times New Roman" w:cs="Times New Roman" w:eastAsia="Times New Roman" w:hint="default"/>
                <w:sz w:val="18"/>
                <w:szCs w:val="18"/>
              </w:rPr>
            </w:pPr>
            <w:r>
              <w:rPr>
                <w:rFonts w:ascii="Times New Roman"/>
                <w:sz w:val="18"/>
              </w:rPr>
              <w:t>172,328,524.03</w:t>
            </w:r>
          </w:p>
        </w:tc>
      </w:tr>
      <w:tr>
        <w:trPr>
          <w:trHeight w:val="348" w:hRule="exact"/>
        </w:trPr>
        <w:tc>
          <w:tcPr>
            <w:tcW w:w="3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9" w:right="0"/>
              <w:jc w:val="left"/>
              <w:rPr>
                <w:rFonts w:ascii="Times New Roman" w:hAnsi="Times New Roman" w:cs="Times New Roman" w:eastAsia="Times New Roman" w:hint="default"/>
                <w:sz w:val="18"/>
                <w:szCs w:val="18"/>
              </w:rPr>
            </w:pPr>
            <w:r>
              <w:rPr>
                <w:rFonts w:ascii="Times New Roman"/>
                <w:sz w:val="18"/>
              </w:rPr>
              <w:t>3,385,604.25</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64" w:right="0"/>
              <w:jc w:val="left"/>
              <w:rPr>
                <w:rFonts w:ascii="Times New Roman" w:hAnsi="Times New Roman" w:cs="Times New Roman" w:eastAsia="Times New Roman" w:hint="default"/>
                <w:sz w:val="18"/>
                <w:szCs w:val="18"/>
              </w:rPr>
            </w:pPr>
            <w:r>
              <w:rPr>
                <w:rFonts w:ascii="Times New Roman"/>
                <w:sz w:val="18"/>
              </w:rPr>
              <w:t>652,342.50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9" w:right="0"/>
              <w:jc w:val="left"/>
              <w:rPr>
                <w:rFonts w:ascii="Times New Roman" w:hAnsi="Times New Roman" w:cs="Times New Roman" w:eastAsia="Times New Roman" w:hint="default"/>
                <w:sz w:val="18"/>
                <w:szCs w:val="18"/>
              </w:rPr>
            </w:pPr>
            <w:r>
              <w:rPr>
                <w:rFonts w:ascii="Times New Roman"/>
                <w:sz w:val="18"/>
              </w:rPr>
              <w:t>4,037,946.75</w:t>
            </w:r>
          </w:p>
        </w:tc>
      </w:tr>
      <w:tr>
        <w:trPr>
          <w:trHeight w:val="347" w:hRule="exact"/>
        </w:trPr>
        <w:tc>
          <w:tcPr>
            <w:tcW w:w="3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pacing w:val="-1"/>
                <w:sz w:val="18"/>
              </w:rPr>
              <w:t>1,065,681,486.66</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64" w:right="0"/>
              <w:jc w:val="left"/>
              <w:rPr>
                <w:rFonts w:ascii="Times New Roman" w:hAnsi="Times New Roman" w:cs="Times New Roman" w:eastAsia="Times New Roman" w:hint="default"/>
                <w:sz w:val="18"/>
                <w:szCs w:val="18"/>
              </w:rPr>
            </w:pPr>
            <w:r>
              <w:rPr>
                <w:rFonts w:ascii="Times New Roman"/>
                <w:sz w:val="18"/>
              </w:rPr>
              <w:t>652,342.50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pacing w:val="-1"/>
                <w:sz w:val="18"/>
              </w:rPr>
              <w:t>1,066,333,829.16</w:t>
            </w:r>
          </w:p>
        </w:tc>
      </w:tr>
      <w:tr>
        <w:trPr>
          <w:trHeight w:val="347" w:hRule="exact"/>
        </w:trPr>
        <w:tc>
          <w:tcPr>
            <w:tcW w:w="3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98" w:right="0"/>
              <w:jc w:val="left"/>
              <w:rPr>
                <w:rFonts w:ascii="Times New Roman" w:hAnsi="Times New Roman" w:cs="Times New Roman" w:eastAsia="Times New Roman" w:hint="default"/>
                <w:sz w:val="18"/>
                <w:szCs w:val="18"/>
              </w:rPr>
            </w:pPr>
            <w:r>
              <w:rPr>
                <w:rFonts w:ascii="Times New Roman"/>
                <w:sz w:val="18"/>
              </w:rPr>
              <w:t>4,348,950.00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8" w:right="0"/>
              <w:jc w:val="left"/>
              <w:rPr>
                <w:rFonts w:ascii="Times New Roman" w:hAnsi="Times New Roman" w:cs="Times New Roman" w:eastAsia="Times New Roman" w:hint="default"/>
                <w:sz w:val="18"/>
                <w:szCs w:val="18"/>
              </w:rPr>
            </w:pPr>
            <w:r>
              <w:rPr>
                <w:rFonts w:ascii="Times New Roman"/>
                <w:sz w:val="18"/>
              </w:rPr>
              <w:t>4,348,950.00</w:t>
            </w:r>
          </w:p>
        </w:tc>
      </w:tr>
      <w:tr>
        <w:trPr>
          <w:trHeight w:val="347" w:hRule="exact"/>
        </w:trPr>
        <w:tc>
          <w:tcPr>
            <w:tcW w:w="3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542,365,205.49</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98" w:right="0"/>
              <w:jc w:val="left"/>
              <w:rPr>
                <w:rFonts w:ascii="Times New Roman" w:hAnsi="Times New Roman" w:cs="Times New Roman" w:eastAsia="Times New Roman" w:hint="default"/>
                <w:sz w:val="18"/>
                <w:szCs w:val="18"/>
              </w:rPr>
            </w:pPr>
            <w:r>
              <w:rPr>
                <w:rFonts w:ascii="Times New Roman"/>
                <w:sz w:val="18"/>
              </w:rPr>
              <w:t>4,348,950.00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8" w:right="0"/>
              <w:jc w:val="left"/>
              <w:rPr>
                <w:rFonts w:ascii="Times New Roman" w:hAnsi="Times New Roman" w:cs="Times New Roman" w:eastAsia="Times New Roman" w:hint="default"/>
                <w:sz w:val="18"/>
                <w:szCs w:val="18"/>
              </w:rPr>
            </w:pPr>
            <w:r>
              <w:rPr>
                <w:rFonts w:ascii="Times New Roman"/>
                <w:sz w:val="18"/>
              </w:rPr>
              <w:t>546,714,155.49</w:t>
            </w:r>
          </w:p>
        </w:tc>
      </w:tr>
      <w:tr>
        <w:trPr>
          <w:trHeight w:val="347" w:hRule="exact"/>
        </w:trPr>
        <w:tc>
          <w:tcPr>
            <w:tcW w:w="3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12,304,375.50</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34" w:right="0"/>
              <w:jc w:val="left"/>
              <w:rPr>
                <w:rFonts w:ascii="Times New Roman" w:hAnsi="Times New Roman" w:cs="Times New Roman" w:eastAsia="Times New Roman" w:hint="default"/>
                <w:sz w:val="18"/>
                <w:szCs w:val="18"/>
              </w:rPr>
            </w:pPr>
            <w:r>
              <w:rPr>
                <w:rFonts w:ascii="Times New Roman"/>
                <w:sz w:val="18"/>
              </w:rPr>
              <w:t>-369,660.75</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11,934,714.75</w:t>
            </w:r>
          </w:p>
        </w:tc>
      </w:tr>
      <w:tr>
        <w:trPr>
          <w:trHeight w:val="347" w:hRule="exact"/>
        </w:trPr>
        <w:tc>
          <w:tcPr>
            <w:tcW w:w="3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214,042,809.85</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8" w:right="0"/>
              <w:jc w:val="left"/>
              <w:rPr>
                <w:rFonts w:ascii="Times New Roman" w:hAnsi="Times New Roman" w:cs="Times New Roman" w:eastAsia="Times New Roman" w:hint="default"/>
                <w:sz w:val="18"/>
                <w:szCs w:val="18"/>
              </w:rPr>
            </w:pPr>
            <w:r>
              <w:rPr>
                <w:rFonts w:ascii="Times New Roman"/>
                <w:sz w:val="18"/>
              </w:rPr>
              <w:t>-3,326,946.75</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8" w:right="0"/>
              <w:jc w:val="left"/>
              <w:rPr>
                <w:rFonts w:ascii="Times New Roman" w:hAnsi="Times New Roman" w:cs="Times New Roman" w:eastAsia="Times New Roman" w:hint="default"/>
                <w:sz w:val="18"/>
                <w:szCs w:val="18"/>
              </w:rPr>
            </w:pPr>
            <w:r>
              <w:rPr>
                <w:rFonts w:ascii="Times New Roman"/>
                <w:sz w:val="18"/>
              </w:rPr>
              <w:t>210,715,863.10</w:t>
            </w:r>
          </w:p>
        </w:tc>
      </w:tr>
      <w:tr>
        <w:trPr>
          <w:trHeight w:val="348" w:hRule="exact"/>
        </w:trPr>
        <w:tc>
          <w:tcPr>
            <w:tcW w:w="3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525,217,384.13</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8" w:right="0"/>
              <w:jc w:val="left"/>
              <w:rPr>
                <w:rFonts w:ascii="Times New Roman" w:hAnsi="Times New Roman" w:cs="Times New Roman" w:eastAsia="Times New Roman" w:hint="default"/>
                <w:sz w:val="18"/>
                <w:szCs w:val="18"/>
              </w:rPr>
            </w:pPr>
            <w:r>
              <w:rPr>
                <w:rFonts w:ascii="Times New Roman"/>
                <w:sz w:val="18"/>
              </w:rPr>
              <w:t>-3,696,607.50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8" w:right="0"/>
              <w:jc w:val="left"/>
              <w:rPr>
                <w:rFonts w:ascii="Times New Roman" w:hAnsi="Times New Roman" w:cs="Times New Roman" w:eastAsia="Times New Roman" w:hint="default"/>
                <w:sz w:val="18"/>
                <w:szCs w:val="18"/>
              </w:rPr>
            </w:pPr>
            <w:r>
              <w:rPr>
                <w:rFonts w:ascii="Times New Roman"/>
                <w:sz w:val="18"/>
              </w:rPr>
              <w:t>521,520,776.63</w:t>
            </w:r>
          </w:p>
        </w:tc>
      </w:tr>
      <w:tr>
        <w:trPr>
          <w:trHeight w:val="347" w:hRule="exact"/>
        </w:trPr>
        <w:tc>
          <w:tcPr>
            <w:tcW w:w="3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523,316,281.17</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8" w:right="0"/>
              <w:jc w:val="left"/>
              <w:rPr>
                <w:rFonts w:ascii="Times New Roman" w:hAnsi="Times New Roman" w:cs="Times New Roman" w:eastAsia="Times New Roman" w:hint="default"/>
                <w:sz w:val="18"/>
                <w:szCs w:val="18"/>
              </w:rPr>
            </w:pPr>
            <w:r>
              <w:rPr>
                <w:rFonts w:ascii="Times New Roman"/>
                <w:sz w:val="18"/>
              </w:rPr>
              <w:t>-3,696,607.50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8" w:right="0"/>
              <w:jc w:val="left"/>
              <w:rPr>
                <w:rFonts w:ascii="Times New Roman" w:hAnsi="Times New Roman" w:cs="Times New Roman" w:eastAsia="Times New Roman" w:hint="default"/>
                <w:sz w:val="18"/>
                <w:szCs w:val="18"/>
              </w:rPr>
            </w:pPr>
            <w:r>
              <w:rPr>
                <w:rFonts w:ascii="Times New Roman"/>
                <w:sz w:val="18"/>
              </w:rPr>
              <w:t>519,619,673.67</w:t>
            </w:r>
          </w:p>
        </w:tc>
      </w:tr>
      <w:tr>
        <w:trPr>
          <w:trHeight w:val="347" w:hRule="exact"/>
        </w:trPr>
        <w:tc>
          <w:tcPr>
            <w:tcW w:w="3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pacing w:val="-1"/>
                <w:sz w:val="18"/>
              </w:rPr>
              <w:t>1,065,681,486.66</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64" w:right="0"/>
              <w:jc w:val="left"/>
              <w:rPr>
                <w:rFonts w:ascii="Times New Roman" w:hAnsi="Times New Roman" w:cs="Times New Roman" w:eastAsia="Times New Roman" w:hint="default"/>
                <w:sz w:val="18"/>
                <w:szCs w:val="18"/>
              </w:rPr>
            </w:pPr>
            <w:r>
              <w:rPr>
                <w:rFonts w:ascii="Times New Roman"/>
                <w:sz w:val="18"/>
              </w:rPr>
              <w:t>652,342.50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pacing w:val="-1"/>
                <w:sz w:val="18"/>
              </w:rPr>
              <w:t>1,066,333,829.16</w:t>
            </w:r>
          </w:p>
        </w:tc>
      </w:tr>
      <w:tr>
        <w:trPr>
          <w:trHeight w:val="347" w:hRule="exact"/>
        </w:trPr>
        <w:tc>
          <w:tcPr>
            <w:tcW w:w="3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443,716,363.75</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98" w:right="0"/>
              <w:jc w:val="left"/>
              <w:rPr>
                <w:rFonts w:ascii="Times New Roman" w:hAnsi="Times New Roman" w:cs="Times New Roman" w:eastAsia="Times New Roman" w:hint="default"/>
                <w:sz w:val="18"/>
                <w:szCs w:val="18"/>
              </w:rPr>
            </w:pPr>
            <w:r>
              <w:rPr>
                <w:rFonts w:ascii="Times New Roman"/>
                <w:sz w:val="18"/>
              </w:rPr>
              <w:t>1,258,557.42</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8" w:right="0"/>
              <w:jc w:val="left"/>
              <w:rPr>
                <w:rFonts w:ascii="Times New Roman" w:hAnsi="Times New Roman" w:cs="Times New Roman" w:eastAsia="Times New Roman" w:hint="default"/>
                <w:sz w:val="18"/>
                <w:szCs w:val="18"/>
              </w:rPr>
            </w:pPr>
            <w:r>
              <w:rPr>
                <w:rFonts w:ascii="Times New Roman"/>
                <w:sz w:val="18"/>
              </w:rPr>
              <w:t>444,974,921.17</w:t>
            </w:r>
          </w:p>
        </w:tc>
      </w:tr>
      <w:tr>
        <w:trPr>
          <w:trHeight w:val="347" w:hRule="exact"/>
        </w:trPr>
        <w:tc>
          <w:tcPr>
            <w:tcW w:w="3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63,032,136.21</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98" w:right="0"/>
              <w:jc w:val="left"/>
              <w:rPr>
                <w:rFonts w:ascii="Times New Roman" w:hAnsi="Times New Roman" w:cs="Times New Roman" w:eastAsia="Times New Roman" w:hint="default"/>
                <w:sz w:val="18"/>
                <w:szCs w:val="18"/>
              </w:rPr>
            </w:pPr>
            <w:r>
              <w:rPr>
                <w:rFonts w:ascii="Times New Roman"/>
                <w:sz w:val="18"/>
              </w:rPr>
              <w:t>2,414,700.00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65,446,836.21</w:t>
            </w:r>
          </w:p>
        </w:tc>
      </w:tr>
      <w:tr>
        <w:trPr>
          <w:trHeight w:val="347" w:hRule="exact"/>
        </w:trPr>
        <w:tc>
          <w:tcPr>
            <w:tcW w:w="3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61,653,477.04</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7" w:right="0"/>
              <w:jc w:val="left"/>
              <w:rPr>
                <w:rFonts w:ascii="Times New Roman" w:hAnsi="Times New Roman" w:cs="Times New Roman" w:eastAsia="Times New Roman" w:hint="default"/>
                <w:sz w:val="18"/>
                <w:szCs w:val="18"/>
              </w:rPr>
            </w:pPr>
            <w:r>
              <w:rPr>
                <w:rFonts w:ascii="Times New Roman"/>
                <w:sz w:val="18"/>
              </w:rPr>
              <w:t>-1,258,557.42</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60,394,919.62</w:t>
            </w:r>
          </w:p>
        </w:tc>
      </w:tr>
      <w:tr>
        <w:trPr>
          <w:trHeight w:val="348" w:hRule="exact"/>
        </w:trPr>
        <w:tc>
          <w:tcPr>
            <w:tcW w:w="3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78,001,483.76</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7" w:right="0"/>
              <w:jc w:val="left"/>
              <w:rPr>
                <w:rFonts w:ascii="Times New Roman" w:hAnsi="Times New Roman" w:cs="Times New Roman" w:eastAsia="Times New Roman" w:hint="default"/>
                <w:sz w:val="18"/>
                <w:szCs w:val="18"/>
              </w:rPr>
            </w:pPr>
            <w:r>
              <w:rPr>
                <w:rFonts w:ascii="Times New Roman"/>
                <w:sz w:val="18"/>
              </w:rPr>
              <w:t>-2,414,700.00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75,586,783.76</w:t>
            </w:r>
          </w:p>
        </w:tc>
      </w:tr>
      <w:tr>
        <w:trPr>
          <w:trHeight w:val="347" w:hRule="exact"/>
        </w:trPr>
        <w:tc>
          <w:tcPr>
            <w:tcW w:w="3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83,891,982.98</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7" w:right="0"/>
              <w:jc w:val="left"/>
              <w:rPr>
                <w:rFonts w:ascii="Times New Roman" w:hAnsi="Times New Roman" w:cs="Times New Roman" w:eastAsia="Times New Roman" w:hint="default"/>
                <w:sz w:val="18"/>
                <w:szCs w:val="18"/>
              </w:rPr>
            </w:pPr>
            <w:r>
              <w:rPr>
                <w:rFonts w:ascii="Times New Roman"/>
                <w:sz w:val="18"/>
              </w:rPr>
              <w:t>-2,414,700.00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81,477,282.98</w:t>
            </w:r>
          </w:p>
        </w:tc>
      </w:tr>
      <w:tr>
        <w:trPr>
          <w:trHeight w:val="347" w:hRule="exact"/>
        </w:trPr>
        <w:tc>
          <w:tcPr>
            <w:tcW w:w="3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12,571,722.55</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34" w:right="0"/>
              <w:jc w:val="left"/>
              <w:rPr>
                <w:rFonts w:ascii="Times New Roman" w:hAnsi="Times New Roman" w:cs="Times New Roman" w:eastAsia="Times New Roman" w:hint="default"/>
                <w:sz w:val="18"/>
                <w:szCs w:val="18"/>
              </w:rPr>
            </w:pPr>
            <w:r>
              <w:rPr>
                <w:rFonts w:ascii="Times New Roman"/>
                <w:sz w:val="18"/>
              </w:rPr>
              <w:t>-362,205.00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12,209,517.55</w:t>
            </w:r>
          </w:p>
        </w:tc>
      </w:tr>
      <w:tr>
        <w:trPr>
          <w:trHeight w:val="348" w:hRule="exact"/>
        </w:trPr>
        <w:tc>
          <w:tcPr>
            <w:tcW w:w="3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71,320,260.43</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7" w:right="0"/>
              <w:jc w:val="left"/>
              <w:rPr>
                <w:rFonts w:ascii="Times New Roman" w:hAnsi="Times New Roman" w:cs="Times New Roman" w:eastAsia="Times New Roman" w:hint="default"/>
                <w:sz w:val="18"/>
                <w:szCs w:val="18"/>
              </w:rPr>
            </w:pPr>
            <w:r>
              <w:rPr>
                <w:rFonts w:ascii="Times New Roman"/>
                <w:sz w:val="18"/>
              </w:rPr>
              <w:t>-2,052,495.00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03" w:right="0"/>
              <w:jc w:val="left"/>
              <w:rPr>
                <w:rFonts w:ascii="Times New Roman" w:hAnsi="Times New Roman" w:cs="Times New Roman" w:eastAsia="Times New Roman" w:hint="default"/>
                <w:sz w:val="18"/>
                <w:szCs w:val="18"/>
              </w:rPr>
            </w:pPr>
            <w:r>
              <w:rPr>
                <w:rFonts w:ascii="Times New Roman"/>
                <w:sz w:val="18"/>
              </w:rPr>
              <w:t>69,267,765.43</w:t>
            </w:r>
          </w:p>
        </w:tc>
      </w:tr>
    </w:tbl>
    <w:p>
      <w:pPr>
        <w:spacing w:line="240" w:lineRule="auto" w:before="2"/>
        <w:rPr>
          <w:rFonts w:ascii="宋体" w:hAnsi="宋体" w:cs="宋体" w:eastAsia="宋体" w:hint="default"/>
          <w:sz w:val="19"/>
          <w:szCs w:val="19"/>
        </w:rPr>
      </w:pPr>
    </w:p>
    <w:p>
      <w:pPr>
        <w:pStyle w:val="Heading3"/>
        <w:spacing w:line="240" w:lineRule="auto" w:before="35"/>
        <w:ind w:right="9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0"/>
        <w:jc w:val="left"/>
      </w:pPr>
      <w:r>
        <w:rPr/>
        <w:t>本报告期是否发现采用未来适用法的前期会计差错</w:t>
      </w:r>
    </w:p>
    <w:p>
      <w:pPr>
        <w:pStyle w:val="BodyText"/>
        <w:spacing w:line="338" w:lineRule="auto" w:before="116"/>
        <w:ind w:right="448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本报告期未发生采用未来适用法的前期会计差错更正事项。</w:t>
      </w:r>
    </w:p>
    <w:p>
      <w:pPr>
        <w:spacing w:line="240" w:lineRule="auto" w:before="4"/>
        <w:rPr>
          <w:rFonts w:ascii="宋体" w:hAnsi="宋体" w:cs="宋体" w:eastAsia="宋体" w:hint="default"/>
          <w:sz w:val="21"/>
          <w:szCs w:val="21"/>
        </w:rPr>
      </w:pPr>
    </w:p>
    <w:p>
      <w:pPr>
        <w:pStyle w:val="Heading3"/>
        <w:spacing w:line="240" w:lineRule="auto"/>
        <w:ind w:right="90"/>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90"/>
        <w:jc w:val="left"/>
        <w:rPr>
          <w:b w:val="0"/>
          <w:bCs w:val="0"/>
        </w:rPr>
      </w:pPr>
      <w:r>
        <w:rPr/>
        <w:t>五、税项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03"/>
        <w:gridCol w:w="3026"/>
        <w:gridCol w:w="3026"/>
      </w:tblGrid>
      <w:tr>
        <w:trPr>
          <w:trHeight w:val="397" w:hRule="exact"/>
        </w:trPr>
        <w:tc>
          <w:tcPr>
            <w:tcW w:w="35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4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515"/>
        <w:gridCol w:w="3026"/>
        <w:gridCol w:w="3026"/>
      </w:tblGrid>
      <w:tr>
        <w:trPr>
          <w:trHeight w:val="357" w:hRule="exact"/>
        </w:trPr>
        <w:tc>
          <w:tcPr>
            <w:tcW w:w="3515" w:type="dxa"/>
            <w:tcBorders>
              <w:top w:val="single" w:sz="4" w:space="0" w:color="000000"/>
              <w:left w:val="single" w:sz="4" w:space="0" w:color="000000"/>
              <w:bottom w:val="nil" w:sz="6" w:space="0" w:color="auto"/>
              <w:right w:val="single" w:sz="4" w:space="0" w:color="000000"/>
            </w:tcBorders>
            <w:shd w:val="clear" w:color="auto" w:fill="D3D3D3"/>
          </w:tcPr>
          <w:p>
            <w:pPr/>
          </w:p>
        </w:tc>
        <w:tc>
          <w:tcPr>
            <w:tcW w:w="30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w:t>
            </w:r>
          </w:p>
        </w:tc>
        <w:tc>
          <w:tcPr>
            <w:tcW w:w="302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35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务收入为基础计算销项税额</w:t>
            </w:r>
            <w:r>
              <w:rPr>
                <w:rFonts w:ascii="宋体" w:hAnsi="宋体" w:cs="宋体" w:eastAsia="宋体" w:hint="default"/>
                <w:spacing w:val="-90"/>
                <w:sz w:val="18"/>
                <w:szCs w:val="18"/>
              </w:rPr>
              <w:t>，</w:t>
            </w:r>
            <w:r>
              <w:rPr>
                <w:rFonts w:ascii="宋体" w:hAnsi="宋体" w:cs="宋体" w:eastAsia="宋体" w:hint="default"/>
                <w:sz w:val="18"/>
                <w:szCs w:val="18"/>
              </w:rPr>
              <w:t>在扣除当</w:t>
            </w:r>
            <w:r>
              <w:rPr>
                <w:rFonts w:ascii="宋体" w:hAnsi="宋体" w:cs="宋体" w:eastAsia="宋体" w:hint="default"/>
                <w:sz w:val="18"/>
                <w:szCs w:val="18"/>
              </w:rPr>
              <w:t> 期允许抵扣的进项税额后</w:t>
            </w:r>
            <w:r>
              <w:rPr>
                <w:rFonts w:ascii="宋体" w:hAnsi="宋体" w:cs="宋体" w:eastAsia="宋体" w:hint="default"/>
                <w:spacing w:val="-90"/>
                <w:sz w:val="18"/>
                <w:szCs w:val="18"/>
              </w:rPr>
              <w:t>，</w:t>
            </w:r>
            <w:r>
              <w:rPr>
                <w:rFonts w:ascii="宋体" w:hAnsi="宋体" w:cs="宋体" w:eastAsia="宋体" w:hint="default"/>
                <w:sz w:val="18"/>
                <w:szCs w:val="18"/>
              </w:rPr>
              <w:t>差额部分为</w:t>
            </w:r>
          </w:p>
        </w:tc>
        <w:tc>
          <w:tcPr>
            <w:tcW w:w="30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57" w:hRule="exact"/>
        </w:trPr>
        <w:tc>
          <w:tcPr>
            <w:tcW w:w="3515" w:type="dxa"/>
            <w:tcBorders>
              <w:top w:val="nil" w:sz="6" w:space="0" w:color="auto"/>
              <w:left w:val="single" w:sz="4" w:space="0" w:color="000000"/>
              <w:bottom w:val="single" w:sz="4" w:space="0" w:color="000000"/>
              <w:right w:val="single" w:sz="4" w:space="0" w:color="000000"/>
            </w:tcBorders>
            <w:shd w:val="clear" w:color="auto" w:fill="D3D3D3"/>
          </w:tcPr>
          <w:p>
            <w:pPr/>
          </w:p>
        </w:tc>
        <w:tc>
          <w:tcPr>
            <w:tcW w:w="30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应交增值税</w:t>
            </w:r>
          </w:p>
        </w:tc>
        <w:tc>
          <w:tcPr>
            <w:tcW w:w="3026"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按实际缴纳的营业税、增值税计征</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教育费附加（含地方）</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按实际缴纳的营业税、增值税计征</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10"/>
        <w:ind w:left="514" w:right="90"/>
        <w:jc w:val="left"/>
      </w:pPr>
      <w:r>
        <w:rPr/>
        <w:t>各分公司、分厂执行的所得税税率</w:t>
      </w:r>
    </w:p>
    <w:p>
      <w:pPr>
        <w:pStyle w:val="BodyText"/>
        <w:spacing w:line="240" w:lineRule="auto" w:before="76"/>
        <w:ind w:left="513" w:right="90"/>
        <w:jc w:val="left"/>
      </w:pPr>
      <w:r>
        <w:rPr>
          <w:rFonts w:ascii="Times New Roman" w:hAnsi="Times New Roman" w:cs="Times New Roman" w:eastAsia="Times New Roman" w:hint="default"/>
        </w:rPr>
        <w:t>1</w:t>
      </w:r>
      <w:r>
        <w:rPr/>
        <w:t>、母公司和子公司深圳市证通金信科技有限公司企业所得税税率为</w:t>
      </w:r>
      <w:r>
        <w:rPr>
          <w:rFonts w:ascii="Times New Roman" w:hAnsi="Times New Roman" w:cs="Times New Roman" w:eastAsia="Times New Roman" w:hint="default"/>
        </w:rPr>
        <w:t>15%</w:t>
      </w:r>
      <w:r>
        <w:rPr/>
        <w:t>；</w:t>
      </w:r>
    </w:p>
    <w:p>
      <w:pPr>
        <w:pStyle w:val="BodyText"/>
        <w:spacing w:line="240" w:lineRule="auto" w:before="62"/>
        <w:ind w:left="514" w:right="9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、子公司深圳市证通普润电子有限公司企业所得税税率为</w:t>
      </w:r>
      <w:r>
        <w:rPr>
          <w:rFonts w:ascii="Times New Roman" w:hAnsi="Times New Roman" w:cs="Times New Roman" w:eastAsia="Times New Roman" w:hint="default"/>
        </w:rPr>
        <w:t>12.5%</w:t>
      </w:r>
    </w:p>
    <w:p>
      <w:pPr>
        <w:pStyle w:val="BodyText"/>
        <w:spacing w:line="240" w:lineRule="auto" w:before="62"/>
        <w:ind w:left="514" w:right="90"/>
        <w:jc w:val="left"/>
      </w:pPr>
      <w:r>
        <w:rPr>
          <w:rFonts w:ascii="Times New Roman" w:hAnsi="Times New Roman" w:cs="Times New Roman" w:eastAsia="Times New Roman" w:hint="default"/>
        </w:rPr>
        <w:t>3</w:t>
      </w:r>
      <w:r>
        <w:rPr/>
        <w:t>、其余子公司企业所得税税率为</w:t>
      </w:r>
      <w:r>
        <w:rPr>
          <w:rFonts w:ascii="Times New Roman" w:hAnsi="Times New Roman" w:cs="Times New Roman" w:eastAsia="Times New Roman" w:hint="default"/>
        </w:rPr>
        <w:t>25%</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90"/>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90" w:firstLine="360"/>
        <w:jc w:val="left"/>
      </w:pPr>
      <w:r>
        <w:rPr>
          <w:rFonts w:ascii="Times New Roman" w:hAnsi="Times New Roman" w:cs="Times New Roman" w:eastAsia="Times New Roman" w:hint="default"/>
        </w:rPr>
        <w:t>1</w:t>
      </w:r>
      <w:r>
        <w:rPr/>
        <w:t>、根据科技部、财政部、国家税务总局《高新技术企业认定办法》及指引，</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日公司获得深圳市科技工贸 </w:t>
      </w:r>
      <w:r>
        <w:rPr>
          <w:spacing w:val="-4"/>
        </w:rPr>
        <w:t>和信息化委员会、深圳市财政委员会、深圳市国家税务局、深圳市地方税务局联合颁发的《高新技术企业证书》（证书编号：</w:t>
      </w:r>
      <w:r>
        <w:rPr>
          <w:spacing w:val="-44"/>
        </w:rPr>
        <w:t> </w:t>
      </w:r>
      <w:r>
        <w:rPr>
          <w:spacing w:val="-44"/>
        </w:rPr>
      </w:r>
      <w:r>
        <w:rPr>
          <w:rFonts w:ascii="Times New Roman" w:hAnsi="Times New Roman" w:cs="Times New Roman" w:eastAsia="Times New Roman" w:hint="default"/>
        </w:rPr>
        <w:t>GR201144200219</w:t>
      </w:r>
      <w:r>
        <w:rPr/>
        <w:t>），认定有效期为</w:t>
      </w:r>
      <w:r>
        <w:rPr>
          <w:rFonts w:ascii="Times New Roman" w:hAnsi="Times New Roman" w:cs="Times New Roman" w:eastAsia="Times New Roman" w:hint="default"/>
        </w:rPr>
        <w:t>3</w:t>
      </w:r>
      <w:r>
        <w:rPr/>
        <w:t>年。</w:t>
      </w:r>
    </w:p>
    <w:p>
      <w:pPr>
        <w:pStyle w:val="BodyText"/>
        <w:spacing w:line="300" w:lineRule="auto" w:before="5"/>
        <w:ind w:left="153" w:right="189" w:firstLine="360"/>
        <w:jc w:val="both"/>
      </w:pPr>
      <w:r>
        <w:rPr>
          <w:spacing w:val="-2"/>
        </w:rPr>
        <w:t>根据《中华人民共和国企业所得税法》的第二十八条第二款规定：国家需要重点扶持的高新技术企业，减按</w:t>
      </w:r>
      <w:r>
        <w:rPr>
          <w:rFonts w:ascii="Times New Roman" w:hAnsi="Times New Roman" w:cs="Times New Roman" w:eastAsia="Times New Roman" w:hint="default"/>
          <w:spacing w:val="-2"/>
        </w:rPr>
        <w:t>15</w:t>
      </w:r>
      <w:r>
        <w:rPr>
          <w:spacing w:val="-2"/>
        </w:rPr>
        <w:t>％的税率</w:t>
      </w:r>
      <w:r>
        <w:rPr/>
        <w:t> 征收企业所得税。公司将自</w:t>
      </w:r>
      <w:r>
        <w:rPr>
          <w:rFonts w:ascii="Times New Roman" w:hAnsi="Times New Roman" w:cs="Times New Roman" w:eastAsia="Times New Roman" w:hint="default"/>
        </w:rPr>
        <w:t>2011</w:t>
      </w:r>
      <w:r>
        <w:rPr/>
        <w:t>年（含</w:t>
      </w:r>
      <w:r>
        <w:rPr>
          <w:rFonts w:ascii="Times New Roman" w:hAnsi="Times New Roman" w:cs="Times New Roman" w:eastAsia="Times New Roman" w:hint="default"/>
        </w:rPr>
        <w:t>2011</w:t>
      </w:r>
      <w:r>
        <w:rPr/>
        <w:t>年）起连续</w:t>
      </w:r>
      <w:r>
        <w:rPr>
          <w:rFonts w:ascii="Times New Roman" w:hAnsi="Times New Roman" w:cs="Times New Roman" w:eastAsia="Times New Roman" w:hint="default"/>
        </w:rPr>
        <w:t>3</w:t>
      </w:r>
      <w:r>
        <w:rPr/>
        <w:t>年享受国家关于高新技术企业的相关优惠政策，按</w:t>
      </w:r>
      <w:r>
        <w:rPr>
          <w:rFonts w:ascii="Times New Roman" w:hAnsi="Times New Roman" w:cs="Times New Roman" w:eastAsia="Times New Roman" w:hint="default"/>
        </w:rPr>
        <w:t>15%</w:t>
      </w:r>
      <w:r>
        <w:rPr/>
        <w:t>的税率计算 所得税。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日深圳市南山国家税务局税收优惠备案确认，优惠期：</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-2013</w:t>
      </w:r>
      <w:r>
        <w:rPr/>
        <w:t>年度。</w:t>
      </w:r>
    </w:p>
    <w:p>
      <w:pPr>
        <w:pStyle w:val="BodyText"/>
        <w:spacing w:line="300" w:lineRule="auto" w:before="13"/>
        <w:ind w:left="514" w:right="90"/>
        <w:jc w:val="left"/>
      </w:pPr>
      <w:r>
        <w:rPr>
          <w:rFonts w:ascii="Times New Roman" w:hAnsi="Times New Roman" w:cs="Times New Roman" w:eastAsia="Times New Roman" w:hint="default"/>
        </w:rPr>
        <w:t>2</w:t>
      </w:r>
      <w:r>
        <w:rPr/>
        <w:t>、本公司子公司深圳市证通金信科技有限公司的税收优惠及批文 </w:t>
      </w:r>
      <w:r>
        <w:rPr>
          <w:spacing w:val="-2"/>
        </w:rPr>
        <w:t>根据科技部、财政部、国家税务总局《高新技术企业认定办法》及指引，</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日获得深圳市科技工贸和信息化</w:t>
      </w:r>
    </w:p>
    <w:p>
      <w:pPr>
        <w:pStyle w:val="BodyText"/>
        <w:spacing w:line="240" w:lineRule="auto" w:before="13"/>
        <w:ind w:right="90"/>
        <w:jc w:val="left"/>
      </w:pPr>
      <w:r>
        <w:rPr/>
        <w:t>委员会、深圳市财政委员会、深圳市国家税务局、深圳市地方税务局联合颁发的《高新技术企业证书》（证书编号：</w:t>
      </w:r>
    </w:p>
    <w:p>
      <w:pPr>
        <w:pStyle w:val="BodyText"/>
        <w:spacing w:line="300" w:lineRule="auto" w:before="76"/>
        <w:ind w:left="514" w:right="90" w:hanging="360"/>
        <w:jc w:val="left"/>
      </w:pPr>
      <w:r>
        <w:rPr>
          <w:rFonts w:ascii="Times New Roman" w:hAnsi="Times New Roman" w:cs="Times New Roman" w:eastAsia="Times New Roman" w:hint="default"/>
        </w:rPr>
        <w:t>GR201144200219</w:t>
      </w:r>
      <w:r>
        <w:rPr/>
        <w:t>），认定有效期为</w:t>
      </w:r>
      <w:r>
        <w:rPr>
          <w:rFonts w:ascii="Times New Roman" w:hAnsi="Times New Roman" w:cs="Times New Roman" w:eastAsia="Times New Roman" w:hint="default"/>
        </w:rPr>
        <w:t>3</w:t>
      </w:r>
      <w:r>
        <w:rPr/>
        <w:t>年。 </w:t>
      </w:r>
      <w:r>
        <w:rPr>
          <w:spacing w:val="-2"/>
        </w:rPr>
        <w:t>根据《中华人民共和国企业所得税法》的第二十八条第二款规定：国家需要重点扶持的高新技术企业，减按</w:t>
      </w:r>
      <w:r>
        <w:rPr>
          <w:rFonts w:ascii="Times New Roman" w:hAnsi="Times New Roman" w:cs="Times New Roman" w:eastAsia="Times New Roman" w:hint="default"/>
          <w:spacing w:val="-2"/>
        </w:rPr>
        <w:t>15</w:t>
      </w:r>
      <w:r>
        <w:rPr>
          <w:spacing w:val="-2"/>
        </w:rPr>
        <w:t>％的税率</w:t>
      </w:r>
    </w:p>
    <w:p>
      <w:pPr>
        <w:pStyle w:val="BodyText"/>
        <w:spacing w:line="300" w:lineRule="auto" w:before="13"/>
        <w:ind w:right="228"/>
        <w:jc w:val="left"/>
      </w:pPr>
      <w:r>
        <w:rPr/>
        <w:t>征收企业所得税。公司将自</w:t>
      </w:r>
      <w:r>
        <w:rPr>
          <w:rFonts w:ascii="Times New Roman" w:hAnsi="Times New Roman" w:cs="Times New Roman" w:eastAsia="Times New Roman" w:hint="default"/>
        </w:rPr>
        <w:t>2011</w:t>
      </w:r>
      <w:r>
        <w:rPr/>
        <w:t>年（含</w:t>
      </w:r>
      <w:r>
        <w:rPr>
          <w:rFonts w:ascii="Times New Roman" w:hAnsi="Times New Roman" w:cs="Times New Roman" w:eastAsia="Times New Roman" w:hint="default"/>
        </w:rPr>
        <w:t>2011</w:t>
      </w:r>
      <w:r>
        <w:rPr/>
        <w:t>年）起连续</w:t>
      </w:r>
      <w:r>
        <w:rPr>
          <w:rFonts w:ascii="Times New Roman" w:hAnsi="Times New Roman" w:cs="Times New Roman" w:eastAsia="Times New Roman" w:hint="default"/>
        </w:rPr>
        <w:t>3</w:t>
      </w:r>
      <w:r>
        <w:rPr/>
        <w:t>年享受国家关于高新技术企业的相关优惠政策，按</w:t>
      </w:r>
      <w:r>
        <w:rPr>
          <w:rFonts w:ascii="Times New Roman" w:hAnsi="Times New Roman" w:cs="Times New Roman" w:eastAsia="Times New Roman" w:hint="default"/>
        </w:rPr>
        <w:t>15%</w:t>
      </w:r>
      <w:r>
        <w:rPr/>
        <w:t>的税率计算 所得税。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日深圳市南山国家税务局税收优惠备案确认，优惠期：</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-2013</w:t>
      </w:r>
      <w:r>
        <w:rPr/>
        <w:t>年度。</w:t>
      </w:r>
    </w:p>
    <w:p>
      <w:pPr>
        <w:pStyle w:val="BodyText"/>
        <w:spacing w:line="240" w:lineRule="auto" w:before="13"/>
        <w:ind w:left="514" w:right="90"/>
        <w:jc w:val="left"/>
      </w:pPr>
      <w:r>
        <w:rPr>
          <w:rFonts w:ascii="Times New Roman" w:hAnsi="Times New Roman" w:cs="Times New Roman" w:eastAsia="Times New Roman" w:hint="default"/>
        </w:rPr>
        <w:t>3</w:t>
      </w:r>
      <w:r>
        <w:rPr/>
        <w:t>、本公司子公司深圳市证通普润电子有限公司的税收优惠及批文</w:t>
      </w:r>
    </w:p>
    <w:p>
      <w:pPr>
        <w:pStyle w:val="BodyText"/>
        <w:spacing w:line="304" w:lineRule="auto" w:before="62"/>
        <w:ind w:right="90" w:firstLine="359"/>
        <w:jc w:val="left"/>
      </w:pP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日收到深圳市南山区国家税务局下发的深国税南减免〔</w:t>
      </w:r>
      <w:r>
        <w:rPr>
          <w:rFonts w:ascii="Times New Roman" w:hAnsi="Times New Roman" w:cs="Times New Roman" w:eastAsia="Times New Roman" w:hint="default"/>
          <w:spacing w:val="-2"/>
        </w:rPr>
        <w:t>2007</w:t>
      </w:r>
      <w:r>
        <w:rPr>
          <w:spacing w:val="-2"/>
        </w:rPr>
        <w:t>〕</w:t>
      </w:r>
      <w:r>
        <w:rPr>
          <w:rFonts w:ascii="Times New Roman" w:hAnsi="Times New Roman" w:cs="Times New Roman" w:eastAsia="Times New Roman" w:hint="default"/>
          <w:spacing w:val="-2"/>
        </w:rPr>
        <w:t>0111</w:t>
      </w:r>
      <w:r>
        <w:rPr>
          <w:spacing w:val="-2"/>
        </w:rPr>
        <w:t>号《深圳市国家税务局减、免税批准通知</w:t>
      </w:r>
      <w:r>
        <w:rPr/>
        <w:t> 书》，同意公司从获利年度起第</w:t>
      </w:r>
      <w:r>
        <w:rPr>
          <w:rFonts w:ascii="Times New Roman" w:hAnsi="Times New Roman" w:cs="Times New Roman" w:eastAsia="Times New Roman" w:hint="default"/>
        </w:rPr>
        <w:t>1</w:t>
      </w:r>
      <w:r>
        <w:rPr/>
        <w:t>年至第</w:t>
      </w:r>
      <w:r>
        <w:rPr>
          <w:rFonts w:ascii="Times New Roman" w:hAnsi="Times New Roman" w:cs="Times New Roman" w:eastAsia="Times New Roman" w:hint="default"/>
        </w:rPr>
        <w:t>2</w:t>
      </w:r>
      <w:r>
        <w:rPr/>
        <w:t>年的经营所得免征所得税，从第</w:t>
      </w:r>
      <w:r>
        <w:rPr>
          <w:rFonts w:ascii="Times New Roman" w:hAnsi="Times New Roman" w:cs="Times New Roman" w:eastAsia="Times New Roman" w:hint="default"/>
        </w:rPr>
        <w:t>3</w:t>
      </w:r>
      <w:r>
        <w:rPr/>
        <w:t>年至第</w:t>
      </w:r>
      <w:r>
        <w:rPr>
          <w:rFonts w:ascii="Times New Roman" w:hAnsi="Times New Roman" w:cs="Times New Roman" w:eastAsia="Times New Roman" w:hint="default"/>
        </w:rPr>
        <w:t>5</w:t>
      </w:r>
      <w:r>
        <w:rPr/>
        <w:t>年减半征收所得税，该子公司尚未盈利。 根据国发</w:t>
      </w:r>
      <w:r>
        <w:rPr>
          <w:rFonts w:ascii="Times New Roman" w:hAnsi="Times New Roman" w:cs="Times New Roman" w:eastAsia="Times New Roman" w:hint="default"/>
        </w:rPr>
        <w:t>[2007]39</w:t>
      </w:r>
      <w:r>
        <w:rPr/>
        <w:t>号《国务院关于实施企业所得税过渡优惠政策的通知》，自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日起，原享受企业所得税“两免三 </w:t>
      </w:r>
      <w:r>
        <w:rPr>
          <w:spacing w:val="-2"/>
        </w:rPr>
        <w:t>减半”、“五免五减半”等定期减免税优惠的企业，新税法施行后继续按原税收法律、行政法规及相关文件规定的优惠办法</w:t>
      </w:r>
      <w:r>
        <w:rPr>
          <w:spacing w:val="-67"/>
        </w:rPr>
        <w:t> </w:t>
      </w:r>
      <w:r>
        <w:rPr>
          <w:spacing w:val="-67"/>
        </w:rPr>
      </w:r>
      <w:r>
        <w:rPr/>
        <w:t>及年限享受至期满为止，但因未获利而尚未享受税收优惠的，其优惠期限从</w:t>
      </w:r>
      <w:r>
        <w:rPr>
          <w:rFonts w:ascii="Times New Roman" w:hAnsi="Times New Roman" w:cs="Times New Roman" w:eastAsia="Times New Roman" w:hint="default"/>
        </w:rPr>
        <w:t>2009</w:t>
      </w:r>
      <w:r>
        <w:rPr/>
        <w:t>年度起计算。</w:t>
      </w:r>
      <w:r>
        <w:rPr>
          <w:rFonts w:ascii="Times New Roman" w:hAnsi="Times New Roman" w:cs="Times New Roman" w:eastAsia="Times New Roman" w:hint="default"/>
        </w:rPr>
        <w:t>2012</w:t>
      </w:r>
      <w:r>
        <w:rPr/>
        <w:t>年企业所得税税率为 </w:t>
      </w:r>
      <w:r>
        <w:rPr>
          <w:rFonts w:ascii="Times New Roman" w:hAnsi="Times New Roman" w:cs="Times New Roman" w:eastAsia="Times New Roman" w:hint="default"/>
        </w:rPr>
        <w:t>12.5%</w:t>
      </w:r>
      <w:r>
        <w:rPr/>
        <w:t>。</w:t>
      </w:r>
    </w:p>
    <w:p>
      <w:pPr>
        <w:spacing w:after="0" w:line="304"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487" w:lineRule="auto" w:before="0"/>
        <w:ind w:left="139" w:right="1094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spacing w:val="1"/>
          <w:w w:val="99"/>
          <w:sz w:val="21"/>
          <w:szCs w:val="21"/>
        </w:rPr>
        <w:t> </w:t>
      </w:r>
      <w:r>
        <w:rPr>
          <w:rFonts w:ascii="宋体" w:hAnsi="宋体" w:cs="宋体" w:eastAsia="宋体" w:hint="default"/>
          <w:b/>
          <w:bCs/>
          <w:sz w:val="24"/>
          <w:szCs w:val="24"/>
        </w:rPr>
        <w:t>六、企业合并及合并财务报表</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pStyle w:val="Heading3"/>
        <w:spacing w:line="240" w:lineRule="auto" w:before="83"/>
        <w:ind w:left="139"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38"/>
        <w:jc w:val="right"/>
      </w:pPr>
      <w:r>
        <w:rPr/>
        <w:t>单位： 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989"/>
        <w:gridCol w:w="986"/>
        <w:gridCol w:w="988"/>
        <w:gridCol w:w="986"/>
        <w:gridCol w:w="988"/>
        <w:gridCol w:w="986"/>
        <w:gridCol w:w="1092"/>
        <w:gridCol w:w="986"/>
        <w:gridCol w:w="988"/>
        <w:gridCol w:w="986"/>
        <w:gridCol w:w="988"/>
        <w:gridCol w:w="1062"/>
        <w:gridCol w:w="1001"/>
        <w:gridCol w:w="988"/>
      </w:tblGrid>
      <w:tr>
        <w:trPr>
          <w:trHeight w:val="357" w:hRule="exact"/>
        </w:trPr>
        <w:tc>
          <w:tcPr>
            <w:tcW w:w="989" w:type="dxa"/>
            <w:tcBorders>
              <w:top w:val="single" w:sz="4" w:space="0" w:color="000000"/>
              <w:left w:val="single" w:sz="4" w:space="0" w:color="000000"/>
              <w:bottom w:val="nil" w:sz="6" w:space="0" w:color="auto"/>
              <w:right w:val="single" w:sz="4" w:space="0" w:color="000000"/>
            </w:tcBorders>
            <w:shd w:val="clear" w:color="auto" w:fill="D3D3D3"/>
          </w:tcPr>
          <w:p>
            <w:pPr/>
          </w:p>
        </w:tc>
        <w:tc>
          <w:tcPr>
            <w:tcW w:w="986" w:type="dxa"/>
            <w:tcBorders>
              <w:top w:val="single" w:sz="4" w:space="0" w:color="000000"/>
              <w:left w:val="single" w:sz="4" w:space="0" w:color="000000"/>
              <w:bottom w:val="nil" w:sz="6" w:space="0" w:color="auto"/>
              <w:right w:val="single" w:sz="4" w:space="0" w:color="000000"/>
            </w:tcBorders>
            <w:shd w:val="clear" w:color="auto" w:fill="D3D3D3"/>
          </w:tcPr>
          <w:p>
            <w:pPr/>
          </w:p>
        </w:tc>
        <w:tc>
          <w:tcPr>
            <w:tcW w:w="988" w:type="dxa"/>
            <w:tcBorders>
              <w:top w:val="single" w:sz="4" w:space="0" w:color="000000"/>
              <w:left w:val="single" w:sz="4" w:space="0" w:color="000000"/>
              <w:bottom w:val="nil" w:sz="6" w:space="0" w:color="auto"/>
              <w:right w:val="single" w:sz="4" w:space="0" w:color="000000"/>
            </w:tcBorders>
            <w:shd w:val="clear" w:color="auto" w:fill="D3D3D3"/>
          </w:tcPr>
          <w:p>
            <w:pPr/>
          </w:p>
        </w:tc>
        <w:tc>
          <w:tcPr>
            <w:tcW w:w="986" w:type="dxa"/>
            <w:tcBorders>
              <w:top w:val="single" w:sz="4" w:space="0" w:color="000000"/>
              <w:left w:val="single" w:sz="4" w:space="0" w:color="000000"/>
              <w:bottom w:val="nil" w:sz="6" w:space="0" w:color="auto"/>
              <w:right w:val="single" w:sz="4" w:space="0" w:color="000000"/>
            </w:tcBorders>
            <w:shd w:val="clear" w:color="auto" w:fill="D3D3D3"/>
          </w:tcPr>
          <w:p>
            <w:pPr/>
          </w:p>
        </w:tc>
        <w:tc>
          <w:tcPr>
            <w:tcW w:w="988" w:type="dxa"/>
            <w:tcBorders>
              <w:top w:val="single" w:sz="4" w:space="0" w:color="000000"/>
              <w:left w:val="single" w:sz="4" w:space="0" w:color="000000"/>
              <w:bottom w:val="nil" w:sz="6" w:space="0" w:color="auto"/>
              <w:right w:val="single" w:sz="4" w:space="0" w:color="000000"/>
            </w:tcBorders>
            <w:shd w:val="clear" w:color="auto" w:fill="D3D3D3"/>
          </w:tcPr>
          <w:p>
            <w:pPr/>
          </w:p>
        </w:tc>
        <w:tc>
          <w:tcPr>
            <w:tcW w:w="986"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2" w:type="dxa"/>
            <w:tcBorders>
              <w:top w:val="single" w:sz="4" w:space="0" w:color="000000"/>
              <w:left w:val="single" w:sz="4" w:space="0" w:color="000000"/>
              <w:bottom w:val="nil" w:sz="6" w:space="0" w:color="auto"/>
              <w:right w:val="single" w:sz="4" w:space="0" w:color="000000"/>
            </w:tcBorders>
            <w:shd w:val="clear" w:color="auto" w:fill="D3D3D3"/>
          </w:tcPr>
          <w:p>
            <w:pPr/>
          </w:p>
        </w:tc>
        <w:tc>
          <w:tcPr>
            <w:tcW w:w="986" w:type="dxa"/>
            <w:tcBorders>
              <w:top w:val="single" w:sz="4" w:space="0" w:color="000000"/>
              <w:left w:val="single" w:sz="4" w:space="0" w:color="000000"/>
              <w:bottom w:val="nil" w:sz="6" w:space="0" w:color="auto"/>
              <w:right w:val="single" w:sz="4" w:space="0" w:color="000000"/>
            </w:tcBorders>
            <w:shd w:val="clear" w:color="auto" w:fill="D3D3D3"/>
          </w:tcPr>
          <w:p>
            <w:pPr/>
          </w:p>
        </w:tc>
        <w:tc>
          <w:tcPr>
            <w:tcW w:w="988" w:type="dxa"/>
            <w:tcBorders>
              <w:top w:val="single" w:sz="4" w:space="0" w:color="000000"/>
              <w:left w:val="single" w:sz="4" w:space="0" w:color="000000"/>
              <w:bottom w:val="nil" w:sz="6" w:space="0" w:color="auto"/>
              <w:right w:val="single" w:sz="4" w:space="0" w:color="000000"/>
            </w:tcBorders>
            <w:shd w:val="clear" w:color="auto" w:fill="D3D3D3"/>
          </w:tcPr>
          <w:p>
            <w:pPr/>
          </w:p>
        </w:tc>
        <w:tc>
          <w:tcPr>
            <w:tcW w:w="986" w:type="dxa"/>
            <w:tcBorders>
              <w:top w:val="single" w:sz="4" w:space="0" w:color="000000"/>
              <w:left w:val="single" w:sz="4" w:space="0" w:color="000000"/>
              <w:bottom w:val="nil" w:sz="6" w:space="0" w:color="auto"/>
              <w:right w:val="single" w:sz="4" w:space="0" w:color="000000"/>
            </w:tcBorders>
            <w:shd w:val="clear" w:color="auto" w:fill="D3D3D3"/>
          </w:tcPr>
          <w:p>
            <w:pPr/>
          </w:p>
        </w:tc>
        <w:tc>
          <w:tcPr>
            <w:tcW w:w="988"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1" w:type="dxa"/>
            <w:tcBorders>
              <w:top w:val="single" w:sz="4" w:space="0" w:color="000000"/>
              <w:left w:val="single" w:sz="4" w:space="0" w:color="000000"/>
              <w:bottom w:val="nil" w:sz="6" w:space="0" w:color="auto"/>
              <w:right w:val="single" w:sz="4" w:space="0" w:color="000000"/>
            </w:tcBorders>
            <w:shd w:val="clear" w:color="auto" w:fill="D3D3D3"/>
          </w:tcPr>
          <w:p>
            <w:pPr/>
          </w:p>
        </w:tc>
        <w:tc>
          <w:tcPr>
            <w:tcW w:w="98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从母公司所</w:t>
            </w:r>
          </w:p>
        </w:tc>
      </w:tr>
      <w:tr>
        <w:trPr>
          <w:trHeight w:val="311" w:hRule="exact"/>
        </w:trPr>
        <w:tc>
          <w:tcPr>
            <w:tcW w:w="989" w:type="dxa"/>
            <w:tcBorders>
              <w:top w:val="nil" w:sz="6" w:space="0" w:color="auto"/>
              <w:left w:val="single" w:sz="4" w:space="0" w:color="000000"/>
              <w:bottom w:val="nil" w:sz="6" w:space="0" w:color="auto"/>
              <w:right w:val="single" w:sz="4" w:space="0" w:color="000000"/>
            </w:tcBorders>
            <w:shd w:val="clear" w:color="auto" w:fill="D3D3D3"/>
          </w:tcPr>
          <w:p>
            <w:pPr/>
          </w:p>
        </w:tc>
        <w:tc>
          <w:tcPr>
            <w:tcW w:w="986" w:type="dxa"/>
            <w:tcBorders>
              <w:top w:val="nil" w:sz="6" w:space="0" w:color="auto"/>
              <w:left w:val="single" w:sz="4" w:space="0" w:color="000000"/>
              <w:bottom w:val="nil" w:sz="6" w:space="0" w:color="auto"/>
              <w:right w:val="single" w:sz="4" w:space="0" w:color="000000"/>
            </w:tcBorders>
            <w:shd w:val="clear" w:color="auto" w:fill="D3D3D3"/>
          </w:tcPr>
          <w:p>
            <w:pPr/>
          </w:p>
        </w:tc>
        <w:tc>
          <w:tcPr>
            <w:tcW w:w="988" w:type="dxa"/>
            <w:tcBorders>
              <w:top w:val="nil" w:sz="6" w:space="0" w:color="auto"/>
              <w:left w:val="single" w:sz="4" w:space="0" w:color="000000"/>
              <w:bottom w:val="nil" w:sz="6" w:space="0" w:color="auto"/>
              <w:right w:val="single" w:sz="4" w:space="0" w:color="000000"/>
            </w:tcBorders>
            <w:shd w:val="clear" w:color="auto" w:fill="D3D3D3"/>
          </w:tcPr>
          <w:p>
            <w:pPr/>
          </w:p>
        </w:tc>
        <w:tc>
          <w:tcPr>
            <w:tcW w:w="986" w:type="dxa"/>
            <w:tcBorders>
              <w:top w:val="nil" w:sz="6" w:space="0" w:color="auto"/>
              <w:left w:val="single" w:sz="4" w:space="0" w:color="000000"/>
              <w:bottom w:val="nil" w:sz="6" w:space="0" w:color="auto"/>
              <w:right w:val="single" w:sz="4" w:space="0" w:color="000000"/>
            </w:tcBorders>
            <w:shd w:val="clear" w:color="auto" w:fill="D3D3D3"/>
          </w:tcPr>
          <w:p>
            <w:pPr/>
          </w:p>
        </w:tc>
        <w:tc>
          <w:tcPr>
            <w:tcW w:w="988" w:type="dxa"/>
            <w:tcBorders>
              <w:top w:val="nil" w:sz="6" w:space="0" w:color="auto"/>
              <w:left w:val="single" w:sz="4" w:space="0" w:color="000000"/>
              <w:bottom w:val="nil" w:sz="6" w:space="0" w:color="auto"/>
              <w:right w:val="single" w:sz="4" w:space="0" w:color="000000"/>
            </w:tcBorders>
            <w:shd w:val="clear" w:color="auto" w:fill="D3D3D3"/>
          </w:tcPr>
          <w:p>
            <w:pPr/>
          </w:p>
        </w:tc>
        <w:tc>
          <w:tcPr>
            <w:tcW w:w="986" w:type="dxa"/>
            <w:tcBorders>
              <w:top w:val="nil" w:sz="6" w:space="0" w:color="auto"/>
              <w:left w:val="single" w:sz="4" w:space="0" w:color="000000"/>
              <w:bottom w:val="nil" w:sz="6" w:space="0" w:color="auto"/>
              <w:right w:val="single" w:sz="4" w:space="0" w:color="000000"/>
            </w:tcBorders>
            <w:shd w:val="clear" w:color="auto" w:fill="D3D3D3"/>
          </w:tcPr>
          <w:p>
            <w:pPr/>
          </w:p>
        </w:tc>
        <w:tc>
          <w:tcPr>
            <w:tcW w:w="1092" w:type="dxa"/>
            <w:tcBorders>
              <w:top w:val="nil" w:sz="6" w:space="0" w:color="auto"/>
              <w:left w:val="single" w:sz="4" w:space="0" w:color="000000"/>
              <w:bottom w:val="nil" w:sz="6" w:space="0" w:color="auto"/>
              <w:right w:val="single" w:sz="4" w:space="0" w:color="000000"/>
            </w:tcBorders>
            <w:shd w:val="clear" w:color="auto" w:fill="D3D3D3"/>
          </w:tcPr>
          <w:p>
            <w:pPr/>
          </w:p>
        </w:tc>
        <w:tc>
          <w:tcPr>
            <w:tcW w:w="986" w:type="dxa"/>
            <w:tcBorders>
              <w:top w:val="nil" w:sz="6" w:space="0" w:color="auto"/>
              <w:left w:val="single" w:sz="4" w:space="0" w:color="000000"/>
              <w:bottom w:val="nil" w:sz="6" w:space="0" w:color="auto"/>
              <w:right w:val="single" w:sz="4" w:space="0" w:color="000000"/>
            </w:tcBorders>
            <w:shd w:val="clear" w:color="auto" w:fill="D3D3D3"/>
          </w:tcPr>
          <w:p>
            <w:pPr/>
          </w:p>
        </w:tc>
        <w:tc>
          <w:tcPr>
            <w:tcW w:w="988" w:type="dxa"/>
            <w:tcBorders>
              <w:top w:val="nil" w:sz="6" w:space="0" w:color="auto"/>
              <w:left w:val="single" w:sz="4" w:space="0" w:color="000000"/>
              <w:bottom w:val="nil" w:sz="6" w:space="0" w:color="auto"/>
              <w:right w:val="single" w:sz="4" w:space="0" w:color="000000"/>
            </w:tcBorders>
            <w:shd w:val="clear" w:color="auto" w:fill="D3D3D3"/>
          </w:tcPr>
          <w:p>
            <w:pPr/>
          </w:p>
        </w:tc>
        <w:tc>
          <w:tcPr>
            <w:tcW w:w="986" w:type="dxa"/>
            <w:tcBorders>
              <w:top w:val="nil" w:sz="6" w:space="0" w:color="auto"/>
              <w:left w:val="single" w:sz="4" w:space="0" w:color="000000"/>
              <w:bottom w:val="nil" w:sz="6" w:space="0" w:color="auto"/>
              <w:right w:val="single" w:sz="4" w:space="0" w:color="000000"/>
            </w:tcBorders>
            <w:shd w:val="clear" w:color="auto" w:fill="D3D3D3"/>
          </w:tcPr>
          <w:p>
            <w:pPr/>
          </w:p>
        </w:tc>
        <w:tc>
          <w:tcPr>
            <w:tcW w:w="988" w:type="dxa"/>
            <w:tcBorders>
              <w:top w:val="nil" w:sz="6" w:space="0" w:color="auto"/>
              <w:left w:val="single" w:sz="4" w:space="0" w:color="000000"/>
              <w:bottom w:val="nil" w:sz="6" w:space="0" w:color="auto"/>
              <w:right w:val="single" w:sz="4" w:space="0" w:color="000000"/>
            </w:tcBorders>
            <w:shd w:val="clear" w:color="auto" w:fill="D3D3D3"/>
          </w:tcPr>
          <w:p>
            <w:pPr/>
          </w:p>
        </w:tc>
        <w:tc>
          <w:tcPr>
            <w:tcW w:w="1062"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9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有者权益冲</w:t>
            </w:r>
          </w:p>
        </w:tc>
      </w:tr>
      <w:tr>
        <w:trPr>
          <w:trHeight w:val="312" w:hRule="exact"/>
        </w:trPr>
        <w:tc>
          <w:tcPr>
            <w:tcW w:w="989" w:type="dxa"/>
            <w:tcBorders>
              <w:top w:val="nil" w:sz="6" w:space="0" w:color="auto"/>
              <w:left w:val="single" w:sz="4" w:space="0" w:color="000000"/>
              <w:bottom w:val="nil" w:sz="6" w:space="0" w:color="auto"/>
              <w:right w:val="single" w:sz="4" w:space="0" w:color="000000"/>
            </w:tcBorders>
            <w:shd w:val="clear" w:color="auto" w:fill="D3D3D3"/>
          </w:tcPr>
          <w:p>
            <w:pPr/>
          </w:p>
        </w:tc>
        <w:tc>
          <w:tcPr>
            <w:tcW w:w="986" w:type="dxa"/>
            <w:tcBorders>
              <w:top w:val="nil" w:sz="6" w:space="0" w:color="auto"/>
              <w:left w:val="single" w:sz="4" w:space="0" w:color="000000"/>
              <w:bottom w:val="nil" w:sz="6" w:space="0" w:color="auto"/>
              <w:right w:val="single" w:sz="4" w:space="0" w:color="000000"/>
            </w:tcBorders>
            <w:shd w:val="clear" w:color="auto" w:fill="D3D3D3"/>
          </w:tcPr>
          <w:p>
            <w:pPr/>
          </w:p>
        </w:tc>
        <w:tc>
          <w:tcPr>
            <w:tcW w:w="988" w:type="dxa"/>
            <w:tcBorders>
              <w:top w:val="nil" w:sz="6" w:space="0" w:color="auto"/>
              <w:left w:val="single" w:sz="4" w:space="0" w:color="000000"/>
              <w:bottom w:val="nil" w:sz="6" w:space="0" w:color="auto"/>
              <w:right w:val="single" w:sz="4" w:space="0" w:color="000000"/>
            </w:tcBorders>
            <w:shd w:val="clear" w:color="auto" w:fill="D3D3D3"/>
          </w:tcPr>
          <w:p>
            <w:pPr/>
          </w:p>
        </w:tc>
        <w:tc>
          <w:tcPr>
            <w:tcW w:w="986" w:type="dxa"/>
            <w:tcBorders>
              <w:top w:val="nil" w:sz="6" w:space="0" w:color="auto"/>
              <w:left w:val="single" w:sz="4" w:space="0" w:color="000000"/>
              <w:bottom w:val="nil" w:sz="6" w:space="0" w:color="auto"/>
              <w:right w:val="single" w:sz="4" w:space="0" w:color="000000"/>
            </w:tcBorders>
            <w:shd w:val="clear" w:color="auto" w:fill="D3D3D3"/>
          </w:tcPr>
          <w:p>
            <w:pPr/>
          </w:p>
        </w:tc>
        <w:tc>
          <w:tcPr>
            <w:tcW w:w="988" w:type="dxa"/>
            <w:tcBorders>
              <w:top w:val="nil" w:sz="6" w:space="0" w:color="auto"/>
              <w:left w:val="single" w:sz="4" w:space="0" w:color="000000"/>
              <w:bottom w:val="nil" w:sz="6" w:space="0" w:color="auto"/>
              <w:right w:val="single" w:sz="4" w:space="0" w:color="000000"/>
            </w:tcBorders>
            <w:shd w:val="clear" w:color="auto" w:fill="D3D3D3"/>
          </w:tcPr>
          <w:p>
            <w:pPr/>
          </w:p>
        </w:tc>
        <w:tc>
          <w:tcPr>
            <w:tcW w:w="986" w:type="dxa"/>
            <w:tcBorders>
              <w:top w:val="nil" w:sz="6" w:space="0" w:color="auto"/>
              <w:left w:val="single" w:sz="4" w:space="0" w:color="000000"/>
              <w:bottom w:val="nil" w:sz="6" w:space="0" w:color="auto"/>
              <w:right w:val="single" w:sz="4" w:space="0" w:color="000000"/>
            </w:tcBorders>
            <w:shd w:val="clear" w:color="auto" w:fill="D3D3D3"/>
          </w:tcPr>
          <w:p>
            <w:pPr/>
          </w:p>
        </w:tc>
        <w:tc>
          <w:tcPr>
            <w:tcW w:w="1092" w:type="dxa"/>
            <w:tcBorders>
              <w:top w:val="nil" w:sz="6" w:space="0" w:color="auto"/>
              <w:left w:val="single" w:sz="4" w:space="0" w:color="000000"/>
              <w:bottom w:val="nil" w:sz="6" w:space="0" w:color="auto"/>
              <w:right w:val="single" w:sz="4" w:space="0" w:color="000000"/>
            </w:tcBorders>
            <w:shd w:val="clear" w:color="auto" w:fill="D3D3D3"/>
          </w:tcPr>
          <w:p>
            <w:pPr/>
          </w:p>
        </w:tc>
        <w:tc>
          <w:tcPr>
            <w:tcW w:w="986" w:type="dxa"/>
            <w:tcBorders>
              <w:top w:val="nil" w:sz="6" w:space="0" w:color="auto"/>
              <w:left w:val="single" w:sz="4" w:space="0" w:color="000000"/>
              <w:bottom w:val="nil" w:sz="6" w:space="0" w:color="auto"/>
              <w:right w:val="single" w:sz="4" w:space="0" w:color="000000"/>
            </w:tcBorders>
            <w:shd w:val="clear" w:color="auto" w:fill="D3D3D3"/>
          </w:tcPr>
          <w:p>
            <w:pPr/>
          </w:p>
        </w:tc>
        <w:tc>
          <w:tcPr>
            <w:tcW w:w="988" w:type="dxa"/>
            <w:tcBorders>
              <w:top w:val="nil" w:sz="6" w:space="0" w:color="auto"/>
              <w:left w:val="single" w:sz="4" w:space="0" w:color="000000"/>
              <w:bottom w:val="nil" w:sz="6" w:space="0" w:color="auto"/>
              <w:right w:val="single" w:sz="4" w:space="0" w:color="000000"/>
            </w:tcBorders>
            <w:shd w:val="clear" w:color="auto" w:fill="D3D3D3"/>
          </w:tcPr>
          <w:p>
            <w:pPr/>
          </w:p>
        </w:tc>
        <w:tc>
          <w:tcPr>
            <w:tcW w:w="986" w:type="dxa"/>
            <w:tcBorders>
              <w:top w:val="nil" w:sz="6" w:space="0" w:color="auto"/>
              <w:left w:val="single" w:sz="4" w:space="0" w:color="000000"/>
              <w:bottom w:val="nil" w:sz="6" w:space="0" w:color="auto"/>
              <w:right w:val="single" w:sz="4" w:space="0" w:color="000000"/>
            </w:tcBorders>
            <w:shd w:val="clear" w:color="auto" w:fill="D3D3D3"/>
          </w:tcPr>
          <w:p>
            <w:pPr/>
          </w:p>
        </w:tc>
        <w:tc>
          <w:tcPr>
            <w:tcW w:w="988" w:type="dxa"/>
            <w:tcBorders>
              <w:top w:val="nil" w:sz="6" w:space="0" w:color="auto"/>
              <w:left w:val="single" w:sz="4" w:space="0" w:color="000000"/>
              <w:bottom w:val="nil" w:sz="6" w:space="0" w:color="auto"/>
              <w:right w:val="single" w:sz="4" w:space="0" w:color="000000"/>
            </w:tcBorders>
            <w:shd w:val="clear" w:color="auto" w:fill="D3D3D3"/>
          </w:tcPr>
          <w:p>
            <w:pPr/>
          </w:p>
        </w:tc>
        <w:tc>
          <w:tcPr>
            <w:tcW w:w="1062"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9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减子公司少</w:t>
            </w:r>
          </w:p>
        </w:tc>
      </w:tr>
      <w:tr>
        <w:trPr>
          <w:trHeight w:val="1560" w:hRule="exact"/>
        </w:trPr>
        <w:tc>
          <w:tcPr>
            <w:tcW w:w="9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0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361" w:right="89" w:hanging="270"/>
              <w:jc w:val="left"/>
              <w:rPr>
                <w:rFonts w:ascii="宋体" w:hAnsi="宋体" w:cs="宋体" w:eastAsia="宋体" w:hint="default"/>
                <w:sz w:val="18"/>
                <w:szCs w:val="18"/>
              </w:rPr>
            </w:pPr>
            <w:r>
              <w:rPr>
                <w:rFonts w:ascii="宋体" w:hAnsi="宋体" w:cs="宋体" w:eastAsia="宋体" w:hint="default"/>
                <w:sz w:val="18"/>
                <w:szCs w:val="18"/>
              </w:rPr>
              <w:t>期末实际投 资额</w:t>
            </w:r>
          </w:p>
        </w:tc>
        <w:tc>
          <w:tcPr>
            <w:tcW w:w="9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38" w:right="36"/>
              <w:jc w:val="both"/>
              <w:rPr>
                <w:rFonts w:ascii="宋体" w:hAnsi="宋体" w:cs="宋体" w:eastAsia="宋体" w:hint="default"/>
                <w:sz w:val="18"/>
                <w:szCs w:val="18"/>
              </w:rPr>
            </w:pPr>
            <w:r>
              <w:rPr>
                <w:rFonts w:ascii="宋体" w:hAnsi="宋体" w:cs="宋体" w:eastAsia="宋体" w:hint="default"/>
                <w:sz w:val="18"/>
                <w:szCs w:val="18"/>
              </w:rPr>
              <w:t>实质上构成 对子公司净 投资的其他 项目余额</w:t>
            </w:r>
          </w:p>
        </w:tc>
        <w:tc>
          <w:tcPr>
            <w:tcW w:w="9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w:t>
            </w:r>
          </w:p>
        </w:tc>
        <w:tc>
          <w:tcPr>
            <w:tcW w:w="9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398" w:right="37" w:hanging="360"/>
              <w:jc w:val="left"/>
              <w:rPr>
                <w:rFonts w:ascii="宋体" w:hAnsi="宋体" w:cs="宋体" w:eastAsia="宋体" w:hint="default"/>
                <w:sz w:val="18"/>
                <w:szCs w:val="18"/>
              </w:rPr>
            </w:pPr>
            <w:r>
              <w:rPr>
                <w:rFonts w:ascii="宋体" w:hAnsi="宋体" w:cs="宋体" w:eastAsia="宋体" w:hint="default"/>
                <w:sz w:val="18"/>
                <w:szCs w:val="18"/>
              </w:rPr>
              <w:t>是否合并报 表</w:t>
            </w:r>
          </w:p>
        </w:tc>
        <w:tc>
          <w:tcPr>
            <w:tcW w:w="10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436" w:right="73"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45" w:right="43"/>
              <w:jc w:val="both"/>
              <w:rPr>
                <w:rFonts w:ascii="宋体" w:hAnsi="宋体" w:cs="宋体" w:eastAsia="宋体" w:hint="default"/>
                <w:sz w:val="18"/>
                <w:szCs w:val="18"/>
              </w:rPr>
            </w:pPr>
            <w:r>
              <w:rPr>
                <w:rFonts w:ascii="宋体" w:hAnsi="宋体" w:cs="宋体" w:eastAsia="宋体" w:hint="default"/>
                <w:sz w:val="18"/>
                <w:szCs w:val="18"/>
              </w:rPr>
              <w:t>少数股东权 益中用于冲 减少数股东 损益的金额</w:t>
            </w:r>
          </w:p>
        </w:tc>
        <w:tc>
          <w:tcPr>
            <w:tcW w:w="9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8" w:right="37"/>
              <w:jc w:val="both"/>
              <w:rPr>
                <w:rFonts w:ascii="宋体" w:hAnsi="宋体" w:cs="宋体" w:eastAsia="宋体" w:hint="default"/>
                <w:sz w:val="18"/>
                <w:szCs w:val="18"/>
              </w:rPr>
            </w:pPr>
            <w:r>
              <w:rPr>
                <w:rFonts w:ascii="宋体" w:hAnsi="宋体" w:cs="宋体" w:eastAsia="宋体" w:hint="default"/>
                <w:sz w:val="18"/>
                <w:szCs w:val="18"/>
              </w:rPr>
              <w:t>数股东分担 的本期亏损 超过少数股 东在该子公 司年初所有</w:t>
            </w:r>
          </w:p>
        </w:tc>
      </w:tr>
      <w:tr>
        <w:trPr>
          <w:trHeight w:val="312" w:hRule="exact"/>
        </w:trPr>
        <w:tc>
          <w:tcPr>
            <w:tcW w:w="989" w:type="dxa"/>
            <w:tcBorders>
              <w:top w:val="nil" w:sz="6" w:space="0" w:color="auto"/>
              <w:left w:val="single" w:sz="4" w:space="0" w:color="000000"/>
              <w:bottom w:val="nil" w:sz="6" w:space="0" w:color="auto"/>
              <w:right w:val="single" w:sz="4" w:space="0" w:color="000000"/>
            </w:tcBorders>
            <w:shd w:val="clear" w:color="auto" w:fill="D3D3D3"/>
          </w:tcPr>
          <w:p>
            <w:pPr/>
          </w:p>
        </w:tc>
        <w:tc>
          <w:tcPr>
            <w:tcW w:w="986" w:type="dxa"/>
            <w:tcBorders>
              <w:top w:val="nil" w:sz="6" w:space="0" w:color="auto"/>
              <w:left w:val="single" w:sz="4" w:space="0" w:color="000000"/>
              <w:bottom w:val="nil" w:sz="6" w:space="0" w:color="auto"/>
              <w:right w:val="single" w:sz="4" w:space="0" w:color="000000"/>
            </w:tcBorders>
            <w:shd w:val="clear" w:color="auto" w:fill="D3D3D3"/>
          </w:tcPr>
          <w:p>
            <w:pPr/>
          </w:p>
        </w:tc>
        <w:tc>
          <w:tcPr>
            <w:tcW w:w="988" w:type="dxa"/>
            <w:tcBorders>
              <w:top w:val="nil" w:sz="6" w:space="0" w:color="auto"/>
              <w:left w:val="single" w:sz="4" w:space="0" w:color="000000"/>
              <w:bottom w:val="nil" w:sz="6" w:space="0" w:color="auto"/>
              <w:right w:val="single" w:sz="4" w:space="0" w:color="000000"/>
            </w:tcBorders>
            <w:shd w:val="clear" w:color="auto" w:fill="D3D3D3"/>
          </w:tcPr>
          <w:p>
            <w:pPr/>
          </w:p>
        </w:tc>
        <w:tc>
          <w:tcPr>
            <w:tcW w:w="986" w:type="dxa"/>
            <w:tcBorders>
              <w:top w:val="nil" w:sz="6" w:space="0" w:color="auto"/>
              <w:left w:val="single" w:sz="4" w:space="0" w:color="000000"/>
              <w:bottom w:val="nil" w:sz="6" w:space="0" w:color="auto"/>
              <w:right w:val="single" w:sz="4" w:space="0" w:color="000000"/>
            </w:tcBorders>
            <w:shd w:val="clear" w:color="auto" w:fill="D3D3D3"/>
          </w:tcPr>
          <w:p>
            <w:pPr/>
          </w:p>
        </w:tc>
        <w:tc>
          <w:tcPr>
            <w:tcW w:w="988" w:type="dxa"/>
            <w:tcBorders>
              <w:top w:val="nil" w:sz="6" w:space="0" w:color="auto"/>
              <w:left w:val="single" w:sz="4" w:space="0" w:color="000000"/>
              <w:bottom w:val="nil" w:sz="6" w:space="0" w:color="auto"/>
              <w:right w:val="single" w:sz="4" w:space="0" w:color="000000"/>
            </w:tcBorders>
            <w:shd w:val="clear" w:color="auto" w:fill="D3D3D3"/>
          </w:tcPr>
          <w:p>
            <w:pPr/>
          </w:p>
        </w:tc>
        <w:tc>
          <w:tcPr>
            <w:tcW w:w="986" w:type="dxa"/>
            <w:tcBorders>
              <w:top w:val="nil" w:sz="6" w:space="0" w:color="auto"/>
              <w:left w:val="single" w:sz="4" w:space="0" w:color="000000"/>
              <w:bottom w:val="nil" w:sz="6" w:space="0" w:color="auto"/>
              <w:right w:val="single" w:sz="4" w:space="0" w:color="000000"/>
            </w:tcBorders>
            <w:shd w:val="clear" w:color="auto" w:fill="D3D3D3"/>
          </w:tcPr>
          <w:p>
            <w:pPr/>
          </w:p>
        </w:tc>
        <w:tc>
          <w:tcPr>
            <w:tcW w:w="1092" w:type="dxa"/>
            <w:tcBorders>
              <w:top w:val="nil" w:sz="6" w:space="0" w:color="auto"/>
              <w:left w:val="single" w:sz="4" w:space="0" w:color="000000"/>
              <w:bottom w:val="nil" w:sz="6" w:space="0" w:color="auto"/>
              <w:right w:val="single" w:sz="4" w:space="0" w:color="000000"/>
            </w:tcBorders>
            <w:shd w:val="clear" w:color="auto" w:fill="D3D3D3"/>
          </w:tcPr>
          <w:p>
            <w:pPr/>
          </w:p>
        </w:tc>
        <w:tc>
          <w:tcPr>
            <w:tcW w:w="986" w:type="dxa"/>
            <w:tcBorders>
              <w:top w:val="nil" w:sz="6" w:space="0" w:color="auto"/>
              <w:left w:val="single" w:sz="4" w:space="0" w:color="000000"/>
              <w:bottom w:val="nil" w:sz="6" w:space="0" w:color="auto"/>
              <w:right w:val="single" w:sz="4" w:space="0" w:color="000000"/>
            </w:tcBorders>
            <w:shd w:val="clear" w:color="auto" w:fill="D3D3D3"/>
          </w:tcPr>
          <w:p>
            <w:pPr/>
          </w:p>
        </w:tc>
        <w:tc>
          <w:tcPr>
            <w:tcW w:w="988" w:type="dxa"/>
            <w:tcBorders>
              <w:top w:val="nil" w:sz="6" w:space="0" w:color="auto"/>
              <w:left w:val="single" w:sz="4" w:space="0" w:color="000000"/>
              <w:bottom w:val="nil" w:sz="6" w:space="0" w:color="auto"/>
              <w:right w:val="single" w:sz="4" w:space="0" w:color="000000"/>
            </w:tcBorders>
            <w:shd w:val="clear" w:color="auto" w:fill="D3D3D3"/>
          </w:tcPr>
          <w:p>
            <w:pPr/>
          </w:p>
        </w:tc>
        <w:tc>
          <w:tcPr>
            <w:tcW w:w="986" w:type="dxa"/>
            <w:tcBorders>
              <w:top w:val="nil" w:sz="6" w:space="0" w:color="auto"/>
              <w:left w:val="single" w:sz="4" w:space="0" w:color="000000"/>
              <w:bottom w:val="nil" w:sz="6" w:space="0" w:color="auto"/>
              <w:right w:val="single" w:sz="4" w:space="0" w:color="000000"/>
            </w:tcBorders>
            <w:shd w:val="clear" w:color="auto" w:fill="D3D3D3"/>
          </w:tcPr>
          <w:p>
            <w:pPr/>
          </w:p>
        </w:tc>
        <w:tc>
          <w:tcPr>
            <w:tcW w:w="988" w:type="dxa"/>
            <w:tcBorders>
              <w:top w:val="nil" w:sz="6" w:space="0" w:color="auto"/>
              <w:left w:val="single" w:sz="4" w:space="0" w:color="000000"/>
              <w:bottom w:val="nil" w:sz="6" w:space="0" w:color="auto"/>
              <w:right w:val="single" w:sz="4" w:space="0" w:color="000000"/>
            </w:tcBorders>
            <w:shd w:val="clear" w:color="auto" w:fill="D3D3D3"/>
          </w:tcPr>
          <w:p>
            <w:pPr/>
          </w:p>
        </w:tc>
        <w:tc>
          <w:tcPr>
            <w:tcW w:w="1062"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9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者权益中所</w:t>
            </w:r>
          </w:p>
        </w:tc>
      </w:tr>
      <w:tr>
        <w:trPr>
          <w:trHeight w:val="313" w:hRule="exact"/>
        </w:trPr>
        <w:tc>
          <w:tcPr>
            <w:tcW w:w="989" w:type="dxa"/>
            <w:tcBorders>
              <w:top w:val="nil" w:sz="6" w:space="0" w:color="auto"/>
              <w:left w:val="single" w:sz="4" w:space="0" w:color="000000"/>
              <w:bottom w:val="nil" w:sz="6" w:space="0" w:color="auto"/>
              <w:right w:val="single" w:sz="4" w:space="0" w:color="000000"/>
            </w:tcBorders>
            <w:shd w:val="clear" w:color="auto" w:fill="D3D3D3"/>
          </w:tcPr>
          <w:p>
            <w:pPr/>
          </w:p>
        </w:tc>
        <w:tc>
          <w:tcPr>
            <w:tcW w:w="986" w:type="dxa"/>
            <w:tcBorders>
              <w:top w:val="nil" w:sz="6" w:space="0" w:color="auto"/>
              <w:left w:val="single" w:sz="4" w:space="0" w:color="000000"/>
              <w:bottom w:val="nil" w:sz="6" w:space="0" w:color="auto"/>
              <w:right w:val="single" w:sz="4" w:space="0" w:color="000000"/>
            </w:tcBorders>
            <w:shd w:val="clear" w:color="auto" w:fill="D3D3D3"/>
          </w:tcPr>
          <w:p>
            <w:pPr/>
          </w:p>
        </w:tc>
        <w:tc>
          <w:tcPr>
            <w:tcW w:w="988" w:type="dxa"/>
            <w:tcBorders>
              <w:top w:val="nil" w:sz="6" w:space="0" w:color="auto"/>
              <w:left w:val="single" w:sz="4" w:space="0" w:color="000000"/>
              <w:bottom w:val="nil" w:sz="6" w:space="0" w:color="auto"/>
              <w:right w:val="single" w:sz="4" w:space="0" w:color="000000"/>
            </w:tcBorders>
            <w:shd w:val="clear" w:color="auto" w:fill="D3D3D3"/>
          </w:tcPr>
          <w:p>
            <w:pPr/>
          </w:p>
        </w:tc>
        <w:tc>
          <w:tcPr>
            <w:tcW w:w="986" w:type="dxa"/>
            <w:tcBorders>
              <w:top w:val="nil" w:sz="6" w:space="0" w:color="auto"/>
              <w:left w:val="single" w:sz="4" w:space="0" w:color="000000"/>
              <w:bottom w:val="nil" w:sz="6" w:space="0" w:color="auto"/>
              <w:right w:val="single" w:sz="4" w:space="0" w:color="000000"/>
            </w:tcBorders>
            <w:shd w:val="clear" w:color="auto" w:fill="D3D3D3"/>
          </w:tcPr>
          <w:p>
            <w:pPr/>
          </w:p>
        </w:tc>
        <w:tc>
          <w:tcPr>
            <w:tcW w:w="988" w:type="dxa"/>
            <w:tcBorders>
              <w:top w:val="nil" w:sz="6" w:space="0" w:color="auto"/>
              <w:left w:val="single" w:sz="4" w:space="0" w:color="000000"/>
              <w:bottom w:val="nil" w:sz="6" w:space="0" w:color="auto"/>
              <w:right w:val="single" w:sz="4" w:space="0" w:color="000000"/>
            </w:tcBorders>
            <w:shd w:val="clear" w:color="auto" w:fill="D3D3D3"/>
          </w:tcPr>
          <w:p>
            <w:pPr/>
          </w:p>
        </w:tc>
        <w:tc>
          <w:tcPr>
            <w:tcW w:w="986" w:type="dxa"/>
            <w:tcBorders>
              <w:top w:val="nil" w:sz="6" w:space="0" w:color="auto"/>
              <w:left w:val="single" w:sz="4" w:space="0" w:color="000000"/>
              <w:bottom w:val="nil" w:sz="6" w:space="0" w:color="auto"/>
              <w:right w:val="single" w:sz="4" w:space="0" w:color="000000"/>
            </w:tcBorders>
            <w:shd w:val="clear" w:color="auto" w:fill="D3D3D3"/>
          </w:tcPr>
          <w:p>
            <w:pPr/>
          </w:p>
        </w:tc>
        <w:tc>
          <w:tcPr>
            <w:tcW w:w="1092" w:type="dxa"/>
            <w:tcBorders>
              <w:top w:val="nil" w:sz="6" w:space="0" w:color="auto"/>
              <w:left w:val="single" w:sz="4" w:space="0" w:color="000000"/>
              <w:bottom w:val="nil" w:sz="6" w:space="0" w:color="auto"/>
              <w:right w:val="single" w:sz="4" w:space="0" w:color="000000"/>
            </w:tcBorders>
            <w:shd w:val="clear" w:color="auto" w:fill="D3D3D3"/>
          </w:tcPr>
          <w:p>
            <w:pPr/>
          </w:p>
        </w:tc>
        <w:tc>
          <w:tcPr>
            <w:tcW w:w="986" w:type="dxa"/>
            <w:tcBorders>
              <w:top w:val="nil" w:sz="6" w:space="0" w:color="auto"/>
              <w:left w:val="single" w:sz="4" w:space="0" w:color="000000"/>
              <w:bottom w:val="nil" w:sz="6" w:space="0" w:color="auto"/>
              <w:right w:val="single" w:sz="4" w:space="0" w:color="000000"/>
            </w:tcBorders>
            <w:shd w:val="clear" w:color="auto" w:fill="D3D3D3"/>
          </w:tcPr>
          <w:p>
            <w:pPr/>
          </w:p>
        </w:tc>
        <w:tc>
          <w:tcPr>
            <w:tcW w:w="988" w:type="dxa"/>
            <w:tcBorders>
              <w:top w:val="nil" w:sz="6" w:space="0" w:color="auto"/>
              <w:left w:val="single" w:sz="4" w:space="0" w:color="000000"/>
              <w:bottom w:val="nil" w:sz="6" w:space="0" w:color="auto"/>
              <w:right w:val="single" w:sz="4" w:space="0" w:color="000000"/>
            </w:tcBorders>
            <w:shd w:val="clear" w:color="auto" w:fill="D3D3D3"/>
          </w:tcPr>
          <w:p>
            <w:pPr/>
          </w:p>
        </w:tc>
        <w:tc>
          <w:tcPr>
            <w:tcW w:w="986" w:type="dxa"/>
            <w:tcBorders>
              <w:top w:val="nil" w:sz="6" w:space="0" w:color="auto"/>
              <w:left w:val="single" w:sz="4" w:space="0" w:color="000000"/>
              <w:bottom w:val="nil" w:sz="6" w:space="0" w:color="auto"/>
              <w:right w:val="single" w:sz="4" w:space="0" w:color="000000"/>
            </w:tcBorders>
            <w:shd w:val="clear" w:color="auto" w:fill="D3D3D3"/>
          </w:tcPr>
          <w:p>
            <w:pPr/>
          </w:p>
        </w:tc>
        <w:tc>
          <w:tcPr>
            <w:tcW w:w="988" w:type="dxa"/>
            <w:tcBorders>
              <w:top w:val="nil" w:sz="6" w:space="0" w:color="auto"/>
              <w:left w:val="single" w:sz="4" w:space="0" w:color="000000"/>
              <w:bottom w:val="nil" w:sz="6" w:space="0" w:color="auto"/>
              <w:right w:val="single" w:sz="4" w:space="0" w:color="000000"/>
            </w:tcBorders>
            <w:shd w:val="clear" w:color="auto" w:fill="D3D3D3"/>
          </w:tcPr>
          <w:p>
            <w:pPr/>
          </w:p>
        </w:tc>
        <w:tc>
          <w:tcPr>
            <w:tcW w:w="1062"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9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享有份额后</w:t>
            </w:r>
          </w:p>
        </w:tc>
      </w:tr>
      <w:tr>
        <w:trPr>
          <w:trHeight w:val="357" w:hRule="exact"/>
        </w:trPr>
        <w:tc>
          <w:tcPr>
            <w:tcW w:w="989" w:type="dxa"/>
            <w:tcBorders>
              <w:top w:val="nil" w:sz="6" w:space="0" w:color="auto"/>
              <w:left w:val="single" w:sz="4" w:space="0" w:color="000000"/>
              <w:bottom w:val="single" w:sz="4" w:space="0" w:color="000000"/>
              <w:right w:val="single" w:sz="4" w:space="0" w:color="000000"/>
            </w:tcBorders>
            <w:shd w:val="clear" w:color="auto" w:fill="D3D3D3"/>
          </w:tcPr>
          <w:p>
            <w:pPr/>
          </w:p>
        </w:tc>
        <w:tc>
          <w:tcPr>
            <w:tcW w:w="986" w:type="dxa"/>
            <w:tcBorders>
              <w:top w:val="nil" w:sz="6" w:space="0" w:color="auto"/>
              <w:left w:val="single" w:sz="4" w:space="0" w:color="000000"/>
              <w:bottom w:val="single" w:sz="4" w:space="0" w:color="000000"/>
              <w:right w:val="single" w:sz="4" w:space="0" w:color="000000"/>
            </w:tcBorders>
            <w:shd w:val="clear" w:color="auto" w:fill="D3D3D3"/>
          </w:tcPr>
          <w:p>
            <w:pPr/>
          </w:p>
        </w:tc>
        <w:tc>
          <w:tcPr>
            <w:tcW w:w="988" w:type="dxa"/>
            <w:tcBorders>
              <w:top w:val="nil" w:sz="6" w:space="0" w:color="auto"/>
              <w:left w:val="single" w:sz="4" w:space="0" w:color="000000"/>
              <w:bottom w:val="single" w:sz="4" w:space="0" w:color="000000"/>
              <w:right w:val="single" w:sz="4" w:space="0" w:color="000000"/>
            </w:tcBorders>
            <w:shd w:val="clear" w:color="auto" w:fill="D3D3D3"/>
          </w:tcPr>
          <w:p>
            <w:pPr/>
          </w:p>
        </w:tc>
        <w:tc>
          <w:tcPr>
            <w:tcW w:w="986" w:type="dxa"/>
            <w:tcBorders>
              <w:top w:val="nil" w:sz="6" w:space="0" w:color="auto"/>
              <w:left w:val="single" w:sz="4" w:space="0" w:color="000000"/>
              <w:bottom w:val="single" w:sz="4" w:space="0" w:color="000000"/>
              <w:right w:val="single" w:sz="4" w:space="0" w:color="000000"/>
            </w:tcBorders>
            <w:shd w:val="clear" w:color="auto" w:fill="D3D3D3"/>
          </w:tcPr>
          <w:p>
            <w:pPr/>
          </w:p>
        </w:tc>
        <w:tc>
          <w:tcPr>
            <w:tcW w:w="988" w:type="dxa"/>
            <w:tcBorders>
              <w:top w:val="nil" w:sz="6" w:space="0" w:color="auto"/>
              <w:left w:val="single" w:sz="4" w:space="0" w:color="000000"/>
              <w:bottom w:val="single" w:sz="4" w:space="0" w:color="000000"/>
              <w:right w:val="single" w:sz="4" w:space="0" w:color="000000"/>
            </w:tcBorders>
            <w:shd w:val="clear" w:color="auto" w:fill="D3D3D3"/>
          </w:tcPr>
          <w:p>
            <w:pPr/>
          </w:p>
        </w:tc>
        <w:tc>
          <w:tcPr>
            <w:tcW w:w="986"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2" w:type="dxa"/>
            <w:tcBorders>
              <w:top w:val="nil" w:sz="6" w:space="0" w:color="auto"/>
              <w:left w:val="single" w:sz="4" w:space="0" w:color="000000"/>
              <w:bottom w:val="single" w:sz="4" w:space="0" w:color="000000"/>
              <w:right w:val="single" w:sz="4" w:space="0" w:color="000000"/>
            </w:tcBorders>
            <w:shd w:val="clear" w:color="auto" w:fill="D3D3D3"/>
          </w:tcPr>
          <w:p>
            <w:pPr/>
          </w:p>
        </w:tc>
        <w:tc>
          <w:tcPr>
            <w:tcW w:w="986" w:type="dxa"/>
            <w:tcBorders>
              <w:top w:val="nil" w:sz="6" w:space="0" w:color="auto"/>
              <w:left w:val="single" w:sz="4" w:space="0" w:color="000000"/>
              <w:bottom w:val="single" w:sz="4" w:space="0" w:color="000000"/>
              <w:right w:val="single" w:sz="4" w:space="0" w:color="000000"/>
            </w:tcBorders>
            <w:shd w:val="clear" w:color="auto" w:fill="D3D3D3"/>
          </w:tcPr>
          <w:p>
            <w:pPr/>
          </w:p>
        </w:tc>
        <w:tc>
          <w:tcPr>
            <w:tcW w:w="988" w:type="dxa"/>
            <w:tcBorders>
              <w:top w:val="nil" w:sz="6" w:space="0" w:color="auto"/>
              <w:left w:val="single" w:sz="4" w:space="0" w:color="000000"/>
              <w:bottom w:val="single" w:sz="4" w:space="0" w:color="000000"/>
              <w:right w:val="single" w:sz="4" w:space="0" w:color="000000"/>
            </w:tcBorders>
            <w:shd w:val="clear" w:color="auto" w:fill="D3D3D3"/>
          </w:tcPr>
          <w:p>
            <w:pPr/>
          </w:p>
        </w:tc>
        <w:tc>
          <w:tcPr>
            <w:tcW w:w="986" w:type="dxa"/>
            <w:tcBorders>
              <w:top w:val="nil" w:sz="6" w:space="0" w:color="auto"/>
              <w:left w:val="single" w:sz="4" w:space="0" w:color="000000"/>
              <w:bottom w:val="single" w:sz="4" w:space="0" w:color="000000"/>
              <w:right w:val="single" w:sz="4" w:space="0" w:color="000000"/>
            </w:tcBorders>
            <w:shd w:val="clear" w:color="auto" w:fill="D3D3D3"/>
          </w:tcPr>
          <w:p>
            <w:pPr/>
          </w:p>
        </w:tc>
        <w:tc>
          <w:tcPr>
            <w:tcW w:w="988"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1" w:type="dxa"/>
            <w:tcBorders>
              <w:top w:val="nil" w:sz="6" w:space="0" w:color="auto"/>
              <w:left w:val="single" w:sz="4" w:space="0" w:color="000000"/>
              <w:bottom w:val="single" w:sz="4" w:space="0" w:color="000000"/>
              <w:right w:val="single" w:sz="4" w:space="0" w:color="000000"/>
            </w:tcBorders>
            <w:shd w:val="clear" w:color="auto" w:fill="D3D3D3"/>
          </w:tcPr>
          <w:p>
            <w:pPr/>
          </w:p>
        </w:tc>
        <w:tc>
          <w:tcPr>
            <w:tcW w:w="98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的余额</w:t>
            </w:r>
          </w:p>
        </w:tc>
      </w:tr>
      <w:tr>
        <w:trPr>
          <w:trHeight w:val="357" w:hRule="exact"/>
        </w:trPr>
        <w:tc>
          <w:tcPr>
            <w:tcW w:w="989" w:type="dxa"/>
            <w:tcBorders>
              <w:top w:val="single" w:sz="4" w:space="0" w:color="000000"/>
              <w:left w:val="single" w:sz="4" w:space="0" w:color="000000"/>
              <w:bottom w:val="nil" w:sz="6" w:space="0" w:color="auto"/>
              <w:right w:val="single" w:sz="4" w:space="0" w:color="000000"/>
            </w:tcBorders>
          </w:tcPr>
          <w:p>
            <w:pPr/>
          </w:p>
        </w:tc>
        <w:tc>
          <w:tcPr>
            <w:tcW w:w="986" w:type="dxa"/>
            <w:tcBorders>
              <w:top w:val="single" w:sz="4" w:space="0" w:color="000000"/>
              <w:left w:val="single" w:sz="4" w:space="0" w:color="000000"/>
              <w:bottom w:val="nil" w:sz="6" w:space="0" w:color="auto"/>
              <w:right w:val="single" w:sz="4" w:space="0" w:color="000000"/>
            </w:tcBorders>
          </w:tcPr>
          <w:p>
            <w:pPr/>
          </w:p>
        </w:tc>
        <w:tc>
          <w:tcPr>
            <w:tcW w:w="988" w:type="dxa"/>
            <w:tcBorders>
              <w:top w:val="single" w:sz="4" w:space="0" w:color="000000"/>
              <w:left w:val="single" w:sz="4" w:space="0" w:color="000000"/>
              <w:bottom w:val="nil" w:sz="6" w:space="0" w:color="auto"/>
              <w:right w:val="single" w:sz="4" w:space="0" w:color="000000"/>
            </w:tcBorders>
          </w:tcPr>
          <w:p>
            <w:pPr/>
          </w:p>
        </w:tc>
        <w:tc>
          <w:tcPr>
            <w:tcW w:w="986" w:type="dxa"/>
            <w:tcBorders>
              <w:top w:val="single" w:sz="4" w:space="0" w:color="000000"/>
              <w:left w:val="single" w:sz="4" w:space="0" w:color="000000"/>
              <w:bottom w:val="nil" w:sz="6" w:space="0" w:color="auto"/>
              <w:right w:val="single" w:sz="4" w:space="0" w:color="000000"/>
            </w:tcBorders>
          </w:tcPr>
          <w:p>
            <w:pPr/>
          </w:p>
        </w:tc>
        <w:tc>
          <w:tcPr>
            <w:tcW w:w="988" w:type="dxa"/>
            <w:tcBorders>
              <w:top w:val="single" w:sz="4" w:space="0" w:color="000000"/>
              <w:left w:val="single" w:sz="4" w:space="0" w:color="000000"/>
              <w:bottom w:val="nil" w:sz="6" w:space="0" w:color="auto"/>
              <w:right w:val="single" w:sz="4" w:space="0" w:color="000000"/>
            </w:tcBorders>
          </w:tcPr>
          <w:p>
            <w:pPr/>
          </w:p>
        </w:tc>
        <w:tc>
          <w:tcPr>
            <w:tcW w:w="9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数字电视系</w:t>
            </w:r>
          </w:p>
        </w:tc>
        <w:tc>
          <w:tcPr>
            <w:tcW w:w="1092" w:type="dxa"/>
            <w:tcBorders>
              <w:top w:val="single" w:sz="4" w:space="0" w:color="000000"/>
              <w:left w:val="single" w:sz="4" w:space="0" w:color="000000"/>
              <w:bottom w:val="nil" w:sz="6" w:space="0" w:color="auto"/>
              <w:right w:val="single" w:sz="4" w:space="0" w:color="000000"/>
            </w:tcBorders>
          </w:tcPr>
          <w:p>
            <w:pPr/>
          </w:p>
        </w:tc>
        <w:tc>
          <w:tcPr>
            <w:tcW w:w="986" w:type="dxa"/>
            <w:vMerge w:val="restart"/>
            <w:tcBorders>
              <w:top w:val="single" w:sz="4" w:space="0" w:color="000000"/>
              <w:left w:val="single" w:sz="4" w:space="0" w:color="000000"/>
              <w:right w:val="single" w:sz="4" w:space="0" w:color="000000"/>
            </w:tcBorders>
          </w:tcPr>
          <w:p>
            <w:pPr/>
          </w:p>
        </w:tc>
        <w:tc>
          <w:tcPr>
            <w:tcW w:w="988" w:type="dxa"/>
            <w:tcBorders>
              <w:top w:val="single" w:sz="4" w:space="0" w:color="000000"/>
              <w:left w:val="single" w:sz="4" w:space="0" w:color="000000"/>
              <w:bottom w:val="nil" w:sz="6" w:space="0" w:color="auto"/>
              <w:right w:val="single" w:sz="4" w:space="0" w:color="000000"/>
            </w:tcBorders>
          </w:tcPr>
          <w:p>
            <w:pPr/>
          </w:p>
        </w:tc>
        <w:tc>
          <w:tcPr>
            <w:tcW w:w="986" w:type="dxa"/>
            <w:tcBorders>
              <w:top w:val="single" w:sz="4" w:space="0" w:color="000000"/>
              <w:left w:val="single" w:sz="4" w:space="0" w:color="000000"/>
              <w:bottom w:val="nil" w:sz="6" w:space="0" w:color="auto"/>
              <w:right w:val="single" w:sz="4" w:space="0" w:color="000000"/>
            </w:tcBorders>
          </w:tcPr>
          <w:p>
            <w:pPr/>
          </w:p>
        </w:tc>
        <w:tc>
          <w:tcPr>
            <w:tcW w:w="988"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988" w:type="dxa"/>
            <w:vMerge w:val="restart"/>
            <w:tcBorders>
              <w:top w:val="single" w:sz="4" w:space="0" w:color="000000"/>
              <w:left w:val="single" w:sz="4" w:space="0" w:color="000000"/>
              <w:right w:val="single" w:sz="4" w:space="0" w:color="000000"/>
            </w:tcBorders>
          </w:tcPr>
          <w:p>
            <w:pPr/>
          </w:p>
        </w:tc>
      </w:tr>
      <w:tr>
        <w:trPr>
          <w:trHeight w:val="311" w:hRule="exact"/>
        </w:trPr>
        <w:tc>
          <w:tcPr>
            <w:tcW w:w="989"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统产品</w:t>
            </w:r>
            <w:r>
              <w:rPr>
                <w:rFonts w:ascii="宋体" w:hAnsi="宋体" w:cs="宋体" w:eastAsia="宋体" w:hint="default"/>
                <w:spacing w:val="-90"/>
                <w:sz w:val="18"/>
                <w:szCs w:val="18"/>
              </w:rPr>
              <w:t>、</w:t>
            </w:r>
            <w:r>
              <w:rPr>
                <w:rFonts w:ascii="宋体" w:hAnsi="宋体" w:cs="宋体" w:eastAsia="宋体" w:hint="default"/>
                <w:spacing w:val="-59"/>
                <w:sz w:val="18"/>
                <w:szCs w:val="18"/>
              </w:rPr>
              <w:t>、</w:t>
            </w:r>
            <w:r>
              <w:rPr>
                <w:rFonts w:ascii="宋体" w:hAnsi="宋体" w:cs="宋体" w:eastAsia="宋体" w:hint="default"/>
                <w:sz w:val="18"/>
                <w:szCs w:val="18"/>
              </w:rPr>
              <w:t>计</w:t>
            </w:r>
          </w:p>
        </w:tc>
        <w:tc>
          <w:tcPr>
            <w:tcW w:w="1092" w:type="dxa"/>
            <w:tcBorders>
              <w:top w:val="nil" w:sz="6" w:space="0" w:color="auto"/>
              <w:left w:val="single" w:sz="4" w:space="0" w:color="000000"/>
              <w:bottom w:val="nil" w:sz="6" w:space="0" w:color="auto"/>
              <w:right w:val="single" w:sz="4" w:space="0" w:color="000000"/>
            </w:tcBorders>
          </w:tcPr>
          <w:p>
            <w:pPr/>
          </w:p>
        </w:tc>
        <w:tc>
          <w:tcPr>
            <w:tcW w:w="986" w:type="dxa"/>
            <w:vMerge/>
            <w:tcBorders>
              <w:left w:val="single" w:sz="4" w:space="0" w:color="000000"/>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988" w:type="dxa"/>
            <w:vMerge/>
            <w:tcBorders>
              <w:left w:val="single" w:sz="4" w:space="0" w:color="000000"/>
              <w:right w:val="single" w:sz="4" w:space="0" w:color="000000"/>
            </w:tcBorders>
          </w:tcPr>
          <w:p>
            <w:pPr/>
          </w:p>
        </w:tc>
      </w:tr>
      <w:tr>
        <w:trPr>
          <w:trHeight w:val="312" w:hRule="exact"/>
        </w:trPr>
        <w:tc>
          <w:tcPr>
            <w:tcW w:w="989"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算机外围设</w:t>
            </w:r>
          </w:p>
        </w:tc>
        <w:tc>
          <w:tcPr>
            <w:tcW w:w="1092" w:type="dxa"/>
            <w:tcBorders>
              <w:top w:val="nil" w:sz="6" w:space="0" w:color="auto"/>
              <w:left w:val="single" w:sz="4" w:space="0" w:color="000000"/>
              <w:bottom w:val="nil" w:sz="6" w:space="0" w:color="auto"/>
              <w:right w:val="single" w:sz="4" w:space="0" w:color="000000"/>
            </w:tcBorders>
          </w:tcPr>
          <w:p>
            <w:pPr/>
          </w:p>
        </w:tc>
        <w:tc>
          <w:tcPr>
            <w:tcW w:w="986" w:type="dxa"/>
            <w:vMerge/>
            <w:tcBorders>
              <w:left w:val="single" w:sz="4" w:space="0" w:color="000000"/>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988" w:type="dxa"/>
            <w:vMerge/>
            <w:tcBorders>
              <w:left w:val="single" w:sz="4" w:space="0" w:color="000000"/>
              <w:right w:val="single" w:sz="4" w:space="0" w:color="000000"/>
            </w:tcBorders>
          </w:tcPr>
          <w:p>
            <w:pPr/>
          </w:p>
        </w:tc>
      </w:tr>
      <w:tr>
        <w:trPr>
          <w:trHeight w:val="313" w:hRule="exact"/>
        </w:trPr>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深圳市证通</w:t>
            </w: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备及其他电</w:t>
            </w:r>
          </w:p>
        </w:tc>
        <w:tc>
          <w:tcPr>
            <w:tcW w:w="1092" w:type="dxa"/>
            <w:tcBorders>
              <w:top w:val="nil" w:sz="6" w:space="0" w:color="auto"/>
              <w:left w:val="single" w:sz="4" w:space="0" w:color="000000"/>
              <w:bottom w:val="nil" w:sz="6" w:space="0" w:color="auto"/>
              <w:right w:val="single" w:sz="4" w:space="0" w:color="000000"/>
            </w:tcBorders>
          </w:tcPr>
          <w:p>
            <w:pPr/>
          </w:p>
        </w:tc>
        <w:tc>
          <w:tcPr>
            <w:tcW w:w="986" w:type="dxa"/>
            <w:vMerge/>
            <w:tcBorders>
              <w:left w:val="single" w:sz="4" w:space="0" w:color="000000"/>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988" w:type="dxa"/>
            <w:vMerge/>
            <w:tcBorders>
              <w:left w:val="single" w:sz="4" w:space="0" w:color="000000"/>
              <w:right w:val="single" w:sz="4" w:space="0" w:color="000000"/>
            </w:tcBorders>
          </w:tcPr>
          <w:p>
            <w:pPr/>
          </w:p>
        </w:tc>
      </w:tr>
      <w:tr>
        <w:trPr>
          <w:trHeight w:val="317" w:hRule="exact"/>
        </w:trPr>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普润电子有</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9"/>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电子产品</w:t>
            </w:r>
          </w:p>
        </w:tc>
        <w:tc>
          <w:tcPr>
            <w:tcW w:w="9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子产品的开</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3" w:right="0"/>
              <w:jc w:val="left"/>
              <w:rPr>
                <w:rFonts w:ascii="Times New Roman" w:hAnsi="Times New Roman" w:cs="Times New Roman" w:eastAsia="Times New Roman" w:hint="default"/>
                <w:sz w:val="18"/>
                <w:szCs w:val="18"/>
              </w:rPr>
            </w:pPr>
            <w:r>
              <w:rPr>
                <w:rFonts w:ascii="Times New Roman"/>
                <w:sz w:val="18"/>
              </w:rPr>
              <w:t>4,727,471.37</w:t>
            </w:r>
          </w:p>
        </w:tc>
        <w:tc>
          <w:tcPr>
            <w:tcW w:w="986" w:type="dxa"/>
            <w:vMerge/>
            <w:tcBorders>
              <w:left w:val="single" w:sz="4" w:space="0" w:color="000000"/>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33" w:right="0"/>
              <w:jc w:val="left"/>
              <w:rPr>
                <w:rFonts w:ascii="Times New Roman" w:hAnsi="Times New Roman" w:cs="Times New Roman" w:eastAsia="Times New Roman" w:hint="default"/>
                <w:sz w:val="18"/>
                <w:szCs w:val="18"/>
              </w:rPr>
            </w:pPr>
            <w:r>
              <w:rPr>
                <w:rFonts w:ascii="Times New Roman"/>
                <w:sz w:val="18"/>
              </w:rPr>
              <w:t>100%</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33" w:right="0"/>
              <w:jc w:val="left"/>
              <w:rPr>
                <w:rFonts w:ascii="Times New Roman" w:hAnsi="Times New Roman" w:cs="Times New Roman" w:eastAsia="Times New Roman" w:hint="default"/>
                <w:sz w:val="18"/>
                <w:szCs w:val="18"/>
              </w:rPr>
            </w:pPr>
            <w:r>
              <w:rPr>
                <w:rFonts w:ascii="Times New Roman"/>
                <w:sz w:val="18"/>
              </w:rPr>
              <w:t>100%</w:t>
            </w:r>
          </w:p>
        </w:tc>
        <w:tc>
          <w:tcPr>
            <w:tcW w:w="9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2"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988" w:type="dxa"/>
            <w:vMerge/>
            <w:tcBorders>
              <w:left w:val="single" w:sz="4" w:space="0" w:color="000000"/>
              <w:right w:val="single" w:sz="4" w:space="0" w:color="000000"/>
            </w:tcBorders>
          </w:tcPr>
          <w:p>
            <w:pPr/>
          </w:p>
        </w:tc>
      </w:tr>
      <w:tr>
        <w:trPr>
          <w:trHeight w:val="307" w:hRule="exact"/>
        </w:trPr>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发、生产、</w:t>
            </w:r>
          </w:p>
        </w:tc>
        <w:tc>
          <w:tcPr>
            <w:tcW w:w="1092" w:type="dxa"/>
            <w:tcBorders>
              <w:top w:val="nil" w:sz="6" w:space="0" w:color="auto"/>
              <w:left w:val="single" w:sz="4" w:space="0" w:color="000000"/>
              <w:bottom w:val="nil" w:sz="6" w:space="0" w:color="auto"/>
              <w:right w:val="single" w:sz="4" w:space="0" w:color="000000"/>
            </w:tcBorders>
          </w:tcPr>
          <w:p>
            <w:pPr/>
          </w:p>
        </w:tc>
        <w:tc>
          <w:tcPr>
            <w:tcW w:w="986" w:type="dxa"/>
            <w:vMerge/>
            <w:tcBorders>
              <w:left w:val="single" w:sz="4" w:space="0" w:color="000000"/>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988" w:type="dxa"/>
            <w:vMerge/>
            <w:tcBorders>
              <w:left w:val="single" w:sz="4" w:space="0" w:color="000000"/>
              <w:right w:val="single" w:sz="4" w:space="0" w:color="000000"/>
            </w:tcBorders>
          </w:tcPr>
          <w:p>
            <w:pPr/>
          </w:p>
        </w:tc>
      </w:tr>
      <w:tr>
        <w:trPr>
          <w:trHeight w:val="311" w:hRule="exact"/>
        </w:trPr>
        <w:tc>
          <w:tcPr>
            <w:tcW w:w="989"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销售、技术</w:t>
            </w:r>
          </w:p>
        </w:tc>
        <w:tc>
          <w:tcPr>
            <w:tcW w:w="1092" w:type="dxa"/>
            <w:tcBorders>
              <w:top w:val="nil" w:sz="6" w:space="0" w:color="auto"/>
              <w:left w:val="single" w:sz="4" w:space="0" w:color="000000"/>
              <w:bottom w:val="nil" w:sz="6" w:space="0" w:color="auto"/>
              <w:right w:val="single" w:sz="4" w:space="0" w:color="000000"/>
            </w:tcBorders>
          </w:tcPr>
          <w:p>
            <w:pPr/>
          </w:p>
        </w:tc>
        <w:tc>
          <w:tcPr>
            <w:tcW w:w="986" w:type="dxa"/>
            <w:vMerge/>
            <w:tcBorders>
              <w:left w:val="single" w:sz="4" w:space="0" w:color="000000"/>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988" w:type="dxa"/>
            <w:vMerge/>
            <w:tcBorders>
              <w:left w:val="single" w:sz="4" w:space="0" w:color="000000"/>
              <w:right w:val="single" w:sz="4" w:space="0" w:color="000000"/>
            </w:tcBorders>
          </w:tcPr>
          <w:p>
            <w:pPr/>
          </w:p>
        </w:tc>
      </w:tr>
      <w:tr>
        <w:trPr>
          <w:trHeight w:val="313" w:hRule="exact"/>
        </w:trPr>
        <w:tc>
          <w:tcPr>
            <w:tcW w:w="989"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092" w:type="dxa"/>
            <w:tcBorders>
              <w:top w:val="nil" w:sz="6" w:space="0" w:color="auto"/>
              <w:left w:val="single" w:sz="4" w:space="0" w:color="000000"/>
              <w:bottom w:val="nil" w:sz="6" w:space="0" w:color="auto"/>
              <w:right w:val="single" w:sz="4" w:space="0" w:color="000000"/>
            </w:tcBorders>
          </w:tcPr>
          <w:p>
            <w:pPr/>
          </w:p>
        </w:tc>
        <w:tc>
          <w:tcPr>
            <w:tcW w:w="986" w:type="dxa"/>
            <w:vMerge/>
            <w:tcBorders>
              <w:left w:val="single" w:sz="4" w:space="0" w:color="000000"/>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988" w:type="dxa"/>
            <w:vMerge/>
            <w:tcBorders>
              <w:left w:val="single" w:sz="4" w:space="0" w:color="000000"/>
              <w:right w:val="single" w:sz="4" w:space="0" w:color="000000"/>
            </w:tcBorders>
          </w:tcPr>
          <w:p>
            <w:pPr/>
          </w:p>
        </w:tc>
      </w:tr>
      <w:tr>
        <w:trPr>
          <w:trHeight w:val="357" w:hRule="exact"/>
        </w:trPr>
        <w:tc>
          <w:tcPr>
            <w:tcW w:w="989"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988"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988"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1092" w:type="dxa"/>
            <w:tcBorders>
              <w:top w:val="nil" w:sz="6" w:space="0" w:color="auto"/>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c>
          <w:tcPr>
            <w:tcW w:w="988"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988"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988" w:type="dxa"/>
            <w:vMerge/>
            <w:tcBorders>
              <w:left w:val="single" w:sz="4" w:space="0" w:color="000000"/>
              <w:bottom w:val="single" w:sz="4" w:space="0" w:color="000000"/>
              <w:right w:val="single" w:sz="4" w:space="0" w:color="000000"/>
            </w:tcBorders>
          </w:tcPr>
          <w:p>
            <w:pPr/>
          </w:p>
        </w:tc>
      </w:tr>
    </w:tbl>
    <w:p>
      <w:pPr>
        <w:spacing w:after="0"/>
        <w:sectPr>
          <w:headerReference w:type="default" r:id="rId23"/>
          <w:footerReference w:type="default" r:id="rId24"/>
          <w:pgSz w:w="16840" w:h="11910" w:orient="landscape"/>
          <w:pgMar w:header="867" w:footer="978" w:top="1060" w:bottom="1160" w:left="1300" w:right="1300"/>
          <w:pgNumType w:start="89"/>
        </w:sectPr>
      </w:pPr>
    </w:p>
    <w:p>
      <w:pPr>
        <w:spacing w:line="240" w:lineRule="auto" w:before="12"/>
        <w:rPr>
          <w:rFonts w:ascii="宋体" w:hAnsi="宋体" w:cs="宋体" w:eastAsia="宋体" w:hint="default"/>
          <w:sz w:val="2"/>
          <w:szCs w:val="2"/>
        </w:rPr>
      </w:pPr>
      <w:r>
        <w:rPr/>
        <w:pict>
          <v:group style="position:absolute;margin-left:368.200012pt;margin-top:170.880005pt;width:52.9pt;height:70.2pt;mso-position-horizontal-relative:page;mso-position-vertical-relative:page;z-index:-857872" coordorigin="7364,3418" coordsize="1058,1404">
            <v:shape style="position:absolute;left:7364;top:3418;width:1058;height:1404" coordorigin="7364,3418" coordsize="1058,1404" path="m7364,3418l7364,4822,8422,4822,8422,3418,7364,3418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989"/>
        <w:gridCol w:w="986"/>
        <w:gridCol w:w="988"/>
        <w:gridCol w:w="986"/>
        <w:gridCol w:w="988"/>
        <w:gridCol w:w="998"/>
        <w:gridCol w:w="1080"/>
        <w:gridCol w:w="986"/>
        <w:gridCol w:w="988"/>
        <w:gridCol w:w="986"/>
        <w:gridCol w:w="988"/>
        <w:gridCol w:w="1062"/>
        <w:gridCol w:w="1001"/>
        <w:gridCol w:w="988"/>
      </w:tblGrid>
      <w:tr>
        <w:trPr>
          <w:trHeight w:val="372" w:hRule="exact"/>
        </w:trPr>
        <w:tc>
          <w:tcPr>
            <w:tcW w:w="989" w:type="dxa"/>
            <w:tcBorders>
              <w:top w:val="single" w:sz="15" w:space="0" w:color="000000"/>
              <w:left w:val="single" w:sz="4" w:space="0" w:color="000000"/>
              <w:bottom w:val="nil" w:sz="6" w:space="0" w:color="auto"/>
              <w:right w:val="single" w:sz="4" w:space="0" w:color="000000"/>
            </w:tcBorders>
          </w:tcPr>
          <w:p>
            <w:pPr/>
          </w:p>
        </w:tc>
        <w:tc>
          <w:tcPr>
            <w:tcW w:w="986" w:type="dxa"/>
            <w:tcBorders>
              <w:top w:val="single" w:sz="15" w:space="0" w:color="000000"/>
              <w:left w:val="single" w:sz="4" w:space="0" w:color="000000"/>
              <w:bottom w:val="nil" w:sz="6" w:space="0" w:color="auto"/>
              <w:right w:val="single" w:sz="4" w:space="0" w:color="000000"/>
            </w:tcBorders>
          </w:tcPr>
          <w:p>
            <w:pPr/>
          </w:p>
        </w:tc>
        <w:tc>
          <w:tcPr>
            <w:tcW w:w="988" w:type="dxa"/>
            <w:tcBorders>
              <w:top w:val="single" w:sz="15" w:space="0" w:color="000000"/>
              <w:left w:val="single" w:sz="4" w:space="0" w:color="000000"/>
              <w:bottom w:val="nil" w:sz="6" w:space="0" w:color="auto"/>
              <w:right w:val="single" w:sz="4" w:space="0" w:color="000000"/>
            </w:tcBorders>
          </w:tcPr>
          <w:p>
            <w:pPr/>
          </w:p>
        </w:tc>
        <w:tc>
          <w:tcPr>
            <w:tcW w:w="986" w:type="dxa"/>
            <w:tcBorders>
              <w:top w:val="single" w:sz="15" w:space="0" w:color="000000"/>
              <w:left w:val="single" w:sz="4" w:space="0" w:color="000000"/>
              <w:bottom w:val="nil" w:sz="6" w:space="0" w:color="auto"/>
              <w:right w:val="single" w:sz="4" w:space="0" w:color="000000"/>
            </w:tcBorders>
          </w:tcPr>
          <w:p>
            <w:pPr/>
          </w:p>
        </w:tc>
        <w:tc>
          <w:tcPr>
            <w:tcW w:w="988" w:type="dxa"/>
            <w:tcBorders>
              <w:top w:val="single" w:sz="15" w:space="0" w:color="000000"/>
              <w:left w:val="single" w:sz="4" w:space="0" w:color="000000"/>
              <w:bottom w:val="nil" w:sz="6" w:space="0" w:color="auto"/>
              <w:right w:val="single" w:sz="4" w:space="0" w:color="000000"/>
            </w:tcBorders>
          </w:tcPr>
          <w:p>
            <w:pPr/>
          </w:p>
        </w:tc>
        <w:tc>
          <w:tcPr>
            <w:tcW w:w="99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自助终端产</w:t>
            </w:r>
          </w:p>
        </w:tc>
        <w:tc>
          <w:tcPr>
            <w:tcW w:w="1080" w:type="dxa"/>
            <w:tcBorders>
              <w:top w:val="single" w:sz="15" w:space="0" w:color="000000"/>
              <w:left w:val="single" w:sz="4" w:space="0" w:color="000000"/>
              <w:bottom w:val="nil" w:sz="6" w:space="0" w:color="auto"/>
              <w:right w:val="single" w:sz="4" w:space="0" w:color="000000"/>
            </w:tcBorders>
          </w:tcPr>
          <w:p>
            <w:pPr/>
          </w:p>
        </w:tc>
        <w:tc>
          <w:tcPr>
            <w:tcW w:w="986" w:type="dxa"/>
            <w:vMerge w:val="restart"/>
            <w:tcBorders>
              <w:top w:val="single" w:sz="15" w:space="0" w:color="000000"/>
              <w:left w:val="single" w:sz="4" w:space="0" w:color="000000"/>
              <w:right w:val="single" w:sz="4" w:space="0" w:color="000000"/>
            </w:tcBorders>
          </w:tcPr>
          <w:p>
            <w:pPr/>
          </w:p>
        </w:tc>
        <w:tc>
          <w:tcPr>
            <w:tcW w:w="988" w:type="dxa"/>
            <w:tcBorders>
              <w:top w:val="single" w:sz="15" w:space="0" w:color="000000"/>
              <w:left w:val="single" w:sz="4" w:space="0" w:color="000000"/>
              <w:bottom w:val="nil" w:sz="6" w:space="0" w:color="auto"/>
              <w:right w:val="single" w:sz="4" w:space="0" w:color="000000"/>
            </w:tcBorders>
          </w:tcPr>
          <w:p>
            <w:pPr/>
          </w:p>
        </w:tc>
        <w:tc>
          <w:tcPr>
            <w:tcW w:w="986" w:type="dxa"/>
            <w:tcBorders>
              <w:top w:val="single" w:sz="15" w:space="0" w:color="000000"/>
              <w:left w:val="single" w:sz="4" w:space="0" w:color="000000"/>
              <w:bottom w:val="nil" w:sz="6" w:space="0" w:color="auto"/>
              <w:right w:val="single" w:sz="4" w:space="0" w:color="000000"/>
            </w:tcBorders>
          </w:tcPr>
          <w:p>
            <w:pPr/>
          </w:p>
        </w:tc>
        <w:tc>
          <w:tcPr>
            <w:tcW w:w="988" w:type="dxa"/>
            <w:tcBorders>
              <w:top w:val="single" w:sz="15" w:space="0" w:color="000000"/>
              <w:left w:val="single" w:sz="4" w:space="0" w:color="000000"/>
              <w:bottom w:val="nil" w:sz="6" w:space="0" w:color="auto"/>
              <w:right w:val="single" w:sz="4" w:space="0" w:color="000000"/>
            </w:tcBorders>
          </w:tcPr>
          <w:p>
            <w:pPr/>
          </w:p>
        </w:tc>
        <w:tc>
          <w:tcPr>
            <w:tcW w:w="1062" w:type="dxa"/>
            <w:tcBorders>
              <w:top w:val="single" w:sz="15" w:space="0" w:color="000000"/>
              <w:left w:val="single" w:sz="4" w:space="0" w:color="000000"/>
              <w:bottom w:val="nil" w:sz="6" w:space="0" w:color="auto"/>
              <w:right w:val="single" w:sz="4" w:space="0" w:color="000000"/>
            </w:tcBorders>
          </w:tcPr>
          <w:p>
            <w:pPr/>
          </w:p>
        </w:tc>
        <w:tc>
          <w:tcPr>
            <w:tcW w:w="1001" w:type="dxa"/>
            <w:tcBorders>
              <w:top w:val="single" w:sz="15" w:space="0" w:color="000000"/>
              <w:left w:val="single" w:sz="4" w:space="0" w:color="000000"/>
              <w:bottom w:val="nil" w:sz="6" w:space="0" w:color="auto"/>
              <w:right w:val="single" w:sz="4" w:space="0" w:color="000000"/>
            </w:tcBorders>
          </w:tcPr>
          <w:p>
            <w:pPr/>
          </w:p>
        </w:tc>
        <w:tc>
          <w:tcPr>
            <w:tcW w:w="988" w:type="dxa"/>
            <w:vMerge w:val="restart"/>
            <w:tcBorders>
              <w:top w:val="single" w:sz="15" w:space="0" w:color="000000"/>
              <w:left w:val="single" w:sz="4" w:space="0" w:color="000000"/>
              <w:right w:val="single" w:sz="4" w:space="0" w:color="000000"/>
            </w:tcBorders>
          </w:tcPr>
          <w:p>
            <w:pPr/>
          </w:p>
        </w:tc>
      </w:tr>
      <w:tr>
        <w:trPr>
          <w:trHeight w:val="311" w:hRule="exact"/>
        </w:trPr>
        <w:tc>
          <w:tcPr>
            <w:tcW w:w="989"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品及特种打</w:t>
            </w:r>
          </w:p>
        </w:tc>
        <w:tc>
          <w:tcPr>
            <w:tcW w:w="1080" w:type="dxa"/>
            <w:tcBorders>
              <w:top w:val="nil" w:sz="6" w:space="0" w:color="auto"/>
              <w:left w:val="single" w:sz="4" w:space="0" w:color="000000"/>
              <w:bottom w:val="nil" w:sz="6" w:space="0" w:color="auto"/>
              <w:right w:val="single" w:sz="4" w:space="0" w:color="000000"/>
            </w:tcBorders>
          </w:tcPr>
          <w:p>
            <w:pPr/>
          </w:p>
        </w:tc>
        <w:tc>
          <w:tcPr>
            <w:tcW w:w="986" w:type="dxa"/>
            <w:vMerge/>
            <w:tcBorders>
              <w:left w:val="single" w:sz="4" w:space="0" w:color="000000"/>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988" w:type="dxa"/>
            <w:vMerge/>
            <w:tcBorders>
              <w:left w:val="single" w:sz="4" w:space="0" w:color="000000"/>
              <w:right w:val="single" w:sz="4" w:space="0" w:color="000000"/>
            </w:tcBorders>
          </w:tcPr>
          <w:p>
            <w:pPr/>
          </w:p>
        </w:tc>
      </w:tr>
      <w:tr>
        <w:trPr>
          <w:trHeight w:val="313" w:hRule="exact"/>
        </w:trPr>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深圳市证通</w:t>
            </w: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印产品的技</w:t>
            </w:r>
          </w:p>
        </w:tc>
        <w:tc>
          <w:tcPr>
            <w:tcW w:w="1080" w:type="dxa"/>
            <w:tcBorders>
              <w:top w:val="nil" w:sz="6" w:space="0" w:color="auto"/>
              <w:left w:val="single" w:sz="4" w:space="0" w:color="000000"/>
              <w:bottom w:val="nil" w:sz="6" w:space="0" w:color="auto"/>
              <w:right w:val="single" w:sz="4" w:space="0" w:color="000000"/>
            </w:tcBorders>
          </w:tcPr>
          <w:p>
            <w:pPr/>
          </w:p>
        </w:tc>
        <w:tc>
          <w:tcPr>
            <w:tcW w:w="986" w:type="dxa"/>
            <w:vMerge/>
            <w:tcBorders>
              <w:left w:val="single" w:sz="4" w:space="0" w:color="000000"/>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988" w:type="dxa"/>
            <w:vMerge/>
            <w:tcBorders>
              <w:left w:val="single" w:sz="4" w:space="0" w:color="000000"/>
              <w:right w:val="single" w:sz="4" w:space="0" w:color="000000"/>
            </w:tcBorders>
          </w:tcPr>
          <w:p>
            <w:pPr/>
          </w:p>
        </w:tc>
      </w:tr>
      <w:tr>
        <w:trPr>
          <w:trHeight w:val="317" w:hRule="exact"/>
        </w:trPr>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数码科技有</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9"/>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电子产品</w:t>
            </w:r>
          </w:p>
        </w:tc>
        <w:tc>
          <w:tcPr>
            <w:tcW w:w="9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术开发、销</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9" w:right="0"/>
              <w:jc w:val="center"/>
              <w:rPr>
                <w:rFonts w:ascii="Times New Roman" w:hAnsi="Times New Roman" w:cs="Times New Roman" w:eastAsia="Times New Roman" w:hint="default"/>
                <w:sz w:val="18"/>
                <w:szCs w:val="18"/>
              </w:rPr>
            </w:pPr>
            <w:r>
              <w:rPr>
                <w:rFonts w:ascii="Times New Roman"/>
                <w:sz w:val="18"/>
              </w:rPr>
              <w:t>2,246,993.75</w:t>
            </w:r>
          </w:p>
        </w:tc>
        <w:tc>
          <w:tcPr>
            <w:tcW w:w="986" w:type="dxa"/>
            <w:vMerge/>
            <w:tcBorders>
              <w:left w:val="single" w:sz="4" w:space="0" w:color="000000"/>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51%</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51%</w:t>
            </w:r>
          </w:p>
        </w:tc>
        <w:tc>
          <w:tcPr>
            <w:tcW w:w="9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-2,043,628.70</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2,043,628.70</w:t>
            </w:r>
          </w:p>
        </w:tc>
        <w:tc>
          <w:tcPr>
            <w:tcW w:w="988" w:type="dxa"/>
            <w:vMerge/>
            <w:tcBorders>
              <w:left w:val="single" w:sz="4" w:space="0" w:color="000000"/>
              <w:right w:val="single" w:sz="4" w:space="0" w:color="000000"/>
            </w:tcBorders>
          </w:tcPr>
          <w:p>
            <w:pPr/>
          </w:p>
        </w:tc>
      </w:tr>
      <w:tr>
        <w:trPr>
          <w:trHeight w:val="307" w:hRule="exact"/>
        </w:trPr>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售、维护保</w:t>
            </w:r>
          </w:p>
        </w:tc>
        <w:tc>
          <w:tcPr>
            <w:tcW w:w="1080" w:type="dxa"/>
            <w:tcBorders>
              <w:top w:val="nil" w:sz="6" w:space="0" w:color="auto"/>
              <w:left w:val="single" w:sz="4" w:space="0" w:color="000000"/>
              <w:bottom w:val="nil" w:sz="6" w:space="0" w:color="auto"/>
              <w:right w:val="single" w:sz="4" w:space="0" w:color="000000"/>
            </w:tcBorders>
          </w:tcPr>
          <w:p>
            <w:pPr/>
          </w:p>
        </w:tc>
        <w:tc>
          <w:tcPr>
            <w:tcW w:w="986" w:type="dxa"/>
            <w:vMerge/>
            <w:tcBorders>
              <w:left w:val="single" w:sz="4" w:space="0" w:color="000000"/>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988" w:type="dxa"/>
            <w:vMerge/>
            <w:tcBorders>
              <w:left w:val="single" w:sz="4" w:space="0" w:color="000000"/>
              <w:right w:val="single" w:sz="4" w:space="0" w:color="000000"/>
            </w:tcBorders>
          </w:tcPr>
          <w:p>
            <w:pPr/>
          </w:p>
        </w:tc>
      </w:tr>
      <w:tr>
        <w:trPr>
          <w:trHeight w:val="312" w:hRule="exact"/>
        </w:trPr>
        <w:tc>
          <w:tcPr>
            <w:tcW w:w="989"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养及相关技</w:t>
            </w:r>
          </w:p>
        </w:tc>
        <w:tc>
          <w:tcPr>
            <w:tcW w:w="1080" w:type="dxa"/>
            <w:tcBorders>
              <w:top w:val="nil" w:sz="6" w:space="0" w:color="auto"/>
              <w:left w:val="single" w:sz="4" w:space="0" w:color="000000"/>
              <w:bottom w:val="nil" w:sz="6" w:space="0" w:color="auto"/>
              <w:right w:val="single" w:sz="4" w:space="0" w:color="000000"/>
            </w:tcBorders>
          </w:tcPr>
          <w:p>
            <w:pPr/>
          </w:p>
        </w:tc>
        <w:tc>
          <w:tcPr>
            <w:tcW w:w="986" w:type="dxa"/>
            <w:vMerge/>
            <w:tcBorders>
              <w:left w:val="single" w:sz="4" w:space="0" w:color="000000"/>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988" w:type="dxa"/>
            <w:vMerge/>
            <w:tcBorders>
              <w:left w:val="single" w:sz="4" w:space="0" w:color="000000"/>
              <w:right w:val="single" w:sz="4" w:space="0" w:color="000000"/>
            </w:tcBorders>
          </w:tcPr>
          <w:p>
            <w:pPr/>
          </w:p>
        </w:tc>
      </w:tr>
      <w:tr>
        <w:trPr>
          <w:trHeight w:val="357" w:hRule="exact"/>
        </w:trPr>
        <w:tc>
          <w:tcPr>
            <w:tcW w:w="989"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988"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988" w:type="dxa"/>
            <w:tcBorders>
              <w:top w:val="nil" w:sz="6" w:space="0" w:color="auto"/>
              <w:left w:val="single" w:sz="4" w:space="0" w:color="000000"/>
              <w:bottom w:val="single" w:sz="4" w:space="0" w:color="000000"/>
              <w:right w:val="single" w:sz="4" w:space="0" w:color="000000"/>
            </w:tcBorders>
          </w:tcPr>
          <w:p>
            <w:pPr/>
          </w:p>
        </w:tc>
        <w:tc>
          <w:tcPr>
            <w:tcW w:w="9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术服务。</w:t>
            </w:r>
          </w:p>
        </w:tc>
        <w:tc>
          <w:tcPr>
            <w:tcW w:w="1080" w:type="dxa"/>
            <w:tcBorders>
              <w:top w:val="nil" w:sz="6" w:space="0" w:color="auto"/>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c>
          <w:tcPr>
            <w:tcW w:w="988"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988"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988" w:type="dxa"/>
            <w:vMerge/>
            <w:tcBorders>
              <w:left w:val="single" w:sz="4" w:space="0" w:color="000000"/>
              <w:bottom w:val="single" w:sz="4" w:space="0" w:color="000000"/>
              <w:right w:val="single" w:sz="4" w:space="0" w:color="000000"/>
            </w:tcBorders>
          </w:tcPr>
          <w:p>
            <w:pPr/>
          </w:p>
        </w:tc>
      </w:tr>
      <w:tr>
        <w:trPr>
          <w:trHeight w:val="357" w:hRule="exact"/>
        </w:trPr>
        <w:tc>
          <w:tcPr>
            <w:tcW w:w="989" w:type="dxa"/>
            <w:tcBorders>
              <w:top w:val="single" w:sz="4" w:space="0" w:color="000000"/>
              <w:left w:val="single" w:sz="4" w:space="0" w:color="000000"/>
              <w:bottom w:val="nil" w:sz="6" w:space="0" w:color="auto"/>
              <w:right w:val="single" w:sz="4" w:space="0" w:color="000000"/>
            </w:tcBorders>
          </w:tcPr>
          <w:p>
            <w:pPr/>
          </w:p>
        </w:tc>
        <w:tc>
          <w:tcPr>
            <w:tcW w:w="986" w:type="dxa"/>
            <w:tcBorders>
              <w:top w:val="single" w:sz="4" w:space="0" w:color="000000"/>
              <w:left w:val="single" w:sz="4" w:space="0" w:color="000000"/>
              <w:bottom w:val="nil" w:sz="6" w:space="0" w:color="auto"/>
              <w:right w:val="single" w:sz="4" w:space="0" w:color="000000"/>
            </w:tcBorders>
          </w:tcPr>
          <w:p>
            <w:pPr/>
          </w:p>
        </w:tc>
        <w:tc>
          <w:tcPr>
            <w:tcW w:w="988" w:type="dxa"/>
            <w:tcBorders>
              <w:top w:val="single" w:sz="4" w:space="0" w:color="000000"/>
              <w:left w:val="single" w:sz="4" w:space="0" w:color="000000"/>
              <w:bottom w:val="nil" w:sz="6" w:space="0" w:color="auto"/>
              <w:right w:val="single" w:sz="4" w:space="0" w:color="000000"/>
            </w:tcBorders>
          </w:tcPr>
          <w:p>
            <w:pPr/>
          </w:p>
        </w:tc>
        <w:tc>
          <w:tcPr>
            <w:tcW w:w="986" w:type="dxa"/>
            <w:tcBorders>
              <w:top w:val="single" w:sz="4" w:space="0" w:color="000000"/>
              <w:left w:val="single" w:sz="4" w:space="0" w:color="000000"/>
              <w:bottom w:val="nil" w:sz="6" w:space="0" w:color="auto"/>
              <w:right w:val="single" w:sz="4" w:space="0" w:color="000000"/>
            </w:tcBorders>
          </w:tcPr>
          <w:p>
            <w:pPr/>
          </w:p>
        </w:tc>
        <w:tc>
          <w:tcPr>
            <w:tcW w:w="988" w:type="dxa"/>
            <w:tcBorders>
              <w:top w:val="single" w:sz="4" w:space="0" w:color="000000"/>
              <w:left w:val="single" w:sz="4" w:space="0" w:color="000000"/>
              <w:bottom w:val="nil" w:sz="6" w:space="0" w:color="auto"/>
              <w:right w:val="single" w:sz="4" w:space="0" w:color="000000"/>
            </w:tcBorders>
          </w:tcPr>
          <w:p>
            <w:pPr/>
          </w:p>
        </w:tc>
        <w:tc>
          <w:tcPr>
            <w:tcW w:w="998" w:type="dxa"/>
            <w:tcBorders>
              <w:top w:val="single" w:sz="4" w:space="0" w:color="000000"/>
              <w:left w:val="single" w:sz="4" w:space="0" w:color="000000"/>
              <w:bottom w:val="nil" w:sz="6" w:space="0" w:color="auto"/>
              <w:right w:val="single" w:sz="10"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转账电话</w:t>
            </w:r>
          </w:p>
        </w:tc>
        <w:tc>
          <w:tcPr>
            <w:tcW w:w="1080" w:type="dxa"/>
            <w:tcBorders>
              <w:top w:val="single" w:sz="4" w:space="0" w:color="000000"/>
              <w:left w:val="single" w:sz="10" w:space="0" w:color="FFFFFF"/>
              <w:bottom w:val="nil" w:sz="6" w:space="0" w:color="auto"/>
              <w:right w:val="single" w:sz="4" w:space="0" w:color="000000"/>
            </w:tcBorders>
          </w:tcPr>
          <w:p>
            <w:pPr/>
          </w:p>
        </w:tc>
        <w:tc>
          <w:tcPr>
            <w:tcW w:w="986" w:type="dxa"/>
            <w:vMerge w:val="restart"/>
            <w:tcBorders>
              <w:top w:val="single" w:sz="4" w:space="0" w:color="000000"/>
              <w:left w:val="single" w:sz="4" w:space="0" w:color="000000"/>
              <w:right w:val="single" w:sz="4" w:space="0" w:color="000000"/>
            </w:tcBorders>
          </w:tcPr>
          <w:p>
            <w:pPr/>
          </w:p>
        </w:tc>
        <w:tc>
          <w:tcPr>
            <w:tcW w:w="988" w:type="dxa"/>
            <w:tcBorders>
              <w:top w:val="single" w:sz="4" w:space="0" w:color="000000"/>
              <w:left w:val="single" w:sz="4" w:space="0" w:color="000000"/>
              <w:bottom w:val="nil" w:sz="6" w:space="0" w:color="auto"/>
              <w:right w:val="single" w:sz="4" w:space="0" w:color="000000"/>
            </w:tcBorders>
          </w:tcPr>
          <w:p>
            <w:pPr/>
          </w:p>
        </w:tc>
        <w:tc>
          <w:tcPr>
            <w:tcW w:w="986" w:type="dxa"/>
            <w:tcBorders>
              <w:top w:val="single" w:sz="4" w:space="0" w:color="000000"/>
              <w:left w:val="single" w:sz="4" w:space="0" w:color="000000"/>
              <w:bottom w:val="nil" w:sz="6" w:space="0" w:color="auto"/>
              <w:right w:val="single" w:sz="4" w:space="0" w:color="000000"/>
            </w:tcBorders>
          </w:tcPr>
          <w:p>
            <w:pPr/>
          </w:p>
        </w:tc>
        <w:tc>
          <w:tcPr>
            <w:tcW w:w="988"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988" w:type="dxa"/>
            <w:vMerge w:val="restart"/>
            <w:tcBorders>
              <w:top w:val="single" w:sz="4" w:space="0" w:color="000000"/>
              <w:left w:val="single" w:sz="4" w:space="0" w:color="000000"/>
              <w:right w:val="single" w:sz="4" w:space="0" w:color="000000"/>
            </w:tcBorders>
          </w:tcPr>
          <w:p>
            <w:pPr/>
          </w:p>
        </w:tc>
      </w:tr>
      <w:tr>
        <w:trPr>
          <w:trHeight w:val="311" w:hRule="exact"/>
        </w:trPr>
        <w:tc>
          <w:tcPr>
            <w:tcW w:w="989"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98" w:type="dxa"/>
            <w:tcBorders>
              <w:top w:val="nil" w:sz="6" w:space="0" w:color="auto"/>
              <w:left w:val="single" w:sz="4" w:space="0" w:color="000000"/>
              <w:bottom w:val="nil" w:sz="6" w:space="0" w:color="auto"/>
              <w:right w:val="single" w:sz="10" w:space="0" w:color="FFFFFF"/>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机、数据移</w:t>
            </w:r>
          </w:p>
        </w:tc>
        <w:tc>
          <w:tcPr>
            <w:tcW w:w="1080" w:type="dxa"/>
            <w:tcBorders>
              <w:top w:val="nil" w:sz="6" w:space="0" w:color="auto"/>
              <w:left w:val="single" w:sz="10" w:space="0" w:color="FFFFFF"/>
              <w:bottom w:val="nil" w:sz="6" w:space="0" w:color="auto"/>
              <w:right w:val="single" w:sz="4" w:space="0" w:color="000000"/>
            </w:tcBorders>
          </w:tcPr>
          <w:p>
            <w:pPr/>
          </w:p>
        </w:tc>
        <w:tc>
          <w:tcPr>
            <w:tcW w:w="986" w:type="dxa"/>
            <w:vMerge/>
            <w:tcBorders>
              <w:left w:val="single" w:sz="4" w:space="0" w:color="000000"/>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988" w:type="dxa"/>
            <w:vMerge/>
            <w:tcBorders>
              <w:left w:val="single" w:sz="4" w:space="0" w:color="000000"/>
              <w:right w:val="single" w:sz="4" w:space="0" w:color="000000"/>
            </w:tcBorders>
          </w:tcPr>
          <w:p>
            <w:pPr/>
          </w:p>
        </w:tc>
      </w:tr>
      <w:tr>
        <w:trPr>
          <w:trHeight w:val="312" w:hRule="exact"/>
        </w:trPr>
        <w:tc>
          <w:tcPr>
            <w:tcW w:w="989"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98" w:type="dxa"/>
            <w:tcBorders>
              <w:top w:val="nil" w:sz="6" w:space="0" w:color="auto"/>
              <w:left w:val="single" w:sz="4" w:space="0" w:color="000000"/>
              <w:bottom w:val="nil" w:sz="6" w:space="0" w:color="auto"/>
              <w:right w:val="single" w:sz="10" w:space="0" w:color="FFFFFF"/>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动等产品的</w:t>
            </w:r>
          </w:p>
        </w:tc>
        <w:tc>
          <w:tcPr>
            <w:tcW w:w="1080" w:type="dxa"/>
            <w:tcBorders>
              <w:top w:val="nil" w:sz="6" w:space="0" w:color="auto"/>
              <w:left w:val="single" w:sz="10" w:space="0" w:color="FFFFFF"/>
              <w:bottom w:val="nil" w:sz="6" w:space="0" w:color="auto"/>
              <w:right w:val="single" w:sz="4" w:space="0" w:color="000000"/>
            </w:tcBorders>
          </w:tcPr>
          <w:p>
            <w:pPr/>
          </w:p>
        </w:tc>
        <w:tc>
          <w:tcPr>
            <w:tcW w:w="986" w:type="dxa"/>
            <w:vMerge/>
            <w:tcBorders>
              <w:left w:val="single" w:sz="4" w:space="0" w:color="000000"/>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988" w:type="dxa"/>
            <w:vMerge/>
            <w:tcBorders>
              <w:left w:val="single" w:sz="4" w:space="0" w:color="000000"/>
              <w:right w:val="single" w:sz="4" w:space="0" w:color="000000"/>
            </w:tcBorders>
          </w:tcPr>
          <w:p>
            <w:pPr/>
          </w:p>
        </w:tc>
      </w:tr>
      <w:tr>
        <w:trPr>
          <w:trHeight w:val="1248" w:hRule="exact"/>
        </w:trPr>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54"/>
              <w:jc w:val="both"/>
              <w:rPr>
                <w:rFonts w:ascii="宋体" w:hAnsi="宋体" w:cs="宋体" w:eastAsia="宋体" w:hint="default"/>
                <w:sz w:val="18"/>
                <w:szCs w:val="18"/>
              </w:rPr>
            </w:pPr>
            <w:r>
              <w:rPr>
                <w:rFonts w:ascii="宋体" w:hAnsi="宋体" w:cs="宋体" w:eastAsia="宋体" w:hint="default"/>
                <w:sz w:val="18"/>
                <w:szCs w:val="18"/>
              </w:rPr>
              <w:t>深圳市证通 金信科技有 限公司</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电子产品</w:t>
            </w:r>
          </w:p>
        </w:tc>
        <w:tc>
          <w:tcPr>
            <w:tcW w:w="9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98" w:type="dxa"/>
            <w:tcBorders>
              <w:top w:val="nil" w:sz="6" w:space="0" w:color="auto"/>
              <w:left w:val="single" w:sz="4" w:space="0" w:color="000000"/>
              <w:bottom w:val="nil" w:sz="6" w:space="0" w:color="auto"/>
              <w:right w:val="single" w:sz="10" w:space="0" w:color="FFFFFF"/>
            </w:tcBorders>
          </w:tcPr>
          <w:p>
            <w:pPr>
              <w:pStyle w:val="TableParagraph"/>
              <w:spacing w:line="316" w:lineRule="auto" w:before="10"/>
              <w:ind w:left="22" w:right="56"/>
              <w:jc w:val="both"/>
              <w:rPr>
                <w:rFonts w:ascii="宋体" w:hAnsi="宋体" w:cs="宋体" w:eastAsia="宋体" w:hint="default"/>
                <w:sz w:val="18"/>
                <w:szCs w:val="18"/>
              </w:rPr>
            </w:pPr>
            <w:r>
              <w:rPr>
                <w:rFonts w:ascii="宋体" w:hAnsi="宋体" w:cs="宋体" w:eastAsia="宋体" w:hint="default"/>
                <w:spacing w:val="-12"/>
                <w:sz w:val="18"/>
                <w:szCs w:val="18"/>
              </w:rPr>
              <w:t>生产、销售</w:t>
            </w:r>
            <w:r>
              <w:rPr>
                <w:rFonts w:ascii="宋体" w:hAnsi="宋体" w:cs="宋体" w:eastAsia="宋体" w:hint="default"/>
                <w:sz w:val="18"/>
                <w:szCs w:val="18"/>
              </w:rPr>
              <w:t> 售后维修服 务，电子硬 件、软件的</w:t>
            </w:r>
          </w:p>
        </w:tc>
        <w:tc>
          <w:tcPr>
            <w:tcW w:w="1080"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31,331,919.17</w:t>
            </w:r>
          </w:p>
        </w:tc>
        <w:tc>
          <w:tcPr>
            <w:tcW w:w="986" w:type="dxa"/>
            <w:vMerge/>
            <w:tcBorders>
              <w:left w:val="single" w:sz="4" w:space="0" w:color="000000"/>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2"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988" w:type="dxa"/>
            <w:vMerge/>
            <w:tcBorders>
              <w:left w:val="single" w:sz="4" w:space="0" w:color="000000"/>
              <w:right w:val="single" w:sz="4" w:space="0" w:color="000000"/>
            </w:tcBorders>
          </w:tcPr>
          <w:p>
            <w:pPr/>
          </w:p>
        </w:tc>
      </w:tr>
      <w:tr>
        <w:trPr>
          <w:trHeight w:val="312" w:hRule="exact"/>
        </w:trPr>
        <w:tc>
          <w:tcPr>
            <w:tcW w:w="989"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98" w:type="dxa"/>
            <w:tcBorders>
              <w:top w:val="nil" w:sz="6" w:space="0" w:color="auto"/>
              <w:left w:val="single" w:sz="4" w:space="0" w:color="000000"/>
              <w:bottom w:val="nil" w:sz="6" w:space="0" w:color="auto"/>
              <w:right w:val="single" w:sz="10" w:space="0" w:color="FFFFFF"/>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销售及相关</w:t>
            </w:r>
          </w:p>
        </w:tc>
        <w:tc>
          <w:tcPr>
            <w:tcW w:w="1080" w:type="dxa"/>
            <w:tcBorders>
              <w:top w:val="nil" w:sz="6" w:space="0" w:color="auto"/>
              <w:left w:val="single" w:sz="10" w:space="0" w:color="FFFFFF"/>
              <w:bottom w:val="nil" w:sz="6" w:space="0" w:color="auto"/>
              <w:right w:val="single" w:sz="4" w:space="0" w:color="000000"/>
            </w:tcBorders>
          </w:tcPr>
          <w:p>
            <w:pPr/>
          </w:p>
        </w:tc>
        <w:tc>
          <w:tcPr>
            <w:tcW w:w="986" w:type="dxa"/>
            <w:vMerge/>
            <w:tcBorders>
              <w:left w:val="single" w:sz="4" w:space="0" w:color="000000"/>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988" w:type="dxa"/>
            <w:vMerge/>
            <w:tcBorders>
              <w:left w:val="single" w:sz="4" w:space="0" w:color="000000"/>
              <w:right w:val="single" w:sz="4" w:space="0" w:color="000000"/>
            </w:tcBorders>
          </w:tcPr>
          <w:p>
            <w:pPr/>
          </w:p>
        </w:tc>
      </w:tr>
      <w:tr>
        <w:trPr>
          <w:trHeight w:val="313" w:hRule="exact"/>
        </w:trPr>
        <w:tc>
          <w:tcPr>
            <w:tcW w:w="989"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98" w:type="dxa"/>
            <w:tcBorders>
              <w:top w:val="nil" w:sz="6" w:space="0" w:color="auto"/>
              <w:left w:val="single" w:sz="4" w:space="0" w:color="000000"/>
              <w:bottom w:val="nil" w:sz="6" w:space="0" w:color="auto"/>
              <w:right w:val="single" w:sz="10" w:space="0" w:color="FFFFFF"/>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售后技术服</w:t>
            </w:r>
          </w:p>
        </w:tc>
        <w:tc>
          <w:tcPr>
            <w:tcW w:w="1080" w:type="dxa"/>
            <w:tcBorders>
              <w:top w:val="nil" w:sz="6" w:space="0" w:color="auto"/>
              <w:left w:val="single" w:sz="10" w:space="0" w:color="FFFFFF"/>
              <w:bottom w:val="nil" w:sz="6" w:space="0" w:color="auto"/>
              <w:right w:val="single" w:sz="4" w:space="0" w:color="000000"/>
            </w:tcBorders>
          </w:tcPr>
          <w:p>
            <w:pPr/>
          </w:p>
        </w:tc>
        <w:tc>
          <w:tcPr>
            <w:tcW w:w="986" w:type="dxa"/>
            <w:vMerge/>
            <w:tcBorders>
              <w:left w:val="single" w:sz="4" w:space="0" w:color="000000"/>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988" w:type="dxa"/>
            <w:vMerge/>
            <w:tcBorders>
              <w:left w:val="single" w:sz="4" w:space="0" w:color="000000"/>
              <w:right w:val="single" w:sz="4" w:space="0" w:color="000000"/>
            </w:tcBorders>
          </w:tcPr>
          <w:p>
            <w:pPr/>
          </w:p>
        </w:tc>
      </w:tr>
      <w:tr>
        <w:trPr>
          <w:trHeight w:val="357" w:hRule="exact"/>
        </w:trPr>
        <w:tc>
          <w:tcPr>
            <w:tcW w:w="989"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988"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988" w:type="dxa"/>
            <w:tcBorders>
              <w:top w:val="nil" w:sz="6" w:space="0" w:color="auto"/>
              <w:left w:val="single" w:sz="4" w:space="0" w:color="000000"/>
              <w:bottom w:val="single" w:sz="4" w:space="0" w:color="000000"/>
              <w:right w:val="single" w:sz="4" w:space="0" w:color="000000"/>
            </w:tcBorders>
          </w:tcPr>
          <w:p>
            <w:pPr/>
          </w:p>
        </w:tc>
        <w:tc>
          <w:tcPr>
            <w:tcW w:w="998" w:type="dxa"/>
            <w:tcBorders>
              <w:top w:val="nil" w:sz="6" w:space="0" w:color="auto"/>
              <w:left w:val="single" w:sz="4" w:space="0" w:color="000000"/>
              <w:bottom w:val="single" w:sz="4" w:space="0" w:color="000000"/>
              <w:right w:val="single" w:sz="10" w:space="0" w:color="FFFFFF"/>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080" w:type="dxa"/>
            <w:tcBorders>
              <w:top w:val="nil" w:sz="6" w:space="0" w:color="auto"/>
              <w:left w:val="single" w:sz="10" w:space="0" w:color="FFFFFF"/>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c>
          <w:tcPr>
            <w:tcW w:w="988"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988"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988" w:type="dxa"/>
            <w:vMerge/>
            <w:tcBorders>
              <w:left w:val="single" w:sz="4" w:space="0" w:color="000000"/>
              <w:bottom w:val="single" w:sz="4" w:space="0" w:color="000000"/>
              <w:right w:val="single" w:sz="4" w:space="0" w:color="000000"/>
            </w:tcBorders>
          </w:tcPr>
          <w:p>
            <w:pPr/>
          </w:p>
        </w:tc>
      </w:tr>
      <w:tr>
        <w:trPr>
          <w:trHeight w:val="357" w:hRule="exact"/>
        </w:trPr>
        <w:tc>
          <w:tcPr>
            <w:tcW w:w="9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w:t>
            </w:r>
          </w:p>
        </w:tc>
        <w:tc>
          <w:tcPr>
            <w:tcW w:w="986" w:type="dxa"/>
            <w:tcBorders>
              <w:top w:val="single" w:sz="4" w:space="0" w:color="000000"/>
              <w:left w:val="single" w:sz="4" w:space="0" w:color="000000"/>
              <w:bottom w:val="nil" w:sz="6" w:space="0" w:color="auto"/>
              <w:right w:val="single" w:sz="4" w:space="0" w:color="000000"/>
            </w:tcBorders>
          </w:tcPr>
          <w:p>
            <w:pPr/>
          </w:p>
        </w:tc>
        <w:tc>
          <w:tcPr>
            <w:tcW w:w="988" w:type="dxa"/>
            <w:tcBorders>
              <w:top w:val="single" w:sz="4" w:space="0" w:color="000000"/>
              <w:left w:val="single" w:sz="4" w:space="0" w:color="000000"/>
              <w:bottom w:val="nil" w:sz="6" w:space="0" w:color="auto"/>
              <w:right w:val="single" w:sz="4" w:space="0" w:color="000000"/>
            </w:tcBorders>
          </w:tcPr>
          <w:p>
            <w:pPr/>
          </w:p>
        </w:tc>
        <w:tc>
          <w:tcPr>
            <w:tcW w:w="986" w:type="dxa"/>
            <w:tcBorders>
              <w:top w:val="single" w:sz="4" w:space="0" w:color="000000"/>
              <w:left w:val="single" w:sz="4" w:space="0" w:color="000000"/>
              <w:bottom w:val="nil" w:sz="6" w:space="0" w:color="auto"/>
              <w:right w:val="single" w:sz="4" w:space="0" w:color="000000"/>
            </w:tcBorders>
          </w:tcPr>
          <w:p>
            <w:pPr/>
          </w:p>
        </w:tc>
        <w:tc>
          <w:tcPr>
            <w:tcW w:w="988" w:type="dxa"/>
            <w:tcBorders>
              <w:top w:val="single" w:sz="4" w:space="0" w:color="000000"/>
              <w:left w:val="single" w:sz="4" w:space="0" w:color="000000"/>
              <w:bottom w:val="nil" w:sz="6" w:space="0" w:color="auto"/>
              <w:right w:val="single" w:sz="4" w:space="0" w:color="000000"/>
            </w:tcBorders>
          </w:tcPr>
          <w:p>
            <w:pPr/>
          </w:p>
        </w:tc>
        <w:tc>
          <w:tcPr>
            <w:tcW w:w="9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转电子产品</w:t>
            </w:r>
          </w:p>
        </w:tc>
        <w:tc>
          <w:tcPr>
            <w:tcW w:w="1080" w:type="dxa"/>
            <w:tcBorders>
              <w:top w:val="single" w:sz="4" w:space="0" w:color="000000"/>
              <w:left w:val="single" w:sz="4" w:space="0" w:color="000000"/>
              <w:bottom w:val="nil" w:sz="6" w:space="0" w:color="auto"/>
              <w:right w:val="single" w:sz="4" w:space="0" w:color="000000"/>
            </w:tcBorders>
          </w:tcPr>
          <w:p>
            <w:pPr/>
          </w:p>
        </w:tc>
        <w:tc>
          <w:tcPr>
            <w:tcW w:w="986" w:type="dxa"/>
            <w:vMerge w:val="restart"/>
            <w:tcBorders>
              <w:top w:val="single" w:sz="4" w:space="0" w:color="000000"/>
              <w:left w:val="single" w:sz="4" w:space="0" w:color="000000"/>
              <w:right w:val="single" w:sz="4" w:space="0" w:color="000000"/>
            </w:tcBorders>
          </w:tcPr>
          <w:p>
            <w:pPr/>
          </w:p>
        </w:tc>
        <w:tc>
          <w:tcPr>
            <w:tcW w:w="988" w:type="dxa"/>
            <w:tcBorders>
              <w:top w:val="single" w:sz="4" w:space="0" w:color="000000"/>
              <w:left w:val="single" w:sz="4" w:space="0" w:color="000000"/>
              <w:bottom w:val="nil" w:sz="6" w:space="0" w:color="auto"/>
              <w:right w:val="single" w:sz="4" w:space="0" w:color="000000"/>
            </w:tcBorders>
          </w:tcPr>
          <w:p>
            <w:pPr/>
          </w:p>
        </w:tc>
        <w:tc>
          <w:tcPr>
            <w:tcW w:w="986" w:type="dxa"/>
            <w:tcBorders>
              <w:top w:val="single" w:sz="4" w:space="0" w:color="000000"/>
              <w:left w:val="single" w:sz="4" w:space="0" w:color="000000"/>
              <w:bottom w:val="nil" w:sz="6" w:space="0" w:color="auto"/>
              <w:right w:val="single" w:sz="4" w:space="0" w:color="000000"/>
            </w:tcBorders>
          </w:tcPr>
          <w:p>
            <w:pPr/>
          </w:p>
        </w:tc>
        <w:tc>
          <w:tcPr>
            <w:tcW w:w="988"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988" w:type="dxa"/>
            <w:vMerge w:val="restart"/>
            <w:tcBorders>
              <w:top w:val="single" w:sz="4" w:space="0" w:color="000000"/>
              <w:left w:val="single" w:sz="4" w:space="0" w:color="000000"/>
              <w:right w:val="single" w:sz="4" w:space="0" w:color="000000"/>
            </w:tcBorders>
          </w:tcPr>
          <w:p>
            <w:pPr/>
          </w:p>
        </w:tc>
      </w:tr>
      <w:tr>
        <w:trPr>
          <w:trHeight w:val="318" w:hRule="exact"/>
        </w:trPr>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佳明光电有</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9"/>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电子产品</w:t>
            </w:r>
          </w:p>
        </w:tc>
        <w:tc>
          <w:tcPr>
            <w:tcW w:w="9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的研发、生</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8"/>
              <w:jc w:val="center"/>
              <w:rPr>
                <w:rFonts w:ascii="Times New Roman" w:hAnsi="Times New Roman" w:cs="Times New Roman" w:eastAsia="Times New Roman" w:hint="default"/>
                <w:sz w:val="18"/>
                <w:szCs w:val="18"/>
              </w:rPr>
            </w:pPr>
            <w:r>
              <w:rPr>
                <w:rFonts w:ascii="Times New Roman"/>
                <w:sz w:val="18"/>
              </w:rPr>
              <w:t>20,000,000.00</w:t>
            </w:r>
          </w:p>
        </w:tc>
        <w:tc>
          <w:tcPr>
            <w:tcW w:w="986" w:type="dxa"/>
            <w:vMerge/>
            <w:tcBorders>
              <w:left w:val="single" w:sz="4" w:space="0" w:color="000000"/>
              <w:right w:val="single" w:sz="4" w:space="0" w:color="000000"/>
            </w:tcBorders>
          </w:tcPr>
          <w:p>
            <w:pPr/>
          </w:p>
        </w:tc>
        <w:tc>
          <w:tcPr>
            <w:tcW w:w="98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100%</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w:t>
            </w:r>
          </w:p>
        </w:tc>
        <w:tc>
          <w:tcPr>
            <w:tcW w:w="9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2"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988" w:type="dxa"/>
            <w:vMerge/>
            <w:tcBorders>
              <w:left w:val="single" w:sz="4" w:space="0" w:color="000000"/>
              <w:right w:val="single" w:sz="4" w:space="0" w:color="000000"/>
            </w:tcBorders>
          </w:tcPr>
          <w:p>
            <w:pPr/>
          </w:p>
        </w:tc>
      </w:tr>
      <w:tr>
        <w:trPr>
          <w:trHeight w:val="351" w:hRule="exact"/>
        </w:trPr>
        <w:tc>
          <w:tcPr>
            <w:tcW w:w="9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86" w:type="dxa"/>
            <w:tcBorders>
              <w:top w:val="nil" w:sz="6" w:space="0" w:color="auto"/>
              <w:left w:val="single" w:sz="4" w:space="0" w:color="000000"/>
              <w:bottom w:val="single" w:sz="4" w:space="0" w:color="000000"/>
              <w:right w:val="single" w:sz="4" w:space="0" w:color="000000"/>
            </w:tcBorders>
          </w:tcPr>
          <w:p>
            <w:pPr/>
          </w:p>
        </w:tc>
        <w:tc>
          <w:tcPr>
            <w:tcW w:w="988"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988" w:type="dxa"/>
            <w:tcBorders>
              <w:top w:val="nil" w:sz="6" w:space="0" w:color="auto"/>
              <w:left w:val="single" w:sz="4" w:space="0" w:color="000000"/>
              <w:bottom w:val="single" w:sz="4" w:space="0" w:color="000000"/>
              <w:right w:val="single" w:sz="4" w:space="0" w:color="000000"/>
            </w:tcBorders>
          </w:tcPr>
          <w:p>
            <w:pPr/>
          </w:p>
        </w:tc>
        <w:tc>
          <w:tcPr>
            <w:tcW w:w="9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产、销售</w:t>
            </w:r>
          </w:p>
        </w:tc>
        <w:tc>
          <w:tcPr>
            <w:tcW w:w="1080" w:type="dxa"/>
            <w:tcBorders>
              <w:top w:val="nil" w:sz="6" w:space="0" w:color="auto"/>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c>
          <w:tcPr>
            <w:tcW w:w="988"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988"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988"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39" w:right="0"/>
        <w:jc w:val="left"/>
      </w:pPr>
      <w:r>
        <w:rPr/>
        <w:t>通过设立或投资等方式取得的子公司的其他说明</w:t>
      </w:r>
    </w:p>
    <w:p>
      <w:pPr>
        <w:spacing w:line="240" w:lineRule="auto" w:before="11"/>
        <w:rPr>
          <w:rFonts w:ascii="宋体" w:hAnsi="宋体" w:cs="宋体" w:eastAsia="宋体" w:hint="default"/>
          <w:sz w:val="26"/>
          <w:szCs w:val="26"/>
        </w:rPr>
      </w:pPr>
    </w:p>
    <w:p>
      <w:pPr>
        <w:pStyle w:val="Heading3"/>
        <w:spacing w:line="240" w:lineRule="auto"/>
        <w:ind w:left="139"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238"/>
        <w:jc w:val="right"/>
      </w:pPr>
      <w:r>
        <w:rPr/>
        <w:t>单位： 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002"/>
        <w:gridCol w:w="1000"/>
        <w:gridCol w:w="1001"/>
        <w:gridCol w:w="1001"/>
        <w:gridCol w:w="1002"/>
        <w:gridCol w:w="1001"/>
        <w:gridCol w:w="1001"/>
        <w:gridCol w:w="1001"/>
        <w:gridCol w:w="1001"/>
        <w:gridCol w:w="1001"/>
        <w:gridCol w:w="1002"/>
        <w:gridCol w:w="1001"/>
        <w:gridCol w:w="1001"/>
        <w:gridCol w:w="989"/>
      </w:tblGrid>
      <w:tr>
        <w:trPr>
          <w:trHeight w:val="367" w:hRule="exact"/>
        </w:trPr>
        <w:tc>
          <w:tcPr>
            <w:tcW w:w="1002"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2"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实质上构成</w:t>
            </w:r>
          </w:p>
        </w:tc>
        <w:tc>
          <w:tcPr>
            <w:tcW w:w="100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2"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少数股东权</w:t>
            </w:r>
          </w:p>
        </w:tc>
        <w:tc>
          <w:tcPr>
            <w:tcW w:w="98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71"/>
              <w:ind w:left="12" w:right="0"/>
              <w:jc w:val="center"/>
              <w:rPr>
                <w:rFonts w:ascii="宋体" w:hAnsi="宋体" w:cs="宋体" w:eastAsia="宋体" w:hint="default"/>
                <w:sz w:val="18"/>
                <w:szCs w:val="18"/>
              </w:rPr>
            </w:pPr>
            <w:r>
              <w:rPr>
                <w:rFonts w:ascii="宋体" w:hAnsi="宋体" w:cs="宋体" w:eastAsia="宋体" w:hint="default"/>
                <w:sz w:val="18"/>
                <w:szCs w:val="18"/>
              </w:rPr>
              <w:t>从母公司所</w:t>
            </w:r>
          </w:p>
        </w:tc>
      </w:tr>
      <w:tr>
        <w:trPr>
          <w:trHeight w:val="624" w:hRule="exact"/>
        </w:trPr>
        <w:tc>
          <w:tcPr>
            <w:tcW w:w="10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57"/>
              <w:ind w:left="4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0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57"/>
              <w:ind w:left="44"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57"/>
              <w:ind w:left="22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57"/>
              <w:ind w:left="13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0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57"/>
              <w:ind w:left="13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57"/>
              <w:ind w:left="135"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
              <w:ind w:left="315" w:right="43" w:hanging="270"/>
              <w:jc w:val="left"/>
              <w:rPr>
                <w:rFonts w:ascii="宋体" w:hAnsi="宋体" w:cs="宋体" w:eastAsia="宋体" w:hint="default"/>
                <w:sz w:val="18"/>
                <w:szCs w:val="18"/>
              </w:rPr>
            </w:pPr>
            <w:r>
              <w:rPr>
                <w:rFonts w:ascii="宋体" w:hAnsi="宋体" w:cs="宋体" w:eastAsia="宋体" w:hint="default"/>
                <w:sz w:val="18"/>
                <w:szCs w:val="18"/>
              </w:rPr>
              <w:t>期末实际投 资额</w:t>
            </w: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ind w:left="45" w:right="43"/>
              <w:jc w:val="left"/>
              <w:rPr>
                <w:rFonts w:ascii="宋体" w:hAnsi="宋体" w:cs="宋体" w:eastAsia="宋体" w:hint="default"/>
                <w:sz w:val="18"/>
                <w:szCs w:val="18"/>
              </w:rPr>
            </w:pPr>
            <w:r>
              <w:rPr>
                <w:rFonts w:ascii="宋体" w:hAnsi="宋体" w:cs="宋体" w:eastAsia="宋体" w:hint="default"/>
                <w:sz w:val="18"/>
                <w:szCs w:val="18"/>
              </w:rPr>
              <w:t>对子公司净 投资的其他</w:t>
            </w: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w:t>
            </w: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6"/>
              <w:ind w:left="1" w:right="0"/>
              <w:jc w:val="center"/>
              <w:rPr>
                <w:rFonts w:ascii="Times New Roman" w:hAnsi="Times New Roman" w:cs="Times New Roman" w:eastAsia="Times New Roman" w:hint="default"/>
                <w:sz w:val="18"/>
                <w:szCs w:val="18"/>
              </w:rPr>
            </w:pPr>
            <w:r>
              <w:rPr>
                <w:rFonts w:ascii="Times New Roman"/>
                <w:sz w:val="18"/>
              </w:rPr>
              <w:t>(%)</w:t>
            </w:r>
          </w:p>
        </w:tc>
        <w:tc>
          <w:tcPr>
            <w:tcW w:w="10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
              <w:ind w:left="406" w:right="43" w:hanging="360"/>
              <w:jc w:val="left"/>
              <w:rPr>
                <w:rFonts w:ascii="宋体" w:hAnsi="宋体" w:cs="宋体" w:eastAsia="宋体" w:hint="default"/>
                <w:sz w:val="18"/>
                <w:szCs w:val="18"/>
              </w:rPr>
            </w:pPr>
            <w:r>
              <w:rPr>
                <w:rFonts w:ascii="宋体" w:hAnsi="宋体" w:cs="宋体" w:eastAsia="宋体" w:hint="default"/>
                <w:sz w:val="18"/>
                <w:szCs w:val="18"/>
              </w:rPr>
              <w:t>是否合并报 表</w:t>
            </w: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
              <w:ind w:left="405" w:right="43"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ind w:left="45" w:right="43"/>
              <w:jc w:val="left"/>
              <w:rPr>
                <w:rFonts w:ascii="宋体" w:hAnsi="宋体" w:cs="宋体" w:eastAsia="宋体" w:hint="default"/>
                <w:sz w:val="18"/>
                <w:szCs w:val="18"/>
              </w:rPr>
            </w:pPr>
            <w:r>
              <w:rPr>
                <w:rFonts w:ascii="宋体" w:hAnsi="宋体" w:cs="宋体" w:eastAsia="宋体" w:hint="default"/>
                <w:sz w:val="18"/>
                <w:szCs w:val="18"/>
              </w:rPr>
              <w:t>益中用于冲 减少数股东</w:t>
            </w:r>
          </w:p>
        </w:tc>
        <w:tc>
          <w:tcPr>
            <w:tcW w:w="9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20"/>
              <w:ind w:left="45" w:right="31"/>
              <w:jc w:val="left"/>
              <w:rPr>
                <w:rFonts w:ascii="宋体" w:hAnsi="宋体" w:cs="宋体" w:eastAsia="宋体" w:hint="default"/>
                <w:sz w:val="18"/>
                <w:szCs w:val="18"/>
              </w:rPr>
            </w:pPr>
            <w:r>
              <w:rPr>
                <w:rFonts w:ascii="宋体" w:hAnsi="宋体" w:cs="宋体" w:eastAsia="宋体" w:hint="default"/>
                <w:sz w:val="18"/>
                <w:szCs w:val="18"/>
              </w:rPr>
              <w:t>有者权益冲 减子公司少</w:t>
            </w:r>
          </w:p>
        </w:tc>
      </w:tr>
      <w:tr>
        <w:trPr>
          <w:trHeight w:val="347" w:hRule="exact"/>
        </w:trPr>
        <w:tc>
          <w:tcPr>
            <w:tcW w:w="1002"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2"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项目余额</w:t>
            </w:r>
          </w:p>
        </w:tc>
        <w:tc>
          <w:tcPr>
            <w:tcW w:w="10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2"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损益的金额</w:t>
            </w:r>
          </w:p>
        </w:tc>
        <w:tc>
          <w:tcPr>
            <w:tcW w:w="98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数股东分担</w:t>
            </w:r>
          </w:p>
        </w:tc>
      </w:tr>
    </w:tbl>
    <w:p>
      <w:pPr>
        <w:spacing w:after="0" w:line="240" w:lineRule="auto"/>
        <w:jc w:val="center"/>
        <w:rPr>
          <w:rFonts w:ascii="宋体" w:hAnsi="宋体" w:cs="宋体" w:eastAsia="宋体" w:hint="default"/>
          <w:sz w:val="18"/>
          <w:szCs w:val="18"/>
        </w:rPr>
        <w:sectPr>
          <w:pgSz w:w="16840" w:h="11910" w:orient="landscape"/>
          <w:pgMar w:header="867" w:footer="978" w:top="1060" w:bottom="1160" w:left="1300" w:right="1300"/>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02"/>
        <w:gridCol w:w="1000"/>
        <w:gridCol w:w="1001"/>
        <w:gridCol w:w="1001"/>
        <w:gridCol w:w="1002"/>
        <w:gridCol w:w="1001"/>
        <w:gridCol w:w="1001"/>
        <w:gridCol w:w="1001"/>
        <w:gridCol w:w="1001"/>
        <w:gridCol w:w="1001"/>
        <w:gridCol w:w="1002"/>
        <w:gridCol w:w="1001"/>
        <w:gridCol w:w="1001"/>
        <w:gridCol w:w="989"/>
      </w:tblGrid>
      <w:tr>
        <w:trPr>
          <w:trHeight w:val="331" w:hRule="exact"/>
        </w:trPr>
        <w:tc>
          <w:tcPr>
            <w:tcW w:w="1002" w:type="dxa"/>
            <w:vMerge w:val="restart"/>
            <w:tcBorders>
              <w:top w:val="single" w:sz="15" w:space="0" w:color="000000"/>
              <w:left w:val="single" w:sz="4" w:space="0" w:color="000000"/>
              <w:right w:val="single" w:sz="4" w:space="0" w:color="000000"/>
            </w:tcBorders>
            <w:shd w:val="clear" w:color="auto" w:fill="D3D3D3"/>
          </w:tcPr>
          <w:p>
            <w:pPr/>
          </w:p>
        </w:tc>
        <w:tc>
          <w:tcPr>
            <w:tcW w:w="1000" w:type="dxa"/>
            <w:vMerge w:val="restart"/>
            <w:tcBorders>
              <w:top w:val="single" w:sz="15" w:space="0" w:color="000000"/>
              <w:left w:val="single" w:sz="4" w:space="0" w:color="000000"/>
              <w:right w:val="single" w:sz="4" w:space="0" w:color="000000"/>
            </w:tcBorders>
            <w:shd w:val="clear" w:color="auto" w:fill="D3D3D3"/>
          </w:tcPr>
          <w:p>
            <w:pPr/>
          </w:p>
        </w:tc>
        <w:tc>
          <w:tcPr>
            <w:tcW w:w="1001" w:type="dxa"/>
            <w:vMerge w:val="restart"/>
            <w:tcBorders>
              <w:top w:val="single" w:sz="15" w:space="0" w:color="000000"/>
              <w:left w:val="single" w:sz="4" w:space="0" w:color="000000"/>
              <w:right w:val="single" w:sz="4" w:space="0" w:color="000000"/>
            </w:tcBorders>
            <w:shd w:val="clear" w:color="auto" w:fill="D3D3D3"/>
          </w:tcPr>
          <w:p>
            <w:pPr/>
          </w:p>
        </w:tc>
        <w:tc>
          <w:tcPr>
            <w:tcW w:w="1001" w:type="dxa"/>
            <w:vMerge w:val="restart"/>
            <w:tcBorders>
              <w:top w:val="single" w:sz="15" w:space="0" w:color="000000"/>
              <w:left w:val="single" w:sz="4" w:space="0" w:color="000000"/>
              <w:right w:val="single" w:sz="4" w:space="0" w:color="000000"/>
            </w:tcBorders>
            <w:shd w:val="clear" w:color="auto" w:fill="D3D3D3"/>
          </w:tcPr>
          <w:p>
            <w:pPr/>
          </w:p>
        </w:tc>
        <w:tc>
          <w:tcPr>
            <w:tcW w:w="1002" w:type="dxa"/>
            <w:vMerge w:val="restart"/>
            <w:tcBorders>
              <w:top w:val="single" w:sz="15" w:space="0" w:color="000000"/>
              <w:left w:val="single" w:sz="4" w:space="0" w:color="000000"/>
              <w:right w:val="single" w:sz="4" w:space="0" w:color="000000"/>
            </w:tcBorders>
            <w:shd w:val="clear" w:color="auto" w:fill="D3D3D3"/>
          </w:tcPr>
          <w:p>
            <w:pPr/>
          </w:p>
        </w:tc>
        <w:tc>
          <w:tcPr>
            <w:tcW w:w="1001" w:type="dxa"/>
            <w:vMerge w:val="restart"/>
            <w:tcBorders>
              <w:top w:val="single" w:sz="15" w:space="0" w:color="000000"/>
              <w:left w:val="single" w:sz="4" w:space="0" w:color="000000"/>
              <w:right w:val="single" w:sz="4" w:space="0" w:color="000000"/>
            </w:tcBorders>
            <w:shd w:val="clear" w:color="auto" w:fill="D3D3D3"/>
          </w:tcPr>
          <w:p>
            <w:pPr/>
          </w:p>
        </w:tc>
        <w:tc>
          <w:tcPr>
            <w:tcW w:w="1001" w:type="dxa"/>
            <w:vMerge w:val="restart"/>
            <w:tcBorders>
              <w:top w:val="single" w:sz="15" w:space="0" w:color="000000"/>
              <w:left w:val="single" w:sz="4" w:space="0" w:color="000000"/>
              <w:right w:val="single" w:sz="4" w:space="0" w:color="000000"/>
            </w:tcBorders>
            <w:shd w:val="clear" w:color="auto" w:fill="D3D3D3"/>
          </w:tcPr>
          <w:p>
            <w:pPr/>
          </w:p>
        </w:tc>
        <w:tc>
          <w:tcPr>
            <w:tcW w:w="1001" w:type="dxa"/>
            <w:vMerge w:val="restart"/>
            <w:tcBorders>
              <w:top w:val="single" w:sz="15" w:space="0" w:color="000000"/>
              <w:left w:val="single" w:sz="4" w:space="0" w:color="000000"/>
              <w:right w:val="single" w:sz="4" w:space="0" w:color="000000"/>
            </w:tcBorders>
            <w:shd w:val="clear" w:color="auto" w:fill="D3D3D3"/>
          </w:tcPr>
          <w:p>
            <w:pPr/>
          </w:p>
        </w:tc>
        <w:tc>
          <w:tcPr>
            <w:tcW w:w="1001" w:type="dxa"/>
            <w:vMerge w:val="restart"/>
            <w:tcBorders>
              <w:top w:val="single" w:sz="15" w:space="0" w:color="000000"/>
              <w:left w:val="single" w:sz="4" w:space="0" w:color="000000"/>
              <w:right w:val="single" w:sz="4" w:space="0" w:color="000000"/>
            </w:tcBorders>
            <w:shd w:val="clear" w:color="auto" w:fill="D3D3D3"/>
          </w:tcPr>
          <w:p>
            <w:pPr/>
          </w:p>
        </w:tc>
        <w:tc>
          <w:tcPr>
            <w:tcW w:w="1001" w:type="dxa"/>
            <w:vMerge w:val="restart"/>
            <w:tcBorders>
              <w:top w:val="single" w:sz="15" w:space="0" w:color="000000"/>
              <w:left w:val="single" w:sz="4" w:space="0" w:color="000000"/>
              <w:right w:val="single" w:sz="4" w:space="0" w:color="000000"/>
            </w:tcBorders>
            <w:shd w:val="clear" w:color="auto" w:fill="D3D3D3"/>
          </w:tcPr>
          <w:p>
            <w:pPr/>
          </w:p>
        </w:tc>
        <w:tc>
          <w:tcPr>
            <w:tcW w:w="1002" w:type="dxa"/>
            <w:vMerge w:val="restart"/>
            <w:tcBorders>
              <w:top w:val="single" w:sz="15" w:space="0" w:color="000000"/>
              <w:left w:val="single" w:sz="4" w:space="0" w:color="000000"/>
              <w:right w:val="single" w:sz="4" w:space="0" w:color="000000"/>
            </w:tcBorders>
            <w:shd w:val="clear" w:color="auto" w:fill="D3D3D3"/>
          </w:tcPr>
          <w:p>
            <w:pPr/>
          </w:p>
        </w:tc>
        <w:tc>
          <w:tcPr>
            <w:tcW w:w="1001" w:type="dxa"/>
            <w:vMerge w:val="restart"/>
            <w:tcBorders>
              <w:top w:val="single" w:sz="15" w:space="0" w:color="000000"/>
              <w:left w:val="single" w:sz="4" w:space="0" w:color="000000"/>
              <w:right w:val="single" w:sz="4" w:space="0" w:color="000000"/>
            </w:tcBorders>
            <w:shd w:val="clear" w:color="auto" w:fill="D3D3D3"/>
          </w:tcPr>
          <w:p>
            <w:pPr/>
          </w:p>
        </w:tc>
        <w:tc>
          <w:tcPr>
            <w:tcW w:w="1001" w:type="dxa"/>
            <w:vMerge w:val="restart"/>
            <w:tcBorders>
              <w:top w:val="single" w:sz="15" w:space="0" w:color="000000"/>
              <w:left w:val="single" w:sz="4" w:space="0" w:color="000000"/>
              <w:right w:val="single" w:sz="4" w:space="0" w:color="000000"/>
            </w:tcBorders>
            <w:shd w:val="clear" w:color="auto" w:fill="D3D3D3"/>
          </w:tcPr>
          <w:p>
            <w:pPr/>
          </w:p>
        </w:tc>
        <w:tc>
          <w:tcPr>
            <w:tcW w:w="989" w:type="dxa"/>
            <w:tcBorders>
              <w:top w:val="single" w:sz="15"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的本期亏损</w:t>
            </w:r>
          </w:p>
        </w:tc>
      </w:tr>
      <w:tr>
        <w:trPr>
          <w:trHeight w:val="312" w:hRule="exact"/>
        </w:trPr>
        <w:tc>
          <w:tcPr>
            <w:tcW w:w="1002" w:type="dxa"/>
            <w:vMerge/>
            <w:tcBorders>
              <w:left w:val="single" w:sz="4" w:space="0" w:color="000000"/>
              <w:right w:val="single" w:sz="4" w:space="0" w:color="000000"/>
            </w:tcBorders>
            <w:shd w:val="clear" w:color="auto" w:fill="D3D3D3"/>
          </w:tcPr>
          <w:p>
            <w:pPr/>
          </w:p>
        </w:tc>
        <w:tc>
          <w:tcPr>
            <w:tcW w:w="1000"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2"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2"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9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超过少数股</w:t>
            </w:r>
          </w:p>
        </w:tc>
      </w:tr>
      <w:tr>
        <w:trPr>
          <w:trHeight w:val="312" w:hRule="exact"/>
        </w:trPr>
        <w:tc>
          <w:tcPr>
            <w:tcW w:w="1002" w:type="dxa"/>
            <w:vMerge/>
            <w:tcBorders>
              <w:left w:val="single" w:sz="4" w:space="0" w:color="000000"/>
              <w:right w:val="single" w:sz="4" w:space="0" w:color="000000"/>
            </w:tcBorders>
            <w:shd w:val="clear" w:color="auto" w:fill="D3D3D3"/>
          </w:tcPr>
          <w:p>
            <w:pPr/>
          </w:p>
        </w:tc>
        <w:tc>
          <w:tcPr>
            <w:tcW w:w="1000"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2"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2"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9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东在该子公</w:t>
            </w:r>
          </w:p>
        </w:tc>
      </w:tr>
      <w:tr>
        <w:trPr>
          <w:trHeight w:val="312" w:hRule="exact"/>
        </w:trPr>
        <w:tc>
          <w:tcPr>
            <w:tcW w:w="1002" w:type="dxa"/>
            <w:vMerge/>
            <w:tcBorders>
              <w:left w:val="single" w:sz="4" w:space="0" w:color="000000"/>
              <w:right w:val="single" w:sz="4" w:space="0" w:color="000000"/>
            </w:tcBorders>
            <w:shd w:val="clear" w:color="auto" w:fill="D3D3D3"/>
          </w:tcPr>
          <w:p>
            <w:pPr/>
          </w:p>
        </w:tc>
        <w:tc>
          <w:tcPr>
            <w:tcW w:w="1000"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2"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2"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9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司年初所有</w:t>
            </w:r>
          </w:p>
        </w:tc>
      </w:tr>
      <w:tr>
        <w:trPr>
          <w:trHeight w:val="312" w:hRule="exact"/>
        </w:trPr>
        <w:tc>
          <w:tcPr>
            <w:tcW w:w="1002" w:type="dxa"/>
            <w:vMerge/>
            <w:tcBorders>
              <w:left w:val="single" w:sz="4" w:space="0" w:color="000000"/>
              <w:right w:val="single" w:sz="4" w:space="0" w:color="000000"/>
            </w:tcBorders>
            <w:shd w:val="clear" w:color="auto" w:fill="D3D3D3"/>
          </w:tcPr>
          <w:p>
            <w:pPr/>
          </w:p>
        </w:tc>
        <w:tc>
          <w:tcPr>
            <w:tcW w:w="1000"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2"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2"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9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者权益中所</w:t>
            </w:r>
          </w:p>
        </w:tc>
      </w:tr>
      <w:tr>
        <w:trPr>
          <w:trHeight w:val="313" w:hRule="exact"/>
        </w:trPr>
        <w:tc>
          <w:tcPr>
            <w:tcW w:w="1002" w:type="dxa"/>
            <w:vMerge/>
            <w:tcBorders>
              <w:left w:val="single" w:sz="4" w:space="0" w:color="000000"/>
              <w:right w:val="single" w:sz="4" w:space="0" w:color="000000"/>
            </w:tcBorders>
            <w:shd w:val="clear" w:color="auto" w:fill="D3D3D3"/>
          </w:tcPr>
          <w:p>
            <w:pPr/>
          </w:p>
        </w:tc>
        <w:tc>
          <w:tcPr>
            <w:tcW w:w="1000"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2"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2"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9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享有份额后</w:t>
            </w:r>
          </w:p>
        </w:tc>
      </w:tr>
      <w:tr>
        <w:trPr>
          <w:trHeight w:val="357" w:hRule="exact"/>
        </w:trPr>
        <w:tc>
          <w:tcPr>
            <w:tcW w:w="1002" w:type="dxa"/>
            <w:vMerge/>
            <w:tcBorders>
              <w:left w:val="single" w:sz="4" w:space="0" w:color="000000"/>
              <w:bottom w:val="single" w:sz="4" w:space="0" w:color="000000"/>
              <w:right w:val="single" w:sz="4" w:space="0" w:color="000000"/>
            </w:tcBorders>
            <w:shd w:val="clear" w:color="auto" w:fill="D3D3D3"/>
          </w:tcPr>
          <w:p>
            <w:pPr/>
          </w:p>
        </w:tc>
        <w:tc>
          <w:tcPr>
            <w:tcW w:w="1000" w:type="dxa"/>
            <w:vMerge/>
            <w:tcBorders>
              <w:left w:val="single" w:sz="4" w:space="0" w:color="000000"/>
              <w:bottom w:val="single" w:sz="4" w:space="0" w:color="000000"/>
              <w:right w:val="single" w:sz="4" w:space="0" w:color="000000"/>
            </w:tcBorders>
            <w:shd w:val="clear" w:color="auto" w:fill="D3D3D3"/>
          </w:tcPr>
          <w:p>
            <w:pPr/>
          </w:p>
        </w:tc>
        <w:tc>
          <w:tcPr>
            <w:tcW w:w="1001" w:type="dxa"/>
            <w:vMerge/>
            <w:tcBorders>
              <w:left w:val="single" w:sz="4" w:space="0" w:color="000000"/>
              <w:bottom w:val="single" w:sz="4" w:space="0" w:color="000000"/>
              <w:right w:val="single" w:sz="4" w:space="0" w:color="000000"/>
            </w:tcBorders>
            <w:shd w:val="clear" w:color="auto" w:fill="D3D3D3"/>
          </w:tcPr>
          <w:p>
            <w:pPr/>
          </w:p>
        </w:tc>
        <w:tc>
          <w:tcPr>
            <w:tcW w:w="1001" w:type="dxa"/>
            <w:vMerge/>
            <w:tcBorders>
              <w:left w:val="single" w:sz="4" w:space="0" w:color="000000"/>
              <w:bottom w:val="single" w:sz="4" w:space="0" w:color="000000"/>
              <w:right w:val="single" w:sz="4" w:space="0" w:color="000000"/>
            </w:tcBorders>
            <w:shd w:val="clear" w:color="auto" w:fill="D3D3D3"/>
          </w:tcPr>
          <w:p>
            <w:pPr/>
          </w:p>
        </w:tc>
        <w:tc>
          <w:tcPr>
            <w:tcW w:w="1002" w:type="dxa"/>
            <w:vMerge/>
            <w:tcBorders>
              <w:left w:val="single" w:sz="4" w:space="0" w:color="000000"/>
              <w:bottom w:val="single" w:sz="4" w:space="0" w:color="000000"/>
              <w:right w:val="single" w:sz="4" w:space="0" w:color="000000"/>
            </w:tcBorders>
            <w:shd w:val="clear" w:color="auto" w:fill="D3D3D3"/>
          </w:tcPr>
          <w:p>
            <w:pPr/>
          </w:p>
        </w:tc>
        <w:tc>
          <w:tcPr>
            <w:tcW w:w="1001" w:type="dxa"/>
            <w:vMerge/>
            <w:tcBorders>
              <w:left w:val="single" w:sz="4" w:space="0" w:color="000000"/>
              <w:bottom w:val="single" w:sz="4" w:space="0" w:color="000000"/>
              <w:right w:val="single" w:sz="4" w:space="0" w:color="000000"/>
            </w:tcBorders>
            <w:shd w:val="clear" w:color="auto" w:fill="D3D3D3"/>
          </w:tcPr>
          <w:p>
            <w:pPr/>
          </w:p>
        </w:tc>
        <w:tc>
          <w:tcPr>
            <w:tcW w:w="1001" w:type="dxa"/>
            <w:vMerge/>
            <w:tcBorders>
              <w:left w:val="single" w:sz="4" w:space="0" w:color="000000"/>
              <w:bottom w:val="single" w:sz="4" w:space="0" w:color="000000"/>
              <w:right w:val="single" w:sz="4" w:space="0" w:color="000000"/>
            </w:tcBorders>
            <w:shd w:val="clear" w:color="auto" w:fill="D3D3D3"/>
          </w:tcPr>
          <w:p>
            <w:pPr/>
          </w:p>
        </w:tc>
        <w:tc>
          <w:tcPr>
            <w:tcW w:w="1001" w:type="dxa"/>
            <w:vMerge/>
            <w:tcBorders>
              <w:left w:val="single" w:sz="4" w:space="0" w:color="000000"/>
              <w:bottom w:val="single" w:sz="4" w:space="0" w:color="000000"/>
              <w:right w:val="single" w:sz="4" w:space="0" w:color="000000"/>
            </w:tcBorders>
            <w:shd w:val="clear" w:color="auto" w:fill="D3D3D3"/>
          </w:tcPr>
          <w:p>
            <w:pPr/>
          </w:p>
        </w:tc>
        <w:tc>
          <w:tcPr>
            <w:tcW w:w="1001" w:type="dxa"/>
            <w:vMerge/>
            <w:tcBorders>
              <w:left w:val="single" w:sz="4" w:space="0" w:color="000000"/>
              <w:bottom w:val="single" w:sz="4" w:space="0" w:color="000000"/>
              <w:right w:val="single" w:sz="4" w:space="0" w:color="000000"/>
            </w:tcBorders>
            <w:shd w:val="clear" w:color="auto" w:fill="D3D3D3"/>
          </w:tcPr>
          <w:p>
            <w:pPr/>
          </w:p>
        </w:tc>
        <w:tc>
          <w:tcPr>
            <w:tcW w:w="1001" w:type="dxa"/>
            <w:vMerge/>
            <w:tcBorders>
              <w:left w:val="single" w:sz="4" w:space="0" w:color="000000"/>
              <w:bottom w:val="single" w:sz="4" w:space="0" w:color="000000"/>
              <w:right w:val="single" w:sz="4" w:space="0" w:color="000000"/>
            </w:tcBorders>
            <w:shd w:val="clear" w:color="auto" w:fill="D3D3D3"/>
          </w:tcPr>
          <w:p>
            <w:pPr/>
          </w:p>
        </w:tc>
        <w:tc>
          <w:tcPr>
            <w:tcW w:w="1002" w:type="dxa"/>
            <w:vMerge/>
            <w:tcBorders>
              <w:left w:val="single" w:sz="4" w:space="0" w:color="000000"/>
              <w:bottom w:val="single" w:sz="4" w:space="0" w:color="000000"/>
              <w:right w:val="single" w:sz="4" w:space="0" w:color="000000"/>
            </w:tcBorders>
            <w:shd w:val="clear" w:color="auto" w:fill="D3D3D3"/>
          </w:tcPr>
          <w:p>
            <w:pPr/>
          </w:p>
        </w:tc>
        <w:tc>
          <w:tcPr>
            <w:tcW w:w="1001" w:type="dxa"/>
            <w:vMerge/>
            <w:tcBorders>
              <w:left w:val="single" w:sz="4" w:space="0" w:color="000000"/>
              <w:bottom w:val="single" w:sz="4" w:space="0" w:color="000000"/>
              <w:right w:val="single" w:sz="4" w:space="0" w:color="000000"/>
            </w:tcBorders>
            <w:shd w:val="clear" w:color="auto" w:fill="D3D3D3"/>
          </w:tcPr>
          <w:p>
            <w:pPr/>
          </w:p>
        </w:tc>
        <w:tc>
          <w:tcPr>
            <w:tcW w:w="1001" w:type="dxa"/>
            <w:vMerge/>
            <w:tcBorders>
              <w:left w:val="single" w:sz="4" w:space="0" w:color="000000"/>
              <w:bottom w:val="single" w:sz="4" w:space="0" w:color="000000"/>
              <w:right w:val="single" w:sz="4" w:space="0" w:color="000000"/>
            </w:tcBorders>
            <w:shd w:val="clear" w:color="auto" w:fill="D3D3D3"/>
          </w:tcPr>
          <w:p>
            <w:pPr/>
          </w:p>
        </w:tc>
        <w:tc>
          <w:tcPr>
            <w:tcW w:w="98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的余额</w:t>
            </w:r>
          </w:p>
        </w:tc>
      </w:tr>
    </w:tbl>
    <w:p>
      <w:pPr>
        <w:pStyle w:val="BodyText"/>
        <w:spacing w:line="240" w:lineRule="auto" w:before="51"/>
        <w:ind w:left="139" w:right="0"/>
        <w:jc w:val="left"/>
      </w:pPr>
      <w:r>
        <w:rPr/>
        <w:t>通过同一控制下企业合并取得的子公司的其他说明</w:t>
      </w:r>
    </w:p>
    <w:p>
      <w:pPr>
        <w:spacing w:line="240" w:lineRule="auto" w:before="11"/>
        <w:rPr>
          <w:rFonts w:ascii="宋体" w:hAnsi="宋体" w:cs="宋体" w:eastAsia="宋体" w:hint="default"/>
          <w:sz w:val="26"/>
          <w:szCs w:val="26"/>
        </w:rPr>
      </w:pPr>
    </w:p>
    <w:p>
      <w:pPr>
        <w:pStyle w:val="Heading3"/>
        <w:spacing w:line="240" w:lineRule="auto"/>
        <w:ind w:left="139"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38"/>
        <w:jc w:val="right"/>
      </w:pPr>
      <w:r>
        <w:rPr/>
        <w:t>单位： 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002"/>
        <w:gridCol w:w="1000"/>
        <w:gridCol w:w="1001"/>
        <w:gridCol w:w="1001"/>
        <w:gridCol w:w="1002"/>
        <w:gridCol w:w="1001"/>
        <w:gridCol w:w="1001"/>
        <w:gridCol w:w="1001"/>
        <w:gridCol w:w="1001"/>
        <w:gridCol w:w="1001"/>
        <w:gridCol w:w="1002"/>
        <w:gridCol w:w="1001"/>
        <w:gridCol w:w="1001"/>
        <w:gridCol w:w="989"/>
      </w:tblGrid>
      <w:tr>
        <w:trPr>
          <w:trHeight w:val="357" w:hRule="exact"/>
        </w:trPr>
        <w:tc>
          <w:tcPr>
            <w:tcW w:w="1002"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2"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2"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1" w:type="dxa"/>
            <w:tcBorders>
              <w:top w:val="single" w:sz="4" w:space="0" w:color="000000"/>
              <w:left w:val="single" w:sz="4" w:space="0" w:color="000000"/>
              <w:bottom w:val="nil" w:sz="6" w:space="0" w:color="auto"/>
              <w:right w:val="single" w:sz="4" w:space="0" w:color="000000"/>
            </w:tcBorders>
            <w:shd w:val="clear" w:color="auto" w:fill="D3D3D3"/>
          </w:tcPr>
          <w:p>
            <w:pPr/>
          </w:p>
        </w:tc>
        <w:tc>
          <w:tcPr>
            <w:tcW w:w="98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从母公司所</w:t>
            </w:r>
          </w:p>
        </w:tc>
      </w:tr>
      <w:tr>
        <w:trPr>
          <w:trHeight w:val="311" w:hRule="exact"/>
        </w:trPr>
        <w:tc>
          <w:tcPr>
            <w:tcW w:w="1002" w:type="dxa"/>
            <w:tcBorders>
              <w:top w:val="nil" w:sz="6" w:space="0" w:color="auto"/>
              <w:left w:val="single" w:sz="4" w:space="0" w:color="000000"/>
              <w:bottom w:val="nil" w:sz="6" w:space="0" w:color="auto"/>
              <w:right w:val="single" w:sz="4" w:space="0" w:color="000000"/>
            </w:tcBorders>
            <w:shd w:val="clear" w:color="auto" w:fill="D3D3D3"/>
          </w:tcPr>
          <w:p>
            <w:pPr/>
          </w:p>
        </w:tc>
        <w:tc>
          <w:tcPr>
            <w:tcW w:w="1000"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2"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2"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9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有者权益冲</w:t>
            </w:r>
          </w:p>
        </w:tc>
      </w:tr>
      <w:tr>
        <w:trPr>
          <w:trHeight w:val="312" w:hRule="exact"/>
        </w:trPr>
        <w:tc>
          <w:tcPr>
            <w:tcW w:w="1002" w:type="dxa"/>
            <w:tcBorders>
              <w:top w:val="nil" w:sz="6" w:space="0" w:color="auto"/>
              <w:left w:val="single" w:sz="4" w:space="0" w:color="000000"/>
              <w:bottom w:val="nil" w:sz="6" w:space="0" w:color="auto"/>
              <w:right w:val="single" w:sz="4" w:space="0" w:color="000000"/>
            </w:tcBorders>
            <w:shd w:val="clear" w:color="auto" w:fill="D3D3D3"/>
          </w:tcPr>
          <w:p>
            <w:pPr/>
          </w:p>
        </w:tc>
        <w:tc>
          <w:tcPr>
            <w:tcW w:w="1000"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2"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2"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9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减子公司少</w:t>
            </w:r>
          </w:p>
        </w:tc>
      </w:tr>
      <w:tr>
        <w:trPr>
          <w:trHeight w:val="1560" w:hRule="exact"/>
        </w:trPr>
        <w:tc>
          <w:tcPr>
            <w:tcW w:w="10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0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0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315" w:right="43" w:hanging="270"/>
              <w:jc w:val="left"/>
              <w:rPr>
                <w:rFonts w:ascii="宋体" w:hAnsi="宋体" w:cs="宋体" w:eastAsia="宋体" w:hint="default"/>
                <w:sz w:val="18"/>
                <w:szCs w:val="18"/>
              </w:rPr>
            </w:pPr>
            <w:r>
              <w:rPr>
                <w:rFonts w:ascii="宋体" w:hAnsi="宋体" w:cs="宋体" w:eastAsia="宋体" w:hint="default"/>
                <w:sz w:val="18"/>
                <w:szCs w:val="18"/>
              </w:rPr>
              <w:t>期末实际投 资额</w:t>
            </w: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45" w:right="43"/>
              <w:jc w:val="both"/>
              <w:rPr>
                <w:rFonts w:ascii="宋体" w:hAnsi="宋体" w:cs="宋体" w:eastAsia="宋体" w:hint="default"/>
                <w:sz w:val="18"/>
                <w:szCs w:val="18"/>
              </w:rPr>
            </w:pPr>
            <w:r>
              <w:rPr>
                <w:rFonts w:ascii="宋体" w:hAnsi="宋体" w:cs="宋体" w:eastAsia="宋体" w:hint="default"/>
                <w:sz w:val="18"/>
                <w:szCs w:val="18"/>
              </w:rPr>
              <w:t>实质上构成 对子公司净 投资的其他 项目余额</w:t>
            </w: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w:t>
            </w: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6"/>
              <w:ind w:left="1" w:right="0"/>
              <w:jc w:val="center"/>
              <w:rPr>
                <w:rFonts w:ascii="Times New Roman" w:hAnsi="Times New Roman" w:cs="Times New Roman" w:eastAsia="Times New Roman" w:hint="default"/>
                <w:sz w:val="18"/>
                <w:szCs w:val="18"/>
              </w:rPr>
            </w:pPr>
            <w:r>
              <w:rPr>
                <w:rFonts w:ascii="Times New Roman"/>
                <w:sz w:val="18"/>
              </w:rPr>
              <w:t>(%)</w:t>
            </w:r>
          </w:p>
        </w:tc>
        <w:tc>
          <w:tcPr>
            <w:tcW w:w="10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406" w:right="43" w:hanging="360"/>
              <w:jc w:val="left"/>
              <w:rPr>
                <w:rFonts w:ascii="宋体" w:hAnsi="宋体" w:cs="宋体" w:eastAsia="宋体" w:hint="default"/>
                <w:sz w:val="18"/>
                <w:szCs w:val="18"/>
              </w:rPr>
            </w:pPr>
            <w:r>
              <w:rPr>
                <w:rFonts w:ascii="宋体" w:hAnsi="宋体" w:cs="宋体" w:eastAsia="宋体" w:hint="default"/>
                <w:sz w:val="18"/>
                <w:szCs w:val="18"/>
              </w:rPr>
              <w:t>是否合并报 表</w:t>
            </w: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405" w:right="43"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45" w:right="43"/>
              <w:jc w:val="both"/>
              <w:rPr>
                <w:rFonts w:ascii="宋体" w:hAnsi="宋体" w:cs="宋体" w:eastAsia="宋体" w:hint="default"/>
                <w:sz w:val="18"/>
                <w:szCs w:val="18"/>
              </w:rPr>
            </w:pPr>
            <w:r>
              <w:rPr>
                <w:rFonts w:ascii="宋体" w:hAnsi="宋体" w:cs="宋体" w:eastAsia="宋体" w:hint="default"/>
                <w:sz w:val="18"/>
                <w:szCs w:val="18"/>
              </w:rPr>
              <w:t>少数股东权 益中用于冲 减少数股东 损益的金额</w:t>
            </w:r>
          </w:p>
        </w:tc>
        <w:tc>
          <w:tcPr>
            <w:tcW w:w="9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45" w:right="31"/>
              <w:jc w:val="both"/>
              <w:rPr>
                <w:rFonts w:ascii="宋体" w:hAnsi="宋体" w:cs="宋体" w:eastAsia="宋体" w:hint="default"/>
                <w:sz w:val="18"/>
                <w:szCs w:val="18"/>
              </w:rPr>
            </w:pPr>
            <w:r>
              <w:rPr>
                <w:rFonts w:ascii="宋体" w:hAnsi="宋体" w:cs="宋体" w:eastAsia="宋体" w:hint="default"/>
                <w:sz w:val="18"/>
                <w:szCs w:val="18"/>
              </w:rPr>
              <w:t>数股东分担 的本期亏损 超过少数股 东在该子公 司年初所有</w:t>
            </w:r>
          </w:p>
        </w:tc>
      </w:tr>
      <w:tr>
        <w:trPr>
          <w:trHeight w:val="312" w:hRule="exact"/>
        </w:trPr>
        <w:tc>
          <w:tcPr>
            <w:tcW w:w="1002" w:type="dxa"/>
            <w:tcBorders>
              <w:top w:val="nil" w:sz="6" w:space="0" w:color="auto"/>
              <w:left w:val="single" w:sz="4" w:space="0" w:color="000000"/>
              <w:bottom w:val="nil" w:sz="6" w:space="0" w:color="auto"/>
              <w:right w:val="single" w:sz="4" w:space="0" w:color="000000"/>
            </w:tcBorders>
            <w:shd w:val="clear" w:color="auto" w:fill="D3D3D3"/>
          </w:tcPr>
          <w:p>
            <w:pPr/>
          </w:p>
        </w:tc>
        <w:tc>
          <w:tcPr>
            <w:tcW w:w="1000"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2"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2"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9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者权益中所</w:t>
            </w:r>
          </w:p>
        </w:tc>
      </w:tr>
      <w:tr>
        <w:trPr>
          <w:trHeight w:val="313" w:hRule="exact"/>
        </w:trPr>
        <w:tc>
          <w:tcPr>
            <w:tcW w:w="1002" w:type="dxa"/>
            <w:tcBorders>
              <w:top w:val="nil" w:sz="6" w:space="0" w:color="auto"/>
              <w:left w:val="single" w:sz="4" w:space="0" w:color="000000"/>
              <w:bottom w:val="nil" w:sz="6" w:space="0" w:color="auto"/>
              <w:right w:val="single" w:sz="4" w:space="0" w:color="000000"/>
            </w:tcBorders>
            <w:shd w:val="clear" w:color="auto" w:fill="D3D3D3"/>
          </w:tcPr>
          <w:p>
            <w:pPr/>
          </w:p>
        </w:tc>
        <w:tc>
          <w:tcPr>
            <w:tcW w:w="1000"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2"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2"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
        </w:tc>
        <w:tc>
          <w:tcPr>
            <w:tcW w:w="9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享有份额后</w:t>
            </w:r>
          </w:p>
        </w:tc>
      </w:tr>
      <w:tr>
        <w:trPr>
          <w:trHeight w:val="357" w:hRule="exact"/>
        </w:trPr>
        <w:tc>
          <w:tcPr>
            <w:tcW w:w="1002"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2"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2"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1" w:type="dxa"/>
            <w:tcBorders>
              <w:top w:val="nil" w:sz="6" w:space="0" w:color="auto"/>
              <w:left w:val="single" w:sz="4" w:space="0" w:color="000000"/>
              <w:bottom w:val="single" w:sz="4" w:space="0" w:color="000000"/>
              <w:right w:val="single" w:sz="4" w:space="0" w:color="000000"/>
            </w:tcBorders>
            <w:shd w:val="clear" w:color="auto" w:fill="D3D3D3"/>
          </w:tcPr>
          <w:p>
            <w:pPr/>
          </w:p>
        </w:tc>
        <w:tc>
          <w:tcPr>
            <w:tcW w:w="98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的余额</w:t>
            </w:r>
          </w:p>
        </w:tc>
      </w:tr>
    </w:tbl>
    <w:p>
      <w:pPr>
        <w:pStyle w:val="BodyText"/>
        <w:spacing w:line="240" w:lineRule="auto" w:before="51"/>
        <w:ind w:left="139" w:right="0"/>
        <w:jc w:val="left"/>
      </w:pPr>
      <w:r>
        <w:rPr/>
        <w:t>通过非同一控制下企业合并取得的子公司的其他说明</w:t>
      </w:r>
    </w:p>
    <w:p>
      <w:pPr>
        <w:spacing w:line="240" w:lineRule="auto" w:before="11"/>
        <w:rPr>
          <w:rFonts w:ascii="宋体" w:hAnsi="宋体" w:cs="宋体" w:eastAsia="宋体" w:hint="default"/>
          <w:sz w:val="26"/>
          <w:szCs w:val="26"/>
        </w:rPr>
      </w:pPr>
    </w:p>
    <w:p>
      <w:pPr>
        <w:pStyle w:val="Heading3"/>
        <w:spacing w:line="240" w:lineRule="auto"/>
        <w:ind w:left="139" w:right="0"/>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9" w:right="0"/>
        <w:jc w:val="left"/>
      </w:pPr>
      <w:r>
        <w:rPr/>
        <w:t>无特殊目的主体或通过受托经营或承租等方式形成控制权的经营实体。</w:t>
      </w:r>
    </w:p>
    <w:p>
      <w:pPr>
        <w:spacing w:after="0" w:line="240" w:lineRule="auto"/>
        <w:jc w:val="left"/>
        <w:sectPr>
          <w:pgSz w:w="16840" w:h="11910" w:orient="landscape"/>
          <w:pgMar w:header="867" w:footer="978" w:top="1060" w:bottom="1160" w:left="1300" w:right="1300"/>
        </w:sectPr>
      </w:pPr>
    </w:p>
    <w:p>
      <w:pPr>
        <w:spacing w:line="240" w:lineRule="auto" w:before="10"/>
        <w:rPr>
          <w:rFonts w:ascii="宋体" w:hAnsi="宋体" w:cs="宋体" w:eastAsia="宋体" w:hint="default"/>
          <w:sz w:val="20"/>
          <w:szCs w:val="20"/>
        </w:rPr>
      </w:pPr>
    </w:p>
    <w:p>
      <w:pPr>
        <w:pStyle w:val="Heading3"/>
        <w:spacing w:line="240" w:lineRule="auto" w:before="35"/>
        <w:ind w:right="149"/>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7611"/>
        <w:jc w:val="left"/>
      </w:pPr>
      <w:r>
        <w:rPr/>
        <w:t>合并报表范围发生变更说明 合并范围未发生变更。</w:t>
      </w:r>
    </w:p>
    <w:p>
      <w:pPr>
        <w:pStyle w:val="BodyText"/>
        <w:spacing w:line="240" w:lineRule="auto" w:before="29"/>
        <w:ind w:left="153" w:right="149"/>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9"/>
        <w:jc w:val="left"/>
      </w:pPr>
      <w:r>
        <w:rPr>
          <w:rFonts w:ascii="Times New Roman" w:hAnsi="Times New Roman" w:cs="Times New Roman" w:eastAsia="Times New Roman" w:hint="default"/>
        </w:rPr>
        <w:t>1</w:t>
      </w:r>
      <w:r>
        <w:rPr/>
        <w:t>、本期无新纳入合并范围的子公司、特殊目的主体、通过受托经营或承租等方式形成控制权的经营实体</w:t>
      </w:r>
    </w:p>
    <w:p>
      <w:pPr>
        <w:pStyle w:val="BodyText"/>
        <w:spacing w:line="240" w:lineRule="auto" w:before="62"/>
        <w:ind w:left="153" w:right="149"/>
        <w:jc w:val="left"/>
      </w:pPr>
      <w:r>
        <w:rPr>
          <w:rFonts w:ascii="Times New Roman" w:hAnsi="Times New Roman" w:cs="Times New Roman" w:eastAsia="Times New Roman" w:hint="default"/>
        </w:rPr>
        <w:t>2</w:t>
      </w:r>
      <w:r>
        <w:rPr/>
        <w:t>、本期无不再纳入合并范围的子公司、特殊目的主体、通过受托经营或承租等方式形成控制权的经营实体</w:t>
      </w:r>
    </w:p>
    <w:p>
      <w:pPr>
        <w:spacing w:line="240" w:lineRule="auto" w:before="12"/>
        <w:rPr>
          <w:rFonts w:ascii="宋体" w:hAnsi="宋体" w:cs="宋体" w:eastAsia="宋体" w:hint="default"/>
          <w:sz w:val="25"/>
          <w:szCs w:val="25"/>
        </w:rPr>
      </w:pPr>
    </w:p>
    <w:p>
      <w:pPr>
        <w:pStyle w:val="Heading3"/>
        <w:spacing w:line="240" w:lineRule="auto"/>
        <w:ind w:right="149"/>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9"/>
        <w:jc w:val="left"/>
      </w:pPr>
      <w:r>
        <w:rPr/>
        <w:t>本期未发生同一控制下企业合并。</w:t>
      </w:r>
    </w:p>
    <w:p>
      <w:pPr>
        <w:spacing w:line="240" w:lineRule="auto" w:before="12"/>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9"/>
        <w:jc w:val="left"/>
      </w:pPr>
      <w:r>
        <w:rPr/>
        <w:t>本期未发生非同一控制下企业合并。</w:t>
      </w:r>
    </w:p>
    <w:p>
      <w:pPr>
        <w:spacing w:line="240" w:lineRule="auto" w:before="12"/>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9"/>
        <w:jc w:val="left"/>
      </w:pPr>
      <w:r>
        <w:rPr/>
        <w:t>本期未发生出售丧失控制权的股权而减少子公司。</w:t>
      </w:r>
    </w:p>
    <w:p>
      <w:pPr>
        <w:spacing w:line="240" w:lineRule="auto" w:before="12"/>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9"/>
        <w:jc w:val="left"/>
      </w:pPr>
      <w:r>
        <w:rPr/>
        <w:t>本期未发生反向购买。</w:t>
      </w:r>
    </w:p>
    <w:p>
      <w:pPr>
        <w:spacing w:line="240" w:lineRule="auto" w:before="12"/>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9"/>
        <w:jc w:val="left"/>
      </w:pPr>
      <w:r>
        <w:rPr/>
        <w:t>本期未发生吸收合并。</w:t>
      </w:r>
    </w:p>
    <w:p>
      <w:pPr>
        <w:spacing w:line="240" w:lineRule="auto" w:before="12"/>
        <w:rPr>
          <w:rFonts w:ascii="宋体" w:hAnsi="宋体" w:cs="宋体" w:eastAsia="宋体" w:hint="default"/>
          <w:sz w:val="26"/>
          <w:szCs w:val="26"/>
        </w:rPr>
      </w:pPr>
    </w:p>
    <w:p>
      <w:pPr>
        <w:spacing w:line="487" w:lineRule="auto" w:before="0"/>
        <w:ind w:left="154" w:right="57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、境外经营实体主要报表项目的折算汇率</w:t>
      </w:r>
      <w:r>
        <w:rPr>
          <w:rFonts w:ascii="宋体" w:hAnsi="宋体" w:cs="宋体" w:eastAsia="宋体" w:hint="default"/>
          <w:b/>
          <w:bCs/>
          <w:spacing w:val="1"/>
          <w:w w:val="99"/>
          <w:sz w:val="21"/>
          <w:szCs w:val="21"/>
        </w:rPr>
        <w:t> </w:t>
      </w:r>
      <w:r>
        <w:rPr>
          <w:rFonts w:ascii="宋体" w:hAnsi="宋体" w:cs="宋体" w:eastAsia="宋体" w:hint="default"/>
          <w:b/>
          <w:bCs/>
          <w:sz w:val="24"/>
          <w:szCs w:val="24"/>
        </w:rPr>
        <w:t>七、合并财务报表主要项目注释</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6"/>
        <w:gridCol w:w="1327"/>
        <w:gridCol w:w="919"/>
        <w:gridCol w:w="1474"/>
        <w:gridCol w:w="1328"/>
        <w:gridCol w:w="917"/>
        <w:gridCol w:w="1606"/>
      </w:tblGrid>
      <w:tr>
        <w:trPr>
          <w:trHeight w:val="200" w:hRule="exact"/>
        </w:trPr>
        <w:tc>
          <w:tcPr>
            <w:tcW w:w="1986" w:type="dxa"/>
            <w:tcBorders>
              <w:top w:val="single" w:sz="4" w:space="0" w:color="000000"/>
              <w:left w:val="single" w:sz="4" w:space="0" w:color="000000"/>
              <w:bottom w:val="nil" w:sz="6" w:space="0" w:color="auto"/>
              <w:right w:val="single" w:sz="4" w:space="0" w:color="000000"/>
            </w:tcBorders>
            <w:shd w:val="clear" w:color="auto" w:fill="D3D3D3"/>
          </w:tcPr>
          <w:p>
            <w:pPr/>
          </w:p>
        </w:tc>
        <w:tc>
          <w:tcPr>
            <w:tcW w:w="371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2" w:hRule="exact"/>
        </w:trPr>
        <w:tc>
          <w:tcPr>
            <w:tcW w:w="19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3D3D3"/>
          </w:tcPr>
          <w:p>
            <w:pPr/>
          </w:p>
        </w:tc>
        <w:tc>
          <w:tcPr>
            <w:tcW w:w="3851" w:type="dxa"/>
            <w:gridSpan w:val="3"/>
            <w:vMerge/>
            <w:tcBorders>
              <w:left w:val="single" w:sz="4" w:space="0" w:color="000000"/>
              <w:bottom w:val="single" w:sz="4" w:space="0" w:color="000000"/>
              <w:right w:val="single" w:sz="4" w:space="0" w:color="000000"/>
            </w:tcBorders>
            <w:shd w:val="clear" w:color="auto" w:fill="D3D3D3"/>
          </w:tcPr>
          <w:p>
            <w:pPr/>
          </w:p>
        </w:tc>
      </w:tr>
      <w:tr>
        <w:trPr>
          <w:trHeight w:val="190" w:hRule="exact"/>
        </w:trPr>
        <w:tc>
          <w:tcPr>
            <w:tcW w:w="1986" w:type="dxa"/>
            <w:vMerge/>
            <w:tcBorders>
              <w:left w:val="single" w:sz="4" w:space="0" w:color="000000"/>
              <w:bottom w:val="nil" w:sz="6" w:space="0" w:color="auto"/>
              <w:right w:val="single" w:sz="4" w:space="0" w:color="000000"/>
            </w:tcBorders>
            <w:shd w:val="clear" w:color="auto" w:fill="D3D3D3"/>
          </w:tcPr>
          <w:p>
            <w:pP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90"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0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12" w:hRule="exact"/>
        </w:trPr>
        <w:tc>
          <w:tcPr>
            <w:tcW w:w="198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919" w:type="dxa"/>
            <w:vMerge/>
            <w:tcBorders>
              <w:left w:val="single" w:sz="4" w:space="0" w:color="000000"/>
              <w:bottom w:val="single" w:sz="4" w:space="0" w:color="000000"/>
              <w:right w:val="single" w:sz="4" w:space="0" w:color="000000"/>
            </w:tcBorders>
            <w:shd w:val="clear" w:color="auto" w:fill="D3D3D3"/>
          </w:tcPr>
          <w:p>
            <w:pPr/>
          </w:p>
        </w:tc>
        <w:tc>
          <w:tcPr>
            <w:tcW w:w="1474"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c>
          <w:tcPr>
            <w:tcW w:w="917" w:type="dxa"/>
            <w:vMerge/>
            <w:tcBorders>
              <w:left w:val="single" w:sz="4" w:space="0" w:color="000000"/>
              <w:bottom w:val="single" w:sz="4" w:space="0" w:color="000000"/>
              <w:right w:val="single" w:sz="4" w:space="0" w:color="000000"/>
            </w:tcBorders>
            <w:shd w:val="clear" w:color="auto" w:fill="D3D3D3"/>
          </w:tcPr>
          <w:p>
            <w:pPr/>
          </w:p>
        </w:tc>
        <w:tc>
          <w:tcPr>
            <w:tcW w:w="160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98" w:right="0"/>
              <w:jc w:val="left"/>
              <w:rPr>
                <w:rFonts w:ascii="Times New Roman" w:hAnsi="Times New Roman" w:cs="Times New Roman" w:eastAsia="Times New Roman" w:hint="default"/>
                <w:sz w:val="18"/>
                <w:szCs w:val="18"/>
              </w:rPr>
            </w:pPr>
            <w:r>
              <w:rPr>
                <w:rFonts w:ascii="Times New Roman"/>
                <w:sz w:val="18"/>
              </w:rPr>
              <w:t>--</w:t>
            </w:r>
          </w:p>
        </w:tc>
        <w:tc>
          <w:tcPr>
            <w:tcW w:w="9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553,881.89</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428,680.19</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98" w:right="0"/>
              <w:jc w:val="left"/>
              <w:rPr>
                <w:rFonts w:ascii="Times New Roman" w:hAnsi="Times New Roman" w:cs="Times New Roman" w:eastAsia="Times New Roman" w:hint="default"/>
                <w:sz w:val="18"/>
                <w:szCs w:val="18"/>
              </w:rPr>
            </w:pPr>
            <w:r>
              <w:rPr>
                <w:rFonts w:ascii="Times New Roman"/>
                <w:sz w:val="18"/>
              </w:rPr>
              <w:t>--</w:t>
            </w:r>
          </w:p>
        </w:tc>
        <w:tc>
          <w:tcPr>
            <w:tcW w:w="9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552,736.48</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427,417.30</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3" w:right="0"/>
              <w:jc w:val="left"/>
              <w:rPr>
                <w:rFonts w:ascii="Times New Roman" w:hAnsi="Times New Roman" w:cs="Times New Roman" w:eastAsia="Times New Roman" w:hint="default"/>
                <w:sz w:val="18"/>
                <w:szCs w:val="18"/>
              </w:rPr>
            </w:pPr>
            <w:r>
              <w:rPr>
                <w:rFonts w:ascii="Times New Roman"/>
                <w:sz w:val="18"/>
              </w:rPr>
              <w:t>1,412.60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0.81%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1,145.41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4" w:right="0"/>
              <w:jc w:val="left"/>
              <w:rPr>
                <w:rFonts w:ascii="Times New Roman" w:hAnsi="Times New Roman" w:cs="Times New Roman" w:eastAsia="Times New Roman" w:hint="default"/>
                <w:sz w:val="18"/>
                <w:szCs w:val="18"/>
              </w:rPr>
            </w:pPr>
            <w:r>
              <w:rPr>
                <w:rFonts w:ascii="Times New Roman"/>
                <w:sz w:val="18"/>
              </w:rPr>
              <w:t>1,412.60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0.89%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1,262.89</w:t>
            </w:r>
          </w:p>
        </w:tc>
      </w:tr>
    </w:tbl>
    <w:p>
      <w:pPr>
        <w:spacing w:after="0" w:line="240" w:lineRule="auto"/>
        <w:jc w:val="right"/>
        <w:rPr>
          <w:rFonts w:ascii="Times New Roman" w:hAnsi="Times New Roman" w:cs="Times New Roman" w:eastAsia="Times New Roman" w:hint="default"/>
          <w:sz w:val="18"/>
          <w:szCs w:val="18"/>
        </w:rPr>
        <w:sectPr>
          <w:headerReference w:type="default" r:id="rId25"/>
          <w:footerReference w:type="default" r:id="rId26"/>
          <w:pgSz w:w="11910" w:h="16840"/>
          <w:pgMar w:header="877" w:footer="982" w:top="1100" w:bottom="1180" w:left="980" w:right="980"/>
          <w:pgNumType w:start="92"/>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98"/>
        <w:gridCol w:w="1327"/>
        <w:gridCol w:w="930"/>
        <w:gridCol w:w="1462"/>
        <w:gridCol w:w="1328"/>
        <w:gridCol w:w="917"/>
        <w:gridCol w:w="1606"/>
      </w:tblGrid>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9"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162,807,604.36</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137,352,216.44</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9"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151,400,085.54</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136,572,320.87</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1,814,894.41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11,407,518.82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123,103.18</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6.34%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779,895.57</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9"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16,188,781.96</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32,613,789.28</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9"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16,188,781.96</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32,613,789.28</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9"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179,550,268.21</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170,394,685.91</w:t>
            </w:r>
          </w:p>
        </w:tc>
      </w:tr>
    </w:tbl>
    <w:p>
      <w:pPr>
        <w:pStyle w:val="BodyText"/>
        <w:spacing w:line="240" w:lineRule="auto" w:before="51"/>
        <w:ind w:right="149"/>
        <w:jc w:val="left"/>
      </w:pPr>
      <w:r>
        <w:rPr/>
        <w:t>如有因抵押、质押或冻结等对使用有限制、存放在境外、有潜在回收风险的款项应单独说明</w:t>
      </w:r>
    </w:p>
    <w:p>
      <w:pPr>
        <w:pStyle w:val="Heading4"/>
        <w:spacing w:line="240" w:lineRule="auto" w:before="90"/>
        <w:ind w:left="861" w:right="149"/>
        <w:jc w:val="left"/>
      </w:pPr>
      <w:r>
        <w:rPr/>
        <w:t>其中受限制的货币资金明细如下：</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3704"/>
        <w:gridCol w:w="3053"/>
        <w:gridCol w:w="2900"/>
      </w:tblGrid>
      <w:tr>
        <w:trPr>
          <w:trHeight w:val="347" w:hRule="exact"/>
        </w:trPr>
        <w:tc>
          <w:tcPr>
            <w:tcW w:w="3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663"/>
              <w:jc w:val="right"/>
              <w:rPr>
                <w:rFonts w:ascii="宋体" w:hAnsi="宋体" w:cs="宋体" w:eastAsia="宋体" w:hint="default"/>
                <w:sz w:val="18"/>
                <w:szCs w:val="18"/>
              </w:rPr>
            </w:pPr>
            <w:r>
              <w:rPr>
                <w:rFonts w:ascii="宋体" w:hAnsi="宋体" w:cs="宋体" w:eastAsia="宋体" w:hint="default"/>
                <w:sz w:val="18"/>
                <w:szCs w:val="18"/>
              </w:rPr>
              <w:t>项目</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3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1,188,781.96</w:t>
            </w:r>
          </w:p>
        </w:tc>
        <w:tc>
          <w:tcPr>
            <w:tcW w:w="2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710,000.00</w:t>
            </w:r>
          </w:p>
        </w:tc>
      </w:tr>
      <w:tr>
        <w:trPr>
          <w:trHeight w:val="347" w:hRule="exact"/>
        </w:trPr>
        <w:tc>
          <w:tcPr>
            <w:tcW w:w="3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汇票保证金</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15,000,000.00</w:t>
            </w:r>
          </w:p>
        </w:tc>
        <w:tc>
          <w:tcPr>
            <w:tcW w:w="290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663"/>
              <w:jc w:val="right"/>
              <w:rPr>
                <w:rFonts w:ascii="宋体" w:hAnsi="宋体" w:cs="宋体" w:eastAsia="宋体" w:hint="default"/>
                <w:sz w:val="18"/>
                <w:szCs w:val="18"/>
              </w:rPr>
            </w:pPr>
            <w:r>
              <w:rPr>
                <w:rFonts w:ascii="宋体" w:hAnsi="宋体" w:cs="宋体" w:eastAsia="宋体" w:hint="default"/>
                <w:sz w:val="18"/>
                <w:szCs w:val="18"/>
              </w:rPr>
              <w:t>合计</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16,188,781.96</w:t>
            </w:r>
          </w:p>
        </w:tc>
        <w:tc>
          <w:tcPr>
            <w:tcW w:w="2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710,000.00</w:t>
            </w:r>
          </w:p>
        </w:tc>
      </w:tr>
    </w:tbl>
    <w:p>
      <w:pPr>
        <w:pStyle w:val="BodyText"/>
        <w:spacing w:line="300" w:lineRule="auto" w:before="10"/>
        <w:ind w:left="153" w:right="186" w:firstLine="36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日，其他货币资金中人民币</w:t>
      </w:r>
      <w:r>
        <w:rPr>
          <w:rFonts w:ascii="Times New Roman" w:hAnsi="Times New Roman" w:cs="Times New Roman" w:eastAsia="Times New Roman" w:hint="default"/>
        </w:rPr>
        <w:t>1,188,781.96</w:t>
      </w:r>
      <w:r>
        <w:rPr/>
        <w:t>元为本公司向银行申请开具无条件、不可撤销的投标保函所 存入的保证金存款，其中人民币</w:t>
      </w:r>
      <w:r>
        <w:rPr>
          <w:rFonts w:ascii="Times New Roman" w:hAnsi="Times New Roman" w:cs="Times New Roman" w:eastAsia="Times New Roman" w:hint="default"/>
        </w:rPr>
        <w:t>710,000</w:t>
      </w:r>
      <w:r>
        <w:rPr/>
        <w:t>元质押于上海浦发银行福强支行。</w:t>
      </w:r>
    </w:p>
    <w:p>
      <w:pPr>
        <w:spacing w:line="240" w:lineRule="auto" w:before="1"/>
        <w:rPr>
          <w:rFonts w:ascii="宋体" w:hAnsi="宋体" w:cs="宋体" w:eastAsia="宋体" w:hint="default"/>
          <w:sz w:val="22"/>
          <w:szCs w:val="22"/>
        </w:rPr>
      </w:pPr>
    </w:p>
    <w:p>
      <w:pPr>
        <w:pStyle w:val="Heading3"/>
        <w:spacing w:line="240" w:lineRule="auto"/>
        <w:ind w:left="153" w:right="149"/>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45"/>
        <w:gridCol w:w="2656"/>
        <w:gridCol w:w="2656"/>
      </w:tblGrid>
      <w:tr>
        <w:trPr>
          <w:trHeight w:val="401" w:hRule="exact"/>
        </w:trPr>
        <w:tc>
          <w:tcPr>
            <w:tcW w:w="4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2"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line="240" w:lineRule="auto" w:before="3"/>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2</w:t>
      </w:r>
      <w:r>
        <w:rPr/>
        <w:t>）变现有限制的交易性金融资产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40"/>
        <w:gridCol w:w="3852"/>
        <w:gridCol w:w="2176"/>
      </w:tblGrid>
      <w:tr>
        <w:trPr>
          <w:trHeight w:val="403" w:hRule="exact"/>
        </w:trPr>
        <w:tc>
          <w:tcPr>
            <w:tcW w:w="3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期末金额</w:t>
            </w:r>
          </w:p>
        </w:tc>
      </w:tr>
    </w:tbl>
    <w:p>
      <w:pPr>
        <w:spacing w:line="240" w:lineRule="auto" w:before="3"/>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3</w:t>
      </w:r>
      <w:r>
        <w:rPr/>
        <w:t>）套期工具及对相关套期交易的说明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49"/>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988"/>
        <w:gridCol w:w="2658"/>
        <w:gridCol w:w="2922"/>
      </w:tblGrid>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3,814,799.99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5,395,690.00</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57,696,000.00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74,423,940.00</w:t>
            </w:r>
          </w:p>
        </w:tc>
      </w:tr>
      <w:tr>
        <w:trPr>
          <w:trHeight w:val="403"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61,510,799.99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79,819,630.00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年末公司无已质押的应 收票据。</w:t>
            </w:r>
          </w:p>
        </w:tc>
      </w:tr>
    </w:tbl>
    <w:p>
      <w:pPr>
        <w:spacing w:line="240" w:lineRule="auto" w:before="2"/>
        <w:rPr>
          <w:rFonts w:ascii="宋体" w:hAnsi="宋体" w:cs="宋体" w:eastAsia="宋体" w:hint="default"/>
          <w:sz w:val="19"/>
          <w:szCs w:val="19"/>
        </w:rPr>
      </w:pPr>
    </w:p>
    <w:p>
      <w:pPr>
        <w:pStyle w:val="Heading3"/>
        <w:spacing w:line="259" w:lineRule="auto" w:before="35"/>
        <w:ind w:left="153" w:right="149"/>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74"/>
        </w:rPr>
        <w:t> </w:t>
      </w:r>
      <w:r>
        <w:rPr>
          <w:spacing w:val="-74"/>
        </w:rPr>
      </w:r>
      <w:r>
        <w:rPr/>
        <w:t>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49"/>
        <w:jc w:val="left"/>
      </w:pPr>
      <w:r>
        <w:rPr/>
        <w:t>因出票人无力履约而将票据转为应收账款的票据</w:t>
      </w:r>
    </w:p>
    <w:p>
      <w:pPr>
        <w:pStyle w:val="BodyText"/>
        <w:spacing w:line="240" w:lineRule="auto" w:before="116"/>
        <w:ind w:left="0" w:right="149"/>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0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pStyle w:val="BodyText"/>
        <w:spacing w:line="360" w:lineRule="auto" w:before="51"/>
        <w:ind w:left="153" w:right="-19"/>
        <w:jc w:val="left"/>
      </w:pPr>
      <w:r>
        <w:rPr/>
        <w:t>说明 本期无因出票人无力履约而转为应收账款的票据。 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115" w:space="4714"/>
            <w:col w:w="1121"/>
          </w:cols>
        </w:sectPr>
      </w:pP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262"/>
        <w:gridCol w:w="2098"/>
        <w:gridCol w:w="2099"/>
        <w:gridCol w:w="1178"/>
        <w:gridCol w:w="1057"/>
      </w:tblGrid>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4"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41"/>
              <w:jc w:val="right"/>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深圳市晋荣投资有限公司</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1"/>
              <w:jc w:val="right"/>
              <w:rPr>
                <w:rFonts w:ascii="Times New Roman" w:hAnsi="Times New Roman" w:cs="Times New Roman" w:eastAsia="Times New Roman" w:hint="default"/>
                <w:sz w:val="18"/>
                <w:szCs w:val="18"/>
              </w:rPr>
            </w:pPr>
            <w:r>
              <w:rPr>
                <w:rFonts w:ascii="Times New Roman"/>
                <w:sz w:val="18"/>
              </w:rPr>
              <w:t>20681652</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深圳市奥拓电子股份有限公司</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41,790.00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1"/>
              <w:jc w:val="right"/>
              <w:rPr>
                <w:rFonts w:ascii="Times New Roman" w:hAnsi="Times New Roman" w:cs="Times New Roman" w:eastAsia="Times New Roman" w:hint="default"/>
                <w:sz w:val="18"/>
                <w:szCs w:val="18"/>
              </w:rPr>
            </w:pPr>
            <w:r>
              <w:rPr>
                <w:rFonts w:ascii="Times New Roman"/>
                <w:sz w:val="18"/>
              </w:rPr>
              <w:t>24576682</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深圳市奥拓电子股份有限公司</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35,600.00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1"/>
              <w:jc w:val="right"/>
              <w:rPr>
                <w:rFonts w:ascii="Times New Roman" w:hAnsi="Times New Roman" w:cs="Times New Roman" w:eastAsia="Times New Roman" w:hint="default"/>
                <w:sz w:val="18"/>
                <w:szCs w:val="18"/>
              </w:rPr>
            </w:pPr>
            <w:r>
              <w:rPr>
                <w:rFonts w:ascii="Times New Roman"/>
                <w:sz w:val="18"/>
              </w:rPr>
              <w:t>24582626</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绍兴县杰茂纺织品有限公司</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1"/>
              <w:jc w:val="right"/>
              <w:rPr>
                <w:rFonts w:ascii="Times New Roman" w:hAnsi="Times New Roman" w:cs="Times New Roman" w:eastAsia="Times New Roman" w:hint="default"/>
                <w:sz w:val="18"/>
                <w:szCs w:val="18"/>
              </w:rPr>
            </w:pPr>
            <w:r>
              <w:rPr>
                <w:rFonts w:ascii="Times New Roman"/>
                <w:sz w:val="18"/>
              </w:rPr>
              <w:t>22754577</w:t>
            </w:r>
          </w:p>
        </w:tc>
      </w:tr>
    </w:tbl>
    <w:p>
      <w:pPr>
        <w:pStyle w:val="BodyText"/>
        <w:spacing w:line="360" w:lineRule="auto" w:before="51"/>
        <w:ind w:right="6890"/>
        <w:jc w:val="left"/>
      </w:pPr>
      <w:r>
        <w:rPr/>
        <w:t>说明 已贴现或质押的商业承兑票据的说明</w:t>
      </w:r>
    </w:p>
    <w:p>
      <w:pPr>
        <w:pStyle w:val="BodyText"/>
        <w:spacing w:line="240" w:lineRule="auto" w:before="25"/>
        <w:ind w:left="153" w:right="149"/>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日，本公司用于贴现的商业承兑票据为人民币</w:t>
      </w:r>
      <w:r>
        <w:rPr>
          <w:rFonts w:ascii="Times New Roman" w:hAnsi="Times New Roman" w:cs="Times New Roman" w:eastAsia="Times New Roman" w:hint="default"/>
        </w:rPr>
        <w:t>40,000,000.00</w:t>
      </w:r>
      <w:r>
        <w:rPr/>
        <w:t>元。</w:t>
      </w:r>
    </w:p>
    <w:p>
      <w:pPr>
        <w:spacing w:line="240" w:lineRule="auto" w:before="11"/>
        <w:rPr>
          <w:rFonts w:ascii="宋体" w:hAnsi="宋体" w:cs="宋体" w:eastAsia="宋体" w:hint="default"/>
          <w:sz w:val="25"/>
          <w:szCs w:val="25"/>
        </w:rPr>
      </w:pPr>
    </w:p>
    <w:p>
      <w:pPr>
        <w:pStyle w:val="Heading3"/>
        <w:spacing w:line="240" w:lineRule="auto"/>
        <w:ind w:right="149"/>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0"/>
        <w:gridCol w:w="1338"/>
        <w:gridCol w:w="1340"/>
        <w:gridCol w:w="1434"/>
        <w:gridCol w:w="1338"/>
        <w:gridCol w:w="1338"/>
        <w:gridCol w:w="1338"/>
      </w:tblGrid>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93" w:right="32"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149"/>
        <w:jc w:val="left"/>
      </w:pPr>
      <w:r>
        <w:rPr/>
        <w:t>说明</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864"/>
        <w:gridCol w:w="1860"/>
        <w:gridCol w:w="1860"/>
        <w:gridCol w:w="1860"/>
        <w:gridCol w:w="2115"/>
      </w:tblGrid>
      <w:tr>
        <w:trPr>
          <w:trHeight w:val="402"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397"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line="240" w:lineRule="auto" w:before="8"/>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3</w:t>
      </w:r>
      <w:r>
        <w:rPr/>
        <w:t>）应收利息的说明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3"/>
        <w:gridCol w:w="935"/>
        <w:gridCol w:w="923"/>
        <w:gridCol w:w="935"/>
        <w:gridCol w:w="922"/>
        <w:gridCol w:w="805"/>
        <w:gridCol w:w="924"/>
        <w:gridCol w:w="1068"/>
        <w:gridCol w:w="1053"/>
      </w:tblGrid>
      <w:tr>
        <w:trPr>
          <w:trHeight w:val="401" w:hRule="exact"/>
        </w:trPr>
        <w:tc>
          <w:tcPr>
            <w:tcW w:w="1983" w:type="dxa"/>
            <w:tcBorders>
              <w:top w:val="single" w:sz="4" w:space="0" w:color="000000"/>
              <w:left w:val="single" w:sz="4" w:space="0" w:color="000000"/>
              <w:bottom w:val="nil" w:sz="6" w:space="0" w:color="auto"/>
              <w:right w:val="single" w:sz="4" w:space="0" w:color="000000"/>
            </w:tcBorders>
            <w:shd w:val="clear" w:color="auto" w:fill="D3D3D3"/>
          </w:tcPr>
          <w:p>
            <w:pPr/>
          </w:p>
        </w:tc>
        <w:tc>
          <w:tcPr>
            <w:tcW w:w="371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9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种类</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983" w:type="dxa"/>
            <w:tcBorders>
              <w:top w:val="nil" w:sz="6" w:space="0" w:color="auto"/>
              <w:left w:val="single" w:sz="4" w:space="0" w:color="000000"/>
              <w:bottom w:val="single" w:sz="4" w:space="0" w:color="000000"/>
              <w:right w:val="single" w:sz="4" w:space="0" w:color="000000"/>
            </w:tcBorders>
            <w:shd w:val="clear" w:color="auto" w:fill="D3D3D3"/>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715" w:hRule="exact"/>
        </w:trPr>
        <w:tc>
          <w:tcPr>
            <w:tcW w:w="1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61"/>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93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1,433,880.7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0.47%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1,433,880.7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1,495,400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0.58%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1,495,400.00</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547"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5"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304,160,99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1.98</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99.53%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20,680,273.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6.8%</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 w:right="0"/>
              <w:jc w:val="left"/>
              <w:rPr>
                <w:rFonts w:ascii="Times New Roman" w:hAnsi="Times New Roman" w:cs="Times New Roman" w:eastAsia="Times New Roman" w:hint="default"/>
                <w:sz w:val="18"/>
                <w:szCs w:val="18"/>
              </w:rPr>
            </w:pPr>
            <w:r>
              <w:rPr>
                <w:rFonts w:ascii="Times New Roman"/>
                <w:sz w:val="18"/>
              </w:rPr>
              <w:t>255,805,8</w:t>
            </w:r>
          </w:p>
          <w:p>
            <w:pPr>
              <w:pStyle w:val="TableParagraph"/>
              <w:spacing w:line="240" w:lineRule="auto" w:before="105"/>
              <w:ind w:left="368" w:right="0"/>
              <w:jc w:val="left"/>
              <w:rPr>
                <w:rFonts w:ascii="Times New Roman" w:hAnsi="Times New Roman" w:cs="Times New Roman" w:eastAsia="Times New Roman" w:hint="default"/>
                <w:sz w:val="18"/>
                <w:szCs w:val="18"/>
              </w:rPr>
            </w:pPr>
            <w:r>
              <w:rPr>
                <w:rFonts w:ascii="Times New Roman"/>
                <w:sz w:val="18"/>
              </w:rPr>
              <w:t>35.06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99.42%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16,824,718.8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6.58%</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935"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5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304,160,99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1.98</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99.53%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20,680,273.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6.8%</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left"/>
              <w:rPr>
                <w:rFonts w:ascii="Times New Roman" w:hAnsi="Times New Roman" w:cs="Times New Roman" w:eastAsia="Times New Roman" w:hint="default"/>
                <w:sz w:val="18"/>
                <w:szCs w:val="18"/>
              </w:rPr>
            </w:pPr>
            <w:r>
              <w:rPr>
                <w:rFonts w:ascii="Times New Roman"/>
                <w:sz w:val="18"/>
              </w:rPr>
              <w:t>255,805,8</w:t>
            </w:r>
          </w:p>
          <w:p>
            <w:pPr>
              <w:pStyle w:val="TableParagraph"/>
              <w:spacing w:line="240" w:lineRule="auto" w:before="105"/>
              <w:ind w:left="368" w:right="0"/>
              <w:jc w:val="left"/>
              <w:rPr>
                <w:rFonts w:ascii="Times New Roman" w:hAnsi="Times New Roman" w:cs="Times New Roman" w:eastAsia="Times New Roman" w:hint="default"/>
                <w:sz w:val="18"/>
                <w:szCs w:val="18"/>
              </w:rPr>
            </w:pPr>
            <w:r>
              <w:rPr>
                <w:rFonts w:ascii="Times New Roman"/>
                <w:sz w:val="18"/>
              </w:rPr>
              <w:t>35.06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99.42%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16,824,718.8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6.58%</w:t>
            </w:r>
          </w:p>
        </w:tc>
      </w:tr>
      <w:tr>
        <w:trPr>
          <w:trHeight w:val="714" w:hRule="exact"/>
        </w:trPr>
        <w:tc>
          <w:tcPr>
            <w:tcW w:w="1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305,594,87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2.68</w:t>
            </w:r>
          </w:p>
        </w:tc>
        <w:tc>
          <w:tcPr>
            <w:tcW w:w="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22,114,154.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65</w:t>
            </w:r>
          </w:p>
        </w:tc>
        <w:tc>
          <w:tcPr>
            <w:tcW w:w="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left"/>
              <w:rPr>
                <w:rFonts w:ascii="Times New Roman" w:hAnsi="Times New Roman" w:cs="Times New Roman" w:eastAsia="Times New Roman" w:hint="default"/>
                <w:sz w:val="18"/>
                <w:szCs w:val="18"/>
              </w:rPr>
            </w:pPr>
            <w:r>
              <w:rPr>
                <w:rFonts w:ascii="Times New Roman"/>
                <w:sz w:val="18"/>
              </w:rPr>
              <w:t>257,301,2</w:t>
            </w:r>
          </w:p>
          <w:p>
            <w:pPr>
              <w:pStyle w:val="TableParagraph"/>
              <w:spacing w:line="240" w:lineRule="auto" w:before="105"/>
              <w:ind w:left="368" w:right="0"/>
              <w:jc w:val="left"/>
              <w:rPr>
                <w:rFonts w:ascii="Times New Roman" w:hAnsi="Times New Roman" w:cs="Times New Roman" w:eastAsia="Times New Roman" w:hint="default"/>
                <w:sz w:val="18"/>
                <w:szCs w:val="18"/>
              </w:rPr>
            </w:pPr>
            <w:r>
              <w:rPr>
                <w:rFonts w:ascii="Times New Roman"/>
                <w:sz w:val="18"/>
              </w:rPr>
              <w:t>35.06</w:t>
            </w:r>
          </w:p>
        </w:tc>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18,320,118.8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pStyle w:val="BodyText"/>
        <w:spacing w:line="360" w:lineRule="auto" w:before="51"/>
        <w:ind w:left="153" w:right="-19"/>
        <w:jc w:val="left"/>
      </w:pPr>
      <w:r>
        <w:rPr/>
        <w:t>应收账款种类的说明 应收账款详细种类说明见附注二（十）。 期末单项金额重大并单项计提坏账准备的应收账款</w:t>
      </w:r>
    </w:p>
    <w:p>
      <w:pPr>
        <w:pStyle w:val="BodyText"/>
        <w:spacing w:line="240" w:lineRule="auto" w:before="26"/>
        <w:ind w:left="15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115" w:space="471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65"/>
        <w:gridCol w:w="1626"/>
        <w:gridCol w:w="1626"/>
        <w:gridCol w:w="1626"/>
        <w:gridCol w:w="1627"/>
      </w:tblGrid>
      <w:tr>
        <w:trPr>
          <w:trHeight w:val="402" w:hRule="exact"/>
        </w:trPr>
        <w:tc>
          <w:tcPr>
            <w:tcW w:w="3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6"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8"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深圳市雄震自动设备有限公司</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1,433,880.70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1,433,880.70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虽胜诉执行难</w:t>
            </w:r>
          </w:p>
        </w:tc>
      </w:tr>
      <w:tr>
        <w:trPr>
          <w:trHeight w:val="402" w:hRule="exact"/>
        </w:trPr>
        <w:tc>
          <w:tcPr>
            <w:tcW w:w="3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1,433,880.70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1,433,880.70</w:t>
            </w:r>
          </w:p>
        </w:tc>
        <w:tc>
          <w:tcPr>
            <w:tcW w:w="1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51"/>
        <w:ind w:right="-20"/>
        <w:jc w:val="left"/>
      </w:pPr>
      <w:r>
        <w:rPr/>
        <w:t>组合中，按账龄分析法计提坏账准备的应收账款</w:t>
      </w:r>
    </w:p>
    <w:p>
      <w:pPr>
        <w:pStyle w:val="BodyText"/>
        <w:spacing w:line="240" w:lineRule="auto" w:before="117"/>
        <w:ind w:left="1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3935" w:space="4894"/>
            <w:col w:w="1121"/>
          </w:cols>
        </w:sectPr>
      </w:pPr>
    </w:p>
    <w:p>
      <w:pPr>
        <w:spacing w:line="240" w:lineRule="auto" w:before="6"/>
        <w:rPr>
          <w:rFonts w:ascii="宋体" w:hAnsi="宋体" w:cs="宋体" w:eastAsia="宋体" w:hint="default"/>
          <w:sz w:val="24"/>
          <w:szCs w:val="24"/>
        </w:rPr>
      </w:pPr>
      <w:r>
        <w:rPr/>
        <w:pict>
          <v:group style="position:absolute;margin-left:130.259995pt;margin-top:172.410004pt;width:78.1pt;height:20.8pt;mso-position-horizontal-relative:page;mso-position-vertical-relative:page;z-index:-857848" coordorigin="2605,3448" coordsize="1562,416">
            <v:group style="position:absolute;left:2617;top:3460;width:2;height:393" coordorigin="2617,3460" coordsize="2,393">
              <v:shape style="position:absolute;left:2617;top:3460;width:2;height:393" coordorigin="2617,3460" coordsize="0,393" path="m2617,3460l2617,3852e" filled="false" stroked="true" strokeweight="1.140pt" strokecolor="#ffffff">
                <v:path arrowok="t"/>
              </v:shape>
            </v:group>
            <v:group style="position:absolute;left:2628;top:3460;width:1539;height:393" coordorigin="2628,3460" coordsize="1539,393">
              <v:shape style="position:absolute;left:2628;top:3460;width:1539;height:393" coordorigin="2628,3460" coordsize="1539,393" path="m2628,3852l4166,3852,4166,3460,2628,3460,2628,3852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460"/>
        <w:gridCol w:w="1600"/>
        <w:gridCol w:w="929"/>
        <w:gridCol w:w="1727"/>
        <w:gridCol w:w="1462"/>
        <w:gridCol w:w="929"/>
        <w:gridCol w:w="1462"/>
      </w:tblGrid>
      <w:tr>
        <w:trPr>
          <w:trHeight w:val="402" w:hRule="exact"/>
        </w:trPr>
        <w:tc>
          <w:tcPr>
            <w:tcW w:w="14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0" w:type="dxa"/>
            <w:vMerge/>
            <w:tcBorders>
              <w:left w:val="single" w:sz="4" w:space="0" w:color="000000"/>
              <w:right w:val="single" w:sz="4" w:space="0" w:color="000000"/>
            </w:tcBorders>
            <w:shd w:val="clear" w:color="auto" w:fill="D3D3D3"/>
          </w:tcPr>
          <w:p>
            <w:pP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0" w:type="dxa"/>
            <w:vMerge/>
            <w:tcBorders>
              <w:left w:val="single" w:sz="4" w:space="0" w:color="000000"/>
              <w:bottom w:val="single" w:sz="4" w:space="0" w:color="000000"/>
              <w:right w:val="single" w:sz="4" w:space="0" w:color="000000"/>
            </w:tcBorders>
            <w:shd w:val="clear" w:color="auto" w:fill="D3D3D3"/>
          </w:tcPr>
          <w:p>
            <w:pPr/>
          </w:p>
        </w:tc>
        <w:tc>
          <w:tcPr>
            <w:tcW w:w="1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w:t>
            </w:r>
            <w:r>
              <w:rPr>
                <w:rFonts w:ascii="宋体" w:hAnsi="宋体" w:cs="宋体" w:eastAsia="宋体" w:hint="default"/>
                <w:spacing w:val="-75"/>
                <w:sz w:val="18"/>
                <w:szCs w:val="18"/>
              </w:rPr>
              <w:t>内</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40" w:lineRule="auto" w:before="51"/>
              <w:ind w:left="-118"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257,362,566.48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84.61%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12,868,143.32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222,687,400.65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87.05%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11,252,159.72</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257,362,566.48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84.61%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12,868,143.32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222,687,400.65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87.05%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11,252,159.72</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39,733,936.09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3,973,393.61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22,616,071.64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8.84%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2,026,027.78</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1,980,990.72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0.65%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396,198.14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6,502,027.87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1,300,405.57</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5,083,498.69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3,442,538.88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4,000,334.90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2,246,125.79</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2,224,979.62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0.73%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1,112,489.81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3,290,338.45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1,645,169.23</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2,642,349.99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0.87%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2,113,879.99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545,199.45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436,159.56</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216,169.08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216,169.08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164,797.00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164,797.00</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301,079,925.16</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20,680,273.95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255,805,835.06</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16,824,718.86</w:t>
            </w:r>
          </w:p>
        </w:tc>
      </w:tr>
    </w:tbl>
    <w:p>
      <w:pPr>
        <w:pStyle w:val="BodyText"/>
        <w:spacing w:line="240" w:lineRule="auto" w:before="51"/>
        <w:ind w:right="149"/>
        <w:jc w:val="left"/>
      </w:pPr>
      <w:r>
        <w:rPr/>
        <w:t>组合中，采用余额百分比法计提坏账准备的应收账款</w:t>
      </w:r>
    </w:p>
    <w:p>
      <w:pPr>
        <w:pStyle w:val="BodyText"/>
        <w:spacing w:line="338" w:lineRule="auto" w:before="117"/>
        <w:ind w:right="599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338" w:lineRule="auto" w:before="43"/>
        <w:ind w:right="545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期末单项金额虽不重大但单项计提坏账准备的应收账款</w:t>
      </w:r>
    </w:p>
    <w:p>
      <w:pPr>
        <w:pStyle w:val="BodyText"/>
        <w:spacing w:line="240" w:lineRule="auto" w:before="42"/>
        <w:ind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49"/>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714"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714"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深圳市雄震自动设备有限 公司</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全额计提坏账准备本 期法院执行收回款项</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虽胜诉执行难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1,495,400.00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0" w:right="0"/>
              <w:jc w:val="left"/>
              <w:rPr>
                <w:rFonts w:ascii="Times New Roman" w:hAnsi="Times New Roman" w:cs="Times New Roman" w:eastAsia="Times New Roman" w:hint="default"/>
                <w:sz w:val="18"/>
                <w:szCs w:val="18"/>
              </w:rPr>
            </w:pPr>
            <w:r>
              <w:rPr>
                <w:rFonts w:ascii="Times New Roman"/>
                <w:sz w:val="18"/>
              </w:rPr>
              <w:t>61,519.30</w:t>
            </w:r>
          </w:p>
        </w:tc>
      </w:tr>
      <w:tr>
        <w:trPr>
          <w:trHeight w:val="401"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1,495,400.00</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149"/>
        <w:jc w:val="left"/>
      </w:pPr>
      <w:r>
        <w:rPr/>
        <w:t>期末单项金额重大或虽不重大但单独进行减值测试的应收账款坏账准备计提</w:t>
      </w:r>
    </w:p>
    <w:p>
      <w:pPr>
        <w:pStyle w:val="BodyText"/>
        <w:spacing w:line="240" w:lineRule="auto" w:before="117"/>
        <w:ind w:left="0" w:right="14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1"/>
        <w:ind w:right="149"/>
        <w:jc w:val="left"/>
      </w:pPr>
      <w:r>
        <w:rPr/>
        <w:t>单项金额不重大但按信用风险特征组合后该组合的风险较大的应收账款的说明</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83"/>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03" w:right="58"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pStyle w:val="BodyText"/>
        <w:spacing w:line="240" w:lineRule="auto" w:before="51"/>
        <w:ind w:right="149"/>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t>（</w:t>
      </w:r>
      <w:r>
        <w:rPr>
          <w:rFonts w:ascii="Times New Roman" w:hAnsi="Times New Roman" w:cs="Times New Roman" w:eastAsia="Times New Roman" w:hint="default"/>
        </w:rPr>
        <w:t>4</w:t>
      </w:r>
      <w:r>
        <w:rPr/>
        <w:t>）本报告期应收账款中持有公司</w:t>
      </w:r>
      <w:r>
        <w:rPr>
          <w:spacing w:val="-61"/>
        </w:rPr>
        <w:t> </w:t>
      </w:r>
      <w:r>
        <w:rPr>
          <w:rFonts w:ascii="Times New Roman" w:hAnsi="Times New Roman" w:cs="Times New Roman" w:eastAsia="Times New Roman" w:hint="default"/>
        </w:rPr>
        <w:t>5</w:t>
      </w:r>
      <w:r>
        <w:rPr/>
        <w:t>％（含</w:t>
      </w:r>
      <w:r>
        <w:rPr>
          <w:spacing w:val="-62"/>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59"/>
        <w:gridCol w:w="1727"/>
        <w:gridCol w:w="1594"/>
        <w:gridCol w:w="1861"/>
        <w:gridCol w:w="1727"/>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4429"/>
        <w:gridCol w:w="1176"/>
        <w:gridCol w:w="1130"/>
        <w:gridCol w:w="756"/>
        <w:gridCol w:w="2202"/>
      </w:tblGrid>
      <w:tr>
        <w:trPr>
          <w:trHeight w:val="402" w:hRule="exact"/>
        </w:trPr>
        <w:tc>
          <w:tcPr>
            <w:tcW w:w="4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0"/>
              <w:jc w:val="righ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2" w:hRule="exact"/>
        </w:trPr>
        <w:tc>
          <w:tcPr>
            <w:tcW w:w="4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中国农业银行广东省分行</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center"/>
              <w:rPr>
                <w:rFonts w:ascii="宋体" w:hAnsi="宋体" w:cs="宋体" w:eastAsia="宋体" w:hint="default"/>
                <w:sz w:val="18"/>
                <w:szCs w:val="18"/>
              </w:rPr>
            </w:pPr>
            <w:r>
              <w:rPr>
                <w:rFonts w:ascii="宋体" w:hAnsi="宋体" w:cs="宋体" w:eastAsia="宋体" w:hint="default"/>
                <w:sz w:val="18"/>
                <w:szCs w:val="18"/>
              </w:rPr>
              <w:t>非关联方客户</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17,093,410.90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5.59%</w:t>
            </w:r>
          </w:p>
        </w:tc>
      </w:tr>
      <w:tr>
        <w:trPr>
          <w:trHeight w:val="402" w:hRule="exact"/>
        </w:trPr>
        <w:tc>
          <w:tcPr>
            <w:tcW w:w="4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中国农业银行云南省分行</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center"/>
              <w:rPr>
                <w:rFonts w:ascii="宋体" w:hAnsi="宋体" w:cs="宋体" w:eastAsia="宋体" w:hint="default"/>
                <w:sz w:val="18"/>
                <w:szCs w:val="18"/>
              </w:rPr>
            </w:pPr>
            <w:r>
              <w:rPr>
                <w:rFonts w:ascii="宋体" w:hAnsi="宋体" w:cs="宋体" w:eastAsia="宋体" w:hint="default"/>
                <w:sz w:val="18"/>
                <w:szCs w:val="18"/>
              </w:rPr>
              <w:t>非关联方客户</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14,359,700.00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4.7%</w:t>
            </w:r>
          </w:p>
        </w:tc>
      </w:tr>
      <w:tr>
        <w:trPr>
          <w:trHeight w:val="402" w:hRule="exact"/>
        </w:trPr>
        <w:tc>
          <w:tcPr>
            <w:tcW w:w="4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中国建设银行安徽省分行</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center"/>
              <w:rPr>
                <w:rFonts w:ascii="宋体" w:hAnsi="宋体" w:cs="宋体" w:eastAsia="宋体" w:hint="default"/>
                <w:sz w:val="18"/>
                <w:szCs w:val="18"/>
              </w:rPr>
            </w:pPr>
            <w:r>
              <w:rPr>
                <w:rFonts w:ascii="宋体" w:hAnsi="宋体" w:cs="宋体" w:eastAsia="宋体" w:hint="default"/>
                <w:sz w:val="18"/>
                <w:szCs w:val="18"/>
              </w:rPr>
              <w:t>非关联方客户</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11,218,730.00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3.67%</w:t>
            </w:r>
          </w:p>
        </w:tc>
      </w:tr>
      <w:tr>
        <w:trPr>
          <w:trHeight w:val="402" w:hRule="exact"/>
        </w:trPr>
        <w:tc>
          <w:tcPr>
            <w:tcW w:w="4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中科恒源（益阳）新能源科技有限公司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center"/>
              <w:rPr>
                <w:rFonts w:ascii="宋体" w:hAnsi="宋体" w:cs="宋体" w:eastAsia="宋体" w:hint="default"/>
                <w:sz w:val="18"/>
                <w:szCs w:val="18"/>
              </w:rPr>
            </w:pPr>
            <w:r>
              <w:rPr>
                <w:rFonts w:ascii="宋体" w:hAnsi="宋体" w:cs="宋体" w:eastAsia="宋体" w:hint="default"/>
                <w:sz w:val="18"/>
                <w:szCs w:val="18"/>
              </w:rPr>
              <w:t>非关联方客户</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10,090,644.19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w:t>
            </w:r>
          </w:p>
        </w:tc>
      </w:tr>
      <w:tr>
        <w:trPr>
          <w:trHeight w:val="402" w:hRule="exact"/>
        </w:trPr>
        <w:tc>
          <w:tcPr>
            <w:tcW w:w="4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Hitachi Financial Equipment System(Shen Zhen</w:t>
            </w:r>
            <w:r>
              <w:rPr>
                <w:rFonts w:ascii="宋体" w:hAnsi="宋体" w:cs="宋体" w:eastAsia="宋体" w:hint="default"/>
                <w:sz w:val="18"/>
                <w:szCs w:val="18"/>
              </w:rPr>
              <w:t>）</w:t>
            </w:r>
            <w:r>
              <w:rPr>
                <w:rFonts w:ascii="Times New Roman" w:hAnsi="Times New Roman" w:cs="Times New Roman" w:eastAsia="Times New Roman" w:hint="default"/>
                <w:sz w:val="18"/>
                <w:szCs w:val="18"/>
              </w:rPr>
              <w:t>Co.</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Ltd</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center"/>
              <w:rPr>
                <w:rFonts w:ascii="宋体" w:hAnsi="宋体" w:cs="宋体" w:eastAsia="宋体" w:hint="default"/>
                <w:sz w:val="18"/>
                <w:szCs w:val="18"/>
              </w:rPr>
            </w:pPr>
            <w:r>
              <w:rPr>
                <w:rFonts w:ascii="宋体" w:hAnsi="宋体" w:cs="宋体" w:eastAsia="宋体" w:hint="default"/>
                <w:sz w:val="18"/>
                <w:szCs w:val="18"/>
              </w:rPr>
              <w:t>非关联方客户</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9,770,120.04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w:t>
            </w:r>
          </w:p>
        </w:tc>
      </w:tr>
      <w:tr>
        <w:trPr>
          <w:trHeight w:val="402" w:hRule="exact"/>
        </w:trPr>
        <w:tc>
          <w:tcPr>
            <w:tcW w:w="4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62,532,605.13</w:t>
            </w:r>
          </w:p>
        </w:tc>
        <w:tc>
          <w:tcPr>
            <w:tcW w:w="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21.46%</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89"/>
        <w:gridCol w:w="2990"/>
        <w:gridCol w:w="3588"/>
      </w:tblGrid>
      <w:tr>
        <w:trPr>
          <w:trHeight w:val="403" w:hRule="exact"/>
        </w:trPr>
        <w:tc>
          <w:tcPr>
            <w:tcW w:w="2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3"/>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8"/>
        <w:rPr>
          <w:rFonts w:ascii="宋体" w:hAnsi="宋体" w:cs="宋体" w:eastAsia="宋体" w:hint="default"/>
          <w:sz w:val="7"/>
          <w:szCs w:val="7"/>
        </w:rPr>
      </w:pPr>
    </w:p>
    <w:p>
      <w:pPr>
        <w:spacing w:line="1225" w:lineRule="exact"/>
        <w:ind w:left="144"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35pt;height:61.3pt;mso-position-horizontal-relative:char;mso-position-vertical-relative:line" coordorigin="0,0" coordsize="9587,1226">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3849;top:14;width:2;height:393" coordorigin="3849,14" coordsize="2,393">
              <v:shape style="position:absolute;left:3849;top:14;width:2;height:393" coordorigin="3849,14" coordsize="0,393" path="m3849,14l3849,407e" filled="false" stroked="true" strokeweight="1.140pt" strokecolor="#d3d3d3">
                <v:path arrowok="t"/>
              </v:shape>
            </v:group>
            <v:group style="position:absolute;left:37;top:14;width:3801;height:393" coordorigin="37,14" coordsize="3801,393">
              <v:shape style="position:absolute;left:37;top:14;width:3801;height:393" coordorigin="37,14" coordsize="3801,393" path="m37,407l3838,407,3838,14,37,14,37,407xe" filled="true" fillcolor="#d3d3d3" stroked="false">
                <v:path arrowok="t"/>
                <v:fill type="solid"/>
              </v:shape>
            </v:group>
            <v:group style="position:absolute;left:3882;top:14;width:2;height:393" coordorigin="3882,14" coordsize="2,393">
              <v:shape style="position:absolute;left:3882;top:14;width:2;height:393" coordorigin="3882,14" coordsize="0,393" path="m3882,14l3882,407e" filled="false" stroked="true" strokeweight="1.2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3894;top:14;width:5656;height:393" coordorigin="3894,14" coordsize="5656,393">
              <v:shape style="position:absolute;left:3894;top:14;width:5656;height:393" coordorigin="3894,14" coordsize="5656,393" path="m3894,407l9550,407,9550,14,3894,14,3894,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3865;top:14;width:2;height:393" coordorigin="3865,14" coordsize="2,393">
              <v:shape style="position:absolute;left:3865;top:14;width:2;height:393" coordorigin="3865,14" coordsize="0,393" path="m3865,14l3865,407e" filled="false" stroked="true" strokeweight=".48pt" strokecolor="#000000">
                <v:path arrowok="t"/>
              </v:shape>
            </v:group>
            <v:group style="position:absolute;left:9577;top:5;width:2;height:402" coordorigin="9577,5" coordsize="2,402">
              <v:shape style="position:absolute;left:9577;top:5;width:2;height:402" coordorigin="9577,5" coordsize="0,402" path="m9577,5l9577,407e" filled="false" stroked="true" strokeweight=".48pt" strokecolor="#000000">
                <v:path arrowok="t"/>
              </v:shape>
            </v:group>
            <v:group style="position:absolute;left:26;top:416;width:2;height:393" coordorigin="26,416" coordsize="2,393">
              <v:shape style="position:absolute;left:26;top:416;width:2;height:393" coordorigin="26,416" coordsize="0,393" path="m26,416l26,809e" filled="false" stroked="true" strokeweight="1.140pt" strokecolor="#d3d3d3">
                <v:path arrowok="t"/>
              </v:shape>
            </v:group>
            <v:group style="position:absolute;left:9561;top:416;width:2;height:393" coordorigin="9561,416" coordsize="2,393">
              <v:shape style="position:absolute;left:9561;top:416;width:2;height:393" coordorigin="9561,416" coordsize="0,393" path="m9561,416l9561,809e" filled="false" stroked="true" strokeweight="1.140pt" strokecolor="#d3d3d3">
                <v:path arrowok="t"/>
              </v:shape>
            </v:group>
            <v:group style="position:absolute;left:37;top:416;width:9513;height:393" coordorigin="37,416" coordsize="9513,393">
              <v:shape style="position:absolute;left:37;top:416;width:9513;height:393" coordorigin="37,416" coordsize="9513,393" path="m37,809l9550,809,9550,416,37,416,37,809xe" filled="true" fillcolor="#d3d3d3" stroked="false">
                <v:path arrowok="t"/>
                <v:fill type="solid"/>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416;width:2;height:393" coordorigin="10,416" coordsize="2,393">
              <v:shape style="position:absolute;left:10;top:416;width:2;height:393" coordorigin="10,416" coordsize="0,393" path="m10,416l10,809e" filled="false" stroked="true" strokeweight=".48pt" strokecolor="#000000">
                <v:path arrowok="t"/>
              </v:shape>
            </v:group>
            <v:group style="position:absolute;left:9577;top:416;width:2;height:393" coordorigin="9577,416" coordsize="2,393">
              <v:shape style="position:absolute;left:9577;top:416;width:2;height:393" coordorigin="9577,416" coordsize="0,393" path="m9577,416l9577,809e" filled="false" stroked="true" strokeweight=".48pt" strokecolor="#000000">
                <v:path arrowok="t"/>
              </v:shape>
            </v:group>
            <v:group style="position:absolute;left:26;top:818;width:2;height:393" coordorigin="26,818" coordsize="2,393">
              <v:shape style="position:absolute;left:26;top:818;width:2;height:393" coordorigin="26,818" coordsize="0,393" path="m26,818l26,1211e" filled="false" stroked="true" strokeweight="1.140pt" strokecolor="#d3d3d3">
                <v:path arrowok="t"/>
              </v:shape>
            </v:group>
            <v:group style="position:absolute;left:9561;top:818;width:2;height:393" coordorigin="9561,818" coordsize="2,393">
              <v:shape style="position:absolute;left:9561;top:818;width:2;height:393" coordorigin="9561,818" coordsize="0,393" path="m9561,818l9561,1211e" filled="false" stroked="true" strokeweight="1.140pt" strokecolor="#d3d3d3">
                <v:path arrowok="t"/>
              </v:shape>
            </v:group>
            <v:group style="position:absolute;left:37;top:818;width:9513;height:393" coordorigin="37,818" coordsize="9513,393">
              <v:shape style="position:absolute;left:37;top:818;width:9513;height:393" coordorigin="37,818" coordsize="9513,393" path="m37,1211l9550,1211,9550,818,37,818,37,1211xe" filled="true" fillcolor="#d3d3d3" stroked="false">
                <v:path arrowok="t"/>
                <v:fill type="solid"/>
              </v:shape>
            </v:group>
            <v:group style="position:absolute;left:5;top:814;width:9578;height:2" coordorigin="5,814" coordsize="9578,2">
              <v:shape style="position:absolute;left:5;top:814;width:9578;height:2" coordorigin="5,814" coordsize="9578,0" path="m5,814l9582,814e" filled="false" stroked="true" strokeweight=".48pt" strokecolor="#000000">
                <v:path arrowok="t"/>
              </v:shape>
            </v:group>
            <v:group style="position:absolute;left:10;top:818;width:2;height:402" coordorigin="10,818" coordsize="2,402">
              <v:shape style="position:absolute;left:10;top:818;width:2;height:402" coordorigin="10,818" coordsize="0,402" path="m10,818l10,1220e" filled="false" stroked="true" strokeweight=".48pt" strokecolor="#000000">
                <v:path arrowok="t"/>
              </v:shape>
            </v:group>
            <v:group style="position:absolute;left:5;top:1216;width:9568;height:2" coordorigin="5,1216" coordsize="9568,2">
              <v:shape style="position:absolute;left:5;top:1216;width:9568;height:2" coordorigin="5,1216" coordsize="9568,0" path="m5,1216l9572,1216e" filled="false" stroked="true" strokeweight=".48pt" strokecolor="#000000">
                <v:path arrowok="t"/>
              </v:shape>
            </v:group>
            <v:group style="position:absolute;left:9577;top:818;width:2;height:402" coordorigin="9577,818" coordsize="2,402">
              <v:shape style="position:absolute;left:9577;top:818;width:2;height:402" coordorigin="9577,818" coordsize="0,402" path="m9577,818l9577,1220e" filled="false" stroked="true" strokeweight=".48pt" strokecolor="#000000">
                <v:path arrowok="t"/>
              </v:shape>
              <v:shape style="position:absolute;left:1757;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451;top:12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7;top:5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7;top:92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after="0" w:line="1225" w:lineRule="exact"/>
        <w:rPr>
          <w:rFonts w:ascii="宋体" w:hAnsi="宋体" w:cs="宋体" w:eastAsia="宋体" w:hint="default"/>
          <w:sz w:val="20"/>
          <w:szCs w:val="20"/>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49"/>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96"/>
        <w:gridCol w:w="1064"/>
        <w:gridCol w:w="786"/>
        <w:gridCol w:w="1063"/>
        <w:gridCol w:w="788"/>
        <w:gridCol w:w="1064"/>
        <w:gridCol w:w="919"/>
        <w:gridCol w:w="1196"/>
        <w:gridCol w:w="791"/>
      </w:tblGrid>
      <w:tr>
        <w:trPr>
          <w:trHeight w:val="402" w:hRule="exact"/>
        </w:trPr>
        <w:tc>
          <w:tcPr>
            <w:tcW w:w="1896" w:type="dxa"/>
            <w:tcBorders>
              <w:top w:val="single" w:sz="4" w:space="0" w:color="000000"/>
              <w:left w:val="single" w:sz="4" w:space="0" w:color="000000"/>
              <w:bottom w:val="nil" w:sz="6" w:space="0" w:color="auto"/>
              <w:right w:val="single" w:sz="4" w:space="0" w:color="000000"/>
            </w:tcBorders>
            <w:shd w:val="clear" w:color="auto" w:fill="D3D3D3"/>
          </w:tcPr>
          <w:p>
            <w:pP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7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8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8"/>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8"/>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026"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单项金额重大并单项计 提坏账准备的其他应收 款</w:t>
            </w:r>
          </w:p>
        </w:tc>
        <w:tc>
          <w:tcPr>
            <w:tcW w:w="1064" w:type="dxa"/>
            <w:tcBorders>
              <w:top w:val="single" w:sz="4" w:space="0" w:color="000000"/>
              <w:left w:val="single" w:sz="13" w:space="0" w:color="D3D3D3"/>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706,324.51</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706,324.51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2"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064"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15,917,202.6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2,982,469.00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10,226,899.5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90.44%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1,931,452.69</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18.89%</w:t>
            </w:r>
          </w:p>
        </w:tc>
      </w:tr>
      <w:tr>
        <w:trPr>
          <w:trHeight w:val="714"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15,917,202.6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2,982,469.00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10,226,899.5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90.44%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1,931,452.69</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18.89%</w:t>
            </w:r>
          </w:p>
        </w:tc>
      </w:tr>
      <w:tr>
        <w:trPr>
          <w:trHeight w:val="1026"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25,600.00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375,170.56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375,170.56</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r>
        <w:trPr>
          <w:trHeight w:val="715"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15,942,802.6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3,008,069.00</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11,308,394.6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9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3,012,947.76</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pStyle w:val="BodyText"/>
        <w:spacing w:line="357" w:lineRule="auto" w:before="51"/>
        <w:ind w:left="153" w:right="-19"/>
        <w:jc w:val="left"/>
      </w:pPr>
      <w:r>
        <w:rPr/>
        <w:t>其他应收款种类的说明 其他应收款详细种类说明见附注二（十）。 期末单项金额重大并单项计提坏账准备的其他应收款</w:t>
      </w:r>
    </w:p>
    <w:p>
      <w:pPr>
        <w:pStyle w:val="BodyText"/>
        <w:spacing w:line="240" w:lineRule="auto" w:before="29"/>
        <w:ind w:left="153" w:right="-19"/>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980"/>
        </w:sectPr>
      </w:pPr>
    </w:p>
    <w:p>
      <w:pPr>
        <w:pStyle w:val="BodyText"/>
        <w:spacing w:line="240" w:lineRule="auto" w:before="51"/>
        <w:ind w:right="-20"/>
        <w:jc w:val="left"/>
      </w:pPr>
      <w:r>
        <w:rPr/>
        <w:t>组合中，采用账龄分析法计提坏账准备的其他应收款</w:t>
      </w:r>
    </w:p>
    <w:p>
      <w:pPr>
        <w:pStyle w:val="BodyText"/>
        <w:spacing w:line="240" w:lineRule="auto" w:before="117"/>
        <w:ind w:left="153" w:right="-19"/>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9"/>
        <w:gridCol w:w="1447"/>
        <w:gridCol w:w="1450"/>
        <w:gridCol w:w="656"/>
        <w:gridCol w:w="1668"/>
      </w:tblGrid>
      <w:tr>
        <w:trPr>
          <w:trHeight w:val="402" w:hRule="exact"/>
        </w:trPr>
        <w:tc>
          <w:tcPr>
            <w:tcW w:w="18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7" w:type="dxa"/>
            <w:vMerge/>
            <w:tcBorders>
              <w:left w:val="single" w:sz="4" w:space="0" w:color="000000"/>
              <w:right w:val="single" w:sz="4" w:space="0" w:color="000000"/>
            </w:tcBorders>
            <w:shd w:val="clear" w:color="auto" w:fill="D3D3D3"/>
          </w:tcPr>
          <w:p>
            <w:pPr/>
          </w:p>
        </w:tc>
        <w:tc>
          <w:tcPr>
            <w:tcW w:w="25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7" w:type="dxa"/>
            <w:vMerge/>
            <w:tcBorders>
              <w:left w:val="single" w:sz="4" w:space="0" w:color="000000"/>
              <w:bottom w:val="single" w:sz="4" w:space="0" w:color="000000"/>
              <w:right w:val="single" w:sz="4" w:space="0" w:color="000000"/>
            </w:tcBorders>
            <w:shd w:val="clear" w:color="auto" w:fill="D3D3D3"/>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9" w:right="0"/>
              <w:jc w:val="left"/>
              <w:rPr>
                <w:rFonts w:ascii="Times New Roman" w:hAnsi="Times New Roman" w:cs="Times New Roman" w:eastAsia="Times New Roman" w:hint="default"/>
                <w:sz w:val="18"/>
                <w:szCs w:val="18"/>
              </w:rPr>
            </w:pPr>
            <w:r>
              <w:rPr>
                <w:rFonts w:ascii="Times New Roman"/>
                <w:sz w:val="18"/>
              </w:rPr>
              <w:t>(%)</w:t>
            </w:r>
          </w:p>
        </w:tc>
        <w:tc>
          <w:tcPr>
            <w:tcW w:w="1447" w:type="dxa"/>
            <w:vMerge/>
            <w:tcBorders>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8"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11,316,017.75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71.09%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3" w:right="0"/>
              <w:jc w:val="left"/>
              <w:rPr>
                <w:rFonts w:ascii="Times New Roman" w:hAnsi="Times New Roman" w:cs="Times New Roman" w:eastAsia="Times New Roman" w:hint="default"/>
                <w:sz w:val="18"/>
                <w:szCs w:val="18"/>
              </w:rPr>
            </w:pPr>
            <w:r>
              <w:rPr>
                <w:rFonts w:ascii="Times New Roman"/>
                <w:sz w:val="18"/>
              </w:rPr>
              <w:t>565,800.89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1" w:right="0"/>
              <w:jc w:val="left"/>
              <w:rPr>
                <w:rFonts w:ascii="Times New Roman" w:hAnsi="Times New Roman" w:cs="Times New Roman" w:eastAsia="Times New Roman" w:hint="default"/>
                <w:sz w:val="18"/>
                <w:szCs w:val="18"/>
              </w:rPr>
            </w:pPr>
            <w:r>
              <w:rPr>
                <w:rFonts w:ascii="Times New Roman"/>
                <w:sz w:val="18"/>
              </w:rPr>
              <w:t>4,555,628.62</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left"/>
              <w:rPr>
                <w:rFonts w:ascii="Times New Roman" w:hAnsi="Times New Roman" w:cs="Times New Roman" w:eastAsia="Times New Roman" w:hint="default"/>
                <w:sz w:val="18"/>
                <w:szCs w:val="18"/>
              </w:rPr>
            </w:pPr>
            <w:r>
              <w:rPr>
                <w:rFonts w:ascii="Times New Roman"/>
                <w:sz w:val="18"/>
              </w:rPr>
              <w:t>40.29%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0" w:right="0"/>
              <w:jc w:val="left"/>
              <w:rPr>
                <w:rFonts w:ascii="Times New Roman" w:hAnsi="Times New Roman" w:cs="Times New Roman" w:eastAsia="Times New Roman" w:hint="default"/>
                <w:sz w:val="18"/>
                <w:szCs w:val="18"/>
              </w:rPr>
            </w:pPr>
            <w:r>
              <w:rPr>
                <w:rFonts w:ascii="Times New Roman"/>
                <w:sz w:val="18"/>
              </w:rPr>
              <w:t>1,356,074.07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818"/>
        <w:gridCol w:w="1870"/>
        <w:gridCol w:w="659"/>
        <w:gridCol w:w="1447"/>
        <w:gridCol w:w="1450"/>
        <w:gridCol w:w="656"/>
        <w:gridCol w:w="1668"/>
      </w:tblGrid>
      <w:tr>
        <w:trPr>
          <w:trHeight w:val="402" w:hRule="exact"/>
        </w:trPr>
        <w:tc>
          <w:tcPr>
            <w:tcW w:w="1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11,316,017.75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565,800.89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4,555,628.62</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1,356,074.07</w:t>
            </w:r>
          </w:p>
        </w:tc>
      </w:tr>
      <w:tr>
        <w:trPr>
          <w:trHeight w:val="402" w:hRule="exact"/>
        </w:trPr>
        <w:tc>
          <w:tcPr>
            <w:tcW w:w="1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1,084,044.19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108,374.42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3,437,600.05</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142,045.35</w:t>
            </w:r>
          </w:p>
        </w:tc>
      </w:tr>
      <w:tr>
        <w:trPr>
          <w:trHeight w:val="402" w:hRule="exact"/>
        </w:trPr>
        <w:tc>
          <w:tcPr>
            <w:tcW w:w="1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514,636.21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102,927.25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1,514,833.40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302,966.68</w:t>
            </w:r>
          </w:p>
        </w:tc>
      </w:tr>
      <w:tr>
        <w:trPr>
          <w:trHeight w:val="402" w:hRule="exact"/>
        </w:trPr>
        <w:tc>
          <w:tcPr>
            <w:tcW w:w="1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3,002,504.51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2,205,366.44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1,800,332.57</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1,211,861.66</w:t>
            </w:r>
          </w:p>
        </w:tc>
      </w:tr>
      <w:tr>
        <w:trPr>
          <w:trHeight w:val="402" w:hRule="exact"/>
        </w:trPr>
        <w:tc>
          <w:tcPr>
            <w:tcW w:w="1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1,347,446.94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673,723.47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761,348.00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380,674.00</w:t>
            </w:r>
          </w:p>
        </w:tc>
      </w:tr>
      <w:tr>
        <w:trPr>
          <w:trHeight w:val="402" w:hRule="exact"/>
        </w:trPr>
        <w:tc>
          <w:tcPr>
            <w:tcW w:w="1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617,073.00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493,658.40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1,038,984.57</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831,187.66</w:t>
            </w:r>
          </w:p>
        </w:tc>
      </w:tr>
      <w:tr>
        <w:trPr>
          <w:trHeight w:val="402" w:hRule="exact"/>
        </w:trPr>
        <w:tc>
          <w:tcPr>
            <w:tcW w:w="1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1,037,984.57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1,037,984.57</w:t>
            </w:r>
          </w:p>
        </w:tc>
        <w:tc>
          <w:tcPr>
            <w:tcW w:w="145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15,917,202.66</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2,982,469.00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11,308,394.64</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3,012,947.76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pStyle w:val="BodyText"/>
        <w:spacing w:line="240" w:lineRule="auto" w:before="51"/>
        <w:ind w:right="-19"/>
        <w:jc w:val="left"/>
      </w:pPr>
      <w:r>
        <w:rPr/>
        <w:t>组合中，采用余额百分比法计提坏账准备的其他应收款</w:t>
      </w:r>
    </w:p>
    <w:p>
      <w:pPr>
        <w:pStyle w:val="BodyText"/>
        <w:spacing w:line="357" w:lineRule="auto" w:before="117"/>
        <w:ind w:left="153" w:right="521"/>
        <w:jc w:val="left"/>
      </w:pPr>
      <w:r>
        <w:rPr/>
        <w:t>□ 适用 √ 不适用 组合中，采用其他方法计提坏账准备的其他应收款</w:t>
      </w:r>
    </w:p>
    <w:p>
      <w:pPr>
        <w:pStyle w:val="BodyText"/>
        <w:spacing w:line="357" w:lineRule="auto" w:before="29"/>
        <w:ind w:left="153" w:right="-19"/>
        <w:jc w:val="left"/>
      </w:pPr>
      <w:r>
        <w:rPr/>
        <w:t>□ 适用 √ 不适用 期末单项金额虽不重大但单项计提坏账准备的其他应收款</w:t>
      </w:r>
    </w:p>
    <w:p>
      <w:pPr>
        <w:pStyle w:val="BodyText"/>
        <w:spacing w:line="240" w:lineRule="auto" w:before="27"/>
        <w:ind w:left="153" w:right="-19"/>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655" w:space="417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宝安嘉诺盟有限公司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久欠款预计无法收回</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25,600.00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2"/>
        <w:gridCol w:w="1711"/>
        <w:gridCol w:w="1862"/>
        <w:gridCol w:w="1918"/>
        <w:gridCol w:w="1884"/>
      </w:tblGrid>
      <w:tr>
        <w:trPr>
          <w:trHeight w:val="714" w:hRule="exact"/>
        </w:trPr>
        <w:tc>
          <w:tcPr>
            <w:tcW w:w="2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1"/>
        <w:ind w:right="149"/>
        <w:jc w:val="left"/>
      </w:pPr>
      <w:r>
        <w:rPr/>
        <w:t>期末单项金额重大或虽不重大但单独进行减值测试的其他应收账款坏账准备计提</w:t>
      </w:r>
    </w:p>
    <w:p>
      <w:pPr>
        <w:pStyle w:val="BodyText"/>
        <w:spacing w:line="240" w:lineRule="auto" w:before="117"/>
        <w:ind w:left="0" w:right="14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52"/>
        <w:gridCol w:w="1954"/>
        <w:gridCol w:w="1954"/>
        <w:gridCol w:w="1955"/>
        <w:gridCol w:w="1854"/>
      </w:tblGrid>
      <w:tr>
        <w:trPr>
          <w:trHeight w:val="402" w:hRule="exact"/>
        </w:trPr>
        <w:tc>
          <w:tcPr>
            <w:tcW w:w="1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1"/>
        <w:ind w:right="149"/>
        <w:jc w:val="left"/>
      </w:pPr>
      <w:r>
        <w:rPr/>
        <w:t>单项金额不重大但按信用风险特征组合后该组合的风险较大的其他应收款的说明</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5"/>
        <w:gridCol w:w="1594"/>
        <w:gridCol w:w="1462"/>
        <w:gridCol w:w="1519"/>
        <w:gridCol w:w="1801"/>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357" w:lineRule="auto" w:before="51"/>
        <w:ind w:left="153" w:right="6846"/>
        <w:jc w:val="left"/>
      </w:pPr>
      <w:r>
        <w:rPr/>
        <w:t>其他应收款核销说明 本期核销其他应收款</w:t>
      </w:r>
      <w:r>
        <w:rPr>
          <w:rFonts w:ascii="Times New Roman" w:hAnsi="Times New Roman" w:cs="Times New Roman" w:eastAsia="Times New Roman" w:hint="default"/>
        </w:rPr>
        <w:t>1,081,495.07</w:t>
      </w:r>
      <w:r>
        <w:rPr/>
        <w:t>元。</w:t>
      </w:r>
    </w:p>
    <w:p>
      <w:pPr>
        <w:spacing w:after="0" w:line="357" w:lineRule="auto"/>
        <w:jc w:val="left"/>
        <w:sectPr>
          <w:type w:val="continuous"/>
          <w:pgSz w:w="11910" w:h="16840"/>
          <w:pgMar w:top="106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4</w:t>
      </w:r>
      <w:r>
        <w:rPr/>
        <w:t>）本报告期其他应收款中持有公司</w:t>
      </w:r>
      <w:r>
        <w:rPr>
          <w:spacing w:val="-64"/>
        </w:rPr>
        <w:t> </w:t>
      </w:r>
      <w:r>
        <w:rPr>
          <w:rFonts w:ascii="Times New Roman" w:hAnsi="Times New Roman" w:cs="Times New Roman" w:eastAsia="Times New Roman" w:hint="default"/>
        </w:rPr>
        <w:t>5</w:t>
      </w:r>
      <w:r>
        <w:rPr/>
        <w:t>％（含</w:t>
      </w:r>
      <w:r>
        <w:rPr>
          <w:spacing w:val="-64"/>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92"/>
        <w:gridCol w:w="1727"/>
        <w:gridCol w:w="1594"/>
        <w:gridCol w:w="1860"/>
        <w:gridCol w:w="1583"/>
      </w:tblGrid>
      <w:tr>
        <w:trPr>
          <w:trHeight w:val="402" w:hRule="exact"/>
        </w:trPr>
        <w:tc>
          <w:tcPr>
            <w:tcW w:w="2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792"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1914"/>
        <w:gridCol w:w="2869"/>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pStyle w:val="BodyText"/>
        <w:spacing w:line="240" w:lineRule="auto" w:before="51"/>
        <w:ind w:right="149"/>
        <w:jc w:val="left"/>
      </w:pPr>
      <w:r>
        <w:rPr/>
        <w:t>说明</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643"/>
        <w:gridCol w:w="1327"/>
        <w:gridCol w:w="1171"/>
        <w:gridCol w:w="856"/>
        <w:gridCol w:w="2696"/>
      </w:tblGrid>
      <w:tr>
        <w:trPr>
          <w:trHeight w:val="402" w:hRule="exact"/>
        </w:trPr>
        <w:tc>
          <w:tcPr>
            <w:tcW w:w="3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26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3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周创新</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939,863.00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r>
      <w:tr>
        <w:trPr>
          <w:trHeight w:val="402" w:hRule="exact"/>
        </w:trPr>
        <w:tc>
          <w:tcPr>
            <w:tcW w:w="3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天宇交通建设投资公司</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906,380.00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w:t>
            </w:r>
          </w:p>
        </w:tc>
      </w:tr>
      <w:tr>
        <w:trPr>
          <w:trHeight w:val="402" w:hRule="exact"/>
        </w:trPr>
        <w:tc>
          <w:tcPr>
            <w:tcW w:w="3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中国航空技术进出口深圳公司</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558,458.33</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3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聂大鹏</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548,378.80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w:t>
            </w:r>
          </w:p>
        </w:tc>
      </w:tr>
      <w:tr>
        <w:trPr>
          <w:trHeight w:val="402" w:hRule="exact"/>
        </w:trPr>
        <w:tc>
          <w:tcPr>
            <w:tcW w:w="3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中国建设银行股份有限公司湖北省分行</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531,700.00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w:t>
            </w:r>
          </w:p>
        </w:tc>
      </w:tr>
      <w:tr>
        <w:trPr>
          <w:trHeight w:val="403" w:hRule="exact"/>
        </w:trPr>
        <w:tc>
          <w:tcPr>
            <w:tcW w:w="3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3,484,780.13</w:t>
            </w:r>
          </w:p>
        </w:tc>
        <w:tc>
          <w:tcPr>
            <w:tcW w:w="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69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21.86%</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89"/>
        <w:gridCol w:w="2990"/>
        <w:gridCol w:w="3588"/>
      </w:tblGrid>
      <w:tr>
        <w:trPr>
          <w:trHeight w:val="402" w:hRule="exact"/>
        </w:trPr>
        <w:tc>
          <w:tcPr>
            <w:tcW w:w="2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3"/>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8"/>
        <w:rPr>
          <w:rFonts w:ascii="宋体" w:hAnsi="宋体" w:cs="宋体" w:eastAsia="宋体" w:hint="default"/>
          <w:sz w:val="7"/>
          <w:szCs w:val="7"/>
        </w:rPr>
      </w:pPr>
    </w:p>
    <w:p>
      <w:pPr>
        <w:spacing w:line="1226" w:lineRule="exact"/>
        <w:ind w:left="144"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35pt;height:61.35pt;mso-position-horizontal-relative:char;mso-position-vertical-relative:line" coordorigin="0,0" coordsize="9587,1227">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3715;top:16;width:2;height:392" coordorigin="3715,16" coordsize="2,392">
              <v:shape style="position:absolute;left:3715;top:16;width:2;height:392" coordorigin="3715,16" coordsize="0,392" path="m3715,16l3715,407e" filled="false" stroked="true" strokeweight="1.2pt" strokecolor="#d3d3d3">
                <v:path arrowok="t"/>
              </v:shape>
            </v:group>
            <v:group style="position:absolute;left:37;top:14;width:3666;height:393" coordorigin="37,14" coordsize="3666,393">
              <v:shape style="position:absolute;left:37;top:14;width:3666;height:393" coordorigin="37,14" coordsize="3666,393" path="m37,407l3703,407,3703,14,37,14,37,407xe" filled="true" fillcolor="#d3d3d3" stroked="false">
                <v:path arrowok="t"/>
                <v:fill type="solid"/>
              </v:shape>
            </v:group>
            <v:group style="position:absolute;left:3748;top:16;width:2;height:392" coordorigin="3748,16" coordsize="2,392">
              <v:shape style="position:absolute;left:3748;top:16;width:2;height:392" coordorigin="3748,16" coordsize="0,392" path="m3748,16l3748,407e" filled="false" stroked="true" strokeweight="1.140pt" strokecolor="#d3d3d3">
                <v:path arrowok="t"/>
              </v:shape>
            </v:group>
            <v:group style="position:absolute;left:9561;top:16;width:2;height:392" coordorigin="9561,16" coordsize="2,392">
              <v:shape style="position:absolute;left:9561;top:16;width:2;height:392" coordorigin="9561,16" coordsize="0,392" path="m9561,16l9561,407e" filled="false" stroked="true" strokeweight="1.140pt" strokecolor="#d3d3d3">
                <v:path arrowok="t"/>
              </v:shape>
            </v:group>
            <v:group style="position:absolute;left:3760;top:14;width:5790;height:393" coordorigin="3760,14" coordsize="5790,393">
              <v:shape style="position:absolute;left:3760;top:14;width:5790;height:393" coordorigin="3760,14" coordsize="5790,393" path="m3760,407l9550,407,9550,14,3760,14,3760,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3732;top:14;width:2;height:393" coordorigin="3732,14" coordsize="2,393">
              <v:shape style="position:absolute;left:3732;top:14;width:2;height:393" coordorigin="3732,14" coordsize="0,393" path="m3732,14l3732,407e" filled="false" stroked="true" strokeweight=".48pt" strokecolor="#000000">
                <v:path arrowok="t"/>
              </v:shape>
            </v:group>
            <v:group style="position:absolute;left:9577;top:5;width:2;height:402" coordorigin="9577,5" coordsize="2,402">
              <v:shape style="position:absolute;left:9577;top:5;width:2;height:402" coordorigin="9577,5" coordsize="0,402" path="m9577,5l9577,407e" filled="false" stroked="true" strokeweight=".48pt" strokecolor="#000000">
                <v:path arrowok="t"/>
              </v:shape>
            </v:group>
            <v:group style="position:absolute;left:26;top:418;width:2;height:392" coordorigin="26,418" coordsize="2,392">
              <v:shape style="position:absolute;left:26;top:418;width:2;height:392" coordorigin="26,418" coordsize="0,392" path="m26,418l26,809e" filled="false" stroked="true" strokeweight="1.140pt" strokecolor="#d3d3d3">
                <v:path arrowok="t"/>
              </v:shape>
            </v:group>
            <v:group style="position:absolute;left:9561;top:418;width:2;height:392" coordorigin="9561,418" coordsize="2,392">
              <v:shape style="position:absolute;left:9561;top:418;width:2;height:392" coordorigin="9561,418" coordsize="0,392" path="m9561,418l9561,809e" filled="false" stroked="true" strokeweight="1.140pt" strokecolor="#d3d3d3">
                <v:path arrowok="t"/>
              </v:shape>
            </v:group>
            <v:group style="position:absolute;left:37;top:416;width:9513;height:393" coordorigin="37,416" coordsize="9513,393">
              <v:shape style="position:absolute;left:37;top:416;width:9513;height:393" coordorigin="37,416" coordsize="9513,393" path="m37,809l9550,809,9550,416,37,416,37,809xe" filled="true" fillcolor="#d3d3d3" stroked="false">
                <v:path arrowok="t"/>
                <v:fill type="solid"/>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416;width:2;height:393" coordorigin="10,416" coordsize="2,393">
              <v:shape style="position:absolute;left:10;top:416;width:2;height:393" coordorigin="10,416" coordsize="0,393" path="m10,416l10,809e" filled="false" stroked="true" strokeweight=".48pt" strokecolor="#000000">
                <v:path arrowok="t"/>
              </v:shape>
            </v:group>
            <v:group style="position:absolute;left:9577;top:416;width:2;height:393" coordorigin="9577,416" coordsize="2,393">
              <v:shape style="position:absolute;left:9577;top:416;width:2;height:393" coordorigin="9577,416" coordsize="0,393" path="m9577,416l9577,809e" filled="false" stroked="true" strokeweight=".48pt" strokecolor="#000000">
                <v:path arrowok="t"/>
              </v:shape>
            </v:group>
            <v:group style="position:absolute;left:26;top:820;width:2;height:392" coordorigin="26,820" coordsize="2,392">
              <v:shape style="position:absolute;left:26;top:820;width:2;height:392" coordorigin="26,820" coordsize="0,392" path="m26,820l26,1211e" filled="false" stroked="true" strokeweight="1.140pt" strokecolor="#d3d3d3">
                <v:path arrowok="t"/>
              </v:shape>
            </v:group>
            <v:group style="position:absolute;left:9561;top:820;width:2;height:392" coordorigin="9561,820" coordsize="2,392">
              <v:shape style="position:absolute;left:9561;top:820;width:2;height:392" coordorigin="9561,820" coordsize="0,392" path="m9561,820l9561,1211e" filled="false" stroked="true" strokeweight="1.140pt" strokecolor="#d3d3d3">
                <v:path arrowok="t"/>
              </v:shape>
            </v:group>
            <v:group style="position:absolute;left:37;top:818;width:9513;height:393" coordorigin="37,818" coordsize="9513,393">
              <v:shape style="position:absolute;left:37;top:818;width:9513;height:393" coordorigin="37,818" coordsize="9513,393" path="m37,1211l9550,1211,9550,818,37,818,37,1211xe" filled="true" fillcolor="#d3d3d3" stroked="false">
                <v:path arrowok="t"/>
                <v:fill type="solid"/>
              </v:shape>
            </v:group>
            <v:group style="position:absolute;left:5;top:814;width:9578;height:2" coordorigin="5,814" coordsize="9578,2">
              <v:shape style="position:absolute;left:5;top:814;width:9578;height:2" coordorigin="5,814" coordsize="9578,0" path="m5,814l9582,814e" filled="false" stroked="true" strokeweight=".48pt" strokecolor="#000000">
                <v:path arrowok="t"/>
              </v:shape>
            </v:group>
            <v:group style="position:absolute;left:10;top:818;width:2;height:404" coordorigin="10,818" coordsize="2,404">
              <v:shape style="position:absolute;left:10;top:818;width:2;height:404" coordorigin="10,818" coordsize="0,404" path="m10,818l10,1222e" filled="false" stroked="true" strokeweight=".48pt" strokecolor="#000000">
                <v:path arrowok="t"/>
              </v:shape>
            </v:group>
            <v:group style="position:absolute;left:5;top:1217;width:9568;height:2" coordorigin="5,1217" coordsize="9568,2">
              <v:shape style="position:absolute;left:5;top:1217;width:9568;height:2" coordorigin="5,1217" coordsize="9568,0" path="m5,1217l9572,1217e" filled="false" stroked="true" strokeweight=".48pt" strokecolor="#000000">
                <v:path arrowok="t"/>
              </v:shape>
            </v:group>
            <v:group style="position:absolute;left:9577;top:818;width:2;height:404" coordorigin="9577,818" coordsize="2,404">
              <v:shape style="position:absolute;left:9577;top:818;width:2;height:404" coordorigin="9577,818" coordsize="0,404" path="m9577,818l9577,1222e" filled="false" stroked="true" strokeweight=".48pt" strokecolor="#000000">
                <v:path arrowok="t"/>
              </v:shape>
              <v:shape style="position:absolute;left:1690;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4;top:12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7;top:5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7;top:92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after="0" w:line="1226" w:lineRule="exact"/>
        <w:rPr>
          <w:rFonts w:ascii="宋体" w:hAnsi="宋体" w:cs="宋体" w:eastAsia="宋体" w:hint="default"/>
          <w:sz w:val="20"/>
          <w:szCs w:val="20"/>
        </w:rPr>
        <w:sectPr>
          <w:footerReference w:type="default" r:id="rId27"/>
          <w:pgSz w:w="11910" w:h="16840"/>
          <w:pgMar w:footer="982" w:header="877"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49"/>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9"/>
        <w:gridCol w:w="3199"/>
        <w:gridCol w:w="1062"/>
        <w:gridCol w:w="3054"/>
        <w:gridCol w:w="1062"/>
      </w:tblGrid>
      <w:tr>
        <w:trPr>
          <w:trHeight w:val="201" w:hRule="exact"/>
        </w:trPr>
        <w:tc>
          <w:tcPr>
            <w:tcW w:w="1179" w:type="dxa"/>
            <w:tcBorders>
              <w:top w:val="single" w:sz="4" w:space="0" w:color="000000"/>
              <w:left w:val="single" w:sz="4" w:space="0" w:color="000000"/>
              <w:bottom w:val="nil" w:sz="6" w:space="0" w:color="auto"/>
              <w:right w:val="single" w:sz="4" w:space="0" w:color="000000"/>
            </w:tcBorders>
            <w:shd w:val="clear" w:color="auto" w:fill="D3D3D3"/>
          </w:tcPr>
          <w:p>
            <w:pPr/>
          </w:p>
        </w:tc>
        <w:tc>
          <w:tcPr>
            <w:tcW w:w="426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1" w:hRule="exact"/>
        </w:trPr>
        <w:tc>
          <w:tcPr>
            <w:tcW w:w="117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261" w:type="dxa"/>
            <w:gridSpan w:val="2"/>
            <w:vMerge/>
            <w:tcBorders>
              <w:left w:val="single" w:sz="4" w:space="0" w:color="000000"/>
              <w:bottom w:val="single" w:sz="4" w:space="0" w:color="000000"/>
              <w:right w:val="single" w:sz="4" w:space="0" w:color="000000"/>
            </w:tcBorders>
            <w:shd w:val="clear" w:color="auto" w:fill="D3D3D3"/>
          </w:tcPr>
          <w:p>
            <w:pPr/>
          </w:p>
        </w:tc>
        <w:tc>
          <w:tcPr>
            <w:tcW w:w="4116"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179" w:type="dxa"/>
            <w:vMerge/>
            <w:tcBorders>
              <w:left w:val="single" w:sz="4" w:space="0" w:color="000000"/>
              <w:bottom w:val="nil" w:sz="6" w:space="0" w:color="auto"/>
              <w:right w:val="single" w:sz="4" w:space="0" w:color="000000"/>
            </w:tcBorders>
            <w:shd w:val="clear" w:color="auto" w:fill="D3D3D3"/>
          </w:tcPr>
          <w:p>
            <w:pPr/>
          </w:p>
        </w:tc>
        <w:tc>
          <w:tcPr>
            <w:tcW w:w="31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11" w:hRule="exact"/>
        </w:trPr>
        <w:tc>
          <w:tcPr>
            <w:tcW w:w="1179"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9"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3054"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15,690,405.28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86.54%</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14,954,260.45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90.61%</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2,216,053.74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12.22%</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1,182,886.97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7.17%</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189,659.40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159,573.97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0.97%</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34,710.00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207,391.51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w:t>
            </w:r>
          </w:p>
        </w:tc>
      </w:tr>
      <w:tr>
        <w:trPr>
          <w:trHeight w:val="403"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18,130,828.42</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16,504,112.90</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49"/>
        <w:jc w:val="left"/>
      </w:pPr>
      <w:r>
        <w:rPr/>
        <w:t>预付款项账龄的说明</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4015"/>
        <w:gridCol w:w="1770"/>
        <w:gridCol w:w="1560"/>
        <w:gridCol w:w="859"/>
        <w:gridCol w:w="1489"/>
      </w:tblGrid>
      <w:tr>
        <w:trPr>
          <w:trHeight w:val="402" w:hRule="exact"/>
        </w:trPr>
        <w:tc>
          <w:tcPr>
            <w:tcW w:w="40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1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2" w:hRule="exact"/>
        </w:trPr>
        <w:tc>
          <w:tcPr>
            <w:tcW w:w="4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青岛东方凯瑞进出口有限公司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3,149,697.00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02" w:hRule="exact"/>
        </w:trPr>
        <w:tc>
          <w:tcPr>
            <w:tcW w:w="4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深圳市盛百强电子有限公司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02" w:hRule="exact"/>
        </w:trPr>
        <w:tc>
          <w:tcPr>
            <w:tcW w:w="4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深圳华视电子读写设备有限公司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1,413,200.00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02" w:hRule="exact"/>
        </w:trPr>
        <w:tc>
          <w:tcPr>
            <w:tcW w:w="4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深圳用友软件有限公司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1,039,273.56</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02" w:hRule="exact"/>
        </w:trPr>
        <w:tc>
          <w:tcPr>
            <w:tcW w:w="4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惠州市丰远建设工程有限公司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施工方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899,750.00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40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8,001,920.56</w:t>
            </w:r>
          </w:p>
        </w:tc>
        <w:tc>
          <w:tcPr>
            <w:tcW w:w="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49"/>
        <w:jc w:val="left"/>
      </w:pPr>
      <w:r>
        <w:rPr/>
        <w:t>预付款项主要单位的说明</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t>（</w:t>
      </w:r>
      <w:r>
        <w:rPr>
          <w:rFonts w:ascii="Times New Roman" w:hAnsi="Times New Roman" w:cs="Times New Roman" w:eastAsia="Times New Roman" w:hint="default"/>
        </w:rPr>
        <w:t>3</w:t>
      </w:r>
      <w:r>
        <w:rPr/>
        <w:t>）本报告期预付款项中持有本公司</w:t>
      </w:r>
      <w:r>
        <w:rPr>
          <w:spacing w:val="-64"/>
        </w:rPr>
        <w:t> </w:t>
      </w:r>
      <w:r>
        <w:rPr>
          <w:rFonts w:ascii="Times New Roman" w:hAnsi="Times New Roman" w:cs="Times New Roman" w:eastAsia="Times New Roman" w:hint="default"/>
        </w:rPr>
        <w:t>5</w:t>
      </w:r>
      <w:r>
        <w:rPr/>
        <w:t>％（含</w:t>
      </w:r>
      <w:r>
        <w:rPr>
          <w:spacing w:val="-64"/>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2"/>
        <w:gridCol w:w="1727"/>
        <w:gridCol w:w="1594"/>
        <w:gridCol w:w="1727"/>
        <w:gridCol w:w="1699"/>
      </w:tblGrid>
      <w:tr>
        <w:trPr>
          <w:trHeight w:val="402" w:hRule="exact"/>
        </w:trPr>
        <w:tc>
          <w:tcPr>
            <w:tcW w:w="2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2792"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7"/>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9"/>
        <w:jc w:val="left"/>
      </w:pPr>
      <w:r>
        <w:rPr/>
        <w:t>年末预付款项中无持本公司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％）表决权股份的股东单位欠款。</w:t>
      </w:r>
    </w:p>
    <w:p>
      <w:pPr>
        <w:spacing w:after="0" w:line="240" w:lineRule="auto"/>
        <w:jc w:val="left"/>
        <w:sectPr>
          <w:footerReference w:type="default" r:id="rId28"/>
          <w:pgSz w:w="11910" w:h="16840"/>
          <w:pgMar w:footer="982" w:header="877" w:top="1100" w:bottom="1180" w:left="980" w:right="980"/>
          <w:pgNumType w:start="101"/>
        </w:sectPr>
      </w:pPr>
    </w:p>
    <w:p>
      <w:pPr>
        <w:spacing w:line="240" w:lineRule="auto" w:before="10"/>
        <w:rPr>
          <w:rFonts w:ascii="宋体" w:hAnsi="宋体" w:cs="宋体" w:eastAsia="宋体" w:hint="default"/>
          <w:sz w:val="20"/>
          <w:szCs w:val="20"/>
        </w:rPr>
      </w:pPr>
    </w:p>
    <w:p>
      <w:pPr>
        <w:pStyle w:val="Heading3"/>
        <w:spacing w:line="240" w:lineRule="auto" w:before="35"/>
        <w:ind w:right="149"/>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49"/>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6"/>
        <w:gridCol w:w="1472"/>
        <w:gridCol w:w="1194"/>
        <w:gridCol w:w="1330"/>
        <w:gridCol w:w="1327"/>
        <w:gridCol w:w="1330"/>
        <w:gridCol w:w="1328"/>
      </w:tblGrid>
      <w:tr>
        <w:trPr>
          <w:trHeight w:val="201" w:hRule="exact"/>
        </w:trPr>
        <w:tc>
          <w:tcPr>
            <w:tcW w:w="1586" w:type="dxa"/>
            <w:tcBorders>
              <w:top w:val="single" w:sz="4" w:space="0" w:color="000000"/>
              <w:left w:val="single" w:sz="4" w:space="0" w:color="000000"/>
              <w:bottom w:val="nil" w:sz="6" w:space="0" w:color="auto"/>
              <w:right w:val="single" w:sz="4" w:space="0" w:color="000000"/>
            </w:tcBorders>
            <w:shd w:val="clear" w:color="auto" w:fill="D3D3D3"/>
          </w:tcPr>
          <w:p>
            <w:pPr/>
          </w:p>
        </w:tc>
        <w:tc>
          <w:tcPr>
            <w:tcW w:w="399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1" w:hRule="exact"/>
        </w:trPr>
        <w:tc>
          <w:tcPr>
            <w:tcW w:w="15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96" w:type="dxa"/>
            <w:gridSpan w:val="3"/>
            <w:vMerge/>
            <w:tcBorders>
              <w:left w:val="single" w:sz="4" w:space="0" w:color="000000"/>
              <w:bottom w:val="single" w:sz="4" w:space="0" w:color="000000"/>
              <w:right w:val="single" w:sz="4" w:space="0" w:color="000000"/>
            </w:tcBorders>
            <w:shd w:val="clear" w:color="auto" w:fill="D3D3D3"/>
          </w:tcPr>
          <w:p>
            <w:pPr/>
          </w:p>
        </w:tc>
        <w:tc>
          <w:tcPr>
            <w:tcW w:w="3985"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586" w:type="dxa"/>
            <w:vMerge/>
            <w:tcBorders>
              <w:left w:val="single" w:sz="4" w:space="0" w:color="000000"/>
              <w:bottom w:val="nil" w:sz="6" w:space="0" w:color="auto"/>
              <w:right w:val="single" w:sz="4" w:space="0" w:color="000000"/>
            </w:tcBorders>
            <w:shd w:val="clear" w:color="auto" w:fill="D3D3D3"/>
          </w:tcPr>
          <w:p>
            <w:pPr/>
          </w:p>
        </w:tc>
        <w:tc>
          <w:tcPr>
            <w:tcW w:w="14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1" w:hRule="exact"/>
        </w:trPr>
        <w:tc>
          <w:tcPr>
            <w:tcW w:w="1586" w:type="dxa"/>
            <w:tcBorders>
              <w:top w:val="nil" w:sz="6" w:space="0" w:color="auto"/>
              <w:left w:val="single" w:sz="4" w:space="0" w:color="000000"/>
              <w:bottom w:val="single" w:sz="4" w:space="0" w:color="000000"/>
              <w:right w:val="single" w:sz="4" w:space="0" w:color="000000"/>
            </w:tcBorders>
            <w:shd w:val="clear" w:color="auto" w:fill="D3D3D3"/>
          </w:tcPr>
          <w:p>
            <w:pPr/>
          </w:p>
        </w:tc>
        <w:tc>
          <w:tcPr>
            <w:tcW w:w="1472" w:type="dxa"/>
            <w:vMerge/>
            <w:tcBorders>
              <w:left w:val="single" w:sz="4" w:space="0" w:color="000000"/>
              <w:bottom w:val="single" w:sz="4" w:space="0" w:color="000000"/>
              <w:right w:val="single" w:sz="4" w:space="0" w:color="000000"/>
            </w:tcBorders>
            <w:shd w:val="clear" w:color="auto" w:fill="D3D3D3"/>
          </w:tcPr>
          <w:p>
            <w:pPr/>
          </w:p>
        </w:tc>
        <w:tc>
          <w:tcPr>
            <w:tcW w:w="1194"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101,459,668.35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1,908,969.09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99,550,699.26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79,413,412.79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1,162,837.10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78,250,575.69</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18,630,492.20</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18,630,492.20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23,144,139.09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23,144,139.09</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29,387,132.07</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620,174.13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28,766,957.94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68,469,107.87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685,022.02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67,784,085.85</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472"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7,627,046.75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161,696.91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7,465,349.84</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委托加工材料</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20,080,385.14</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20,080,385.14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18,126,513.40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18,126,513.40</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472"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35,642,674.89</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35,642,674.89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69,359,775.01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69,359,775.01</w:t>
            </w:r>
          </w:p>
        </w:tc>
      </w:tr>
      <w:tr>
        <w:trPr>
          <w:trHeight w:val="403"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205,200,352.65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2,529,143.22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202,671,209.43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266,139,994.91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2,009,556.03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264,130,438.88</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726"/>
        <w:gridCol w:w="1615"/>
        <w:gridCol w:w="1615"/>
        <w:gridCol w:w="1414"/>
        <w:gridCol w:w="1430"/>
        <w:gridCol w:w="1756"/>
      </w:tblGrid>
      <w:tr>
        <w:trPr>
          <w:trHeight w:val="200" w:hRule="exact"/>
        </w:trPr>
        <w:tc>
          <w:tcPr>
            <w:tcW w:w="1726" w:type="dxa"/>
            <w:tcBorders>
              <w:top w:val="single" w:sz="4" w:space="0" w:color="000000"/>
              <w:left w:val="single" w:sz="4" w:space="0" w:color="000000"/>
              <w:bottom w:val="nil" w:sz="6" w:space="0" w:color="auto"/>
              <w:right w:val="single" w:sz="4" w:space="0" w:color="000000"/>
            </w:tcBorders>
            <w:shd w:val="clear" w:color="auto" w:fill="D3D3D3"/>
          </w:tcPr>
          <w:p>
            <w:pPr/>
          </w:p>
        </w:tc>
        <w:tc>
          <w:tcPr>
            <w:tcW w:w="16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615" w:type="dxa"/>
            <w:tcBorders>
              <w:top w:val="single" w:sz="4" w:space="0" w:color="000000"/>
              <w:left w:val="single" w:sz="4" w:space="0" w:color="000000"/>
              <w:bottom w:val="nil" w:sz="6" w:space="0" w:color="auto"/>
              <w:right w:val="single" w:sz="4" w:space="0" w:color="000000"/>
            </w:tcBorders>
            <w:shd w:val="clear" w:color="auto" w:fill="D3D3D3"/>
          </w:tcPr>
          <w:p>
            <w:pPr/>
          </w:p>
        </w:tc>
        <w:tc>
          <w:tcPr>
            <w:tcW w:w="284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17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492"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6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vMerge/>
            <w:tcBorders>
              <w:left w:val="single" w:sz="4" w:space="0" w:color="000000"/>
              <w:bottom w:val="single" w:sz="4" w:space="0" w:color="000000"/>
              <w:right w:val="single" w:sz="4" w:space="0" w:color="000000"/>
            </w:tcBorders>
            <w:shd w:val="clear" w:color="auto" w:fill="D3D3D3"/>
          </w:tcPr>
          <w:p>
            <w:pPr/>
          </w:p>
        </w:tc>
        <w:tc>
          <w:tcPr>
            <w:tcW w:w="17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3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1" w:hRule="exact"/>
        </w:trPr>
        <w:tc>
          <w:tcPr>
            <w:tcW w:w="1726" w:type="dxa"/>
            <w:vMerge/>
            <w:tcBorders>
              <w:left w:val="single" w:sz="4" w:space="0" w:color="000000"/>
              <w:bottom w:val="nil" w:sz="6" w:space="0" w:color="auto"/>
              <w:right w:val="single" w:sz="4" w:space="0" w:color="000000"/>
            </w:tcBorders>
            <w:shd w:val="clear" w:color="auto" w:fill="D3D3D3"/>
          </w:tcPr>
          <w:p>
            <w:pPr/>
          </w:p>
        </w:tc>
        <w:tc>
          <w:tcPr>
            <w:tcW w:w="1615" w:type="dxa"/>
            <w:vMerge/>
            <w:tcBorders>
              <w:left w:val="single" w:sz="4" w:space="0" w:color="000000"/>
              <w:bottom w:val="nil" w:sz="6" w:space="0" w:color="auto"/>
              <w:right w:val="single" w:sz="4" w:space="0" w:color="000000"/>
            </w:tcBorders>
            <w:shd w:val="clear" w:color="auto" w:fill="D3D3D3"/>
          </w:tcPr>
          <w:p>
            <w:pPr/>
          </w:p>
        </w:tc>
        <w:tc>
          <w:tcPr>
            <w:tcW w:w="1615" w:type="dxa"/>
            <w:vMerge/>
            <w:tcBorders>
              <w:left w:val="single" w:sz="4" w:space="0" w:color="000000"/>
              <w:bottom w:val="nil" w:sz="6" w:space="0" w:color="auto"/>
              <w:right w:val="single" w:sz="4" w:space="0" w:color="000000"/>
            </w:tcBorders>
            <w:shd w:val="clear" w:color="auto" w:fill="D3D3D3"/>
          </w:tcPr>
          <w:p>
            <w:pPr/>
          </w:p>
        </w:tc>
        <w:tc>
          <w:tcPr>
            <w:tcW w:w="14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6" w:type="dxa"/>
            <w:vMerge/>
            <w:tcBorders>
              <w:left w:val="single" w:sz="4" w:space="0" w:color="000000"/>
              <w:bottom w:val="nil" w:sz="6" w:space="0" w:color="auto"/>
              <w:right w:val="single" w:sz="4" w:space="0" w:color="000000"/>
            </w:tcBorders>
            <w:shd w:val="clear" w:color="auto" w:fill="D3D3D3"/>
          </w:tcPr>
          <w:p>
            <w:pPr/>
          </w:p>
        </w:tc>
      </w:tr>
      <w:tr>
        <w:trPr>
          <w:trHeight w:val="211" w:hRule="exact"/>
        </w:trPr>
        <w:tc>
          <w:tcPr>
            <w:tcW w:w="1726" w:type="dxa"/>
            <w:tcBorders>
              <w:top w:val="nil" w:sz="6" w:space="0" w:color="auto"/>
              <w:left w:val="single" w:sz="4" w:space="0" w:color="000000"/>
              <w:bottom w:val="single" w:sz="4" w:space="0" w:color="000000"/>
              <w:right w:val="single" w:sz="4" w:space="0" w:color="000000"/>
            </w:tcBorders>
            <w:shd w:val="clear" w:color="auto" w:fill="D3D3D3"/>
          </w:tcPr>
          <w:p>
            <w:pPr/>
          </w:p>
        </w:tc>
        <w:tc>
          <w:tcPr>
            <w:tcW w:w="16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6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4" w:type="dxa"/>
            <w:vMerge/>
            <w:tcBorders>
              <w:left w:val="single" w:sz="4" w:space="0" w:color="000000"/>
              <w:bottom w:val="single" w:sz="4" w:space="0" w:color="000000"/>
              <w:right w:val="single" w:sz="4" w:space="0" w:color="000000"/>
            </w:tcBorders>
            <w:shd w:val="clear" w:color="auto" w:fill="D3D3D3"/>
          </w:tcPr>
          <w:p>
            <w:pPr/>
          </w:p>
        </w:tc>
        <w:tc>
          <w:tcPr>
            <w:tcW w:w="1430" w:type="dxa"/>
            <w:vMerge/>
            <w:tcBorders>
              <w:left w:val="single" w:sz="4" w:space="0" w:color="000000"/>
              <w:bottom w:val="single" w:sz="4" w:space="0" w:color="000000"/>
              <w:right w:val="single" w:sz="4" w:space="0" w:color="000000"/>
            </w:tcBorders>
            <w:shd w:val="clear" w:color="auto" w:fill="D3D3D3"/>
          </w:tcPr>
          <w:p>
            <w:pPr/>
          </w:p>
        </w:tc>
        <w:tc>
          <w:tcPr>
            <w:tcW w:w="175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1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1,162,837.10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746,131.99</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1,908,969.09</w:t>
            </w:r>
          </w:p>
        </w:tc>
      </w:tr>
      <w:tr>
        <w:trPr>
          <w:trHeight w:val="402" w:hRule="exact"/>
        </w:trPr>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685,022.02</w:t>
            </w: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64,847.89</w:t>
            </w:r>
          </w:p>
        </w:tc>
        <w:tc>
          <w:tcPr>
            <w:tcW w:w="1430"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620,174.13</w:t>
            </w:r>
          </w:p>
        </w:tc>
      </w:tr>
      <w:tr>
        <w:trPr>
          <w:trHeight w:val="402"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161,696.91</w:t>
            </w: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161,696.91</w:t>
            </w:r>
          </w:p>
        </w:tc>
        <w:tc>
          <w:tcPr>
            <w:tcW w:w="1430"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161,696.91</w:t>
            </w:r>
          </w:p>
        </w:tc>
      </w:tr>
      <w:tr>
        <w:trPr>
          <w:trHeight w:val="403" w:hRule="exact"/>
        </w:trPr>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2,009,556.03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746,131.99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226,544.80</w:t>
            </w:r>
          </w:p>
        </w:tc>
        <w:tc>
          <w:tcPr>
            <w:tcW w:w="1430"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2,529,143.22</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0"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96" w:right="109"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240" w:lineRule="auto" w:before="55"/>
        <w:ind w:right="149"/>
        <w:jc w:val="left"/>
      </w:pPr>
      <w:r>
        <w:rPr/>
        <w:t>存货的说明</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46"/>
        <w:gridCol w:w="2922"/>
        <w:gridCol w:w="3188"/>
      </w:tblGrid>
      <w:tr>
        <w:trPr>
          <w:trHeight w:val="402" w:hRule="exact"/>
        </w:trPr>
        <w:tc>
          <w:tcPr>
            <w:tcW w:w="34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51"/>
        <w:ind w:right="149"/>
        <w:jc w:val="left"/>
      </w:pPr>
      <w:r>
        <w:rPr/>
        <w:t>其他流动资产说明</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9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6"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pStyle w:val="BodyText"/>
        <w:spacing w:line="357" w:lineRule="auto" w:before="52"/>
        <w:ind w:right="90"/>
        <w:jc w:val="left"/>
      </w:pPr>
      <w:r>
        <w:rPr>
          <w:spacing w:val="-4"/>
        </w:rPr>
        <w:t>本期将持有至到期投资重分类为可供出售金融资产的，本期重分类的金额元，该金额占重分类前持有至到期投资总额的比例。</w:t>
      </w:r>
      <w:r>
        <w:rPr>
          <w:spacing w:val="-44"/>
        </w:rPr>
        <w:t> </w:t>
      </w:r>
      <w:r>
        <w:rPr>
          <w:spacing w:val="-44"/>
        </w:rPr>
      </w:r>
      <w:r>
        <w:rPr/>
        <w:t>可供出售金融资产的说明</w:t>
      </w:r>
    </w:p>
    <w:p>
      <w:pPr>
        <w:spacing w:line="240" w:lineRule="auto" w:before="1"/>
        <w:rPr>
          <w:rFonts w:ascii="宋体" w:hAnsi="宋体" w:cs="宋体" w:eastAsia="宋体" w:hint="default"/>
          <w:sz w:val="20"/>
          <w:szCs w:val="20"/>
        </w:rPr>
      </w:pPr>
    </w:p>
    <w:p>
      <w:pPr>
        <w:pStyle w:val="Heading3"/>
        <w:spacing w:line="240" w:lineRule="auto"/>
        <w:ind w:right="90"/>
        <w:jc w:val="left"/>
        <w:rPr>
          <w:b w:val="0"/>
          <w:bCs w:val="0"/>
        </w:rPr>
      </w:pP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4"/>
        <w:gridCol w:w="1062"/>
        <w:gridCol w:w="1064"/>
        <w:gridCol w:w="1062"/>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债券种类</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6" w:right="73"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65" w:right="74" w:hanging="90"/>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90"/>
        <w:jc w:val="left"/>
      </w:pPr>
      <w:r>
        <w:rPr/>
        <w:t>可供出售金融资产的长期债权投资的说明</w:t>
      </w:r>
    </w:p>
    <w:p>
      <w:pPr>
        <w:spacing w:line="240" w:lineRule="auto" w:before="11"/>
        <w:rPr>
          <w:rFonts w:ascii="宋体" w:hAnsi="宋体" w:cs="宋体" w:eastAsia="宋体" w:hint="default"/>
          <w:sz w:val="26"/>
          <w:szCs w:val="26"/>
        </w:rPr>
      </w:pPr>
    </w:p>
    <w:p>
      <w:pPr>
        <w:pStyle w:val="Heading3"/>
        <w:spacing w:line="240" w:lineRule="auto"/>
        <w:ind w:right="90"/>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6"/>
        <w:gridCol w:w="3054"/>
        <w:gridCol w:w="3187"/>
      </w:tblGrid>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pStyle w:val="BodyText"/>
        <w:spacing w:line="240" w:lineRule="auto" w:before="51"/>
        <w:ind w:right="90"/>
        <w:jc w:val="left"/>
      </w:pPr>
      <w:r>
        <w:rPr/>
        <w:t>持有至到期投资的说明</w:t>
      </w:r>
    </w:p>
    <w:p>
      <w:pPr>
        <w:spacing w:line="240" w:lineRule="auto" w:before="11"/>
        <w:rPr>
          <w:rFonts w:ascii="宋体" w:hAnsi="宋体" w:cs="宋体" w:eastAsia="宋体" w:hint="default"/>
          <w:sz w:val="26"/>
          <w:szCs w:val="26"/>
        </w:rPr>
      </w:pPr>
    </w:p>
    <w:p>
      <w:pPr>
        <w:pStyle w:val="Heading3"/>
        <w:spacing w:line="240" w:lineRule="auto"/>
        <w:ind w:right="90"/>
        <w:jc w:val="left"/>
        <w:rPr>
          <w:b w:val="0"/>
          <w:bCs w:val="0"/>
        </w:rPr>
      </w:pPr>
      <w:r>
        <w:rPr/>
        <w:t>（</w:t>
      </w:r>
      <w:r>
        <w:rPr>
          <w:rFonts w:ascii="Times New Roman" w:hAnsi="Times New Roman" w:cs="Times New Roman" w:eastAsia="Times New Roman" w:hint="default"/>
        </w:rPr>
        <w:t>2</w:t>
      </w:r>
      <w:r>
        <w:rPr/>
        <w:t>）本报告期内出售但尚未到期的持有至到期投资情况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97"/>
        <w:gridCol w:w="2790"/>
        <w:gridCol w:w="3980"/>
      </w:tblGrid>
      <w:tr>
        <w:trPr>
          <w:trHeight w:val="402" w:hRule="exact"/>
        </w:trPr>
        <w:tc>
          <w:tcPr>
            <w:tcW w:w="2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240" w:lineRule="auto" w:before="51"/>
        <w:ind w:right="90"/>
        <w:jc w:val="left"/>
      </w:pPr>
      <w:r>
        <w:rPr/>
        <w:t>本报告期内出售但尚未到期的持有至到期投资情况说明</w:t>
      </w:r>
    </w:p>
    <w:p>
      <w:pPr>
        <w:spacing w:line="240" w:lineRule="auto" w:before="11"/>
        <w:rPr>
          <w:rFonts w:ascii="宋体" w:hAnsi="宋体" w:cs="宋体" w:eastAsia="宋体" w:hint="default"/>
          <w:sz w:val="26"/>
          <w:szCs w:val="26"/>
        </w:rPr>
      </w:pPr>
    </w:p>
    <w:p>
      <w:pPr>
        <w:pStyle w:val="Heading3"/>
        <w:spacing w:line="240" w:lineRule="auto"/>
        <w:ind w:right="90"/>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69"/>
        <w:gridCol w:w="3334"/>
        <w:gridCol w:w="3454"/>
      </w:tblGrid>
      <w:tr>
        <w:trPr>
          <w:trHeight w:val="402" w:hRule="exact"/>
        </w:trPr>
        <w:tc>
          <w:tcPr>
            <w:tcW w:w="2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33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29,002,570.00</w:t>
            </w:r>
          </w:p>
        </w:tc>
        <w:tc>
          <w:tcPr>
            <w:tcW w:w="3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6,020,429.92</w:t>
            </w:r>
          </w:p>
        </w:tc>
        <w:tc>
          <w:tcPr>
            <w:tcW w:w="3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35,022,999.92</w:t>
            </w:r>
          </w:p>
        </w:tc>
        <w:tc>
          <w:tcPr>
            <w:tcW w:w="34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90"/>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after="0" w:line="240" w:lineRule="auto"/>
        <w:jc w:val="right"/>
        <w:sectPr>
          <w:pgSz w:w="11910" w:h="16840"/>
          <w:pgMar w:header="877" w:footer="982" w:top="1100" w:bottom="1180" w:left="980" w:right="94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8"/>
        <w:gridCol w:w="1194"/>
        <w:gridCol w:w="1196"/>
        <w:gridCol w:w="1194"/>
        <w:gridCol w:w="1198"/>
        <w:gridCol w:w="1196"/>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2" w:right="53" w:hanging="450"/>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7" w:right="50" w:hanging="316"/>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4"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2" w:right="49" w:hanging="450"/>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3"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2"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51"/>
        <w:ind w:right="149"/>
        <w:jc w:val="left"/>
      </w:pPr>
      <w:r>
        <w:rPr/>
        <w:t>合营企业、联营企业的重要会计政策、会计估计与公司的会计政策、会计估计存在重大差异的说明</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1962"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深圳市通 新源物业 管理有限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11,764,00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5,882,000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5,575,808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11,457,80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中科恒源 科技股份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19,825,00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19,825,00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19,825,00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277,550.0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深圳市兵 港科技有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138,258.8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138,258.8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138,258.8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31,727,25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25,845,25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5,575,808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31,421,06</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7.14</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277,550.0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58" w:right="59" w:hanging="900"/>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pStyle w:val="BodyText"/>
        <w:spacing w:line="240" w:lineRule="auto" w:before="51"/>
        <w:ind w:right="149"/>
        <w:jc w:val="left"/>
      </w:pPr>
      <w:r>
        <w:rPr/>
        <w:t>长期股权投资的说明</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49"/>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707"/>
        <w:gridCol w:w="2005"/>
        <w:gridCol w:w="1860"/>
        <w:gridCol w:w="1860"/>
        <w:gridCol w:w="2126"/>
      </w:tblGrid>
      <w:tr>
        <w:trPr>
          <w:trHeight w:val="402" w:hRule="exact"/>
        </w:trPr>
        <w:tc>
          <w:tcPr>
            <w:tcW w:w="1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1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0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52,443,521.60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52,443,521.60</w:t>
            </w:r>
          </w:p>
        </w:tc>
      </w:tr>
      <w:tr>
        <w:trPr>
          <w:trHeight w:val="402" w:hRule="exact"/>
        </w:trPr>
        <w:tc>
          <w:tcPr>
            <w:tcW w:w="1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52,443,521.60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52,443,521.60</w:t>
            </w:r>
          </w:p>
        </w:tc>
      </w:tr>
      <w:tr>
        <w:trPr>
          <w:trHeight w:val="714" w:hRule="exact"/>
        </w:trPr>
        <w:tc>
          <w:tcPr>
            <w:tcW w:w="1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二、累计折旧和累计 摊销合计</w:t>
            </w:r>
          </w:p>
        </w:tc>
        <w:tc>
          <w:tcPr>
            <w:tcW w:w="20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2,927,200.02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1,258,557.41</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4,185,757.43</w:t>
            </w:r>
          </w:p>
        </w:tc>
      </w:tr>
      <w:tr>
        <w:trPr>
          <w:trHeight w:val="402" w:hRule="exact"/>
        </w:trPr>
        <w:tc>
          <w:tcPr>
            <w:tcW w:w="1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2,927,200.02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1,258,557.41</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4,185,757.43</w:t>
            </w:r>
          </w:p>
        </w:tc>
      </w:tr>
      <w:tr>
        <w:trPr>
          <w:trHeight w:val="714" w:hRule="exact"/>
        </w:trPr>
        <w:tc>
          <w:tcPr>
            <w:tcW w:w="1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三、投资性房地产账 面净值合计</w:t>
            </w:r>
          </w:p>
        </w:tc>
        <w:tc>
          <w:tcPr>
            <w:tcW w:w="20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49,516,321.58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-1,258,557.41</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48,257,764.17</w:t>
            </w:r>
          </w:p>
        </w:tc>
      </w:tr>
      <w:tr>
        <w:trPr>
          <w:trHeight w:val="402" w:hRule="exact"/>
        </w:trPr>
        <w:tc>
          <w:tcPr>
            <w:tcW w:w="1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49,516,321.58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-1,258,557.41</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48,257,764.17</w:t>
            </w:r>
          </w:p>
        </w:tc>
      </w:tr>
      <w:tr>
        <w:trPr>
          <w:trHeight w:val="714" w:hRule="exact"/>
        </w:trPr>
        <w:tc>
          <w:tcPr>
            <w:tcW w:w="1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五、投资性房地产账 面价值合计</w:t>
            </w:r>
          </w:p>
        </w:tc>
        <w:tc>
          <w:tcPr>
            <w:tcW w:w="20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49,516,321.58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-1,258,557.41</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48,257,764.17</w:t>
            </w:r>
          </w:p>
        </w:tc>
      </w:tr>
      <w:tr>
        <w:trPr>
          <w:trHeight w:val="403" w:hRule="exact"/>
        </w:trPr>
        <w:tc>
          <w:tcPr>
            <w:tcW w:w="1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49,516,321.58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-1,258,557.41</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48,257,764.17</w:t>
            </w:r>
          </w:p>
        </w:tc>
      </w:tr>
    </w:tbl>
    <w:p>
      <w:pPr>
        <w:pStyle w:val="BodyText"/>
        <w:spacing w:line="240" w:lineRule="auto" w:before="51"/>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336"/>
        <w:gridCol w:w="4220"/>
      </w:tblGrid>
      <w:tr>
        <w:trPr>
          <w:trHeight w:val="402" w:hRule="exact"/>
        </w:trPr>
        <w:tc>
          <w:tcPr>
            <w:tcW w:w="53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5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2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1,258,557.42</w:t>
            </w:r>
          </w:p>
        </w:tc>
      </w:tr>
      <w:tr>
        <w:trPr>
          <w:trHeight w:val="403" w:hRule="exact"/>
        </w:trPr>
        <w:tc>
          <w:tcPr>
            <w:tcW w:w="5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投资性房地产本期减值准备计提额</w:t>
            </w:r>
          </w:p>
        </w:tc>
        <w:tc>
          <w:tcPr>
            <w:tcW w:w="422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45"/>
        <w:gridCol w:w="1010"/>
        <w:gridCol w:w="1009"/>
        <w:gridCol w:w="1010"/>
        <w:gridCol w:w="1010"/>
        <w:gridCol w:w="1009"/>
        <w:gridCol w:w="1019"/>
        <w:gridCol w:w="955"/>
      </w:tblGrid>
      <w:tr>
        <w:trPr>
          <w:trHeight w:val="402" w:hRule="exact"/>
        </w:trPr>
        <w:tc>
          <w:tcPr>
            <w:tcW w:w="25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319" w:lineRule="auto"/>
              <w:ind w:left="409" w:right="49" w:hanging="360"/>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319"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715" w:hRule="exact"/>
        </w:trPr>
        <w:tc>
          <w:tcPr>
            <w:tcW w:w="2545" w:type="dxa"/>
            <w:vMerge/>
            <w:tcBorders>
              <w:left w:val="single" w:sz="4" w:space="0" w:color="000000"/>
              <w:bottom w:val="single" w:sz="4" w:space="0" w:color="000000"/>
              <w:right w:val="single" w:sz="4" w:space="0" w:color="000000"/>
            </w:tcBorders>
            <w:shd w:val="clear" w:color="auto" w:fill="D3D3D3"/>
          </w:tcPr>
          <w:p>
            <w:pPr/>
          </w:p>
        </w:tc>
        <w:tc>
          <w:tcPr>
            <w:tcW w:w="1010" w:type="dxa"/>
            <w:vMerge/>
            <w:tcBorders>
              <w:left w:val="single" w:sz="4" w:space="0" w:color="000000"/>
              <w:bottom w:val="single" w:sz="4" w:space="0" w:color="000000"/>
              <w:right w:val="single" w:sz="4" w:space="0" w:color="000000"/>
            </w:tcBorders>
            <w:shd w:val="clear" w:color="auto" w:fill="D3D3D3"/>
          </w:tcPr>
          <w:p>
            <w:pPr/>
          </w:p>
        </w:tc>
        <w:tc>
          <w:tcPr>
            <w:tcW w:w="10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0" w:right="48"/>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9" w:right="49"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5" w:right="53"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00000"/>
              <w:bottom w:val="single" w:sz="4" w:space="0" w:color="000000"/>
              <w:right w:val="single" w:sz="4" w:space="0" w:color="000000"/>
            </w:tcBorders>
            <w:shd w:val="clear" w:color="auto" w:fill="D3D3D3"/>
          </w:tcPr>
          <w:p>
            <w:pPr/>
          </w:p>
        </w:tc>
      </w:tr>
    </w:tbl>
    <w:p>
      <w:pPr>
        <w:pStyle w:val="BodyText"/>
        <w:spacing w:line="316" w:lineRule="auto" w:before="51"/>
        <w:ind w:left="153" w:right="0"/>
        <w:jc w:val="left"/>
      </w:pPr>
      <w:r>
        <w:rPr>
          <w:spacing w:val="-2"/>
        </w:rPr>
        <w:t>说明报告期内改变计量模式的投资性房地产和未办妥产权证书的投资性房地产有关情况，说明未办妥产权证书的原因和预计</w:t>
      </w:r>
      <w:r>
        <w:rPr>
          <w:spacing w:val="-64"/>
        </w:rPr>
        <w:t> </w:t>
      </w:r>
      <w:r>
        <w:rPr>
          <w:spacing w:val="-64"/>
        </w:rPr>
      </w:r>
      <w:r>
        <w:rPr/>
        <w:t>办结时间</w:t>
      </w:r>
    </w:p>
    <w:p>
      <w:pPr>
        <w:pStyle w:val="BodyText"/>
        <w:spacing w:line="240" w:lineRule="auto" w:before="57"/>
        <w:ind w:left="153" w:right="149"/>
        <w:jc w:val="left"/>
      </w:pPr>
      <w:r>
        <w:rPr>
          <w:rFonts w:ascii="Times New Roman" w:hAnsi="Times New Roman" w:cs="Times New Roman" w:eastAsia="Times New Roman" w:hint="default"/>
        </w:rPr>
        <w:t>1</w:t>
      </w:r>
      <w:r>
        <w:rPr/>
        <w:t>、期末不存在用于抵押或担保的投资性房地产；</w:t>
      </w:r>
    </w:p>
    <w:p>
      <w:pPr>
        <w:pStyle w:val="BodyText"/>
        <w:spacing w:line="300" w:lineRule="auto" w:before="62"/>
        <w:ind w:left="153" w:right="201"/>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年度投资性房地产计提折旧和摊销金额为</w:t>
      </w:r>
      <w:r>
        <w:rPr>
          <w:rFonts w:ascii="Times New Roman" w:hAnsi="Times New Roman" w:cs="Times New Roman" w:eastAsia="Times New Roman" w:hint="default"/>
        </w:rPr>
        <w:t>1,258,557.42</w:t>
      </w:r>
      <w:r>
        <w:rPr/>
        <w:t>元，未计提减值准备； 本公司</w:t>
      </w:r>
      <w:r>
        <w:rPr>
          <w:rFonts w:ascii="Times New Roman" w:hAnsi="Times New Roman" w:cs="Times New Roman" w:eastAsia="Times New Roman" w:hint="default"/>
        </w:rPr>
        <w:t>2011</w:t>
      </w:r>
      <w:r>
        <w:rPr/>
        <w:t>年度起将账面价值为</w:t>
      </w:r>
      <w:r>
        <w:rPr>
          <w:rFonts w:ascii="Times New Roman" w:hAnsi="Times New Roman" w:cs="Times New Roman" w:eastAsia="Times New Roman" w:hint="default"/>
        </w:rPr>
        <w:t>49,516,321.58</w:t>
      </w:r>
      <w:r>
        <w:rPr/>
        <w:t>元</w:t>
      </w:r>
      <w:r>
        <w:rPr>
          <w:rFonts w:ascii="Times New Roman" w:hAnsi="Times New Roman" w:cs="Times New Roman" w:eastAsia="Times New Roman" w:hint="default"/>
        </w:rPr>
        <w:t>(</w:t>
      </w:r>
      <w:r>
        <w:rPr/>
        <w:t>原价：</w:t>
      </w:r>
      <w:r>
        <w:rPr>
          <w:rFonts w:ascii="Times New Roman" w:hAnsi="Times New Roman" w:cs="Times New Roman" w:eastAsia="Times New Roman" w:hint="default"/>
        </w:rPr>
        <w:t>52,443,521.60</w:t>
      </w:r>
      <w:r>
        <w:rPr/>
        <w:t>元</w:t>
      </w:r>
      <w:r>
        <w:rPr>
          <w:rFonts w:ascii="Times New Roman" w:hAnsi="Times New Roman" w:cs="Times New Roman" w:eastAsia="Times New Roman" w:hint="default"/>
        </w:rPr>
        <w:t>)</w:t>
      </w:r>
      <w:r>
        <w:rPr/>
        <w:t>的房屋改为出租，</w:t>
      </w:r>
      <w:r>
        <w:rPr>
          <w:rFonts w:ascii="Times New Roman" w:hAnsi="Times New Roman" w:cs="Times New Roman" w:eastAsia="Times New Roman" w:hint="default"/>
        </w:rPr>
        <w:t>2012</w:t>
      </w:r>
      <w:r>
        <w:rPr/>
        <w:t>年年度作追溯调整将相应的 固定资产转换为投资性房地产核算，并计提</w:t>
      </w:r>
      <w:r>
        <w:rPr>
          <w:rFonts w:ascii="Times New Roman" w:hAnsi="Times New Roman" w:cs="Times New Roman" w:eastAsia="Times New Roman" w:hint="default"/>
        </w:rPr>
        <w:t>2012</w:t>
      </w:r>
      <w:r>
        <w:rPr/>
        <w:t>年度投资性房地产的累计折旧和累计摊销</w:t>
      </w:r>
      <w:r>
        <w:rPr>
          <w:rFonts w:ascii="Times New Roman" w:hAnsi="Times New Roman" w:cs="Times New Roman" w:eastAsia="Times New Roman" w:hint="default"/>
        </w:rPr>
        <w:t>1,258,557.42</w:t>
      </w:r>
      <w:r>
        <w:rPr/>
        <w:t>； </w:t>
      </w:r>
      <w:r>
        <w:rPr>
          <w:rFonts w:ascii="Times New Roman" w:hAnsi="Times New Roman" w:cs="Times New Roman" w:eastAsia="Times New Roman" w:hint="default"/>
        </w:rPr>
        <w:t>3</w:t>
      </w:r>
      <w:r>
        <w:rPr/>
        <w:t>、于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日，账面价值约为</w:t>
      </w:r>
      <w:r>
        <w:rPr>
          <w:rFonts w:ascii="Times New Roman" w:hAnsi="Times New Roman" w:cs="Times New Roman" w:eastAsia="Times New Roman" w:hint="default"/>
        </w:rPr>
        <w:t>44,449,277.44</w:t>
      </w:r>
      <w:r>
        <w:rPr/>
        <w:t>元</w:t>
      </w:r>
      <w:r>
        <w:rPr>
          <w:rFonts w:ascii="Times New Roman" w:hAnsi="Times New Roman" w:cs="Times New Roman" w:eastAsia="Times New Roman" w:hint="default"/>
        </w:rPr>
        <w:t>(</w:t>
      </w:r>
      <w:r>
        <w:rPr/>
        <w:t>原价</w:t>
      </w:r>
      <w:r>
        <w:rPr>
          <w:rFonts w:ascii="Times New Roman" w:hAnsi="Times New Roman" w:cs="Times New Roman" w:eastAsia="Times New Roman" w:hint="default"/>
        </w:rPr>
        <w:t>46,677,623.41</w:t>
      </w:r>
      <w:r>
        <w:rPr/>
        <w:t>元</w:t>
      </w:r>
      <w:r>
        <w:rPr>
          <w:rFonts w:ascii="Times New Roman" w:hAnsi="Times New Roman" w:cs="Times New Roman" w:eastAsia="Times New Roman" w:hint="default"/>
        </w:rPr>
        <w:t>)</w:t>
      </w:r>
      <w:r>
        <w:rPr/>
        <w:t>的房屋尚未办妥光明产业园厂房房屋产权证。</w:t>
      </w:r>
    </w:p>
    <w:p>
      <w:pPr>
        <w:spacing w:after="0" w:line="30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49"/>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29"/>
        <w:gridCol w:w="1473"/>
        <w:gridCol w:w="1316"/>
        <w:gridCol w:w="1595"/>
        <w:gridCol w:w="1582"/>
        <w:gridCol w:w="1473"/>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1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201,116,729.70</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1" w:right="0"/>
              <w:jc w:val="left"/>
              <w:rPr>
                <w:rFonts w:ascii="Times New Roman" w:hAnsi="Times New Roman" w:cs="Times New Roman" w:eastAsia="Times New Roman" w:hint="default"/>
                <w:sz w:val="18"/>
                <w:szCs w:val="18"/>
              </w:rPr>
            </w:pPr>
            <w:r>
              <w:rPr>
                <w:rFonts w:ascii="Times New Roman"/>
                <w:sz w:val="18"/>
              </w:rPr>
              <w:t>13,314,754.73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405,547.00</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214,025,937.43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140,525,642.11</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1" w:right="0"/>
              <w:jc w:val="left"/>
              <w:rPr>
                <w:rFonts w:ascii="Times New Roman" w:hAnsi="Times New Roman" w:cs="Times New Roman" w:eastAsia="Times New Roman" w:hint="default"/>
                <w:sz w:val="18"/>
                <w:szCs w:val="18"/>
              </w:rPr>
            </w:pPr>
            <w:r>
              <w:rPr>
                <w:rFonts w:ascii="Times New Roman"/>
                <w:sz w:val="18"/>
              </w:rPr>
              <w:t>2,047,072.04</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142,572,714.15</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31,944,288.14</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1" w:right="0"/>
              <w:jc w:val="left"/>
              <w:rPr>
                <w:rFonts w:ascii="Times New Roman" w:hAnsi="Times New Roman" w:cs="Times New Roman" w:eastAsia="Times New Roman" w:hint="default"/>
                <w:sz w:val="18"/>
                <w:szCs w:val="18"/>
              </w:rPr>
            </w:pPr>
            <w:r>
              <w:rPr>
                <w:rFonts w:ascii="Times New Roman"/>
                <w:sz w:val="18"/>
              </w:rPr>
              <w:t>5,017,776.73</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36,962,064.87</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6,219,399.47</w:t>
            </w:r>
          </w:p>
        </w:tc>
        <w:tc>
          <w:tcPr>
            <w:tcW w:w="2911" w:type="dxa"/>
            <w:gridSpan w:val="2"/>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392,547.00</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5,826,852.47</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7,867,861.32</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1" w:right="0"/>
              <w:jc w:val="left"/>
              <w:rPr>
                <w:rFonts w:ascii="Times New Roman" w:hAnsi="Times New Roman" w:cs="Times New Roman" w:eastAsia="Times New Roman" w:hint="default"/>
                <w:sz w:val="18"/>
                <w:szCs w:val="18"/>
              </w:rPr>
            </w:pPr>
            <w:r>
              <w:rPr>
                <w:rFonts w:ascii="Times New Roman"/>
                <w:sz w:val="18"/>
              </w:rPr>
              <w:t>3,026,719.44</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10,894,580.76</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14,559,538.66</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1" w:right="0"/>
              <w:jc w:val="left"/>
              <w:rPr>
                <w:rFonts w:ascii="Times New Roman" w:hAnsi="Times New Roman" w:cs="Times New Roman" w:eastAsia="Times New Roman" w:hint="default"/>
                <w:sz w:val="18"/>
                <w:szCs w:val="18"/>
              </w:rPr>
            </w:pPr>
            <w:r>
              <w:rPr>
                <w:rFonts w:ascii="Times New Roman"/>
                <w:sz w:val="18"/>
              </w:rPr>
              <w:t>3,223,186.52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13,000.00</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17,769,725.18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28,788,205.67</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12,739,634.92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385,269.65</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41,142,570.94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6,956,907.83</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3,636,093.71</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10,593,001.54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8,234,452.85</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4,518,450.94</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12,752,903.79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3,773,599.54</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938,463.38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372,919.65</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4,339,143.27</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4,184,001.29</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1,469,846.47</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5,653,847.76</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5,639,244.16</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2,176,780.42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12,350.00</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7,803,674.58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面净值合计</w:t>
            </w:r>
          </w:p>
        </w:tc>
        <w:tc>
          <w:tcPr>
            <w:tcW w:w="1473"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172,328,524.03</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172,883,366.49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133,568,734.28</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131,979,712.61</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23,709,835.29</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24,209,161.08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2,445,799.93</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1,487,709.20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473"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3,683,860.03</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5,240,733.00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3"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8,920,294.50</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9,966,050.60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473" w:type="dxa"/>
            <w:tcBorders>
              <w:top w:val="single" w:sz="4" w:space="0" w:color="000000"/>
              <w:left w:val="single" w:sz="4" w:space="0" w:color="000000"/>
              <w:bottom w:val="single" w:sz="4" w:space="0" w:color="000000"/>
              <w:right w:val="single" w:sz="13" w:space="0" w:color="D3D3D3"/>
            </w:tcBorders>
          </w:tcPr>
          <w:p>
            <w:pP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3" w:type="dxa"/>
            <w:tcBorders>
              <w:top w:val="single" w:sz="4" w:space="0" w:color="000000"/>
              <w:left w:val="single" w:sz="4" w:space="0" w:color="000000"/>
              <w:bottom w:val="single" w:sz="4" w:space="0" w:color="000000"/>
              <w:right w:val="single" w:sz="13" w:space="0" w:color="D3D3D3"/>
            </w:tcBorders>
          </w:tcPr>
          <w:p>
            <w:pP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面价值合计</w:t>
            </w:r>
          </w:p>
        </w:tc>
        <w:tc>
          <w:tcPr>
            <w:tcW w:w="1473"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172,328,524.03</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172,883,366.49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133,568,734.28</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131,979,712.61</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23,709,835.29</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24,209,161.08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2,445,799.93</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1,487,709.20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473"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3,683,860.03</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5,240,733.00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3"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8,920,294.50</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9,966,050.60</w:t>
            </w:r>
          </w:p>
        </w:tc>
      </w:tr>
    </w:tbl>
    <w:p>
      <w:pPr>
        <w:pStyle w:val="BodyText"/>
        <w:spacing w:line="240" w:lineRule="auto" w:before="51"/>
        <w:ind w:right="149"/>
        <w:jc w:val="left"/>
      </w:pPr>
      <w:r>
        <w:rPr/>
        <w:t>本期折旧额</w:t>
      </w:r>
      <w:r>
        <w:rPr>
          <w:spacing w:val="-47"/>
        </w:rPr>
        <w:t> </w:t>
      </w:r>
      <w:r>
        <w:rPr>
          <w:rFonts w:ascii="Times New Roman" w:hAnsi="Times New Roman" w:cs="Times New Roman" w:eastAsia="Times New Roman" w:hint="default"/>
        </w:rPr>
        <w:t>12,739,634.92</w:t>
      </w:r>
      <w:r>
        <w:rPr>
          <w:rFonts w:ascii="Times New Roman" w:hAnsi="Times New Roman" w:cs="Times New Roman" w:eastAsia="Times New Roman" w:hint="default"/>
          <w:spacing w:val="-2"/>
        </w:rPr>
        <w:t> </w:t>
      </w:r>
      <w:r>
        <w:rPr/>
        <w:t>元；本期由在建工程转入固定资产原价为</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83"/>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4778;top:14;width:2;height:393" coordorigin="4778,14" coordsize="2,393">
              <v:shape style="position:absolute;left:4778;top:14;width:2;height:393" coordorigin="4778,14" coordsize="0,393" path="m4778,14l4778,407e" filled="false" stroked="true" strokeweight="1.2pt" strokecolor="#d3d3d3">
                <v:path arrowok="t"/>
              </v:shape>
            </v:group>
            <v:group style="position:absolute;left:37;top:14;width:4730;height:393" coordorigin="37,14" coordsize="4730,393">
              <v:shape style="position:absolute;left:37;top:14;width:4730;height:393" coordorigin="37,14" coordsize="4730,393" path="m37,407l4766,407,4766,14,37,14,37,407xe" filled="true" fillcolor="#d3d3d3" stroked="false">
                <v:path arrowok="t"/>
                <v:fill type="solid"/>
              </v:shape>
            </v:group>
            <v:group style="position:absolute;left:4811;top:14;width:2;height:393" coordorigin="4811,14" coordsize="2,393">
              <v:shape style="position:absolute;left:4811;top:14;width:2;height:393" coordorigin="4811,14" coordsize="0,393" path="m4811,14l4811,407e" filled="false" stroked="true" strokeweight="1.140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4823;top:14;width:4727;height:393" coordorigin="4823,14" coordsize="4727,393">
              <v:shape style="position:absolute;left:4823;top:14;width:4727;height:393" coordorigin="4823,14" coordsize="4727,393" path="m4823,407l9550,407,9550,14,4823,14,4823,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10;top:5;width:2;height:412" coordorigin="10,5" coordsize="2,412">
              <v:shape style="position:absolute;left:10;top:5;width:2;height:412" coordorigin="10,5" coordsize="0,412" path="m10,5l10,416e" filled="false" stroked="true" strokeweight=".48pt" strokecolor="#000000">
                <v:path arrowok="t"/>
              </v:shape>
            </v:group>
            <v:group style="position:absolute;left:5;top:412;width:4786;height:2" coordorigin="5,412" coordsize="4786,2">
              <v:shape style="position:absolute;left:5;top:412;width:4786;height:2" coordorigin="5,412" coordsize="4786,0" path="m5,412l4790,412e" filled="false" stroked="true" strokeweight=".48pt" strokecolor="#000000">
                <v:path arrowok="t"/>
              </v:shape>
            </v:group>
            <v:group style="position:absolute;left:4795;top:14;width:2;height:402" coordorigin="4795,14" coordsize="2,402">
              <v:shape style="position:absolute;left:4795;top:14;width:2;height:402" coordorigin="4795,14" coordsize="0,402" path="m4795,14l4795,416e" filled="false" stroked="true" strokeweight=".48pt" strokecolor="#000000">
                <v:path arrowok="t"/>
              </v:shape>
            </v:group>
            <v:group style="position:absolute;left:4800;top:412;width:4773;height:2" coordorigin="4800,412" coordsize="4773,2">
              <v:shape style="position:absolute;left:4800;top:412;width:4773;height:2" coordorigin="4800,412" coordsize="4773,0" path="m4800,412l9572,412e" filled="false" stroked="true" strokeweight=".4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种类</w:t>
                      </w:r>
                    </w:p>
                  </w:txbxContent>
                </v:textbox>
                <w10:wrap type="none"/>
              </v:shape>
              <v:shape style="position:absolute;left:4795;top:10;width:4782;height:402"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1"/>
        <w:gridCol w:w="1720"/>
        <w:gridCol w:w="1876"/>
        <w:gridCol w:w="1874"/>
        <w:gridCol w:w="1876"/>
      </w:tblGrid>
      <w:tr>
        <w:trPr>
          <w:trHeight w:val="396" w:hRule="exact"/>
        </w:trPr>
        <w:tc>
          <w:tcPr>
            <w:tcW w:w="2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line="240" w:lineRule="auto" w:before="8"/>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光明证通产业园厂房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申请办理中</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光明证通产业园宿舍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申请办理中</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贵州房产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太原房产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新疆房产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357" w:lineRule="auto" w:before="51"/>
        <w:ind w:right="5090"/>
        <w:jc w:val="left"/>
      </w:pPr>
      <w:r>
        <w:rPr/>
        <w:t>固定资产说明 本期不存在以明显高于账面价值的价格出售固定资产的情况</w:t>
      </w:r>
    </w:p>
    <w:p>
      <w:pPr>
        <w:spacing w:line="240" w:lineRule="auto" w:before="2"/>
        <w:rPr>
          <w:rFonts w:ascii="宋体" w:hAnsi="宋体" w:cs="宋体" w:eastAsia="宋体" w:hint="default"/>
          <w:sz w:val="20"/>
          <w:szCs w:val="20"/>
        </w:rPr>
      </w:pPr>
    </w:p>
    <w:p>
      <w:pPr>
        <w:pStyle w:val="Heading3"/>
        <w:spacing w:line="240" w:lineRule="auto"/>
        <w:ind w:right="149"/>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6"/>
        <w:gridCol w:w="1195"/>
        <w:gridCol w:w="1195"/>
        <w:gridCol w:w="1194"/>
        <w:gridCol w:w="1195"/>
        <w:gridCol w:w="1195"/>
        <w:gridCol w:w="1327"/>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14,774,855.66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14,774,855.66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义县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1,460,237.78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1,460,237.78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54"/>
        <w:gridCol w:w="1207"/>
        <w:gridCol w:w="1195"/>
        <w:gridCol w:w="1194"/>
        <w:gridCol w:w="1195"/>
        <w:gridCol w:w="1195"/>
        <w:gridCol w:w="1327"/>
      </w:tblGrid>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16,235,093.44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16,235,093.44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37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850"/>
        <w:gridCol w:w="1091"/>
        <w:gridCol w:w="313"/>
        <w:gridCol w:w="1092"/>
        <w:gridCol w:w="436"/>
        <w:gridCol w:w="1094"/>
        <w:gridCol w:w="907"/>
        <w:gridCol w:w="602"/>
        <w:gridCol w:w="554"/>
        <w:gridCol w:w="812"/>
        <w:gridCol w:w="644"/>
        <w:gridCol w:w="433"/>
        <w:gridCol w:w="1091"/>
      </w:tblGrid>
      <w:tr>
        <w:trPr>
          <w:trHeight w:val="1650" w:hRule="exact"/>
        </w:trPr>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2" w:right="59"/>
              <w:jc w:val="both"/>
              <w:rPr>
                <w:rFonts w:ascii="宋体" w:hAnsi="宋体" w:cs="宋体" w:eastAsia="宋体" w:hint="default"/>
                <w:sz w:val="18"/>
                <w:szCs w:val="18"/>
              </w:rPr>
            </w:pPr>
            <w:r>
              <w:rPr>
                <w:rFonts w:ascii="宋体" w:hAnsi="宋体" w:cs="宋体" w:eastAsia="宋体" w:hint="default"/>
                <w:sz w:val="18"/>
                <w:szCs w:val="18"/>
              </w:rPr>
              <w:t>期 初 数</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2" w:right="31"/>
              <w:jc w:val="both"/>
              <w:rPr>
                <w:rFonts w:ascii="宋体" w:hAnsi="宋体" w:cs="宋体" w:eastAsia="宋体" w:hint="default"/>
                <w:sz w:val="18"/>
                <w:szCs w:val="18"/>
              </w:rPr>
            </w:pPr>
            <w:r>
              <w:rPr>
                <w:rFonts w:ascii="宋体" w:hAnsi="宋体" w:cs="宋体" w:eastAsia="宋体" w:hint="default"/>
                <w:sz w:val="18"/>
                <w:szCs w:val="18"/>
              </w:rPr>
              <w:t>转入 固定 资产</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7" w:right="89"/>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工程投入 占预算比 例</w:t>
            </w:r>
            <w:r>
              <w:rPr>
                <w:rFonts w:ascii="Times New Roman" w:hAnsi="Times New Roman" w:cs="Times New Roman" w:eastAsia="Times New Roman" w:hint="default"/>
                <w:sz w:val="18"/>
                <w:szCs w:val="18"/>
              </w:rPr>
              <w:t>(%)</w:t>
            </w:r>
          </w:p>
        </w:tc>
        <w:tc>
          <w:tcPr>
            <w:tcW w:w="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06" w:right="24"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0"/>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0" w:right="41"/>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6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6" w:right="47"/>
              <w:jc w:val="center"/>
              <w:rPr>
                <w:rFonts w:ascii="宋体" w:hAnsi="宋体" w:cs="宋体" w:eastAsia="宋体" w:hint="default"/>
                <w:sz w:val="18"/>
                <w:szCs w:val="18"/>
              </w:rPr>
            </w:pPr>
            <w:r>
              <w:rPr>
                <w:rFonts w:ascii="宋体" w:hAnsi="宋体" w:cs="宋体" w:eastAsia="宋体" w:hint="default"/>
                <w:sz w:val="18"/>
                <w:szCs w:val="18"/>
              </w:rPr>
              <w:t>本期利 息资本 化率</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4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2" w:right="29"/>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71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伊春市</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20,090,341.33</w:t>
            </w:r>
          </w:p>
        </w:tc>
        <w:tc>
          <w:tcPr>
            <w:tcW w:w="31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20,090,341.33</w:t>
            </w:r>
          </w:p>
        </w:tc>
        <w:tc>
          <w:tcPr>
            <w:tcW w:w="43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20,090,341.33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w:t>
            </w:r>
          </w:p>
        </w:tc>
        <w:tc>
          <w:tcPr>
            <w:tcW w:w="55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自筹</w:t>
            </w: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彰武县</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3,494,521.65</w:t>
            </w:r>
          </w:p>
        </w:tc>
        <w:tc>
          <w:tcPr>
            <w:tcW w:w="31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3,494,521.65</w:t>
            </w:r>
          </w:p>
        </w:tc>
        <w:tc>
          <w:tcPr>
            <w:tcW w:w="43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3,494,521.65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w:t>
            </w:r>
          </w:p>
        </w:tc>
        <w:tc>
          <w:tcPr>
            <w:tcW w:w="55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自筹</w:t>
            </w: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沈阳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21,773,535.60</w:t>
            </w:r>
          </w:p>
        </w:tc>
        <w:tc>
          <w:tcPr>
            <w:tcW w:w="31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14,774,855.66</w:t>
            </w:r>
          </w:p>
        </w:tc>
        <w:tc>
          <w:tcPr>
            <w:tcW w:w="43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67.86%</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67.86</w:t>
            </w:r>
          </w:p>
        </w:tc>
        <w:tc>
          <w:tcPr>
            <w:tcW w:w="55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自筹</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14,774,855.66</w:t>
            </w:r>
          </w:p>
        </w:tc>
      </w:tr>
      <w:tr>
        <w:trPr>
          <w:trHeight w:val="71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义县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2,832,135.70</w:t>
            </w:r>
          </w:p>
        </w:tc>
        <w:tc>
          <w:tcPr>
            <w:tcW w:w="31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1,460,237.78</w:t>
            </w:r>
          </w:p>
        </w:tc>
        <w:tc>
          <w:tcPr>
            <w:tcW w:w="43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51.56%</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51.56</w:t>
            </w:r>
          </w:p>
        </w:tc>
        <w:tc>
          <w:tcPr>
            <w:tcW w:w="55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自筹</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1,460,237.78</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48,190,534.28</w:t>
            </w:r>
          </w:p>
        </w:tc>
        <w:tc>
          <w:tcPr>
            <w:tcW w:w="31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39,819,956.42</w:t>
            </w:r>
          </w:p>
        </w:tc>
        <w:tc>
          <w:tcPr>
            <w:tcW w:w="43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23,584,862.98</w:t>
            </w:r>
          </w:p>
        </w:tc>
        <w:tc>
          <w:tcPr>
            <w:tcW w:w="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16,235,093.44</w:t>
            </w:r>
          </w:p>
        </w:tc>
      </w:tr>
    </w:tbl>
    <w:p>
      <w:pPr>
        <w:pStyle w:val="BodyText"/>
        <w:spacing w:line="240" w:lineRule="auto" w:before="51"/>
        <w:ind w:right="0"/>
        <w:jc w:val="left"/>
      </w:pPr>
      <w:r>
        <w:rPr/>
        <w:t>在建工程项目变动情况的说明</w:t>
      </w:r>
    </w:p>
    <w:p>
      <w:pPr>
        <w:pStyle w:val="BodyText"/>
        <w:spacing w:line="240" w:lineRule="auto" w:before="116"/>
        <w:ind w:left="153" w:right="0"/>
        <w:jc w:val="left"/>
      </w:pPr>
      <w:r>
        <w:rPr/>
        <w:t>（</w:t>
      </w:r>
      <w:r>
        <w:rPr>
          <w:rFonts w:ascii="Times New Roman" w:hAnsi="Times New Roman" w:cs="Times New Roman" w:eastAsia="Times New Roman" w:hint="default"/>
        </w:rPr>
        <w:t>1</w:t>
      </w:r>
      <w:r>
        <w:rPr/>
        <w:t>）年末不存在用于抵押或担保的在建工程；</w:t>
      </w:r>
    </w:p>
    <w:p>
      <w:pPr>
        <w:pStyle w:val="BodyText"/>
        <w:spacing w:line="240" w:lineRule="auto" w:before="62"/>
        <w:ind w:left="153" w:right="0"/>
        <w:jc w:val="left"/>
      </w:pPr>
      <w:r>
        <w:rPr/>
        <w:t>（</w:t>
      </w:r>
      <w:r>
        <w:rPr>
          <w:rFonts w:ascii="Times New Roman" w:hAnsi="Times New Roman" w:cs="Times New Roman" w:eastAsia="Times New Roman" w:hint="default"/>
        </w:rPr>
        <w:t>2</w:t>
      </w:r>
      <w:r>
        <w:rPr/>
        <w:t>）本期在建工程其他减少系项目完工验收转入无形资产。</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37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6"/>
        <w:gridCol w:w="1595"/>
        <w:gridCol w:w="1594"/>
        <w:gridCol w:w="1595"/>
        <w:gridCol w:w="1592"/>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188"/>
        <w:gridCol w:w="3191"/>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）在建工程的说明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37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59"/>
        <w:gridCol w:w="1595"/>
        <w:gridCol w:w="1460"/>
        <w:gridCol w:w="1594"/>
        <w:gridCol w:w="1860"/>
      </w:tblGrid>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pStyle w:val="BodyText"/>
        <w:spacing w:line="240" w:lineRule="auto" w:before="52"/>
        <w:ind w:right="0"/>
        <w:jc w:val="left"/>
      </w:pPr>
      <w:r>
        <w:rPr/>
        <w:t>工程物资的说明</w:t>
      </w:r>
    </w:p>
    <w:p>
      <w:pPr>
        <w:spacing w:after="0" w:line="240" w:lineRule="auto"/>
        <w:jc w:val="left"/>
        <w:sectPr>
          <w:pgSz w:w="11910" w:h="16840"/>
          <w:pgMar w:header="877" w:footer="982" w:top="1100" w:bottom="1180" w:left="980" w:right="760"/>
        </w:sectPr>
      </w:pPr>
    </w:p>
    <w:p>
      <w:pPr>
        <w:spacing w:line="240" w:lineRule="auto" w:before="9"/>
        <w:rPr>
          <w:rFonts w:ascii="宋体" w:hAnsi="宋体" w:cs="宋体" w:eastAsia="宋体" w:hint="default"/>
          <w:sz w:val="20"/>
          <w:szCs w:val="20"/>
        </w:rPr>
      </w:pPr>
    </w:p>
    <w:p>
      <w:pPr>
        <w:pStyle w:val="Heading3"/>
        <w:spacing w:line="240" w:lineRule="auto" w:before="35"/>
        <w:ind w:right="149"/>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2126"/>
        <w:gridCol w:w="2522"/>
      </w:tblGrid>
      <w:tr>
        <w:trPr>
          <w:trHeight w:val="403"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转入清理的原因</w:t>
            </w:r>
          </w:p>
        </w:tc>
      </w:tr>
    </w:tbl>
    <w:p>
      <w:pPr>
        <w:pStyle w:val="BodyText"/>
        <w:spacing w:line="240" w:lineRule="auto" w:before="52"/>
        <w:ind w:right="149"/>
        <w:jc w:val="left"/>
      </w:pPr>
      <w:r>
        <w:rPr/>
        <w:t>说明转入固定资产清理起始时间已超过</w:t>
      </w:r>
      <w:r>
        <w:rPr>
          <w:spacing w:val="-46"/>
        </w:rPr>
        <w:t> </w:t>
      </w:r>
      <w:r>
        <w:rPr>
          <w:rFonts w:ascii="Times New Roman" w:hAnsi="Times New Roman" w:cs="Times New Roman" w:eastAsia="Times New Roman" w:hint="default"/>
        </w:rPr>
        <w:t>1 </w:t>
      </w:r>
      <w:r>
        <w:rPr/>
        <w:t>年的固定资产清理进展情况</w:t>
      </w:r>
    </w:p>
    <w:p>
      <w:pPr>
        <w:spacing w:line="240" w:lineRule="auto" w:before="9"/>
        <w:rPr>
          <w:rFonts w:ascii="宋体" w:hAnsi="宋体" w:cs="宋体" w:eastAsia="宋体" w:hint="default"/>
          <w:sz w:val="25"/>
          <w:szCs w:val="25"/>
        </w:rPr>
      </w:pPr>
    </w:p>
    <w:p>
      <w:pPr>
        <w:pStyle w:val="Heading3"/>
        <w:spacing w:line="240" w:lineRule="auto"/>
        <w:ind w:right="149"/>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）以成本计量</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727"/>
        <w:gridCol w:w="1861"/>
        <w:gridCol w:w="2125"/>
        <w:gridCol w:w="1860"/>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line="240" w:lineRule="auto" w:before="3"/>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2</w:t>
      </w:r>
      <w:r>
        <w:rPr/>
        <w:t>）以公允价值计量</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6"/>
        <w:gridCol w:w="1727"/>
        <w:gridCol w:w="1861"/>
        <w:gridCol w:w="2125"/>
        <w:gridCol w:w="1860"/>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3"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pStyle w:val="BodyText"/>
        <w:spacing w:line="240" w:lineRule="auto" w:before="52"/>
        <w:ind w:right="149"/>
        <w:jc w:val="left"/>
      </w:pPr>
      <w:r>
        <w:rPr/>
        <w:t>生产性生物资产的说明</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74"/>
        <w:gridCol w:w="1710"/>
        <w:gridCol w:w="1841"/>
        <w:gridCol w:w="2104"/>
        <w:gridCol w:w="1841"/>
      </w:tblGrid>
      <w:tr>
        <w:trPr>
          <w:trHeight w:val="403" w:hRule="exact"/>
        </w:trPr>
        <w:tc>
          <w:tcPr>
            <w:tcW w:w="20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pStyle w:val="BodyText"/>
        <w:spacing w:line="240" w:lineRule="auto" w:before="52"/>
        <w:ind w:right="149"/>
        <w:jc w:val="left"/>
      </w:pPr>
      <w:r>
        <w:rPr/>
        <w:t>油气资产的说明</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5"/>
        <w:gridCol w:w="1843"/>
        <w:gridCol w:w="1843"/>
        <w:gridCol w:w="1843"/>
        <w:gridCol w:w="1842"/>
      </w:tblGrid>
      <w:tr>
        <w:trPr>
          <w:trHeight w:val="396" w:hRule="exact"/>
        </w:trPr>
        <w:tc>
          <w:tcPr>
            <w:tcW w:w="2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40,040,558.13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25,592,677.44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65,633,235.57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39,792,452.00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39,792,452.00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U8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248,106.13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248,106.13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专利权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66,000.00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66,000.00</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其他特许权（高尔夫球会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会籍特许权）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1,360,240.00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1,360,240.00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伊春市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20,164,676.67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20,164,676.67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彰武县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4,001,760.77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4,001,760.77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3,792,380.95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1,392,293.49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5,184,674.44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3,544,274.82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752,265.00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4,296,539.82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U8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248,106.13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248,106.13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专利权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1,798.90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1,798.90</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其他特许权（高尔夫球会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会籍特许权）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135,971.06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135,971.06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伊春市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502,258.53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502,258.53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彰武县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36,248,177.18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24,200,383.95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60,448,561.13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36,248,177.18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35,495,912.18</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U8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专利权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64,201.10</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其他特许权（高尔夫球会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会籍特许权）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1,224,268.94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伊春市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19,662,418.14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彰武县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4,001,760.77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U8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专利权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其他特许权（高尔夫球会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会籍特许权）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伊春市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彰武县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36,248,177.18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24,200,383.95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60,448,561.13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36,248,177.18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35,495,912.18</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U8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专利权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64,201.10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其他特许权（高尔夫球会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会籍特许权）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1,224,268.94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伊春市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19,662,418.14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彰武县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4,001,760.77</w:t>
            </w:r>
          </w:p>
        </w:tc>
      </w:tr>
    </w:tbl>
    <w:p>
      <w:pPr>
        <w:pStyle w:val="BodyText"/>
        <w:spacing w:line="240" w:lineRule="auto" w:before="51"/>
        <w:ind w:right="149"/>
        <w:jc w:val="left"/>
      </w:pPr>
      <w:r>
        <w:rPr/>
        <w:t>本期摊销额</w:t>
      </w:r>
      <w:r>
        <w:rPr>
          <w:spacing w:val="-46"/>
        </w:rPr>
        <w:t> </w:t>
      </w:r>
      <w:r>
        <w:rPr>
          <w:rFonts w:ascii="Times New Roman" w:hAnsi="Times New Roman" w:cs="Times New Roman" w:eastAsia="Times New Roman" w:hint="default"/>
        </w:rPr>
        <w:t>1,392,293.49</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149"/>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8"/>
        <w:gridCol w:w="1596"/>
        <w:gridCol w:w="1592"/>
        <w:gridCol w:w="1594"/>
        <w:gridCol w:w="1592"/>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159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基于云计算的安全 支付平台项目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4,537,823.95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4,537,823.95</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4,537,823.95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4,537,823.95</w:t>
            </w:r>
          </w:p>
        </w:tc>
      </w:tr>
    </w:tbl>
    <w:p>
      <w:pPr>
        <w:pStyle w:val="BodyText"/>
        <w:spacing w:line="340" w:lineRule="auto" w:before="51"/>
        <w:ind w:right="4086"/>
        <w:jc w:val="left"/>
      </w:pPr>
      <w:r>
        <w:rPr/>
        <w:t>本期开发支出占本期研究开发项目支出总额的比例</w:t>
      </w:r>
      <w:r>
        <w:rPr>
          <w:spacing w:val="-46"/>
        </w:rPr>
        <w:t> </w:t>
      </w:r>
      <w:r>
        <w:rPr>
          <w:rFonts w:ascii="Times New Roman" w:hAnsi="Times New Roman" w:cs="Times New Roman" w:eastAsia="Times New Roman" w:hint="default"/>
        </w:rPr>
        <w:t>26%</w:t>
      </w:r>
      <w:r>
        <w:rPr/>
        <w:t>。 通过公司内部研发形成的无形资产占无形资产期末账面价值的比例</w:t>
      </w:r>
      <w:r>
        <w:rPr>
          <w:spacing w:val="-46"/>
        </w:rPr>
        <w:t> </w:t>
      </w:r>
      <w:r>
        <w:rPr>
          <w:rFonts w:ascii="Times New Roman" w:hAnsi="Times New Roman" w:cs="Times New Roman" w:eastAsia="Times New Roman" w:hint="default"/>
        </w:rPr>
        <w:t>0%</w:t>
      </w:r>
      <w:r>
        <w:rPr/>
        <w:t>。</w:t>
      </w:r>
    </w:p>
    <w:p>
      <w:pPr>
        <w:pStyle w:val="BodyText"/>
        <w:spacing w:line="240" w:lineRule="auto" w:before="18"/>
        <w:ind w:right="0"/>
        <w:jc w:val="left"/>
      </w:pPr>
      <w:r>
        <w:rPr>
          <w:spacing w:val="-2"/>
        </w:rPr>
        <w:t>公司开发项目的说明，包括本期发生的单项价值在</w:t>
      </w:r>
      <w:r>
        <w:rPr/>
        <w:t> </w:t>
      </w:r>
      <w:r>
        <w:rPr>
          <w:rFonts w:ascii="Times New Roman" w:hAnsi="Times New Roman" w:cs="Times New Roman" w:eastAsia="Times New Roman" w:hint="default"/>
        </w:rPr>
        <w:t>100</w:t>
      </w:r>
      <w:r>
        <w:rPr>
          <w:rFonts w:ascii="Times New Roman" w:hAnsi="Times New Roman" w:cs="Times New Roman" w:eastAsia="Times New Roman" w:hint="default"/>
          <w:spacing w:val="-26"/>
        </w:rPr>
        <w:t> </w:t>
      </w:r>
      <w:r>
        <w:rPr>
          <w:spacing w:val="-2"/>
        </w:rPr>
        <w:t>万元以上且以评估值为入账依据的，应披露评估机构名称、评估方法</w:t>
      </w:r>
    </w:p>
    <w:p>
      <w:pPr>
        <w:pStyle w:val="Heading4"/>
        <w:spacing w:line="240" w:lineRule="auto" w:before="77"/>
        <w:ind w:left="154" w:right="149"/>
        <w:jc w:val="left"/>
      </w:pPr>
      <w:r>
        <w:rPr/>
        <w:t>开发支出本年增加的金额中未包含资本化的借款费用金额</w:t>
      </w:r>
    </w:p>
    <w:p>
      <w:pPr>
        <w:spacing w:line="240" w:lineRule="auto" w:before="11"/>
        <w:rPr>
          <w:rFonts w:ascii="宋体" w:hAnsi="宋体" w:cs="宋体" w:eastAsia="宋体" w:hint="default"/>
          <w:sz w:val="25"/>
          <w:szCs w:val="25"/>
        </w:rPr>
      </w:pPr>
    </w:p>
    <w:p>
      <w:pPr>
        <w:pStyle w:val="Heading3"/>
        <w:spacing w:line="240" w:lineRule="auto"/>
        <w:ind w:left="153" w:right="149"/>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8"/>
        <w:gridCol w:w="1459"/>
        <w:gridCol w:w="1460"/>
        <w:gridCol w:w="1460"/>
        <w:gridCol w:w="1460"/>
        <w:gridCol w:w="1199"/>
      </w:tblGrid>
      <w:tr>
        <w:trPr>
          <w:trHeight w:val="714" w:hRule="exact"/>
        </w:trPr>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78" w:right="89" w:hanging="990"/>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bl>
    <w:p>
      <w:pPr>
        <w:pStyle w:val="BodyText"/>
        <w:spacing w:line="240" w:lineRule="auto" w:before="51"/>
        <w:ind w:right="149"/>
        <w:jc w:val="left"/>
      </w:pPr>
      <w:r>
        <w:rPr/>
        <w:t>说明商誉的减值测试方法和减值准备计提方法</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固定资产改良支 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232,169.99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6,633.43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225,536.56</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项目推广费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1,111,500.00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232,169.99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1,118,133.43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1,337,036.56</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49"/>
        <w:jc w:val="left"/>
      </w:pPr>
      <w:r>
        <w:rPr/>
        <w:t>长期待摊费用的说明</w:t>
      </w:r>
    </w:p>
    <w:p>
      <w:pPr>
        <w:pStyle w:val="BodyText"/>
        <w:spacing w:line="300" w:lineRule="auto" w:before="115"/>
        <w:ind w:left="153" w:right="186"/>
        <w:jc w:val="left"/>
      </w:pPr>
      <w:r>
        <w:rPr/>
        <w:t>本期增加的长期待摊费用其他</w:t>
      </w:r>
      <w:r>
        <w:rPr>
          <w:rFonts w:ascii="Times New Roman" w:hAnsi="Times New Roman" w:cs="Times New Roman" w:eastAsia="Times New Roman" w:hint="default"/>
        </w:rPr>
        <w:t>1,111,500.00</w:t>
      </w:r>
      <w:r>
        <w:rPr/>
        <w:t>元系全资子公司深圳市证通佳明光电有限公司坪山项目推广费，该项目推广费原 值</w:t>
      </w:r>
      <w:r>
        <w:rPr>
          <w:rFonts w:ascii="Times New Roman" w:hAnsi="Times New Roman" w:cs="Times New Roman" w:eastAsia="Times New Roman" w:hint="default"/>
        </w:rPr>
        <w:t>2,223,000.00</w:t>
      </w:r>
      <w:r>
        <w:rPr/>
        <w:t>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日起两年内摊销。</w:t>
      </w:r>
    </w:p>
    <w:p>
      <w:pPr>
        <w:spacing w:after="0" w:line="30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49"/>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49"/>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9"/>
        <w:jc w:val="left"/>
      </w:pPr>
      <w:r>
        <w:rPr/>
        <w:t>已确认的递延所得税资产和递延所得税负债</w:t>
      </w:r>
    </w:p>
    <w:p>
      <w:pPr>
        <w:pStyle w:val="BodyText"/>
        <w:spacing w:line="240" w:lineRule="auto" w:before="116"/>
        <w:ind w:left="0" w:right="149"/>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4,000,280.21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3,385,604.25</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108,190.32</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582,254.36</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966,480.00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652,342.50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5,657,204.89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4,037,946.75</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1,087,736.88</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1,087,736.88</w:t>
            </w:r>
          </w:p>
        </w:tc>
        <w:tc>
          <w:tcPr>
            <w:tcW w:w="292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49"/>
        <w:jc w:val="left"/>
      </w:pPr>
      <w:r>
        <w:rPr/>
        <w:t>未确认递延所得税资产明细</w:t>
      </w:r>
    </w:p>
    <w:p>
      <w:pPr>
        <w:pStyle w:val="BodyText"/>
        <w:spacing w:line="240" w:lineRule="auto" w:before="117"/>
        <w:ind w:left="0" w:right="14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51"/>
        <w:ind w:right="149"/>
        <w:jc w:val="left"/>
      </w:pPr>
      <w:r>
        <w:rPr/>
        <w:t>未确认递延所得税资产的可抵扣亏损将于以下年度到期</w:t>
      </w:r>
    </w:p>
    <w:p>
      <w:pPr>
        <w:pStyle w:val="BodyText"/>
        <w:spacing w:line="240" w:lineRule="auto" w:before="117"/>
        <w:ind w:left="0" w:right="14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7"/>
        <w:gridCol w:w="2258"/>
        <w:gridCol w:w="1994"/>
        <w:gridCol w:w="3319"/>
      </w:tblGrid>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2"/>
        <w:ind w:right="149"/>
        <w:jc w:val="left"/>
      </w:pPr>
      <w:r>
        <w:rPr/>
        <w:t>应纳税差异和可抵扣差异项目明细</w:t>
      </w:r>
    </w:p>
    <w:p>
      <w:pPr>
        <w:pStyle w:val="BodyText"/>
        <w:spacing w:line="240" w:lineRule="auto" w:before="116"/>
        <w:ind w:left="0" w:right="149"/>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923"/>
        <w:gridCol w:w="2789"/>
      </w:tblGrid>
      <w:tr>
        <w:trPr>
          <w:trHeight w:val="402" w:hRule="exact"/>
        </w:trPr>
        <w:tc>
          <w:tcPr>
            <w:tcW w:w="38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1" w:hRule="exact"/>
        </w:trPr>
        <w:tc>
          <w:tcPr>
            <w:tcW w:w="3856" w:type="dxa"/>
            <w:vMerge/>
            <w:tcBorders>
              <w:left w:val="single" w:sz="4" w:space="0" w:color="000000"/>
              <w:bottom w:val="single" w:sz="4" w:space="0" w:color="000000"/>
              <w:right w:val="single" w:sz="4" w:space="0" w:color="000000"/>
            </w:tcBorders>
            <w:shd w:val="clear" w:color="auto" w:fill="D3D3D3"/>
          </w:tcPr>
          <w:p>
            <w:pP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分期收款发出商品</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7,251,579.20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7,251,579.20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3"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26,668,534.73</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721,268.80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3,881,695.73</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6,443,200.00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37,714,699.26</w:t>
            </w:r>
          </w:p>
        </w:tc>
        <w:tc>
          <w:tcPr>
            <w:tcW w:w="27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9"/>
        <w:jc w:val="left"/>
      </w:pPr>
      <w:r>
        <w:rPr/>
        <w:t>互抵后的递延所得税资产及负债的组成项目</w:t>
      </w:r>
    </w:p>
    <w:p>
      <w:pPr>
        <w:pStyle w:val="BodyText"/>
        <w:spacing w:line="240" w:lineRule="auto" w:before="116"/>
        <w:ind w:left="0" w:right="149"/>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49"/>
        <w:gridCol w:w="1627"/>
        <w:gridCol w:w="1627"/>
        <w:gridCol w:w="1627"/>
        <w:gridCol w:w="1628"/>
      </w:tblGrid>
      <w:tr>
        <w:trPr>
          <w:trHeight w:val="317" w:hRule="exact"/>
        </w:trPr>
        <w:tc>
          <w:tcPr>
            <w:tcW w:w="3049" w:type="dxa"/>
            <w:tcBorders>
              <w:top w:val="single" w:sz="4" w:space="0" w:color="000000"/>
              <w:left w:val="single" w:sz="4" w:space="0" w:color="000000"/>
              <w:bottom w:val="nil" w:sz="6" w:space="0" w:color="auto"/>
              <w:right w:val="single" w:sz="4" w:space="0" w:color="000000"/>
            </w:tcBorders>
            <w:shd w:val="clear" w:color="auto" w:fill="D3D3D3"/>
          </w:tcPr>
          <w:p>
            <w:pP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8" w:right="87"/>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8" w:right="87"/>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8" w:right="87"/>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9" w:right="86"/>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1" w:hRule="exact"/>
        </w:trPr>
        <w:tc>
          <w:tcPr>
            <w:tcW w:w="30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627"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28" w:type="dxa"/>
            <w:vMerge/>
            <w:tcBorders>
              <w:left w:val="single" w:sz="4" w:space="0" w:color="000000"/>
              <w:right w:val="single" w:sz="4" w:space="0" w:color="000000"/>
            </w:tcBorders>
            <w:shd w:val="clear" w:color="auto" w:fill="D3D3D3"/>
          </w:tcPr>
          <w:p>
            <w:pPr/>
          </w:p>
        </w:tc>
      </w:tr>
      <w:tr>
        <w:trPr>
          <w:trHeight w:val="317" w:hRule="exact"/>
        </w:trPr>
        <w:tc>
          <w:tcPr>
            <w:tcW w:w="3049" w:type="dxa"/>
            <w:tcBorders>
              <w:top w:val="nil" w:sz="6" w:space="0" w:color="auto"/>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8"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3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5,657,204.89</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8" w:right="0"/>
              <w:jc w:val="left"/>
              <w:rPr>
                <w:rFonts w:ascii="Times New Roman" w:hAnsi="Times New Roman" w:cs="Times New Roman" w:eastAsia="Times New Roman" w:hint="default"/>
                <w:sz w:val="18"/>
                <w:szCs w:val="18"/>
              </w:rPr>
            </w:pPr>
            <w:r>
              <w:rPr>
                <w:rFonts w:ascii="Times New Roman"/>
                <w:sz w:val="18"/>
              </w:rPr>
              <w:t>4,037,946.75</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1,087,736.88</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49"/>
        <w:jc w:val="left"/>
      </w:pPr>
      <w:r>
        <w:rPr/>
        <w:t>递延所得税资产和递延所得税负债互抵明细</w:t>
      </w:r>
    </w:p>
    <w:p>
      <w:pPr>
        <w:pStyle w:val="BodyText"/>
        <w:spacing w:line="240" w:lineRule="auto" w:before="117"/>
        <w:ind w:left="0" w:right="149"/>
        <w:jc w:val="right"/>
      </w:pPr>
      <w:r>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3849;top:14;width:2;height:393" coordorigin="3849,14" coordsize="2,393">
              <v:shape style="position:absolute;left:3849;top:14;width:2;height:393" coordorigin="3849,14" coordsize="0,393" path="m3849,14l3849,407e" filled="false" stroked="true" strokeweight="1.140pt" strokecolor="#d3d3d3">
                <v:path arrowok="t"/>
              </v:shape>
            </v:group>
            <v:group style="position:absolute;left:37;top:14;width:3801;height:393" coordorigin="37,14" coordsize="3801,393">
              <v:shape style="position:absolute;left:37;top:14;width:3801;height:393" coordorigin="37,14" coordsize="3801,393" path="m37,407l3838,407,3838,14,37,14,37,407xe" filled="true" fillcolor="#d3d3d3" stroked="false">
                <v:path arrowok="t"/>
                <v:fill type="solid"/>
              </v:shape>
            </v:group>
            <v:group style="position:absolute;left:3882;top:14;width:2;height:393" coordorigin="3882,14" coordsize="2,393">
              <v:shape style="position:absolute;left:3882;top:14;width:2;height:393" coordorigin="3882,14" coordsize="0,393" path="m3882,14l3882,407e" filled="false" stroked="true" strokeweight="1.2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3894;top:14;width:5656;height:393" coordorigin="3894,14" coordsize="5656,393">
              <v:shape style="position:absolute;left:3894;top:14;width:5656;height:393" coordorigin="3894,14" coordsize="5656,393" path="m3894,407l9550,407,9550,14,3894,14,3894,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10;top:5;width:2;height:412" coordorigin="10,5" coordsize="2,412">
              <v:shape style="position:absolute;left:10;top:5;width:2;height:412" coordorigin="10,5" coordsize="0,412" path="m10,5l10,416e" filled="false" stroked="true" strokeweight=".48pt" strokecolor="#000000">
                <v:path arrowok="t"/>
              </v:shape>
            </v:group>
            <v:group style="position:absolute;left:5;top:412;width:3856;height:2" coordorigin="5,412" coordsize="3856,2">
              <v:shape style="position:absolute;left:5;top:412;width:3856;height:2" coordorigin="5,412" coordsize="3856,0" path="m5,412l3860,412e" filled="false" stroked="true" strokeweight=".48pt" strokecolor="#000000">
                <v:path arrowok="t"/>
              </v:shape>
            </v:group>
            <v:group style="position:absolute;left:3865;top:14;width:2;height:402" coordorigin="3865,14" coordsize="2,402">
              <v:shape style="position:absolute;left:3865;top:14;width:2;height:402" coordorigin="3865,14" coordsize="0,402" path="m3865,14l3865,416e" filled="false" stroked="true" strokeweight=".48pt" strokecolor="#000000">
                <v:path arrowok="t"/>
              </v:shape>
            </v:group>
            <v:group style="position:absolute;left:3870;top:412;width:5703;height:2" coordorigin="3870,412" coordsize="5703,2">
              <v:shape style="position:absolute;left:3870;top:412;width:5703;height:2" coordorigin="3870,412" coordsize="5703,0" path="m3870,412l9572,412e" filled="false" stroked="true" strokeweight=".4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8pt" strokecolor="#000000">
                <v:path arrowok="t"/>
              </v:shape>
              <v:shape style="position:absolute;left:1757;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865;top:10;width:5701;height:402" type="#_x0000_t202" filled="false" stroked="false">
                <v:textbox inset="0,0,0,0">
                  <w:txbxContent>
                    <w:p>
                      <w:pPr>
                        <w:spacing w:before="56"/>
                        <w:ind w:left="11" w:right="0" w:firstLine="0"/>
                        <w:jc w:val="center"/>
                        <w:rPr>
                          <w:rFonts w:ascii="宋体" w:hAnsi="宋体" w:cs="宋体" w:eastAsia="宋体" w:hint="default"/>
                          <w:sz w:val="18"/>
                          <w:szCs w:val="18"/>
                        </w:rPr>
                      </w:pPr>
                      <w:r>
                        <w:rPr>
                          <w:rFonts w:ascii="宋体" w:hAnsi="宋体" w:cs="宋体" w:eastAsia="宋体" w:hint="default"/>
                          <w:sz w:val="18"/>
                          <w:szCs w:val="18"/>
                        </w:rPr>
                        <w:t>本期互抵金额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149"/>
        <w:jc w:val="left"/>
      </w:pPr>
      <w:r>
        <w:rPr/>
        <w:t>递延所得税资产和递延所得税负债的说明</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54"/>
        <w:gridCol w:w="1528"/>
        <w:gridCol w:w="1528"/>
        <w:gridCol w:w="1398"/>
        <w:gridCol w:w="1398"/>
        <w:gridCol w:w="1452"/>
      </w:tblGrid>
      <w:tr>
        <w:trPr>
          <w:trHeight w:val="201" w:hRule="exact"/>
        </w:trPr>
        <w:tc>
          <w:tcPr>
            <w:tcW w:w="225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8"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8" w:type="dxa"/>
            <w:tcBorders>
              <w:top w:val="single" w:sz="4" w:space="0" w:color="000000"/>
              <w:left w:val="single" w:sz="4" w:space="0" w:color="000000"/>
              <w:bottom w:val="nil" w:sz="6" w:space="0" w:color="auto"/>
              <w:right w:val="single" w:sz="4" w:space="0" w:color="000000"/>
            </w:tcBorders>
            <w:shd w:val="clear" w:color="auto" w:fill="D3D3D3"/>
          </w:tcPr>
          <w:p>
            <w:pPr/>
          </w:p>
        </w:tc>
        <w:tc>
          <w:tcPr>
            <w:tcW w:w="279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7" w:hRule="exact"/>
        </w:trPr>
        <w:tc>
          <w:tcPr>
            <w:tcW w:w="22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5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vMerge/>
            <w:tcBorders>
              <w:left w:val="single" w:sz="4" w:space="0" w:color="000000"/>
              <w:bottom w:val="single" w:sz="4" w:space="0" w:color="000000"/>
              <w:right w:val="single" w:sz="4" w:space="0" w:color="000000"/>
            </w:tcBorders>
            <w:shd w:val="clear" w:color="auto" w:fill="D3D3D3"/>
          </w:tcPr>
          <w:p>
            <w:pPr/>
          </w:p>
        </w:tc>
        <w:tc>
          <w:tcPr>
            <w:tcW w:w="145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6" w:hRule="exact"/>
        </w:trPr>
        <w:tc>
          <w:tcPr>
            <w:tcW w:w="2254" w:type="dxa"/>
            <w:vMerge/>
            <w:tcBorders>
              <w:left w:val="single" w:sz="4" w:space="0" w:color="000000"/>
              <w:bottom w:val="nil" w:sz="6" w:space="0" w:color="auto"/>
              <w:right w:val="single" w:sz="4" w:space="0" w:color="000000"/>
            </w:tcBorders>
            <w:shd w:val="clear" w:color="auto" w:fill="D3D3D3"/>
          </w:tcPr>
          <w:p>
            <w:pPr/>
          </w:p>
        </w:tc>
        <w:tc>
          <w:tcPr>
            <w:tcW w:w="1528" w:type="dxa"/>
            <w:vMerge/>
            <w:tcBorders>
              <w:left w:val="single" w:sz="4" w:space="0" w:color="000000"/>
              <w:bottom w:val="nil" w:sz="6" w:space="0" w:color="auto"/>
              <w:right w:val="single" w:sz="4" w:space="0" w:color="000000"/>
            </w:tcBorders>
            <w:shd w:val="clear" w:color="auto" w:fill="D3D3D3"/>
          </w:tcPr>
          <w:p>
            <w:pPr/>
          </w:p>
        </w:tc>
        <w:tc>
          <w:tcPr>
            <w:tcW w:w="1528" w:type="dxa"/>
            <w:vMerge/>
            <w:tcBorders>
              <w:left w:val="single" w:sz="4" w:space="0" w:color="000000"/>
              <w:bottom w:val="nil" w:sz="6" w:space="0" w:color="auto"/>
              <w:right w:val="single" w:sz="4" w:space="0" w:color="000000"/>
            </w:tcBorders>
            <w:shd w:val="clear" w:color="auto" w:fill="D3D3D3"/>
          </w:tcPr>
          <w:p>
            <w:pP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3D3D3"/>
          </w:tcPr>
          <w:p>
            <w:pPr/>
          </w:p>
        </w:tc>
      </w:tr>
      <w:tr>
        <w:trPr>
          <w:trHeight w:val="211" w:hRule="exact"/>
        </w:trPr>
        <w:tc>
          <w:tcPr>
            <w:tcW w:w="225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145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21,333,066.62</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4,932,171.40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61,519.30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1,081,495.07</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25,122,223.65</w:t>
            </w: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2,009,556.03</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746,131.99</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226,544.80</w:t>
            </w: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2,529,143.22</w:t>
            </w: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23,342,622.65</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5,678,303.39</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288,064.10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1,081,495.07</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27,651,366.87</w:t>
            </w:r>
          </w:p>
        </w:tc>
      </w:tr>
    </w:tbl>
    <w:p>
      <w:pPr>
        <w:pStyle w:val="BodyText"/>
        <w:spacing w:line="240" w:lineRule="auto" w:before="51"/>
        <w:ind w:right="149"/>
        <w:jc w:val="left"/>
      </w:pPr>
      <w:r>
        <w:rPr/>
        <w:t>资产减值明细情况的说明</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52"/>
        <w:ind w:right="149"/>
        <w:jc w:val="left"/>
      </w:pPr>
      <w:r>
        <w:rPr/>
        <w:t>其他非流动资产的说明</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67"/>
        <w:gridCol w:w="2934"/>
        <w:gridCol w:w="3055"/>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278,000,000.00</w:t>
            </w:r>
          </w:p>
        </w:tc>
      </w:tr>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578"/>
        <w:gridCol w:w="2934"/>
        <w:gridCol w:w="3055"/>
      </w:tblGrid>
      <w:tr>
        <w:trPr>
          <w:trHeight w:val="402" w:hRule="exact"/>
        </w:trPr>
        <w:tc>
          <w:tcPr>
            <w:tcW w:w="3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1768" w:right="0"/>
              <w:jc w:val="left"/>
              <w:rPr>
                <w:rFonts w:ascii="Times New Roman" w:hAnsi="Times New Roman" w:cs="Times New Roman" w:eastAsia="Times New Roman" w:hint="default"/>
                <w:sz w:val="18"/>
                <w:szCs w:val="18"/>
              </w:rPr>
            </w:pPr>
            <w:r>
              <w:rPr>
                <w:rFonts w:ascii="Times New Roman"/>
                <w:sz w:val="18"/>
              </w:rPr>
              <w:t>375,000,000.00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310,000,000.00</w:t>
            </w:r>
          </w:p>
        </w:tc>
      </w:tr>
    </w:tbl>
    <w:p>
      <w:pPr>
        <w:pStyle w:val="BodyText"/>
        <w:spacing w:line="240" w:lineRule="auto" w:before="51"/>
        <w:ind w:right="90"/>
        <w:jc w:val="left"/>
      </w:pPr>
      <w:r>
        <w:rPr/>
        <w:t>短期借款分类的说明</w:t>
      </w:r>
    </w:p>
    <w:p>
      <w:pPr>
        <w:pStyle w:val="BodyText"/>
        <w:spacing w:line="300" w:lineRule="auto" w:before="116"/>
        <w:ind w:left="153" w:right="191" w:firstLine="360"/>
        <w:jc w:val="both"/>
      </w:pPr>
      <w:r>
        <w:rPr>
          <w:rFonts w:ascii="Times New Roman" w:hAnsi="Times New Roman" w:cs="Times New Roman" w:eastAsia="Times New Roman" w:hint="default"/>
          <w:spacing w:val="-1"/>
        </w:rPr>
        <w:t>*1.</w:t>
      </w:r>
      <w:r>
        <w:rPr>
          <w:spacing w:val="-1"/>
        </w:rPr>
        <w:t>公司于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17</w:t>
      </w:r>
      <w:r>
        <w:rPr>
          <w:spacing w:val="-1"/>
        </w:rPr>
        <w:t>日与招商银行深南中路支行签订合同编号为</w:t>
      </w:r>
      <w:r>
        <w:rPr>
          <w:rFonts w:ascii="Times New Roman" w:hAnsi="Times New Roman" w:cs="Times New Roman" w:eastAsia="Times New Roman" w:hint="default"/>
          <w:spacing w:val="-1"/>
        </w:rPr>
        <w:t>2012</w:t>
      </w:r>
      <w:r>
        <w:rPr>
          <w:spacing w:val="-1"/>
        </w:rPr>
        <w:t>深侨字第</w:t>
      </w:r>
      <w:r>
        <w:rPr>
          <w:rFonts w:ascii="Times New Roman" w:hAnsi="Times New Roman" w:cs="Times New Roman" w:eastAsia="Times New Roman" w:hint="default"/>
          <w:spacing w:val="-1"/>
        </w:rPr>
        <w:t>0012271070</w:t>
      </w:r>
      <w:r>
        <w:rPr>
          <w:spacing w:val="-1"/>
        </w:rPr>
        <w:t>号的综合授信合同，获得折</w:t>
      </w:r>
      <w:r>
        <w:rPr/>
        <w:t> 合人民币</w:t>
      </w:r>
      <w:r>
        <w:rPr>
          <w:rFonts w:ascii="Times New Roman" w:hAnsi="Times New Roman" w:cs="Times New Roman" w:eastAsia="Times New Roman" w:hint="default"/>
        </w:rPr>
        <w:t>3</w:t>
      </w:r>
      <w:r>
        <w:rPr/>
        <w:t>亿元的授信额度，本期取得人民币</w:t>
      </w:r>
      <w:r>
        <w:rPr>
          <w:rFonts w:ascii="Times New Roman" w:hAnsi="Times New Roman" w:cs="Times New Roman" w:eastAsia="Times New Roman" w:hint="default"/>
        </w:rPr>
        <w:t>1.45</w:t>
      </w:r>
      <w:r>
        <w:rPr/>
        <w:t>亿元短期借款。公司股东曾胜强、许忠桂、曾胜辉为其担保；另以本公司 土地作抵押</w:t>
      </w:r>
      <w:r>
        <w:rPr>
          <w:rFonts w:ascii="Times New Roman" w:hAnsi="Times New Roman" w:cs="Times New Roman" w:eastAsia="Times New Roman" w:hint="default"/>
        </w:rPr>
        <w:t>,</w:t>
      </w:r>
      <w:r>
        <w:rPr/>
        <w:t>抵押物原值</w:t>
      </w:r>
      <w:r>
        <w:rPr>
          <w:rFonts w:ascii="Times New Roman" w:hAnsi="Times New Roman" w:cs="Times New Roman" w:eastAsia="Times New Roman" w:hint="default"/>
        </w:rPr>
        <w:t>39,792,452.00</w:t>
      </w:r>
      <w:r>
        <w:rPr/>
        <w:t>元，截止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日抵押物净值</w:t>
      </w:r>
      <w:r>
        <w:rPr>
          <w:rFonts w:ascii="Times New Roman" w:hAnsi="Times New Roman" w:cs="Times New Roman" w:eastAsia="Times New Roman" w:hint="default"/>
        </w:rPr>
        <w:t>35,495,912.18</w:t>
      </w:r>
      <w:r>
        <w:rPr/>
        <w:t>元。</w:t>
      </w:r>
    </w:p>
    <w:p>
      <w:pPr>
        <w:pStyle w:val="BodyText"/>
        <w:spacing w:line="300" w:lineRule="auto" w:before="13"/>
        <w:ind w:left="153" w:right="274" w:firstLine="360"/>
        <w:jc w:val="both"/>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日与上海浦东发展银行深圳分行签订编号为</w:t>
      </w:r>
      <w:r>
        <w:rPr>
          <w:rFonts w:ascii="Times New Roman" w:hAnsi="Times New Roman" w:cs="Times New Roman" w:eastAsia="Times New Roman" w:hint="default"/>
        </w:rPr>
        <w:t>BC2012061100000166</w:t>
      </w:r>
      <w:r>
        <w:rPr/>
        <w:t>号的融资额度协议，获得折合 人民币</w:t>
      </w:r>
      <w:r>
        <w:rPr>
          <w:rFonts w:ascii="Times New Roman" w:hAnsi="Times New Roman" w:cs="Times New Roman" w:eastAsia="Times New Roman" w:hint="default"/>
        </w:rPr>
        <w:t>1.3428</w:t>
      </w:r>
      <w:r>
        <w:rPr/>
        <w:t>亿元的授信额度，本期取得人民币</w:t>
      </w:r>
      <w:r>
        <w:rPr>
          <w:rFonts w:ascii="Times New Roman" w:hAnsi="Times New Roman" w:cs="Times New Roman" w:eastAsia="Times New Roman" w:hint="default"/>
        </w:rPr>
        <w:t>0.70</w:t>
      </w:r>
      <w:r>
        <w:rPr/>
        <w:t>亿元短期借款。公司股东曾胜强、许忠桂为本公司担保；</w:t>
      </w:r>
    </w:p>
    <w:p>
      <w:pPr>
        <w:pStyle w:val="BodyText"/>
        <w:spacing w:line="300" w:lineRule="auto" w:before="13"/>
        <w:ind w:left="152" w:right="192" w:firstLine="360"/>
        <w:jc w:val="both"/>
      </w:pPr>
      <w:r>
        <w:rPr>
          <w:spacing w:val="-2"/>
        </w:rPr>
        <w:t>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30</w:t>
      </w:r>
      <w:r>
        <w:rPr>
          <w:spacing w:val="-2"/>
        </w:rPr>
        <w:t>日与上海银行深圳分行签订编号为</w:t>
      </w:r>
      <w:r>
        <w:rPr>
          <w:rFonts w:ascii="Times New Roman" w:hAnsi="Times New Roman" w:cs="Times New Roman" w:eastAsia="Times New Roman" w:hint="default"/>
          <w:spacing w:val="-2"/>
        </w:rPr>
        <w:t>8X92903120116</w:t>
      </w:r>
      <w:r>
        <w:rPr>
          <w:spacing w:val="-2"/>
        </w:rPr>
        <w:t>号的综合授信合同，获得折合人民币</w:t>
      </w:r>
      <w:r>
        <w:rPr>
          <w:rFonts w:ascii="Times New Roman" w:hAnsi="Times New Roman" w:cs="Times New Roman" w:eastAsia="Times New Roman" w:hint="default"/>
          <w:spacing w:val="-2"/>
        </w:rPr>
        <w:t>0.90</w:t>
      </w:r>
      <w:r>
        <w:rPr>
          <w:spacing w:val="-2"/>
        </w:rPr>
        <w:t>亿元的授</w:t>
      </w:r>
      <w:r>
        <w:rPr/>
        <w:t> 信额度，本期取得人民币</w:t>
      </w:r>
      <w:r>
        <w:rPr>
          <w:rFonts w:ascii="Times New Roman" w:hAnsi="Times New Roman" w:cs="Times New Roman" w:eastAsia="Times New Roman" w:hint="default"/>
        </w:rPr>
        <w:t>0.50</w:t>
      </w:r>
      <w:r>
        <w:rPr/>
        <w:t>亿元短期借款，公司股东曾胜强、许忠桂为本公司担保；</w:t>
      </w:r>
    </w:p>
    <w:p>
      <w:pPr>
        <w:pStyle w:val="BodyText"/>
        <w:spacing w:line="300" w:lineRule="auto" w:before="13"/>
        <w:ind w:left="153" w:right="101" w:firstLine="359"/>
        <w:jc w:val="both"/>
      </w:pPr>
      <w:r>
        <w:rPr>
          <w:spacing w:val="-2"/>
        </w:rPr>
        <w:t>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22</w:t>
      </w:r>
      <w:r>
        <w:rPr>
          <w:spacing w:val="-2"/>
        </w:rPr>
        <w:t>日与中信银行深圳分行签订合同号为（</w:t>
      </w:r>
      <w:r>
        <w:rPr>
          <w:rFonts w:ascii="Times New Roman" w:hAnsi="Times New Roman" w:cs="Times New Roman" w:eastAsia="Times New Roman" w:hint="default"/>
          <w:spacing w:val="-2"/>
        </w:rPr>
        <w:t>2012</w:t>
      </w:r>
      <w:r>
        <w:rPr>
          <w:spacing w:val="-2"/>
        </w:rPr>
        <w:t>）深银口岸综字第</w:t>
      </w:r>
      <w:r>
        <w:rPr>
          <w:rFonts w:ascii="Times New Roman" w:hAnsi="Times New Roman" w:cs="Times New Roman" w:eastAsia="Times New Roman" w:hint="default"/>
          <w:spacing w:val="-2"/>
        </w:rPr>
        <w:t>008</w:t>
      </w:r>
      <w:r>
        <w:rPr>
          <w:spacing w:val="-2"/>
        </w:rPr>
        <w:t>号的综合授信合同，获得折合人民</w:t>
      </w:r>
      <w:r>
        <w:rPr/>
        <w:t> </w:t>
      </w:r>
      <w:r>
        <w:rPr>
          <w:spacing w:val="-1"/>
        </w:rPr>
        <w:t>币</w:t>
      </w:r>
      <w:r>
        <w:rPr>
          <w:rFonts w:ascii="Times New Roman" w:hAnsi="Times New Roman" w:cs="Times New Roman" w:eastAsia="Times New Roman" w:hint="default"/>
          <w:spacing w:val="-1"/>
        </w:rPr>
        <w:t>1.00</w:t>
      </w:r>
      <w:r>
        <w:rPr>
          <w:spacing w:val="-1"/>
        </w:rPr>
        <w:t>亿元的授信额度，本期取得人民币</w:t>
      </w:r>
      <w:r>
        <w:rPr>
          <w:rFonts w:ascii="Times New Roman" w:hAnsi="Times New Roman" w:cs="Times New Roman" w:eastAsia="Times New Roman" w:hint="default"/>
          <w:spacing w:val="-1"/>
        </w:rPr>
        <w:t>0.40</w:t>
      </w:r>
      <w:r>
        <w:rPr>
          <w:spacing w:val="-1"/>
        </w:rPr>
        <w:t>亿元短期借款、</w:t>
      </w:r>
      <w:r>
        <w:rPr>
          <w:rFonts w:ascii="Times New Roman" w:hAnsi="Times New Roman" w:cs="Times New Roman" w:eastAsia="Times New Roman" w:hint="default"/>
          <w:spacing w:val="-1"/>
        </w:rPr>
        <w:t>0.25</w:t>
      </w:r>
      <w:r>
        <w:rPr>
          <w:spacing w:val="-1"/>
        </w:rPr>
        <w:t>亿元信用证借款，公司股东曾胜强、许忠桂为本公司担保；</w:t>
      </w:r>
    </w:p>
    <w:p>
      <w:pPr>
        <w:pStyle w:val="BodyText"/>
        <w:spacing w:line="300" w:lineRule="auto" w:before="13"/>
        <w:ind w:left="153" w:right="190" w:firstLine="360"/>
        <w:jc w:val="both"/>
      </w:pPr>
      <w:r>
        <w:rPr>
          <w:spacing w:val="-2"/>
        </w:rPr>
        <w:t>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w:t>
      </w:r>
      <w:r>
        <w:rPr>
          <w:spacing w:val="-2"/>
        </w:rPr>
        <w:t>日与中国银行深圳高新区支行签订编号为</w:t>
      </w:r>
      <w:r>
        <w:rPr>
          <w:rFonts w:ascii="Times New Roman" w:hAnsi="Times New Roman" w:cs="Times New Roman" w:eastAsia="Times New Roman" w:hint="default"/>
          <w:spacing w:val="-2"/>
        </w:rPr>
        <w:t>2012</w:t>
      </w:r>
      <w:r>
        <w:rPr>
          <w:spacing w:val="-2"/>
        </w:rPr>
        <w:t>圳中银高额协字第</w:t>
      </w:r>
      <w:r>
        <w:rPr>
          <w:rFonts w:ascii="Times New Roman" w:hAnsi="Times New Roman" w:cs="Times New Roman" w:eastAsia="Times New Roman" w:hint="default"/>
          <w:spacing w:val="-2"/>
        </w:rPr>
        <w:t>050118</w:t>
      </w:r>
      <w:r>
        <w:rPr>
          <w:spacing w:val="-2"/>
        </w:rPr>
        <w:t>号的授信额度协议，获得折合</w:t>
      </w:r>
      <w:r>
        <w:rPr/>
        <w:t> 人民币</w:t>
      </w:r>
      <w:r>
        <w:rPr>
          <w:rFonts w:ascii="Times New Roman" w:hAnsi="Times New Roman" w:cs="Times New Roman" w:eastAsia="Times New Roman" w:hint="default"/>
        </w:rPr>
        <w:t>0.50</w:t>
      </w:r>
      <w:r>
        <w:rPr/>
        <w:t>亿元的授信额度，本期取得人民币</w:t>
      </w:r>
      <w:r>
        <w:rPr>
          <w:rFonts w:ascii="Times New Roman" w:hAnsi="Times New Roman" w:cs="Times New Roman" w:eastAsia="Times New Roman" w:hint="default"/>
        </w:rPr>
        <w:t>0.25</w:t>
      </w:r>
      <w:r>
        <w:rPr/>
        <w:t>亿元短期借款。公司股东曾胜强、许忠桂为本公司担保；</w:t>
      </w:r>
    </w:p>
    <w:p>
      <w:pPr>
        <w:pStyle w:val="BodyText"/>
        <w:spacing w:line="240" w:lineRule="auto" w:before="13"/>
        <w:ind w:left="514" w:right="90"/>
        <w:jc w:val="left"/>
      </w:pP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日与杭州银行深圳分行办理票据贴现，获得折合人民币</w:t>
      </w:r>
      <w:r>
        <w:rPr>
          <w:rFonts w:ascii="Times New Roman" w:hAnsi="Times New Roman" w:cs="Times New Roman" w:eastAsia="Times New Roman" w:hint="default"/>
        </w:rPr>
        <w:t>0.20</w:t>
      </w:r>
      <w:r>
        <w:rPr/>
        <w:t>亿元的短期借款。</w:t>
      </w:r>
    </w:p>
    <w:p>
      <w:pPr>
        <w:spacing w:line="240" w:lineRule="auto" w:before="12"/>
        <w:rPr>
          <w:rFonts w:ascii="宋体" w:hAnsi="宋体" w:cs="宋体" w:eastAsia="宋体" w:hint="default"/>
          <w:sz w:val="25"/>
          <w:szCs w:val="25"/>
        </w:rPr>
      </w:pPr>
    </w:p>
    <w:p>
      <w:pPr>
        <w:pStyle w:val="Heading3"/>
        <w:spacing w:line="240" w:lineRule="auto"/>
        <w:ind w:right="90"/>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7"/>
        <w:gridCol w:w="1283"/>
        <w:gridCol w:w="1278"/>
        <w:gridCol w:w="1655"/>
        <w:gridCol w:w="1753"/>
        <w:gridCol w:w="1992"/>
      </w:tblGrid>
      <w:tr>
        <w:trPr>
          <w:trHeight w:val="403" w:hRule="exact"/>
        </w:trPr>
        <w:tc>
          <w:tcPr>
            <w:tcW w:w="1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7"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pStyle w:val="BodyText"/>
        <w:spacing w:line="357" w:lineRule="auto" w:before="52"/>
        <w:ind w:left="153" w:right="3691"/>
        <w:jc w:val="left"/>
      </w:pPr>
      <w:r>
        <w:rPr/>
        <w:t>资产负债表日后已偿还金额元。 短期借款的说明，包括已到期短期借款获展期的，说明展期条件、新的到期日</w:t>
      </w:r>
    </w:p>
    <w:p>
      <w:pPr>
        <w:spacing w:line="240" w:lineRule="auto" w:before="1"/>
        <w:rPr>
          <w:rFonts w:ascii="宋体" w:hAnsi="宋体" w:cs="宋体" w:eastAsia="宋体" w:hint="default"/>
          <w:sz w:val="20"/>
          <w:szCs w:val="20"/>
        </w:rPr>
      </w:pPr>
    </w:p>
    <w:p>
      <w:pPr>
        <w:pStyle w:val="Heading3"/>
        <w:spacing w:line="240" w:lineRule="auto"/>
        <w:ind w:right="90"/>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2"/>
        <w:gridCol w:w="2922"/>
        <w:gridCol w:w="3054"/>
      </w:tblGrid>
      <w:tr>
        <w:trPr>
          <w:trHeight w:val="402" w:hRule="exact"/>
        </w:trPr>
        <w:tc>
          <w:tcPr>
            <w:tcW w:w="3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6"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pStyle w:val="BodyText"/>
        <w:spacing w:line="240" w:lineRule="auto" w:before="51"/>
        <w:ind w:right="90"/>
        <w:jc w:val="left"/>
      </w:pPr>
      <w:r>
        <w:rPr/>
        <w:t>交易性金融负债的说明</w:t>
      </w:r>
    </w:p>
    <w:p>
      <w:pPr>
        <w:spacing w:line="240" w:lineRule="auto" w:before="11"/>
        <w:rPr>
          <w:rFonts w:ascii="宋体" w:hAnsi="宋体" w:cs="宋体" w:eastAsia="宋体" w:hint="default"/>
          <w:sz w:val="26"/>
          <w:szCs w:val="26"/>
        </w:rPr>
      </w:pPr>
    </w:p>
    <w:p>
      <w:pPr>
        <w:pStyle w:val="Heading3"/>
        <w:spacing w:line="240" w:lineRule="auto"/>
        <w:ind w:right="90"/>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67"/>
        <w:gridCol w:w="2934"/>
        <w:gridCol w:w="3055"/>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15,459,926.60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11,445,411.58</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1,389,142.00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1,504,900.00</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16,849,068.60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12,950,311.58</w:t>
            </w:r>
          </w:p>
        </w:tc>
      </w:tr>
    </w:tbl>
    <w:p>
      <w:pPr>
        <w:pStyle w:val="BodyText"/>
        <w:spacing w:line="340" w:lineRule="auto" w:before="51"/>
        <w:ind w:left="153" w:right="6170"/>
        <w:jc w:val="left"/>
      </w:pPr>
      <w:r>
        <w:rPr/>
        <w:t>下一会计期间将到期的金额</w:t>
      </w:r>
      <w:r>
        <w:rPr>
          <w:spacing w:val="-47"/>
        </w:rPr>
        <w:t> </w:t>
      </w:r>
      <w:r>
        <w:rPr>
          <w:rFonts w:ascii="Times New Roman" w:hAnsi="Times New Roman" w:cs="Times New Roman" w:eastAsia="Times New Roman" w:hint="default"/>
        </w:rPr>
        <w:t>16,849,068.60</w:t>
      </w:r>
      <w:r>
        <w:rPr>
          <w:rFonts w:ascii="Times New Roman" w:hAnsi="Times New Roman" w:cs="Times New Roman" w:eastAsia="Times New Roman" w:hint="default"/>
          <w:spacing w:val="-2"/>
        </w:rPr>
        <w:t> </w:t>
      </w:r>
      <w:r>
        <w:rPr/>
        <w:t>元。 应付票据的说明</w:t>
      </w:r>
    </w:p>
    <w:p>
      <w:pPr>
        <w:spacing w:after="0" w:line="340" w:lineRule="auto"/>
        <w:jc w:val="left"/>
        <w:sectPr>
          <w:pgSz w:w="11910" w:h="16840"/>
          <w:pgMar w:header="877" w:footer="982" w:top="1100" w:bottom="1180" w:left="980" w:right="940"/>
        </w:sectPr>
      </w:pPr>
    </w:p>
    <w:p>
      <w:pPr>
        <w:spacing w:line="240" w:lineRule="auto" w:before="9"/>
        <w:rPr>
          <w:rFonts w:ascii="宋体" w:hAnsi="宋体" w:cs="宋体" w:eastAsia="宋体" w:hint="default"/>
          <w:sz w:val="20"/>
          <w:szCs w:val="20"/>
        </w:rPr>
      </w:pPr>
    </w:p>
    <w:p>
      <w:pPr>
        <w:pStyle w:val="Heading3"/>
        <w:spacing w:line="240" w:lineRule="auto" w:before="35"/>
        <w:ind w:right="149"/>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125,798,220.37</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132,463,192.53</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2,980,264.22</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7,160,206.44</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2,099,800.36</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2,516,173.31</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110,940.06</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316,356.89</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130,989,225.01</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142,455,929.17</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2</w:t>
      </w:r>
      <w:r>
        <w:rPr/>
        <w:t>）本报告期应付账款中应付持有公司</w:t>
      </w:r>
      <w:r>
        <w:rPr>
          <w:spacing w:val="-64"/>
        </w:rPr>
        <w:t> </w:t>
      </w:r>
      <w:r>
        <w:rPr>
          <w:rFonts w:ascii="Times New Roman" w:hAnsi="Times New Roman" w:cs="Times New Roman" w:eastAsia="Times New Roman" w:hint="default"/>
        </w:rPr>
        <w:t>5</w:t>
      </w:r>
      <w:r>
        <w:rPr/>
        <w:t>％（含</w:t>
      </w:r>
      <w:r>
        <w:rPr>
          <w:spacing w:val="-64"/>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262"/>
        <w:gridCol w:w="2550"/>
        <w:gridCol w:w="3686"/>
      </w:tblGrid>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未结转原因</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深圳市永联科技有限公司</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587" w:right="0"/>
              <w:jc w:val="left"/>
              <w:rPr>
                <w:rFonts w:ascii="Times New Roman" w:hAnsi="Times New Roman" w:cs="Times New Roman" w:eastAsia="Times New Roman" w:hint="default"/>
                <w:sz w:val="18"/>
                <w:szCs w:val="18"/>
              </w:rPr>
            </w:pPr>
            <w:r>
              <w:rPr>
                <w:rFonts w:ascii="Times New Roman"/>
                <w:sz w:val="18"/>
              </w:rPr>
              <w:t>1,430,529.60</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待结算</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149"/>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21,090,791.82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35,576,995.66</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613,057.51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7,822,882.10</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253,167.36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783,946.91</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200,267.72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9,280.63</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22,157,284.41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44,193,105.30</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2</w:t>
      </w:r>
      <w:r>
        <w:rPr/>
        <w:t>）本报告期预收账款中预收持有公司</w:t>
      </w:r>
      <w:r>
        <w:rPr>
          <w:spacing w:val="-64"/>
        </w:rPr>
        <w:t> </w:t>
      </w:r>
      <w:r>
        <w:rPr>
          <w:rFonts w:ascii="Times New Roman" w:hAnsi="Times New Roman" w:cs="Times New Roman" w:eastAsia="Times New Roman" w:hint="default"/>
        </w:rPr>
        <w:t>5</w:t>
      </w:r>
      <w:r>
        <w:rPr/>
        <w:t>％（含</w:t>
      </w:r>
      <w:r>
        <w:rPr>
          <w:spacing w:val="-64"/>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44"/>
        <w:gridCol w:w="2790"/>
        <w:gridCol w:w="2922"/>
      </w:tblGrid>
      <w:tr>
        <w:trPr>
          <w:trHeight w:val="402" w:hRule="exact"/>
        </w:trPr>
        <w:tc>
          <w:tcPr>
            <w:tcW w:w="3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9"/>
        <w:jc w:val="left"/>
      </w:pPr>
      <w:r>
        <w:rPr/>
        <w:t>期末无账龄超过一年的大额预收款项情况</w:t>
      </w:r>
    </w:p>
    <w:p>
      <w:pPr>
        <w:spacing w:line="240" w:lineRule="auto" w:before="12"/>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4"/>
        <w:gridCol w:w="1873"/>
        <w:gridCol w:w="1993"/>
        <w:gridCol w:w="2257"/>
        <w:gridCol w:w="1860"/>
      </w:tblGrid>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4"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13,944,007.83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75,551,037.10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78,039,213.01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11,455,831.92</w:t>
            </w: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73" w:type="dxa"/>
            <w:tcBorders>
              <w:top w:val="single" w:sz="4" w:space="0" w:color="000000"/>
              <w:left w:val="single" w:sz="13" w:space="0" w:color="D3D3D3"/>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427,817.30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427,817.30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6,026.85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5,749,320.95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5,755,347.80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7,879.55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224,464.75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232,344.30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73" w:type="dxa"/>
            <w:tcBorders>
              <w:top w:val="single" w:sz="4" w:space="0" w:color="000000"/>
              <w:left w:val="single" w:sz="13" w:space="0" w:color="D3D3D3"/>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241,356.00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241,356.00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679,979.96</w:t>
            </w:r>
          </w:p>
        </w:tc>
        <w:tc>
          <w:tcPr>
            <w:tcW w:w="1993"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651,675.86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28,304.10</w:t>
            </w: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七、辞退福利</w:t>
            </w:r>
          </w:p>
        </w:tc>
        <w:tc>
          <w:tcPr>
            <w:tcW w:w="187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241,356.00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241,356.00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14,637,894.19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82,193,996.10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85,347,754.27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11,484,136.02</w:t>
            </w:r>
          </w:p>
        </w:tc>
      </w:tr>
    </w:tbl>
    <w:p>
      <w:pPr>
        <w:pStyle w:val="BodyText"/>
        <w:spacing w:line="240" w:lineRule="auto" w:before="51"/>
        <w:ind w:right="149"/>
        <w:jc w:val="left"/>
      </w:pPr>
      <w:r>
        <w:rPr/>
        <w:t>应付职工薪酬中属于拖欠性质的金额元。</w:t>
      </w:r>
    </w:p>
    <w:p>
      <w:pPr>
        <w:pStyle w:val="BodyText"/>
        <w:spacing w:line="340" w:lineRule="auto" w:before="116"/>
        <w:ind w:left="153" w:right="1135"/>
        <w:jc w:val="left"/>
      </w:pPr>
      <w:r>
        <w:rPr/>
        <w:t>工会经费和职工教育经费金额</w:t>
      </w:r>
      <w:r>
        <w:rPr>
          <w:spacing w:val="-46"/>
        </w:rPr>
        <w:t> </w:t>
      </w:r>
      <w:r>
        <w:rPr>
          <w:rFonts w:ascii="Times New Roman" w:hAnsi="Times New Roman" w:cs="Times New Roman" w:eastAsia="Times New Roman" w:hint="default"/>
        </w:rPr>
        <w:t>651,675.86</w:t>
      </w:r>
      <w:r>
        <w:rPr>
          <w:rFonts w:ascii="Times New Roman" w:hAnsi="Times New Roman" w:cs="Times New Roman" w:eastAsia="Times New Roman" w:hint="default"/>
          <w:spacing w:val="-1"/>
        </w:rPr>
        <w:t> </w:t>
      </w:r>
      <w:r>
        <w:rPr/>
        <w:t>元，非货币性福利金额元，因解除劳动关系给予补偿</w:t>
      </w:r>
      <w:r>
        <w:rPr>
          <w:spacing w:val="-46"/>
        </w:rPr>
        <w:t> </w:t>
      </w:r>
      <w:r>
        <w:rPr>
          <w:rFonts w:ascii="Times New Roman" w:hAnsi="Times New Roman" w:cs="Times New Roman" w:eastAsia="Times New Roman" w:hint="default"/>
        </w:rPr>
        <w:t>241,356.00</w:t>
      </w:r>
      <w:r>
        <w:rPr>
          <w:rFonts w:ascii="Times New Roman" w:hAnsi="Times New Roman" w:cs="Times New Roman" w:eastAsia="Times New Roman" w:hint="default"/>
          <w:spacing w:val="-1"/>
        </w:rPr>
        <w:t> </w:t>
      </w:r>
      <w:r>
        <w:rPr/>
        <w:t>元。 应付职工薪酬预计发放时间、金额等安排</w:t>
      </w:r>
    </w:p>
    <w:p>
      <w:pPr>
        <w:spacing w:line="240" w:lineRule="auto" w:before="13"/>
        <w:rPr>
          <w:rFonts w:ascii="宋体" w:hAnsi="宋体" w:cs="宋体" w:eastAsia="宋体" w:hint="default"/>
          <w:sz w:val="20"/>
          <w:szCs w:val="20"/>
        </w:rPr>
      </w:pPr>
    </w:p>
    <w:p>
      <w:pPr>
        <w:pStyle w:val="Heading3"/>
        <w:spacing w:line="240" w:lineRule="auto"/>
        <w:ind w:right="149"/>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111"/>
        <w:gridCol w:w="2789"/>
        <w:gridCol w:w="2657"/>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9,657,596.95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-5,177,554.48</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156,378.43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45,605.77</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2,134,673.87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1,706,393.23</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132,729.46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400,731.56</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805,570.17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728,686.34</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604,770.10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521,454.05</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150,082.02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420.00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893,939.17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669,723.83</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1,190.03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13,348.25</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14,536,930.20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-1,091,191.45</w:t>
            </w:r>
          </w:p>
        </w:tc>
      </w:tr>
    </w:tbl>
    <w:p>
      <w:pPr>
        <w:pStyle w:val="BodyText"/>
        <w:spacing w:line="240" w:lineRule="auto" w:before="51"/>
        <w:ind w:right="149"/>
        <w:jc w:val="left"/>
      </w:pPr>
      <w:r>
        <w:rPr/>
        <w:t>应交税费说明，所在地税务机关同意各分公司、分厂之间应纳税所得额相互调剂的，应说明税款计算过程</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49"/>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099"/>
        <w:gridCol w:w="2801"/>
        <w:gridCol w:w="2657"/>
      </w:tblGrid>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521,688.45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582,382.22</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521,688.45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582,382.22</w:t>
            </w:r>
          </w:p>
        </w:tc>
      </w:tr>
    </w:tbl>
    <w:p>
      <w:pPr>
        <w:pStyle w:val="BodyText"/>
        <w:spacing w:line="240" w:lineRule="auto" w:before="51"/>
        <w:ind w:right="149"/>
        <w:jc w:val="left"/>
      </w:pPr>
      <w:r>
        <w:rPr/>
        <w:t>应付利息说明</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92"/>
        <w:gridCol w:w="1993"/>
        <w:gridCol w:w="2125"/>
        <w:gridCol w:w="2657"/>
      </w:tblGrid>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4" w:right="0"/>
              <w:jc w:val="left"/>
              <w:rPr>
                <w:rFonts w:ascii="宋体" w:hAnsi="宋体" w:cs="宋体" w:eastAsia="宋体" w:hint="default"/>
                <w:sz w:val="18"/>
                <w:szCs w:val="18"/>
              </w:rPr>
            </w:pPr>
            <w:r>
              <w:rPr>
                <w:rFonts w:ascii="宋体" w:hAnsi="宋体" w:cs="宋体" w:eastAsia="宋体" w:hint="default"/>
                <w:sz w:val="18"/>
                <w:szCs w:val="18"/>
              </w:rPr>
              <w:t>超过一年未支付原因</w:t>
            </w:r>
          </w:p>
        </w:tc>
      </w:tr>
    </w:tbl>
    <w:p>
      <w:pPr>
        <w:pStyle w:val="BodyText"/>
        <w:spacing w:line="240" w:lineRule="auto" w:before="52"/>
        <w:ind w:right="149"/>
        <w:jc w:val="left"/>
      </w:pPr>
      <w:r>
        <w:rPr/>
        <w:t>应付股利的说明</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2,046,415.28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6,595,226.22</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1,159,754.63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6,421,238.61</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507,065.62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312,617.35</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148,564.17</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3,861,799.70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13,329,082.18</w:t>
            </w:r>
          </w:p>
        </w:tc>
      </w:tr>
    </w:tbl>
    <w:p>
      <w:pPr>
        <w:spacing w:line="240" w:lineRule="auto" w:before="3"/>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64"/>
        </w:rPr>
        <w:t>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275"/>
        <w:gridCol w:w="3536"/>
        <w:gridCol w:w="3545"/>
      </w:tblGrid>
      <w:tr>
        <w:trPr>
          <w:trHeight w:val="347" w:hRule="exact"/>
        </w:trPr>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未偿还原因</w:t>
            </w:r>
          </w:p>
        </w:tc>
      </w:tr>
      <w:tr>
        <w:trPr>
          <w:trHeight w:val="347" w:hRule="exact"/>
        </w:trPr>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深圳市普联技术有限公司</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643,522.30</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押金</w:t>
            </w:r>
          </w:p>
        </w:tc>
      </w:tr>
      <w:tr>
        <w:trPr>
          <w:trHeight w:val="348" w:hRule="exact"/>
        </w:trPr>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643,522.30</w:t>
            </w:r>
          </w:p>
        </w:tc>
        <w:tc>
          <w:tcPr>
            <w:tcW w:w="354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980" w:right="980"/>
        </w:sectPr>
      </w:pPr>
    </w:p>
    <w:p>
      <w:pPr>
        <w:spacing w:line="240" w:lineRule="auto" w:before="10"/>
        <w:rPr>
          <w:rFonts w:ascii="宋体" w:hAnsi="宋体" w:cs="宋体" w:eastAsia="宋体" w:hint="default"/>
          <w:b/>
          <w:bCs/>
          <w:sz w:val="20"/>
          <w:szCs w:val="20"/>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828"/>
        <w:gridCol w:w="2268"/>
        <w:gridCol w:w="3260"/>
      </w:tblGrid>
      <w:tr>
        <w:trPr>
          <w:trHeight w:val="347" w:hRule="exact"/>
        </w:trPr>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347" w:hRule="exact"/>
        </w:trPr>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深圳市普联技术有限公司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643,522.30</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押金</w:t>
            </w:r>
          </w:p>
        </w:tc>
      </w:tr>
      <w:tr>
        <w:trPr>
          <w:trHeight w:val="348" w:hRule="exact"/>
        </w:trPr>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深圳用友软件有限公司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504,359.00</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U9</w:t>
            </w:r>
            <w:r>
              <w:rPr>
                <w:rFonts w:ascii="宋体" w:hAnsi="宋体" w:cs="宋体" w:eastAsia="宋体" w:hint="default"/>
                <w:sz w:val="18"/>
                <w:szCs w:val="18"/>
              </w:rPr>
              <w:t>系统未付尾款</w:t>
            </w:r>
          </w:p>
        </w:tc>
      </w:tr>
      <w:tr>
        <w:trPr>
          <w:trHeight w:val="347" w:hRule="exact"/>
        </w:trPr>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港中旅聚豪（深圳）高尔夫球会有限公司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472,116.67</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高尔夫球会会籍特许权未付尾款</w:t>
            </w:r>
          </w:p>
        </w:tc>
      </w:tr>
      <w:tr>
        <w:trPr>
          <w:trHeight w:val="347" w:hRule="exact"/>
        </w:trPr>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1,619,997.97</w:t>
            </w:r>
          </w:p>
        </w:tc>
        <w:tc>
          <w:tcPr>
            <w:tcW w:w="32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5"/>
        <w:ind w:right="149"/>
        <w:jc w:val="left"/>
        <w:rPr>
          <w:b w:val="0"/>
          <w:bCs w:val="0"/>
        </w:rPr>
      </w:pPr>
      <w:r>
        <w:rPr>
          <w:rFonts w:ascii="Times New Roman" w:hAnsi="Times New Roman" w:cs="Times New Roman" w:eastAsia="Times New Roman" w:hint="default"/>
        </w:rPr>
        <w:t>39</w:t>
      </w:r>
      <w:r>
        <w:rPr/>
        <w:t>、预计负债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3"/>
        <w:gridCol w:w="1871"/>
        <w:gridCol w:w="1861"/>
        <w:gridCol w:w="1860"/>
        <w:gridCol w:w="1993"/>
      </w:tblGrid>
      <w:tr>
        <w:trPr>
          <w:trHeight w:val="402"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18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4,348,950.00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1,703,850.00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2,017,600.00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4,035,200.00</w:t>
            </w:r>
          </w:p>
        </w:tc>
      </w:tr>
      <w:tr>
        <w:trPr>
          <w:trHeight w:val="402"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71" w:type="dxa"/>
            <w:tcBorders>
              <w:top w:val="single" w:sz="4" w:space="0" w:color="000000"/>
              <w:left w:val="single" w:sz="13" w:space="0" w:color="D3D3D3"/>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2,408,000.00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2,408,000.00</w:t>
            </w:r>
          </w:p>
        </w:tc>
      </w:tr>
      <w:tr>
        <w:trPr>
          <w:trHeight w:val="402"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4,348,950.00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4,111,850.00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2,017,600.00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6,443,200.00</w:t>
            </w:r>
          </w:p>
        </w:tc>
      </w:tr>
    </w:tbl>
    <w:p>
      <w:pPr>
        <w:pStyle w:val="BodyText"/>
        <w:spacing w:line="240" w:lineRule="auto" w:before="51"/>
        <w:ind w:right="149"/>
        <w:jc w:val="left"/>
      </w:pPr>
      <w:r>
        <w:rPr/>
        <w:t>预计负债说明</w:t>
      </w:r>
    </w:p>
    <w:p>
      <w:pPr>
        <w:pStyle w:val="BodyText"/>
        <w:spacing w:line="300" w:lineRule="auto" w:before="116"/>
        <w:ind w:right="140"/>
        <w:jc w:val="left"/>
      </w:pPr>
      <w:r>
        <w:rPr>
          <w:rFonts w:ascii="Times New Roman" w:hAnsi="Times New Roman" w:cs="Times New Roman" w:eastAsia="Times New Roman" w:hint="default"/>
        </w:rPr>
        <w:t>1</w:t>
      </w:r>
      <w:r>
        <w:rPr/>
        <w:t>、公司向客户销售产品时，约定一定期间内对自助产品进行质量保证，由此未来期间将产生质量保证费用。截至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日，确认预计负债</w:t>
      </w:r>
      <w:r>
        <w:rPr>
          <w:rFonts w:ascii="Times New Roman" w:hAnsi="Times New Roman" w:cs="Times New Roman" w:eastAsia="Times New Roman" w:hint="default"/>
        </w:rPr>
        <w:t>4,035,200.00</w:t>
      </w:r>
      <w:r>
        <w:rPr/>
        <w:t>元。 </w:t>
      </w:r>
      <w:r>
        <w:rPr>
          <w:rFonts w:ascii="Times New Roman" w:hAnsi="Times New Roman" w:cs="Times New Roman" w:eastAsia="Times New Roman" w:hint="default"/>
        </w:rPr>
        <w:t>2</w:t>
      </w:r>
      <w:r>
        <w:rPr/>
        <w:t>、公司针对投入的</w:t>
      </w:r>
      <w:r>
        <w:rPr>
          <w:rFonts w:ascii="Times New Roman" w:hAnsi="Times New Roman" w:cs="Times New Roman" w:eastAsia="Times New Roman" w:hint="default"/>
        </w:rPr>
        <w:t>EMC</w:t>
      </w:r>
      <w:r>
        <w:rPr/>
        <w:t>项目，约定对投入的</w:t>
      </w:r>
      <w:r>
        <w:rPr>
          <w:rFonts w:ascii="Times New Roman" w:hAnsi="Times New Roman" w:cs="Times New Roman" w:eastAsia="Times New Roman" w:hint="default"/>
        </w:rPr>
        <w:t>LED</w:t>
      </w:r>
      <w:r>
        <w:rPr/>
        <w:t>路灯进行维修，由此未来期间需承担维修费用，本期确认预计负债</w:t>
      </w:r>
    </w:p>
    <w:p>
      <w:pPr>
        <w:pStyle w:val="BodyText"/>
        <w:spacing w:line="240" w:lineRule="auto" w:before="13"/>
        <w:ind w:right="149"/>
        <w:jc w:val="left"/>
      </w:pPr>
      <w:r>
        <w:rPr>
          <w:rFonts w:ascii="Times New Roman" w:hAnsi="Times New Roman" w:cs="Times New Roman" w:eastAsia="Times New Roman" w:hint="default"/>
        </w:rPr>
        <w:t>2,408,000.00</w:t>
      </w:r>
      <w:r>
        <w:rPr/>
        <w:t>元。</w:t>
      </w:r>
    </w:p>
    <w:p>
      <w:pPr>
        <w:spacing w:line="240" w:lineRule="auto" w:before="12"/>
        <w:rPr>
          <w:rFonts w:ascii="宋体" w:hAnsi="宋体" w:cs="宋体" w:eastAsia="宋体" w:hint="default"/>
          <w:sz w:val="25"/>
          <w:szCs w:val="25"/>
        </w:rPr>
      </w:pPr>
    </w:p>
    <w:p>
      <w:pPr>
        <w:pStyle w:val="Heading3"/>
        <w:spacing w:line="240" w:lineRule="auto"/>
        <w:ind w:right="149"/>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88"/>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9"/>
        <w:jc w:val="left"/>
      </w:pPr>
      <w:r>
        <w:rPr/>
        <w:t>一年内到期的长期借款</w:t>
      </w:r>
    </w:p>
    <w:p>
      <w:pPr>
        <w:pStyle w:val="BodyText"/>
        <w:spacing w:line="240" w:lineRule="auto" w:before="116"/>
        <w:ind w:left="0" w:right="14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88"/>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pStyle w:val="BodyText"/>
        <w:spacing w:line="357" w:lineRule="auto" w:before="52"/>
        <w:ind w:left="153" w:right="-19"/>
        <w:jc w:val="left"/>
      </w:pPr>
      <w:r>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835" w:space="399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4"/>
        <w:gridCol w:w="1062"/>
        <w:gridCol w:w="1062"/>
        <w:gridCol w:w="1062"/>
        <w:gridCol w:w="1064"/>
        <w:gridCol w:w="1063"/>
        <w:gridCol w:w="1062"/>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pStyle w:val="BodyText"/>
        <w:spacing w:line="240" w:lineRule="auto" w:before="51"/>
        <w:ind w:right="149"/>
        <w:jc w:val="left"/>
      </w:pPr>
      <w:r>
        <w:rPr/>
        <w:t>一年内到期的长期借款中的逾期借款</w:t>
      </w:r>
    </w:p>
    <w:p>
      <w:pPr>
        <w:spacing w:after="0" w:line="240" w:lineRule="auto"/>
        <w:jc w:val="left"/>
        <w:sectPr>
          <w:type w:val="continuous"/>
          <w:pgSz w:w="11910" w:h="16840"/>
          <w:pgMar w:top="1060" w:bottom="11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6"/>
        <w:gridCol w:w="1368"/>
        <w:gridCol w:w="1368"/>
        <w:gridCol w:w="1367"/>
        <w:gridCol w:w="1367"/>
        <w:gridCol w:w="136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pStyle w:val="BodyText"/>
        <w:spacing w:line="357" w:lineRule="auto" w:before="52"/>
        <w:ind w:left="153" w:right="7071"/>
        <w:jc w:val="left"/>
      </w:pPr>
      <w:r>
        <w:rPr/>
        <w:t>资产负债表日后已偿还的金额元。 一年内到期的长期借款说明</w:t>
      </w:r>
    </w:p>
    <w:p>
      <w:pPr>
        <w:spacing w:line="240" w:lineRule="auto" w:before="1"/>
        <w:rPr>
          <w:rFonts w:ascii="宋体" w:hAnsi="宋体" w:cs="宋体" w:eastAsia="宋体" w:hint="default"/>
          <w:sz w:val="20"/>
          <w:szCs w:val="20"/>
        </w:rPr>
      </w:pPr>
    </w:p>
    <w:p>
      <w:pPr>
        <w:pStyle w:val="Heading3"/>
        <w:spacing w:line="240" w:lineRule="auto"/>
        <w:ind w:right="149"/>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6"/>
        <w:gridCol w:w="958"/>
        <w:gridCol w:w="956"/>
        <w:gridCol w:w="958"/>
        <w:gridCol w:w="956"/>
        <w:gridCol w:w="958"/>
        <w:gridCol w:w="956"/>
      </w:tblGrid>
      <w:tr>
        <w:trPr>
          <w:trHeight w:val="710"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5"/>
        <w:ind w:right="149"/>
        <w:jc w:val="left"/>
      </w:pPr>
      <w:r>
        <w:rPr/>
        <w:t>一年内到期的应付债券说明</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9"/>
        <w:gridCol w:w="1367"/>
        <w:gridCol w:w="1367"/>
        <w:gridCol w:w="135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pStyle w:val="BodyText"/>
        <w:spacing w:line="240" w:lineRule="auto" w:before="51"/>
        <w:ind w:right="149"/>
        <w:jc w:val="left"/>
      </w:pPr>
      <w:r>
        <w:rPr/>
        <w:t>一年内到期的长期应付款的说明</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pStyle w:val="BodyText"/>
        <w:spacing w:line="240" w:lineRule="auto" w:before="51"/>
        <w:ind w:right="149"/>
        <w:jc w:val="left"/>
      </w:pPr>
      <w:r>
        <w:rPr/>
        <w:t>其他流动负债说明</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51"/>
        <w:ind w:right="149"/>
        <w:jc w:val="left"/>
      </w:pPr>
      <w:r>
        <w:rPr/>
        <w:t>长期借款分类的说明</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4"/>
        <w:gridCol w:w="1064"/>
        <w:gridCol w:w="1063"/>
        <w:gridCol w:w="1064"/>
        <w:gridCol w:w="1064"/>
        <w:gridCol w:w="1063"/>
        <w:gridCol w:w="1057"/>
      </w:tblGrid>
      <w:tr>
        <w:trPr>
          <w:trHeight w:val="402" w:hRule="exact"/>
        </w:trPr>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3"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pStyle w:val="BodyText"/>
        <w:spacing w:line="240" w:lineRule="auto" w:before="51"/>
        <w:ind w:right="149"/>
        <w:jc w:val="left"/>
      </w:pPr>
      <w:r>
        <w:rPr/>
        <w:t>长期借款说明，因逾期借款获得展期形成的长期借款，应说明获得展期的条件、本金、利息、预计还款安排等</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49"/>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6"/>
        <w:gridCol w:w="958"/>
        <w:gridCol w:w="956"/>
        <w:gridCol w:w="958"/>
        <w:gridCol w:w="956"/>
        <w:gridCol w:w="958"/>
        <w:gridCol w:w="956"/>
      </w:tblGrid>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149"/>
        <w:jc w:val="left"/>
      </w:pPr>
      <w:r>
        <w:rPr/>
        <w:t>应付债券说明，包括可转换公司债券的转股条件、转股时间</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）金额前五名长期应付款情况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55"/>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line="240" w:lineRule="auto" w:before="3"/>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26"/>
        <w:gridCol w:w="1728"/>
        <w:gridCol w:w="1726"/>
        <w:gridCol w:w="1594"/>
        <w:gridCol w:w="1595"/>
      </w:tblGrid>
      <w:tr>
        <w:trPr>
          <w:trHeight w:val="402" w:hRule="exact"/>
        </w:trPr>
        <w:tc>
          <w:tcPr>
            <w:tcW w:w="29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926" w:type="dxa"/>
            <w:vMerge/>
            <w:tcBorders>
              <w:left w:val="single" w:sz="4" w:space="0" w:color="000000"/>
              <w:bottom w:val="single" w:sz="4" w:space="0" w:color="000000"/>
              <w:right w:val="single" w:sz="4" w:space="0" w:color="000000"/>
            </w:tcBorders>
            <w:shd w:val="clear" w:color="auto" w:fill="D3D3D3"/>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人民币</w:t>
            </w:r>
          </w:p>
        </w:tc>
      </w:tr>
    </w:tbl>
    <w:p>
      <w:pPr>
        <w:pStyle w:val="BodyText"/>
        <w:spacing w:line="357" w:lineRule="auto" w:before="52"/>
        <w:ind w:left="153" w:right="5811"/>
        <w:jc w:val="left"/>
      </w:pPr>
      <w:r>
        <w:rPr/>
        <w:t>由独立第三方为公司融资租赁提供担保的金额元。 长期应付款的说明</w:t>
      </w:r>
    </w:p>
    <w:p>
      <w:pPr>
        <w:spacing w:line="240" w:lineRule="auto" w:before="1"/>
        <w:rPr>
          <w:rFonts w:ascii="宋体" w:hAnsi="宋体" w:cs="宋体" w:eastAsia="宋体" w:hint="default"/>
          <w:sz w:val="20"/>
          <w:szCs w:val="20"/>
        </w:rPr>
      </w:pPr>
    </w:p>
    <w:p>
      <w:pPr>
        <w:pStyle w:val="Heading3"/>
        <w:spacing w:line="240" w:lineRule="auto"/>
        <w:ind w:right="149"/>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3"/>
        <w:gridCol w:w="1328"/>
        <w:gridCol w:w="1328"/>
        <w:gridCol w:w="1196"/>
        <w:gridCol w:w="1328"/>
        <w:gridCol w:w="19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备注说明</w:t>
            </w:r>
          </w:p>
        </w:tc>
      </w:tr>
      <w:tr>
        <w:trPr>
          <w:trHeight w:val="102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both"/>
              <w:rPr>
                <w:rFonts w:ascii="宋体" w:hAnsi="宋体" w:cs="宋体" w:eastAsia="宋体" w:hint="default"/>
                <w:sz w:val="18"/>
                <w:szCs w:val="18"/>
              </w:rPr>
            </w:pPr>
            <w:r>
              <w:rPr>
                <w:rFonts w:ascii="宋体" w:hAnsi="宋体" w:cs="宋体" w:eastAsia="宋体" w:hint="default"/>
                <w:sz w:val="18"/>
                <w:szCs w:val="18"/>
              </w:rPr>
              <w:t>金融支付信息安全产品技术 改造产业化（中央预算内投 资）</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3,000,000.00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深圳市生物、互联网、新能源 产业发展专项紫金香基于云 计算的安全支付平台关键技 术研究</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4,800,000.00</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both"/>
              <w:rPr>
                <w:rFonts w:ascii="宋体" w:hAnsi="宋体" w:cs="宋体" w:eastAsia="宋体" w:hint="default"/>
                <w:sz w:val="18"/>
                <w:szCs w:val="18"/>
              </w:rPr>
            </w:pPr>
            <w:r>
              <w:rPr>
                <w:rFonts w:ascii="宋体" w:hAnsi="宋体" w:cs="宋体" w:eastAsia="宋体" w:hint="default"/>
                <w:sz w:val="18"/>
                <w:szCs w:val="18"/>
              </w:rPr>
              <w:t>基于云计算平台的金融电子 透明支付关键技术研发与应 用示范</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基于超级计算的金融安全云 支付平台研发与产业化</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750,000.00</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高性能嵌入式金融安全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设计及产业化（广东产学研资 助项目）</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9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81"/>
        <w:gridCol w:w="1340"/>
        <w:gridCol w:w="1328"/>
        <w:gridCol w:w="1196"/>
        <w:gridCol w:w="1328"/>
        <w:gridCol w:w="1993"/>
      </w:tblGrid>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3,000,000.00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7,250,000.00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3,100,000.00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8" w:right="0"/>
              <w:jc w:val="left"/>
              <w:rPr>
                <w:rFonts w:ascii="Times New Roman" w:hAnsi="Times New Roman" w:cs="Times New Roman" w:eastAsia="Times New Roman" w:hint="default"/>
                <w:sz w:val="18"/>
                <w:szCs w:val="18"/>
              </w:rPr>
            </w:pPr>
            <w:r>
              <w:rPr>
                <w:rFonts w:ascii="Times New Roman"/>
                <w:sz w:val="18"/>
              </w:rPr>
              <w:t>7,150,000.00</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49"/>
        <w:jc w:val="left"/>
      </w:pPr>
      <w:r>
        <w:rPr/>
        <w:t>专项应付款说明</w:t>
      </w:r>
    </w:p>
    <w:p>
      <w:pPr>
        <w:pStyle w:val="BodyText"/>
        <w:spacing w:line="300" w:lineRule="auto" w:before="116"/>
        <w:ind w:right="149"/>
        <w:jc w:val="left"/>
      </w:pPr>
      <w:r>
        <w:rPr>
          <w:rFonts w:ascii="Times New Roman" w:hAnsi="Times New Roman" w:cs="Times New Roman" w:eastAsia="Times New Roman" w:hint="default"/>
          <w:spacing w:val="-2"/>
        </w:rPr>
        <w:t>*1.2010</w:t>
      </w:r>
      <w:r>
        <w:rPr>
          <w:spacing w:val="-2"/>
        </w:rPr>
        <w:t>年</w:t>
      </w:r>
      <w:r>
        <w:rPr>
          <w:rFonts w:ascii="Times New Roman" w:hAnsi="Times New Roman" w:cs="Times New Roman" w:eastAsia="Times New Roman" w:hint="default"/>
          <w:spacing w:val="-2"/>
        </w:rPr>
        <w:t>11</w:t>
      </w:r>
      <w:r>
        <w:rPr>
          <w:spacing w:val="-2"/>
        </w:rPr>
        <w:t>月深圳市发展和改革委员会、深圳市科技贸易和信息化委员会深发改</w:t>
      </w:r>
      <w:r>
        <w:rPr>
          <w:rFonts w:ascii="Times New Roman" w:hAnsi="Times New Roman" w:cs="Times New Roman" w:eastAsia="Times New Roman" w:hint="default"/>
          <w:spacing w:val="-2"/>
        </w:rPr>
        <w:t>[2010]2246</w:t>
      </w:r>
      <w:r>
        <w:rPr>
          <w:spacing w:val="-2"/>
        </w:rPr>
        <w:t>号文转发国家发改委、工业和信</w:t>
      </w:r>
      <w:r>
        <w:rPr>
          <w:spacing w:val="-32"/>
        </w:rPr>
        <w:t> </w:t>
      </w:r>
      <w:r>
        <w:rPr>
          <w:spacing w:val="-32"/>
        </w:rPr>
      </w:r>
      <w:r>
        <w:rPr/>
        <w:t>息化部下达电子信息产业振兴和技术改造项目</w:t>
      </w:r>
      <w:r>
        <w:rPr>
          <w:rFonts w:ascii="Times New Roman" w:hAnsi="Times New Roman" w:cs="Times New Roman" w:eastAsia="Times New Roman" w:hint="default"/>
        </w:rPr>
        <w:t>2010</w:t>
      </w:r>
      <w:r>
        <w:rPr/>
        <w:t>年第一批中央预算内投资计划</w:t>
      </w:r>
      <w:r>
        <w:rPr>
          <w:rFonts w:ascii="Times New Roman" w:hAnsi="Times New Roman" w:cs="Times New Roman" w:eastAsia="Times New Roman" w:hint="default"/>
        </w:rPr>
        <w:t>400</w:t>
      </w:r>
      <w:r>
        <w:rPr/>
        <w:t>万元，</w:t>
      </w:r>
      <w:r>
        <w:rPr>
          <w:rFonts w:ascii="Times New Roman" w:hAnsi="Times New Roman" w:cs="Times New Roman" w:eastAsia="Times New Roman" w:hint="default"/>
        </w:rPr>
        <w:t>2011</w:t>
      </w:r>
      <w:r>
        <w:rPr/>
        <w:t>年收到</w:t>
      </w:r>
      <w:r>
        <w:rPr>
          <w:rFonts w:ascii="Times New Roman" w:hAnsi="Times New Roman" w:cs="Times New Roman" w:eastAsia="Times New Roman" w:hint="default"/>
        </w:rPr>
        <w:t>300</w:t>
      </w:r>
      <w:r>
        <w:rPr/>
        <w:t>万元用于设备购 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月项目申请验收，调整计入递延收益。</w:t>
      </w:r>
    </w:p>
    <w:p>
      <w:pPr>
        <w:pStyle w:val="BodyText"/>
        <w:spacing w:line="240" w:lineRule="auto" w:before="13"/>
        <w:ind w:right="149"/>
        <w:jc w:val="left"/>
        <w:rPr>
          <w:rFonts w:ascii="Times New Roman" w:hAnsi="Times New Roman" w:cs="Times New Roman" w:eastAsia="Times New Roman" w:hint="default"/>
        </w:rPr>
      </w:pPr>
      <w:r>
        <w:rPr>
          <w:rFonts w:ascii="Times New Roman" w:hAnsi="Times New Roman" w:cs="Times New Roman" w:eastAsia="Times New Roman" w:hint="default"/>
        </w:rPr>
        <w:t>*2.2012</w:t>
      </w:r>
      <w:r>
        <w:rPr/>
        <w:t>年</w:t>
      </w:r>
      <w:r>
        <w:rPr>
          <w:rFonts w:ascii="Times New Roman" w:hAnsi="Times New Roman" w:cs="Times New Roman" w:eastAsia="Times New Roman" w:hint="default"/>
        </w:rPr>
        <w:t>2</w:t>
      </w:r>
      <w:r>
        <w:rPr/>
        <w:t>月收到深圳市生物、互联网、新能源产业发展专项紫金香基于云计算的安全支付平台关键技术研究专项资金</w:t>
      </w:r>
      <w:r>
        <w:rPr>
          <w:rFonts w:ascii="Times New Roman" w:hAnsi="Times New Roman" w:cs="Times New Roman" w:eastAsia="Times New Roman" w:hint="default"/>
        </w:rPr>
        <w:t>480</w:t>
      </w:r>
    </w:p>
    <w:p>
      <w:pPr>
        <w:pStyle w:val="BodyText"/>
        <w:spacing w:line="240" w:lineRule="auto" w:before="62"/>
        <w:ind w:left="153" w:right="149"/>
        <w:jc w:val="left"/>
      </w:pPr>
      <w:r>
        <w:rPr/>
        <w:t>万元，项目资助资金须在科技研究管理办法规定范围内使用，项目尚未完工验收。</w:t>
      </w:r>
    </w:p>
    <w:p>
      <w:pPr>
        <w:pStyle w:val="BodyText"/>
        <w:spacing w:line="300" w:lineRule="auto" w:before="76"/>
        <w:ind w:left="153" w:right="306"/>
        <w:jc w:val="left"/>
      </w:pPr>
      <w:r>
        <w:rPr>
          <w:rFonts w:ascii="Times New Roman" w:hAnsi="Times New Roman" w:cs="Times New Roman" w:eastAsia="Times New Roman" w:hint="default"/>
        </w:rPr>
        <w:t>*3.2012</w:t>
      </w:r>
      <w:r>
        <w:rPr/>
        <w:t>年</w:t>
      </w:r>
      <w:r>
        <w:rPr>
          <w:rFonts w:ascii="Times New Roman" w:hAnsi="Times New Roman" w:cs="Times New Roman" w:eastAsia="Times New Roman" w:hint="default"/>
        </w:rPr>
        <w:t>11</w:t>
      </w:r>
      <w:r>
        <w:rPr/>
        <w:t>月收到</w:t>
      </w:r>
      <w:r>
        <w:rPr>
          <w:rFonts w:ascii="Times New Roman" w:hAnsi="Times New Roman" w:cs="Times New Roman" w:eastAsia="Times New Roman" w:hint="default"/>
        </w:rPr>
        <w:t>2012</w:t>
      </w:r>
      <w:r>
        <w:rPr/>
        <w:t>年深圳市战略性新兴产业发展专项资金技术创新资助</w:t>
      </w:r>
      <w:r>
        <w:rPr>
          <w:rFonts w:ascii="Times New Roman" w:hAnsi="Times New Roman" w:cs="Times New Roman" w:eastAsia="Times New Roman" w:hint="default"/>
        </w:rPr>
        <w:t>-</w:t>
      </w:r>
      <w:r>
        <w:rPr/>
        <w:t>基于云计算平台的金融电子透明支付关键技 术研发与应用示范专项资助</w:t>
      </w:r>
      <w:r>
        <w:rPr>
          <w:rFonts w:ascii="Times New Roman" w:hAnsi="Times New Roman" w:cs="Times New Roman" w:eastAsia="Times New Roman" w:hint="default"/>
        </w:rPr>
        <w:t>150</w:t>
      </w:r>
      <w:r>
        <w:rPr/>
        <w:t>万元，项目尚在进行中。</w:t>
      </w:r>
    </w:p>
    <w:p>
      <w:pPr>
        <w:pStyle w:val="BodyText"/>
        <w:spacing w:line="300" w:lineRule="auto" w:before="13"/>
        <w:ind w:left="153" w:right="216"/>
        <w:jc w:val="left"/>
      </w:pPr>
      <w:r>
        <w:rPr>
          <w:rFonts w:ascii="Times New Roman" w:hAnsi="Times New Roman" w:cs="Times New Roman" w:eastAsia="Times New Roman" w:hint="default"/>
        </w:rPr>
        <w:t>*4.2012</w:t>
      </w:r>
      <w:r>
        <w:rPr/>
        <w:t>年</w:t>
      </w:r>
      <w:r>
        <w:rPr>
          <w:rFonts w:ascii="Times New Roman" w:hAnsi="Times New Roman" w:cs="Times New Roman" w:eastAsia="Times New Roman" w:hint="default"/>
        </w:rPr>
        <w:t>12</w:t>
      </w:r>
      <w:r>
        <w:rPr/>
        <w:t>月收到市科技研发产学研结合项目</w:t>
      </w:r>
      <w:r>
        <w:rPr>
          <w:rFonts w:ascii="Times New Roman" w:hAnsi="Times New Roman" w:cs="Times New Roman" w:eastAsia="Times New Roman" w:hint="default"/>
        </w:rPr>
        <w:t>-</w:t>
      </w:r>
      <w:r>
        <w:rPr/>
        <w:t>基于超级计算的金融安全云支付平台研发与产业化</w:t>
      </w:r>
      <w:r>
        <w:rPr>
          <w:rFonts w:ascii="Times New Roman" w:hAnsi="Times New Roman" w:cs="Times New Roman" w:eastAsia="Times New Roman" w:hint="default"/>
        </w:rPr>
        <w:t>750,000.00</w:t>
      </w:r>
      <w:r>
        <w:rPr/>
        <w:t>元，项目正在 进行中。</w:t>
      </w:r>
    </w:p>
    <w:p>
      <w:pPr>
        <w:pStyle w:val="BodyText"/>
        <w:spacing w:line="300" w:lineRule="auto" w:before="31"/>
        <w:ind w:left="153" w:right="196"/>
        <w:jc w:val="left"/>
      </w:pPr>
      <w:r>
        <w:rPr>
          <w:rFonts w:ascii="Times New Roman" w:hAnsi="Times New Roman" w:cs="Times New Roman" w:eastAsia="Times New Roman" w:hint="default"/>
        </w:rPr>
        <w:t>*5.</w:t>
      </w:r>
      <w:r>
        <w:rPr/>
        <w:t>高性能嵌入式金融安全</w:t>
      </w:r>
      <w:r>
        <w:rPr>
          <w:rFonts w:ascii="Times New Roman" w:hAnsi="Times New Roman" w:cs="Times New Roman" w:eastAsia="Times New Roman" w:hint="default"/>
        </w:rPr>
        <w:t>CPU</w:t>
      </w:r>
      <w:r>
        <w:rPr/>
        <w:t>设计及产业化（广东产学研资助项目）（粤财教（</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438</w:t>
      </w:r>
      <w:r>
        <w:rPr/>
        <w:t>号）系合作项目，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月收 到资助款</w:t>
      </w:r>
      <w:r>
        <w:rPr>
          <w:rFonts w:ascii="Times New Roman" w:hAnsi="Times New Roman" w:cs="Times New Roman" w:eastAsia="Times New Roman" w:hint="default"/>
        </w:rPr>
        <w:t>20</w:t>
      </w:r>
      <w:r>
        <w:rPr/>
        <w:t>万元，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月支付合作项目款</w:t>
      </w:r>
      <w:r>
        <w:rPr>
          <w:rFonts w:ascii="Times New Roman" w:hAnsi="Times New Roman" w:cs="Times New Roman" w:eastAsia="Times New Roman" w:hint="default"/>
        </w:rPr>
        <w:t>10</w:t>
      </w:r>
      <w:r>
        <w:rPr/>
        <w:t>万元，项目进行中。</w:t>
      </w:r>
    </w:p>
    <w:p>
      <w:pPr>
        <w:spacing w:line="240" w:lineRule="auto" w:before="2"/>
        <w:rPr>
          <w:rFonts w:ascii="宋体" w:hAnsi="宋体" w:cs="宋体" w:eastAsia="宋体" w:hint="default"/>
          <w:sz w:val="22"/>
          <w:szCs w:val="22"/>
        </w:rPr>
      </w:pPr>
    </w:p>
    <w:p>
      <w:pPr>
        <w:pStyle w:val="Heading3"/>
        <w:spacing w:line="240" w:lineRule="auto"/>
        <w:ind w:right="149"/>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2790"/>
        <w:gridCol w:w="3055"/>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证通金融支付信息安全产品产业化项目政府补 助款</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1,107,692.30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深圳市企业技术中心资助（</w:t>
            </w:r>
            <w:r>
              <w:rPr>
                <w:rFonts w:ascii="Times New Roman" w:hAnsi="Times New Roman" w:cs="Times New Roman" w:eastAsia="Times New Roman" w:hint="default"/>
                <w:sz w:val="18"/>
                <w:szCs w:val="18"/>
              </w:rPr>
              <w:t>2009</w:t>
            </w:r>
            <w:r>
              <w:rPr>
                <w:rFonts w:ascii="宋体" w:hAnsi="宋体" w:cs="宋体" w:eastAsia="宋体" w:hint="default"/>
                <w:sz w:val="18"/>
                <w:szCs w:val="18"/>
              </w:rPr>
              <w:t>）</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714"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金融支付信息安全产品技术改造产业化（中央 预算内投资）</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2,307,692.30</w:t>
            </w:r>
          </w:p>
        </w:tc>
      </w:tr>
    </w:tbl>
    <w:p>
      <w:pPr>
        <w:pStyle w:val="BodyText"/>
        <w:spacing w:line="240" w:lineRule="auto" w:before="51"/>
        <w:ind w:right="149"/>
        <w:jc w:val="left"/>
      </w:pPr>
      <w:r>
        <w:rPr/>
        <w:t>其他非流动负债说明，包括本报告期取得的各类与资产相关、与收益相关的政府补助及其期末金额</w:t>
      </w:r>
    </w:p>
    <w:p>
      <w:pPr>
        <w:pStyle w:val="BodyText"/>
        <w:spacing w:line="302" w:lineRule="auto" w:before="115"/>
        <w:ind w:right="0" w:hanging="1"/>
        <w:jc w:val="left"/>
      </w:pPr>
      <w:r>
        <w:rPr>
          <w:rFonts w:ascii="Times New Roman" w:hAnsi="Times New Roman" w:cs="Times New Roman" w:eastAsia="Times New Roman" w:hint="default"/>
          <w:spacing w:val="-1"/>
        </w:rPr>
        <w:t>1</w:t>
      </w:r>
      <w:r>
        <w:rPr>
          <w:spacing w:val="-1"/>
        </w:rPr>
        <w:t>、根据国家发展和改革委员会发改办高技</w:t>
      </w:r>
      <w:r>
        <w:rPr>
          <w:rFonts w:ascii="Times New Roman" w:hAnsi="Times New Roman" w:cs="Times New Roman" w:eastAsia="Times New Roman" w:hint="default"/>
          <w:spacing w:val="-1"/>
        </w:rPr>
        <w:t>[2006]1780</w:t>
      </w:r>
      <w:r>
        <w:rPr>
          <w:spacing w:val="-1"/>
        </w:rPr>
        <w:t>号文件和深圳市发展和改革局深发改</w:t>
      </w:r>
      <w:r>
        <w:rPr>
          <w:rFonts w:ascii="Times New Roman" w:hAnsi="Times New Roman" w:cs="Times New Roman" w:eastAsia="Times New Roman" w:hint="default"/>
          <w:spacing w:val="-1"/>
        </w:rPr>
        <w:t>[2007]190</w:t>
      </w:r>
      <w:r>
        <w:rPr>
          <w:spacing w:val="-1"/>
        </w:rPr>
        <w:t>号文件</w:t>
      </w:r>
      <w:r>
        <w:rPr>
          <w:rFonts w:ascii="Times New Roman" w:hAnsi="Times New Roman" w:cs="Times New Roman" w:eastAsia="Times New Roman" w:hint="default"/>
          <w:spacing w:val="-1"/>
        </w:rPr>
        <w:t>“</w:t>
      </w:r>
      <w:r>
        <w:rPr>
          <w:spacing w:val="-1"/>
        </w:rPr>
        <w:t>证通金融支付信</w:t>
      </w:r>
      <w:r>
        <w:rPr>
          <w:spacing w:val="-69"/>
        </w:rPr>
        <w:t> </w:t>
      </w:r>
      <w:r>
        <w:rPr>
          <w:spacing w:val="-69"/>
        </w:rPr>
      </w:r>
      <w:r>
        <w:rPr/>
        <w:t>息安全产品产业化项目</w:t>
      </w:r>
      <w:r>
        <w:rPr>
          <w:rFonts w:ascii="Times New Roman" w:hAnsi="Times New Roman" w:cs="Times New Roman" w:eastAsia="Times New Roman" w:hint="default"/>
        </w:rPr>
        <w:t>”2007</w:t>
      </w:r>
      <w:r>
        <w:rPr/>
        <w:t>年度收到购买资产补助</w:t>
      </w:r>
      <w:r>
        <w:rPr>
          <w:rFonts w:ascii="Times New Roman" w:hAnsi="Times New Roman" w:cs="Times New Roman" w:eastAsia="Times New Roman" w:hint="default"/>
        </w:rPr>
        <w:t>3,000,000.00</w:t>
      </w:r>
      <w:r>
        <w:rPr/>
        <w:t>元，</w:t>
      </w:r>
      <w:r>
        <w:rPr>
          <w:rFonts w:ascii="Times New Roman" w:hAnsi="Times New Roman" w:cs="Times New Roman" w:eastAsia="Times New Roman" w:hint="default"/>
        </w:rPr>
        <w:t>2008</w:t>
      </w:r>
      <w:r>
        <w:rPr/>
        <w:t>年根据购买资产折旧年限转入营业外收入 </w:t>
      </w:r>
      <w:r>
        <w:rPr>
          <w:rFonts w:ascii="Times New Roman" w:hAnsi="Times New Roman" w:cs="Times New Roman" w:eastAsia="Times New Roman" w:hint="default"/>
        </w:rPr>
        <w:t>400,000.00</w:t>
      </w:r>
      <w:r>
        <w:rPr/>
        <w:t>元。</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2012</w:t>
      </w:r>
      <w:r>
        <w:rPr/>
        <w:t>年根据购买资产折旧年限每年转入营业外收入</w:t>
      </w:r>
      <w:r>
        <w:rPr>
          <w:rFonts w:ascii="Times New Roman" w:hAnsi="Times New Roman" w:cs="Times New Roman" w:eastAsia="Times New Roman" w:hint="default"/>
        </w:rPr>
        <w:t>600,000.00</w:t>
      </w:r>
      <w:r>
        <w:rPr/>
        <w:t>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 </w:t>
      </w:r>
      <w:r>
        <w:rPr/>
        <w:t>日余额</w:t>
      </w:r>
      <w:r>
        <w:rPr>
          <w:rFonts w:ascii="Times New Roman" w:hAnsi="Times New Roman" w:cs="Times New Roman" w:eastAsia="Times New Roman" w:hint="default"/>
        </w:rPr>
        <w:t>200,000.00</w:t>
      </w:r>
      <w:r>
        <w:rPr/>
        <w:t>元。 </w:t>
      </w:r>
      <w:r>
        <w:rPr>
          <w:spacing w:val="-1"/>
        </w:rPr>
        <w:t>公司</w:t>
      </w:r>
      <w:r>
        <w:rPr>
          <w:rFonts w:ascii="Times New Roman" w:hAnsi="Times New Roman" w:cs="Times New Roman" w:eastAsia="Times New Roman" w:hint="default"/>
          <w:spacing w:val="-1"/>
        </w:rPr>
        <w:t>2009</w:t>
      </w:r>
      <w:r>
        <w:rPr>
          <w:spacing w:val="-1"/>
        </w:rPr>
        <w:t>年度收到该项目尾款</w:t>
      </w:r>
      <w:r>
        <w:rPr>
          <w:rFonts w:ascii="Times New Roman" w:hAnsi="Times New Roman" w:cs="Times New Roman" w:eastAsia="Times New Roman" w:hint="default"/>
          <w:spacing w:val="-1"/>
        </w:rPr>
        <w:t>2,000,000.00</w:t>
      </w:r>
      <w:r>
        <w:rPr>
          <w:spacing w:val="-1"/>
        </w:rPr>
        <w:t>元。</w:t>
      </w:r>
      <w:r>
        <w:rPr>
          <w:rFonts w:ascii="Times New Roman" w:hAnsi="Times New Roman" w:cs="Times New Roman" w:eastAsia="Times New Roman" w:hint="default"/>
          <w:spacing w:val="-1"/>
        </w:rPr>
        <w:t>2009</w:t>
      </w:r>
      <w:r>
        <w:rPr>
          <w:spacing w:val="-1"/>
        </w:rPr>
        <w:t>年根据购买资产折旧年限转入营业外收入</w:t>
      </w:r>
      <w:r>
        <w:rPr>
          <w:rFonts w:ascii="Times New Roman" w:hAnsi="Times New Roman" w:cs="Times New Roman" w:eastAsia="Times New Roman" w:hint="default"/>
          <w:spacing w:val="-1"/>
        </w:rPr>
        <w:t>461,538.46</w:t>
      </w:r>
      <w:r>
        <w:rPr>
          <w:spacing w:val="-1"/>
        </w:rPr>
        <w:t>元，</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2011</w:t>
      </w:r>
      <w:r>
        <w:rPr>
          <w:spacing w:val="-1"/>
        </w:rPr>
        <w:t>年</w:t>
      </w:r>
      <w:r>
        <w:rPr>
          <w:spacing w:val="-62"/>
        </w:rPr>
        <w:t> </w:t>
      </w:r>
      <w:r>
        <w:rPr/>
        <w:t>根据购买资产折旧年限每年转入营业外收入</w:t>
      </w:r>
      <w:r>
        <w:rPr>
          <w:rFonts w:ascii="Times New Roman" w:hAnsi="Times New Roman" w:cs="Times New Roman" w:eastAsia="Times New Roman" w:hint="default"/>
        </w:rPr>
        <w:t>615,384.62</w:t>
      </w:r>
      <w:r>
        <w:rPr/>
        <w:t>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w:t>
      </w:r>
      <w:r>
        <w:rPr>
          <w:rFonts w:ascii="Times New Roman" w:hAnsi="Times New Roman" w:cs="Times New Roman" w:eastAsia="Times New Roman" w:hint="default"/>
        </w:rPr>
        <w:t>307,692.30</w:t>
      </w:r>
      <w:r>
        <w:rPr/>
        <w:t>元，</w:t>
      </w:r>
      <w:r>
        <w:rPr>
          <w:rFonts w:ascii="Times New Roman" w:hAnsi="Times New Roman" w:cs="Times New Roman" w:eastAsia="Times New Roman" w:hint="default"/>
        </w:rPr>
        <w:t>2012</w:t>
      </w:r>
      <w:r>
        <w:rPr/>
        <w:t>年结转完毕。 </w:t>
      </w:r>
      <w:r>
        <w:rPr>
          <w:rFonts w:ascii="Times New Roman" w:hAnsi="Times New Roman" w:cs="Times New Roman" w:eastAsia="Times New Roman" w:hint="default"/>
          <w:spacing w:val="-2"/>
        </w:rPr>
        <w:t>2</w:t>
      </w:r>
      <w:r>
        <w:rPr>
          <w:spacing w:val="-2"/>
        </w:rPr>
        <w:t>、公司深圳市企业技术中心资助（</w:t>
      </w:r>
      <w:r>
        <w:rPr>
          <w:rFonts w:ascii="Times New Roman" w:hAnsi="Times New Roman" w:cs="Times New Roman" w:eastAsia="Times New Roman" w:hint="default"/>
          <w:spacing w:val="-2"/>
        </w:rPr>
        <w:t>2009</w:t>
      </w:r>
      <w:r>
        <w:rPr>
          <w:spacing w:val="-2"/>
        </w:rPr>
        <w:t>）</w:t>
      </w:r>
      <w:r>
        <w:rPr>
          <w:rFonts w:ascii="Times New Roman" w:hAnsi="Times New Roman" w:cs="Times New Roman" w:eastAsia="Times New Roman" w:hint="default"/>
          <w:spacing w:val="-2"/>
        </w:rPr>
        <w:t>300</w:t>
      </w:r>
      <w:r>
        <w:rPr>
          <w:spacing w:val="-2"/>
        </w:rPr>
        <w:t>万元已通过考核，按年限平均结转，余额</w:t>
      </w:r>
      <w:r>
        <w:rPr>
          <w:rFonts w:ascii="Times New Roman" w:hAnsi="Times New Roman" w:cs="Times New Roman" w:eastAsia="Times New Roman" w:hint="default"/>
          <w:spacing w:val="-2"/>
        </w:rPr>
        <w:t>600,000.00</w:t>
      </w:r>
      <w:r>
        <w:rPr>
          <w:spacing w:val="-2"/>
        </w:rPr>
        <w:t>元在剩余</w:t>
      </w:r>
      <w:r>
        <w:rPr>
          <w:rFonts w:ascii="Times New Roman" w:hAnsi="Times New Roman" w:cs="Times New Roman" w:eastAsia="Times New Roman" w:hint="default"/>
          <w:spacing w:val="-2"/>
        </w:rPr>
        <w:t>1</w:t>
      </w:r>
      <w:r>
        <w:rPr>
          <w:spacing w:val="-2"/>
        </w:rPr>
        <w:t>年内结转补贴收</w:t>
      </w:r>
      <w:r>
        <w:rPr>
          <w:spacing w:val="-51"/>
        </w:rPr>
        <w:t> </w:t>
      </w:r>
      <w:r>
        <w:rPr/>
        <w:t>入。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月深圳市发展和改革委员会、深圳市科技贸易和信息化委员会深发改</w:t>
      </w:r>
      <w:r>
        <w:rPr>
          <w:rFonts w:ascii="Times New Roman" w:hAnsi="Times New Roman" w:cs="Times New Roman" w:eastAsia="Times New Roman" w:hint="default"/>
        </w:rPr>
        <w:t>[2010]2246</w:t>
      </w:r>
      <w:r>
        <w:rPr/>
        <w:t>号文转发国家发改委、工业和 </w:t>
      </w:r>
      <w:r>
        <w:rPr>
          <w:spacing w:val="-2"/>
        </w:rPr>
        <w:t>信息化部下达电子信息产业振兴和技术改造项目</w:t>
      </w:r>
      <w:r>
        <w:rPr>
          <w:rFonts w:ascii="Times New Roman" w:hAnsi="Times New Roman" w:cs="Times New Roman" w:eastAsia="Times New Roman" w:hint="default"/>
          <w:spacing w:val="-2"/>
        </w:rPr>
        <w:t>2010</w:t>
      </w:r>
      <w:r>
        <w:rPr>
          <w:spacing w:val="-2"/>
        </w:rPr>
        <w:t>年第一批中央预算内投资计划</w:t>
      </w:r>
      <w:r>
        <w:rPr>
          <w:rFonts w:ascii="Times New Roman" w:hAnsi="Times New Roman" w:cs="Times New Roman" w:eastAsia="Times New Roman" w:hint="default"/>
          <w:spacing w:val="-2"/>
        </w:rPr>
        <w:t>400</w:t>
      </w:r>
      <w:r>
        <w:rPr>
          <w:spacing w:val="-2"/>
        </w:rPr>
        <w:t>万元，</w:t>
      </w:r>
      <w:r>
        <w:rPr>
          <w:rFonts w:ascii="Times New Roman" w:hAnsi="Times New Roman" w:cs="Times New Roman" w:eastAsia="Times New Roman" w:hint="default"/>
          <w:spacing w:val="-2"/>
        </w:rPr>
        <w:t>2011</w:t>
      </w:r>
      <w:r>
        <w:rPr>
          <w:spacing w:val="-2"/>
        </w:rPr>
        <w:t>年收到</w:t>
      </w:r>
      <w:r>
        <w:rPr>
          <w:rFonts w:ascii="Times New Roman" w:hAnsi="Times New Roman" w:cs="Times New Roman" w:eastAsia="Times New Roman" w:hint="default"/>
          <w:spacing w:val="-2"/>
        </w:rPr>
        <w:t>300</w:t>
      </w:r>
      <w:r>
        <w:rPr>
          <w:spacing w:val="-2"/>
        </w:rPr>
        <w:t>万元用于设备购</w:t>
      </w:r>
      <w:r>
        <w:rPr>
          <w:spacing w:val="-51"/>
        </w:rPr>
        <w:t> </w:t>
      </w:r>
      <w:r>
        <w:rPr/>
        <w:t>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月设备购置使用并申请验收，平均分摊计入本期补助收入</w:t>
      </w:r>
      <w:r>
        <w:rPr>
          <w:rFonts w:ascii="Times New Roman" w:hAnsi="Times New Roman" w:cs="Times New Roman" w:eastAsia="Times New Roman" w:hint="default"/>
        </w:rPr>
        <w:t>550,000.00</w:t>
      </w:r>
      <w:r>
        <w:rPr/>
        <w:t>元。</w:t>
      </w:r>
    </w:p>
    <w:p>
      <w:pPr>
        <w:spacing w:line="240" w:lineRule="auto" w:before="13"/>
        <w:rPr>
          <w:rFonts w:ascii="宋体" w:hAnsi="宋体" w:cs="宋体" w:eastAsia="宋体" w:hint="default"/>
          <w:sz w:val="21"/>
          <w:szCs w:val="21"/>
        </w:rPr>
      </w:pPr>
    </w:p>
    <w:p>
      <w:pPr>
        <w:pStyle w:val="Heading3"/>
        <w:spacing w:line="240" w:lineRule="auto"/>
        <w:ind w:right="149"/>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5981"/>
        <w:gridCol w:w="1195"/>
      </w:tblGrid>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209,832,000.00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209,832,000.00</w:t>
            </w:r>
          </w:p>
        </w:tc>
      </w:tr>
    </w:tbl>
    <w:p>
      <w:pPr>
        <w:pStyle w:val="BodyText"/>
        <w:spacing w:line="240" w:lineRule="auto" w:before="51"/>
        <w:ind w:right="149"/>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6"/>
        </w:rPr>
        <w:t> </w:t>
      </w:r>
      <w:r>
        <w:rPr>
          <w:rFonts w:ascii="Times New Roman" w:hAnsi="Times New Roman" w:cs="Times New Roman" w:eastAsia="Times New Roman" w:hint="default"/>
        </w:rPr>
        <w:t>3</w:t>
      </w:r>
    </w:p>
    <w:p>
      <w:pPr>
        <w:pStyle w:val="BodyText"/>
        <w:spacing w:line="240" w:lineRule="auto" w:before="64"/>
        <w:ind w:left="153" w:right="149"/>
        <w:jc w:val="left"/>
      </w:pPr>
      <w:r>
        <w:rPr/>
        <w:t>年的股份有限公司，设立前的年份只需说明净资产情况；有限责任公司整体变更为股份公司应说明公司设立时的验资情况</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48</w:t>
      </w:r>
      <w:r>
        <w:rPr/>
        <w:t>、库存股</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9"/>
        <w:jc w:val="left"/>
      </w:pPr>
      <w:r>
        <w:rPr/>
        <w:t>库存股情况说明</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9"/>
        <w:jc w:val="left"/>
      </w:pPr>
      <w:r>
        <w:rPr/>
        <w:t>专项储备情况说明</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1"/>
        <w:gridCol w:w="1872"/>
        <w:gridCol w:w="1994"/>
        <w:gridCol w:w="1726"/>
        <w:gridCol w:w="1594"/>
      </w:tblGrid>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89,038,198.78</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89,038,198.78</w:t>
            </w:r>
          </w:p>
        </w:tc>
      </w:tr>
      <w:tr>
        <w:trPr>
          <w:trHeight w:val="403"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89,038,198.78</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89,038,198.78</w:t>
            </w:r>
          </w:p>
        </w:tc>
      </w:tr>
    </w:tbl>
    <w:p>
      <w:pPr>
        <w:pStyle w:val="BodyText"/>
        <w:spacing w:line="240" w:lineRule="auto" w:before="51"/>
        <w:ind w:right="149"/>
        <w:jc w:val="left"/>
      </w:pPr>
      <w:r>
        <w:rPr/>
        <w:t>资本公积说明</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1"/>
        <w:gridCol w:w="1872"/>
        <w:gridCol w:w="1994"/>
        <w:gridCol w:w="1726"/>
        <w:gridCol w:w="1594"/>
      </w:tblGrid>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11,934,714.75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1,629,671.22</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13,564,385.97</w:t>
            </w:r>
          </w:p>
        </w:tc>
      </w:tr>
      <w:tr>
        <w:trPr>
          <w:trHeight w:val="403"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11,934,714.75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1,629,671.22</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13,564,385.97</w:t>
            </w:r>
          </w:p>
        </w:tc>
      </w:tr>
    </w:tbl>
    <w:p>
      <w:pPr>
        <w:pStyle w:val="BodyText"/>
        <w:spacing w:line="240" w:lineRule="auto" w:before="51"/>
        <w:ind w:right="149"/>
        <w:jc w:val="left"/>
      </w:pPr>
      <w:r>
        <w:rPr/>
        <w:t>盈余公积说明，用盈余公积转增股本、弥补亏损、分派股利的，应说明有关决议</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9"/>
        <w:jc w:val="left"/>
      </w:pPr>
      <w:r>
        <w:rPr/>
        <w:t>一般风险准备情况说明</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4"/>
        <w:gridCol w:w="3740"/>
        <w:gridCol w:w="2110"/>
      </w:tblGrid>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0"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214,042,809.85</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740"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-3,326,946.75</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0"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210,715,863.10</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689"/>
        <w:gridCol w:w="3757"/>
        <w:gridCol w:w="2122"/>
      </w:tblGrid>
      <w:tr>
        <w:trPr>
          <w:trHeight w:val="402" w:hRule="exact"/>
        </w:trPr>
        <w:tc>
          <w:tcPr>
            <w:tcW w:w="36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42,254,458.22</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1,629,671.22</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6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20,983,200.00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230,357,450.10</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49"/>
        <w:jc w:val="left"/>
      </w:pPr>
      <w:r>
        <w:rPr/>
        <w:t>调整年初未分配利润明细：</w:t>
      </w:r>
    </w:p>
    <w:p>
      <w:pPr>
        <w:pStyle w:val="BodyText"/>
        <w:spacing w:line="240" w:lineRule="auto" w:before="117"/>
        <w:ind w:left="153" w:right="149"/>
        <w:jc w:val="left"/>
      </w:pPr>
      <w:r>
        <w:rPr>
          <w:rFonts w:ascii="Times New Roman" w:hAnsi="Times New Roman" w:cs="Times New Roman" w:eastAsia="Times New Roman" w:hint="default"/>
        </w:rPr>
        <w:t>1)</w:t>
      </w:r>
      <w:r>
        <w:rPr/>
        <w:t>、由于《企业会计准则》及其相关新规定进行追溯调整，影响年初未分配利润元。</w:t>
      </w:r>
    </w:p>
    <w:p>
      <w:pPr>
        <w:pStyle w:val="BodyText"/>
        <w:spacing w:line="240" w:lineRule="auto" w:before="102"/>
        <w:ind w:right="149"/>
        <w:jc w:val="left"/>
      </w:pPr>
      <w:r>
        <w:rPr>
          <w:rFonts w:ascii="Times New Roman" w:hAnsi="Times New Roman" w:cs="Times New Roman" w:eastAsia="Times New Roman" w:hint="default"/>
        </w:rPr>
        <w:t>2)</w:t>
      </w:r>
      <w:r>
        <w:rPr/>
        <w:t>、由于会计政策变更，影响年初未分配利润元。</w:t>
      </w:r>
    </w:p>
    <w:p>
      <w:pPr>
        <w:pStyle w:val="BodyText"/>
        <w:spacing w:line="240" w:lineRule="auto" w:before="103"/>
        <w:ind w:right="149"/>
        <w:jc w:val="left"/>
      </w:pPr>
      <w:r>
        <w:rPr>
          <w:rFonts w:ascii="Times New Roman" w:hAnsi="Times New Roman" w:cs="Times New Roman" w:eastAsia="Times New Roman" w:hint="default"/>
        </w:rPr>
        <w:t>3)</w:t>
      </w:r>
      <w:r>
        <w:rPr/>
        <w:t>、由于重大会计差错更正，影响年初未分配利润</w:t>
      </w:r>
      <w:r>
        <w:rPr>
          <w:spacing w:val="-46"/>
        </w:rPr>
        <w:t> </w:t>
      </w:r>
      <w:r>
        <w:rPr>
          <w:rFonts w:ascii="Times New Roman" w:hAnsi="Times New Roman" w:cs="Times New Roman" w:eastAsia="Times New Roman" w:hint="default"/>
        </w:rPr>
        <w:t>3,326,946.75</w:t>
      </w:r>
      <w:r>
        <w:rPr>
          <w:rFonts w:ascii="Times New Roman" w:hAnsi="Times New Roman" w:cs="Times New Roman" w:eastAsia="Times New Roman" w:hint="default"/>
          <w:spacing w:val="-1"/>
        </w:rPr>
        <w:t> </w:t>
      </w:r>
      <w:r>
        <w:rPr/>
        <w:t>元。</w:t>
      </w:r>
    </w:p>
    <w:p>
      <w:pPr>
        <w:pStyle w:val="BodyText"/>
        <w:spacing w:line="240" w:lineRule="auto" w:before="102"/>
        <w:ind w:right="149"/>
        <w:jc w:val="left"/>
      </w:pPr>
      <w:r>
        <w:rPr>
          <w:rFonts w:ascii="Times New Roman" w:hAnsi="Times New Roman" w:cs="Times New Roman" w:eastAsia="Times New Roman" w:hint="default"/>
        </w:rPr>
        <w:t>4)</w:t>
      </w:r>
      <w:r>
        <w:rPr/>
        <w:t>、由于同一控制导致的合并范围变更，影响年初未分配利润元。</w:t>
      </w:r>
    </w:p>
    <w:p>
      <w:pPr>
        <w:pStyle w:val="BodyText"/>
        <w:spacing w:line="324" w:lineRule="auto" w:before="102"/>
        <w:ind w:right="149"/>
        <w:jc w:val="left"/>
      </w:pPr>
      <w:r>
        <w:rPr>
          <w:rFonts w:ascii="Times New Roman" w:hAnsi="Times New Roman" w:cs="Times New Roman" w:eastAsia="Times New Roman" w:hint="default"/>
        </w:rPr>
        <w:t>5)</w:t>
      </w:r>
      <w:r>
        <w:rPr/>
        <w:t>、其他调整合计影响年初未分配利润元。 </w:t>
      </w:r>
      <w:r>
        <w:rPr>
          <w:spacing w:val="-2"/>
        </w:rPr>
        <w:t>未分配利润说明，对于首次公开发行证券的公司，如果发行前的滚存利润经股东大会决议由新老股东共同享有，应明确予以</w:t>
      </w:r>
      <w:r>
        <w:rPr>
          <w:spacing w:val="-66"/>
        </w:rPr>
        <w:t> </w:t>
      </w:r>
      <w:r>
        <w:rPr>
          <w:spacing w:val="-66"/>
        </w:rPr>
      </w:r>
      <w:r>
        <w:rPr>
          <w:spacing w:val="-2"/>
        </w:rPr>
        <w:t>说明；如果发行前的滚存利润经股东大会决议在发行前进行分配并由老股东享有，公司应明确披露应付股利中老股东享有的</w:t>
      </w:r>
      <w:r>
        <w:rPr>
          <w:spacing w:val="-64"/>
        </w:rPr>
        <w:t> </w:t>
      </w:r>
      <w:r>
        <w:rPr>
          <w:spacing w:val="-64"/>
        </w:rPr>
      </w:r>
      <w:r>
        <w:rPr/>
        <w:t>经审计的利润数</w:t>
      </w:r>
    </w:p>
    <w:p>
      <w:pPr>
        <w:spacing w:line="240" w:lineRule="auto" w:before="12"/>
        <w:rPr>
          <w:rFonts w:ascii="宋体" w:hAnsi="宋体" w:cs="宋体" w:eastAsia="宋体" w:hint="default"/>
          <w:sz w:val="21"/>
          <w:szCs w:val="21"/>
        </w:rPr>
      </w:pPr>
    </w:p>
    <w:p>
      <w:pPr>
        <w:pStyle w:val="Heading3"/>
        <w:spacing w:line="240" w:lineRule="auto"/>
        <w:ind w:right="149"/>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99"/>
        <w:gridCol w:w="3069"/>
        <w:gridCol w:w="3190"/>
      </w:tblGrid>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583,184,196.95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677,194,445.89</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1,691,347.04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286,247.16</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375,289,635.17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444,974,921.17</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467,202,743.10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292,981,667.86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547,084,858.35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344,025,777.82</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照明电子</w:t>
            </w:r>
            <w:r>
              <w:rPr>
                <w:rFonts w:ascii="Times New Roman" w:hAnsi="Times New Roman" w:cs="Times New Roman" w:eastAsia="Times New Roman" w:hint="default"/>
                <w:sz w:val="18"/>
                <w:szCs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46,812,403.73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31,460,910.41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97,489,542.91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85,982,335.65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车载行业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4,521,591.10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4,131,124.19</w:t>
            </w:r>
          </w:p>
        </w:tc>
        <w:tc>
          <w:tcPr>
            <w:tcW w:w="1727"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64,647,459.02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44,955,116.76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32,620,044.63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13,429,014.26</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583,184,196.95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373,528,819.22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677,194,445.89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443,437,127.73</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467,202,743.10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292,981,667.86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547,084,858.35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344,025,777.82</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照明电子</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46,812,403.73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31,460,910.41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97,489,542.91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85,982,335.65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车载行业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4,521,591.10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4,131,124.19</w:t>
            </w:r>
          </w:p>
        </w:tc>
        <w:tc>
          <w:tcPr>
            <w:tcW w:w="1727"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64,647,459.02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44,955,116.76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32,620,044.63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13,429,014.26</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583,184,196.95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373,528,819.22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677,194,445.89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443,437,127.73</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507,831,632.53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344,491,865.80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602,377,786.87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412,343,886.53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国外销售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75,352,564.42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29,036,953.42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74,816,659.02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31,093,241.20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583,184,196.95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373,528,819.22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677,194,445.89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443,437,127.73</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94"/>
        <w:gridCol w:w="2848"/>
        <w:gridCol w:w="4127"/>
      </w:tblGrid>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71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1"/>
              <w:ind w:left="22" w:right="47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Hitachi Financial</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Equipment</w:t>
            </w:r>
            <w:r>
              <w:rPr>
                <w:rFonts w:ascii="Times New Roman" w:hAnsi="Times New Roman" w:cs="Times New Roman" w:eastAsia="Times New Roman" w:hint="default"/>
                <w:sz w:val="18"/>
                <w:szCs w:val="18"/>
              </w:rPr>
              <w:t> System(Shen</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Zhen</w:t>
            </w:r>
            <w:r>
              <w:rPr>
                <w:rFonts w:ascii="宋体" w:hAnsi="宋体" w:cs="宋体" w:eastAsia="宋体" w:hint="default"/>
                <w:sz w:val="18"/>
                <w:szCs w:val="18"/>
              </w:rPr>
              <w:t>）</w:t>
            </w:r>
            <w:r>
              <w:rPr>
                <w:rFonts w:ascii="Times New Roman" w:hAnsi="Times New Roman" w:cs="Times New Roman" w:eastAsia="Times New Roman" w:hint="default"/>
                <w:sz w:val="18"/>
                <w:szCs w:val="18"/>
              </w:rPr>
              <w:t>Co.Ltd</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42,831,149.75</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7.32%</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浙江金大科技有限公司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33,967,930.67</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5.81%</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中国农业银行湖南分行</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29,086,004.57</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中国农业银行广东省分行</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22,608,348.73</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中科恒源科技股份有限公司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20,780,082.40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149,273,516.12</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25.52%</w:t>
            </w:r>
          </w:p>
        </w:tc>
      </w:tr>
    </w:tbl>
    <w:p>
      <w:pPr>
        <w:pStyle w:val="BodyText"/>
        <w:spacing w:line="240" w:lineRule="auto" w:before="51"/>
        <w:ind w:right="149"/>
        <w:jc w:val="left"/>
      </w:pPr>
      <w:r>
        <w:rPr/>
        <w:t>营业收入的说明</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6"/>
        <w:gridCol w:w="1592"/>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0" w:right="23" w:hanging="18"/>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0" w:right="23" w:hanging="18"/>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pStyle w:val="BodyText"/>
        <w:spacing w:line="240" w:lineRule="auto" w:before="51"/>
        <w:ind w:right="149"/>
        <w:jc w:val="left"/>
      </w:pPr>
      <w:r>
        <w:rPr/>
        <w:t>合同项目的说明</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49"/>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70"/>
        <w:gridCol w:w="2004"/>
        <w:gridCol w:w="1861"/>
        <w:gridCol w:w="2921"/>
      </w:tblGrid>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744,694.53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474,572.45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2,093,625.97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1,955,521.13</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1,495,436.83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1,381,223.40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16,172.82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26,806.63</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4,349,930.15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3,838,123.61</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49"/>
        <w:jc w:val="left"/>
      </w:pPr>
      <w:r>
        <w:rPr/>
        <w:t>营业税金及附加的说明</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工资奖金及福利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24,151,270.24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20,193,066.50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10,602,585.98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9,623,438.94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促销费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6,919,819.13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5,003,821.92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9,631,324.96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9,800,940.99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3,699,228.39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3,940,120.53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1,998,133.57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639,274.97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6,490,476.00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3,951,716.27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1,559,965.50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1,811,389.97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1,207,312.76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1,215,664.09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711,473.49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1,183,868.50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劳动保护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283,463.17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330,560.64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1,026,061.10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1,250,640.92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3,066,650.65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6,502,331.97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648,702.05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71,996,466.99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65,446,836.21</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工资奖金及福利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26,642,156.63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23,230,515.02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5,018,942.72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5,471,233.39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2,859,726.71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4,363,849.65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2,555,910.41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4,468,358.21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1,039,844.20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1,619,158.25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1,735,689.21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1,794,709.94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885,333.06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805,671.86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16,099,890.55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12,516,041.19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12,736,224.40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6,125,382.11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69,573,717.89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60,394,919.62</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20,773,123.68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20,275,810.33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-694,312.88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-657,417.33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1,161,222.87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248,772.95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534,998.44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2,212,540.31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21,775,032.11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22,079,706.26</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22"/>
      </w:tblGrid>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149"/>
        <w:jc w:val="left"/>
      </w:pPr>
      <w:r>
        <w:rPr/>
        <w:t>公允价值变动收益的说明</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3"/>
        <w:gridCol w:w="2801"/>
        <w:gridCol w:w="2922"/>
      </w:tblGrid>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277,550.00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87,230.00</w:t>
            </w:r>
          </w:p>
        </w:tc>
      </w:tr>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-306,191.72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-595.66</w:t>
            </w:r>
          </w:p>
        </w:tc>
      </w:tr>
      <w:tr>
        <w:trPr>
          <w:trHeight w:val="401"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-28,641.72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86,634.34</w:t>
            </w:r>
          </w:p>
        </w:tc>
      </w:tr>
    </w:tbl>
    <w:p>
      <w:pPr>
        <w:spacing w:line="240" w:lineRule="auto" w:before="3"/>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1727"/>
        <w:gridCol w:w="2921"/>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中科恒源科技股份有限公司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277,550.00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87,230.00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股东大会决议分配</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277,550.00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87,230.00</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1727"/>
        <w:gridCol w:w="2921"/>
      </w:tblGrid>
      <w:tr>
        <w:trPr>
          <w:trHeight w:val="401"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-306,191.72</w:t>
            </w:r>
          </w:p>
        </w:tc>
        <w:tc>
          <w:tcPr>
            <w:tcW w:w="1727"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深圳市兵港科技有限公司</w:t>
            </w:r>
          </w:p>
        </w:tc>
        <w:tc>
          <w:tcPr>
            <w:tcW w:w="1993"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-595.66</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-306,191.72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-595.66</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149"/>
        <w:jc w:val="left"/>
      </w:pPr>
      <w:r>
        <w:rPr/>
        <w:t>投资收益的说明，若投资收益汇回有重大限制的，应予以说明。若不存在此类重大限制，也应做出说明</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1"/>
        <w:gridCol w:w="2537"/>
        <w:gridCol w:w="2789"/>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4,832,937.44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4,528,589.49</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557,301.85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717,447.27</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5,390,239.29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5,246,036.76</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81"/>
        <w:gridCol w:w="1967"/>
        <w:gridCol w:w="2160"/>
        <w:gridCol w:w="2160"/>
      </w:tblGrid>
      <w:tr>
        <w:trPr>
          <w:trHeight w:val="161" w:hRule="exact"/>
        </w:trPr>
        <w:tc>
          <w:tcPr>
            <w:tcW w:w="328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67"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95" w:right="83"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0" w:hRule="exact"/>
        </w:trPr>
        <w:tc>
          <w:tcPr>
            <w:tcW w:w="32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53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vMerge/>
            <w:tcBorders>
              <w:left w:val="single" w:sz="4" w:space="0" w:color="000000"/>
              <w:right w:val="single" w:sz="4" w:space="0" w:color="000000"/>
            </w:tcBorders>
            <w:shd w:val="clear" w:color="auto" w:fill="D3D3D3"/>
          </w:tcPr>
          <w:p>
            <w:pPr/>
          </w:p>
        </w:tc>
      </w:tr>
      <w:tr>
        <w:trPr>
          <w:trHeight w:val="162" w:hRule="exact"/>
        </w:trPr>
        <w:tc>
          <w:tcPr>
            <w:tcW w:w="328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67"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0"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6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18,589.50</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18,589.50</w:t>
            </w: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6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18,589.50</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18,589.50</w:t>
            </w: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6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10,121,035.17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6,009,541.19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10,121,035.17</w:t>
            </w: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1,638,033.71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1,017,073.56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1,638,033.71</w:t>
            </w: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11,777,658.38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7,026,614.75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11,777,658.38</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0"/>
        <w:gridCol w:w="1993"/>
        <w:gridCol w:w="1993"/>
        <w:gridCol w:w="2921"/>
      </w:tblGrid>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60"/>
        <w:gridCol w:w="1993"/>
        <w:gridCol w:w="1993"/>
        <w:gridCol w:w="2921"/>
      </w:tblGrid>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深圳市企业技术中心资助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补助建立技术中心</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证通金融支付信息安全产品产业 化项目资金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907,692.30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1,215,384.62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补助金融支付信息安全产品产业化 项目</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批，</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批专 利资助费</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38,200.00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专利资助</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年著作权登记</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44,232.00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著作权奖励</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软件退税款</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7,220,910.87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1,169,156.57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退税款</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巴士集团课题经费</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课题经费</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金融支付信息安全产品技术改造 产业化（中央预算内投资）</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设备购置款和用房支出</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深圳南山区人民政府质量奖</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质量奖</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年深圳市科技研发资金国家 和省科研项目配套计划资助</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补助资金</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年广东省科学技术奖</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奖金</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6"/>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年度南山区科技研发分项资 金</w:t>
            </w:r>
            <w:r>
              <w:rPr>
                <w:rFonts w:ascii="Times New Roman" w:hAnsi="Times New Roman" w:cs="Times New Roman" w:eastAsia="Times New Roman" w:hint="default"/>
                <w:sz w:val="18"/>
                <w:szCs w:val="18"/>
              </w:rPr>
              <w:t>-</w:t>
            </w:r>
            <w:r>
              <w:rPr>
                <w:rFonts w:ascii="宋体" w:hAnsi="宋体" w:cs="宋体" w:eastAsia="宋体" w:hint="default"/>
                <w:sz w:val="18"/>
                <w:szCs w:val="18"/>
              </w:rPr>
              <w:t>国家省市重大计划立项项目配 套资助</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10,121,035.17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6,009,541.19</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49"/>
        <w:jc w:val="left"/>
      </w:pPr>
      <w:r>
        <w:rPr/>
        <w:t>营业外收入说明</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7"/>
        <w:gridCol w:w="2033"/>
        <w:gridCol w:w="1914"/>
        <w:gridCol w:w="1914"/>
      </w:tblGrid>
      <w:tr>
        <w:trPr>
          <w:trHeight w:val="160" w:hRule="exact"/>
        </w:trPr>
        <w:tc>
          <w:tcPr>
            <w:tcW w:w="3697" w:type="dxa"/>
            <w:tcBorders>
              <w:top w:val="single" w:sz="4" w:space="0" w:color="000000"/>
              <w:left w:val="single" w:sz="4" w:space="0" w:color="000000"/>
              <w:bottom w:val="nil" w:sz="6" w:space="0" w:color="auto"/>
              <w:right w:val="single" w:sz="4" w:space="0" w:color="000000"/>
            </w:tcBorders>
            <w:shd w:val="clear" w:color="auto" w:fill="D3D3D3"/>
          </w:tcPr>
          <w:p>
            <w:pPr/>
          </w:p>
        </w:tc>
        <w:tc>
          <w:tcPr>
            <w:tcW w:w="203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82" w:right="49"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4" w:hRule="exact"/>
        </w:trPr>
        <w:tc>
          <w:tcPr>
            <w:tcW w:w="36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5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vMerge/>
            <w:tcBorders>
              <w:left w:val="single" w:sz="4" w:space="0" w:color="000000"/>
              <w:right w:val="single" w:sz="4" w:space="0" w:color="000000"/>
            </w:tcBorders>
            <w:shd w:val="clear" w:color="auto" w:fill="D3D3D3"/>
          </w:tcPr>
          <w:p>
            <w:pPr/>
          </w:p>
        </w:tc>
      </w:tr>
      <w:tr>
        <w:trPr>
          <w:trHeight w:val="160" w:hRule="exact"/>
        </w:trPr>
        <w:tc>
          <w:tcPr>
            <w:tcW w:w="3697" w:type="dxa"/>
            <w:tcBorders>
              <w:top w:val="nil" w:sz="6" w:space="0" w:color="auto"/>
              <w:left w:val="single" w:sz="4" w:space="0" w:color="000000"/>
              <w:bottom w:val="single" w:sz="4" w:space="0" w:color="000000"/>
              <w:right w:val="single" w:sz="4" w:space="0" w:color="000000"/>
            </w:tcBorders>
            <w:shd w:val="clear" w:color="auto" w:fill="D3D3D3"/>
          </w:tcPr>
          <w:p>
            <w:pPr/>
          </w:p>
        </w:tc>
        <w:tc>
          <w:tcPr>
            <w:tcW w:w="203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3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7,866.85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27,449.52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7,866.85</w:t>
            </w: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3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89,490.78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798,411.79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89,490.78</w:t>
            </w: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117,357.63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1,136,115.53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117,357.63</w:t>
            </w:r>
          </w:p>
        </w:tc>
      </w:tr>
    </w:tbl>
    <w:p>
      <w:pPr>
        <w:pStyle w:val="BodyText"/>
        <w:spacing w:line="240" w:lineRule="auto" w:before="51"/>
        <w:ind w:right="149"/>
        <w:jc w:val="left"/>
      </w:pPr>
      <w:r>
        <w:rPr/>
        <w:t>营业外支出说明</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643"/>
        <w:gridCol w:w="2524"/>
        <w:gridCol w:w="2389"/>
      </w:tblGrid>
      <w:tr>
        <w:trPr>
          <w:trHeight w:val="402" w:hRule="exact"/>
        </w:trPr>
        <w:tc>
          <w:tcPr>
            <w:tcW w:w="4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2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6,551,770.20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12,453,909.42</w:t>
            </w:r>
          </w:p>
        </w:tc>
      </w:tr>
      <w:tr>
        <w:trPr>
          <w:trHeight w:val="402" w:hRule="exact"/>
        </w:trPr>
        <w:tc>
          <w:tcPr>
            <w:tcW w:w="4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2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-531,521.26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-244,391.87</w:t>
            </w:r>
          </w:p>
        </w:tc>
      </w:tr>
      <w:tr>
        <w:trPr>
          <w:trHeight w:val="402" w:hRule="exact"/>
        </w:trPr>
        <w:tc>
          <w:tcPr>
            <w:tcW w:w="4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6,020,248.94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12,209,517.55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49"/>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9"/>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3799"/>
        <w:gridCol w:w="3010"/>
        <w:gridCol w:w="2849"/>
      </w:tblGrid>
      <w:tr>
        <w:trPr>
          <w:trHeight w:val="347" w:hRule="exact"/>
        </w:trPr>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7" w:hRule="exact"/>
        </w:trPr>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归属于本公司普通股股东的合并净利润</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42,254,458.22</w:t>
            </w:r>
          </w:p>
        </w:tc>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69,455,613.19</w:t>
            </w:r>
          </w:p>
        </w:tc>
      </w:tr>
      <w:tr>
        <w:trPr>
          <w:trHeight w:val="348" w:hRule="exact"/>
        </w:trPr>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本公司发行在外普通股的加权平均数</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209,832,000.00</w:t>
            </w:r>
          </w:p>
        </w:tc>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209,832,000.00</w:t>
            </w:r>
          </w:p>
        </w:tc>
      </w:tr>
      <w:tr>
        <w:trPr>
          <w:trHeight w:val="347" w:hRule="exact"/>
        </w:trPr>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0.20</w:t>
            </w:r>
          </w:p>
        </w:tc>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0.33</w:t>
            </w:r>
          </w:p>
        </w:tc>
      </w:tr>
    </w:tbl>
    <w:p>
      <w:pPr>
        <w:pStyle w:val="Heading4"/>
        <w:spacing w:line="260" w:lineRule="exact"/>
        <w:ind w:left="889" w:right="149"/>
        <w:jc w:val="left"/>
      </w:pPr>
      <w:r>
        <w:rPr/>
        <w:t>普通股的加权平均数计算过程如下：</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3799"/>
        <w:gridCol w:w="3010"/>
        <w:gridCol w:w="2849"/>
      </w:tblGrid>
      <w:tr>
        <w:trPr>
          <w:trHeight w:val="347" w:hRule="exact"/>
        </w:trPr>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8" w:hRule="exact"/>
        </w:trPr>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年初已发行普通股股数</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209,832,000.00</w:t>
            </w:r>
          </w:p>
        </w:tc>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209,832,000.00</w:t>
            </w:r>
          </w:p>
        </w:tc>
      </w:tr>
      <w:tr>
        <w:trPr>
          <w:trHeight w:val="347" w:hRule="exact"/>
        </w:trPr>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加：本期发行的普通股加权数</w:t>
            </w:r>
          </w:p>
        </w:tc>
        <w:tc>
          <w:tcPr>
            <w:tcW w:w="3010" w:type="dxa"/>
            <w:tcBorders>
              <w:top w:val="single" w:sz="6" w:space="0" w:color="000000"/>
              <w:left w:val="single" w:sz="6" w:space="0" w:color="000000"/>
              <w:bottom w:val="single" w:sz="6" w:space="0" w:color="000000"/>
              <w:right w:val="single" w:sz="6" w:space="0" w:color="000000"/>
            </w:tcBorders>
          </w:tcPr>
          <w:p>
            <w:pPr/>
          </w:p>
        </w:tc>
        <w:tc>
          <w:tcPr>
            <w:tcW w:w="284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减：本期回购的普通股加权数</w:t>
            </w:r>
          </w:p>
        </w:tc>
        <w:tc>
          <w:tcPr>
            <w:tcW w:w="3010" w:type="dxa"/>
            <w:tcBorders>
              <w:top w:val="single" w:sz="6" w:space="0" w:color="000000"/>
              <w:left w:val="single" w:sz="6" w:space="0" w:color="000000"/>
              <w:bottom w:val="single" w:sz="6" w:space="0" w:color="000000"/>
              <w:right w:val="single" w:sz="6" w:space="0" w:color="000000"/>
            </w:tcBorders>
          </w:tcPr>
          <w:p>
            <w:pPr/>
          </w:p>
        </w:tc>
        <w:tc>
          <w:tcPr>
            <w:tcW w:w="284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年末发行在外的普通股加权数</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209,832,000.00</w:t>
            </w:r>
          </w:p>
        </w:tc>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209,832,000.00</w:t>
            </w:r>
          </w:p>
        </w:tc>
      </w:tr>
    </w:tbl>
    <w:p>
      <w:pPr>
        <w:pStyle w:val="Heading4"/>
        <w:spacing w:line="276" w:lineRule="exact"/>
        <w:ind w:left="889" w:right="149"/>
        <w:jc w:val="left"/>
      </w:pPr>
      <w:r>
        <w:rPr/>
        <w:t>（</w:t>
      </w:r>
      <w:r>
        <w:rPr>
          <w:rFonts w:ascii="Times New Roman" w:hAnsi="Times New Roman" w:cs="Times New Roman" w:eastAsia="Times New Roman" w:hint="default"/>
        </w:rPr>
        <w:t>2</w:t>
      </w:r>
      <w:r>
        <w:rPr/>
        <w:t>）稀释每股收益</w:t>
      </w:r>
    </w:p>
    <w:p>
      <w:pPr>
        <w:pStyle w:val="Heading4"/>
        <w:spacing w:line="273" w:lineRule="auto" w:before="21"/>
        <w:ind w:right="149"/>
        <w:jc w:val="left"/>
      </w:pPr>
      <w:r>
        <w:rPr/>
        <w:t>稀释每股收益以调整后的归属于本公司普通股股东的合并净利润除以调整后的本公司发行在外普</w:t>
      </w:r>
      <w:r>
        <w:rPr>
          <w:spacing w:val="-23"/>
        </w:rPr>
        <w:t> </w:t>
      </w:r>
      <w:r>
        <w:rPr>
          <w:spacing w:val="-23"/>
        </w:rPr>
      </w:r>
      <w:r>
        <w:rPr/>
        <w:t>通股的加权平均数计算：</w:t>
      </w:r>
    </w:p>
    <w:tbl>
      <w:tblPr>
        <w:tblW w:w="0" w:type="auto"/>
        <w:jc w:val="left"/>
        <w:tblInd w:w="137" w:type="dxa"/>
        <w:tblLayout w:type="fixed"/>
        <w:tblCellMar>
          <w:top w:w="0" w:type="dxa"/>
          <w:left w:w="0" w:type="dxa"/>
          <w:bottom w:w="0" w:type="dxa"/>
          <w:right w:w="0" w:type="dxa"/>
        </w:tblCellMar>
        <w:tblLook w:val="01E0"/>
      </w:tblPr>
      <w:tblGrid>
        <w:gridCol w:w="4273"/>
        <w:gridCol w:w="2692"/>
        <w:gridCol w:w="2693"/>
      </w:tblGrid>
      <w:tr>
        <w:trPr>
          <w:trHeight w:val="347" w:hRule="exact"/>
        </w:trPr>
        <w:tc>
          <w:tcPr>
            <w:tcW w:w="4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7" w:hRule="exact"/>
        </w:trPr>
        <w:tc>
          <w:tcPr>
            <w:tcW w:w="4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归属于本公司普通股股东的合并净利润（稀释）</w:t>
            </w:r>
          </w:p>
        </w:tc>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42,254,458.22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69,455,613.19</w:t>
            </w:r>
          </w:p>
        </w:tc>
      </w:tr>
      <w:tr>
        <w:trPr>
          <w:trHeight w:val="347" w:hRule="exact"/>
        </w:trPr>
        <w:tc>
          <w:tcPr>
            <w:tcW w:w="4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本公司发行在外普通股的加权平均数</w:t>
            </w:r>
            <w:r>
              <w:rPr>
                <w:rFonts w:ascii="宋体" w:hAnsi="宋体" w:cs="宋体" w:eastAsia="宋体" w:hint="default"/>
                <w:spacing w:val="-19"/>
                <w:sz w:val="18"/>
                <w:szCs w:val="18"/>
              </w:rPr>
              <w:t> </w:t>
            </w:r>
            <w:r>
              <w:rPr>
                <w:rFonts w:ascii="宋体" w:hAnsi="宋体" w:cs="宋体" w:eastAsia="宋体" w:hint="default"/>
                <w:sz w:val="18"/>
                <w:szCs w:val="18"/>
              </w:rPr>
              <w:t>（稀释）</w:t>
            </w:r>
          </w:p>
        </w:tc>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209,832,000.00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209,832,000.00</w:t>
            </w:r>
          </w:p>
        </w:tc>
      </w:tr>
      <w:tr>
        <w:trPr>
          <w:trHeight w:val="348" w:hRule="exact"/>
        </w:trPr>
        <w:tc>
          <w:tcPr>
            <w:tcW w:w="4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0.20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0.33</w:t>
            </w:r>
          </w:p>
        </w:tc>
      </w:tr>
    </w:tbl>
    <w:p>
      <w:pPr>
        <w:pStyle w:val="Heading4"/>
        <w:spacing w:line="240" w:lineRule="auto" w:before="7"/>
        <w:ind w:right="149"/>
        <w:jc w:val="left"/>
      </w:pPr>
      <w:r>
        <w:rPr/>
        <w:t>普通股的加权平均数（稀释）计算过程如下：</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5066"/>
        <w:gridCol w:w="2532"/>
        <w:gridCol w:w="2059"/>
      </w:tblGrid>
      <w:tr>
        <w:trPr>
          <w:trHeight w:val="347" w:hRule="exact"/>
        </w:trPr>
        <w:tc>
          <w:tcPr>
            <w:tcW w:w="5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6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7" w:hRule="exact"/>
        </w:trPr>
        <w:tc>
          <w:tcPr>
            <w:tcW w:w="5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计算基本每股收益时年末发行在外的普通股加权平均数</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209,832,000.00</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209,832,000.00</w:t>
            </w:r>
          </w:p>
        </w:tc>
      </w:tr>
      <w:tr>
        <w:trPr>
          <w:trHeight w:val="347" w:hRule="exact"/>
        </w:trPr>
        <w:tc>
          <w:tcPr>
            <w:tcW w:w="5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可转换债券的影响</w:t>
            </w:r>
            <w:r>
              <w:rPr>
                <w:rFonts w:ascii="Times New Roman" w:hAnsi="Times New Roman" w:cs="Times New Roman" w:eastAsia="Times New Roman" w:hint="default"/>
                <w:sz w:val="18"/>
                <w:szCs w:val="18"/>
              </w:rPr>
              <w:t>]</w:t>
            </w:r>
          </w:p>
        </w:tc>
        <w:tc>
          <w:tcPr>
            <w:tcW w:w="2532"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5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股份期权的影响</w:t>
            </w:r>
            <w:r>
              <w:rPr>
                <w:rFonts w:ascii="Times New Roman" w:hAnsi="Times New Roman" w:cs="Times New Roman" w:eastAsia="Times New Roman" w:hint="default"/>
                <w:sz w:val="18"/>
                <w:szCs w:val="18"/>
              </w:rPr>
              <w:t>]</w:t>
            </w:r>
          </w:p>
        </w:tc>
        <w:tc>
          <w:tcPr>
            <w:tcW w:w="2532"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年末普通股的加权平均数（稀释）</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209,832,000.00</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209,832,000.00</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652"/>
        <w:gridCol w:w="2524"/>
        <w:gridCol w:w="2392"/>
      </w:tblGrid>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149"/>
        <w:jc w:val="left"/>
      </w:pPr>
      <w:r>
        <w:rPr/>
        <w:t>其他综合收益说明</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1"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842,432.00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1,638,033.71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694,312.88</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收其他往来款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5,247,581.59</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个人所得税手续费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36,004.39</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8,458,364.57</w:t>
            </w:r>
          </w:p>
        </w:tc>
      </w:tr>
    </w:tbl>
    <w:p>
      <w:pPr>
        <w:pStyle w:val="BodyText"/>
        <w:spacing w:line="240" w:lineRule="auto" w:before="51"/>
        <w:ind w:right="149"/>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38,565,109.85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24,575,983.26</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1,617,440.92</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35,974,458.90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1,727,688.38</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102,460,681.31</w:t>
            </w:r>
          </w:p>
        </w:tc>
      </w:tr>
    </w:tbl>
    <w:p>
      <w:pPr>
        <w:pStyle w:val="BodyText"/>
        <w:spacing w:line="240" w:lineRule="auto" w:before="51"/>
        <w:ind w:right="149"/>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专项拨款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7,250,000.00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7,250,000.00</w:t>
            </w:r>
          </w:p>
        </w:tc>
      </w:tr>
    </w:tbl>
    <w:p>
      <w:pPr>
        <w:pStyle w:val="BodyText"/>
        <w:spacing w:line="240" w:lineRule="auto" w:before="51"/>
        <w:ind w:right="149"/>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支付合作方专项拨款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bl>
    <w:p>
      <w:pPr>
        <w:pStyle w:val="BodyText"/>
        <w:spacing w:line="240" w:lineRule="auto" w:before="51"/>
        <w:ind w:right="149"/>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5577;top:16;width:2;height:392" coordorigin="5577,16" coordsize="2,392">
              <v:shape style="position:absolute;left:5577;top:16;width:2;height:392" coordorigin="5577,16" coordsize="0,392" path="m5577,16l5577,407e" filled="false" stroked="true" strokeweight="1.140pt" strokecolor="#d3d3d3">
                <v:path arrowok="t"/>
              </v:shape>
            </v:group>
            <v:group style="position:absolute;left:37;top:14;width:5529;height:393" coordorigin="37,14" coordsize="5529,393">
              <v:shape style="position:absolute;left:37;top:14;width:5529;height:393" coordorigin="37,14" coordsize="5529,393" path="m37,407l5566,407,5566,14,37,14,37,407xe" filled="true" fillcolor="#d3d3d3" stroked="false">
                <v:path arrowok="t"/>
                <v:fill type="solid"/>
              </v:shape>
            </v:group>
            <v:group style="position:absolute;left:5610;top:16;width:2;height:392" coordorigin="5610,16" coordsize="2,392">
              <v:shape style="position:absolute;left:5610;top:16;width:2;height:392" coordorigin="5610,16" coordsize="0,392" path="m5610,16l5610,407e" filled="false" stroked="true" strokeweight="1.2pt" strokecolor="#d3d3d3">
                <v:path arrowok="t"/>
              </v:shape>
            </v:group>
            <v:group style="position:absolute;left:9561;top:16;width:2;height:392" coordorigin="9561,16" coordsize="2,392">
              <v:shape style="position:absolute;left:9561;top:16;width:2;height:392" coordorigin="9561,16" coordsize="0,392" path="m9561,16l9561,407e" filled="false" stroked="true" strokeweight="1.140pt" strokecolor="#d3d3d3">
                <v:path arrowok="t"/>
              </v:shape>
            </v:group>
            <v:group style="position:absolute;left:5622;top:14;width:3928;height:393" coordorigin="5622,14" coordsize="3928,393">
              <v:shape style="position:absolute;left:5622;top:14;width:3928;height:393" coordorigin="5622,14" coordsize="3928,393" path="m5622,407l9550,407,9550,14,5622,14,56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10;top:5;width:2;height:413" coordorigin="10,5" coordsize="2,413">
              <v:shape style="position:absolute;left:10;top:5;width:2;height:413" coordorigin="10,5" coordsize="0,413" path="m10,5l10,418e" filled="false" stroked="true" strokeweight=".48pt" strokecolor="#000000">
                <v:path arrowok="t"/>
              </v:shape>
            </v:group>
            <v:group style="position:absolute;left:5;top:413;width:5584;height:2" coordorigin="5,413" coordsize="5584,2">
              <v:shape style="position:absolute;left:5;top:413;width:5584;height:2" coordorigin="5,413" coordsize="5584,0" path="m5,413l5588,413e" filled="false" stroked="true" strokeweight=".48pt" strokecolor="#000000">
                <v:path arrowok="t"/>
              </v:shape>
            </v:group>
            <v:group style="position:absolute;left:5593;top:14;width:2;height:404" coordorigin="5593,14" coordsize="2,404">
              <v:shape style="position:absolute;left:5593;top:14;width:2;height:404" coordorigin="5593,14" coordsize="0,404" path="m5593,14l5593,418e" filled="false" stroked="true" strokeweight=".48pt" strokecolor="#000000">
                <v:path arrowok="t"/>
              </v:shape>
            </v:group>
            <v:group style="position:absolute;left:5598;top:413;width:3975;height:2" coordorigin="5598,413" coordsize="3975,2">
              <v:shape style="position:absolute;left:5598;top:413;width:3975;height:2" coordorigin="5598,413" coordsize="3975,0" path="m5598,413l9572,413e" filled="false" stroked="true" strokeweight=".48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8pt" strokecolor="#000000">
                <v:path arrowok="t"/>
              </v:shape>
              <v:shape style="position:absolute;left:26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153" w:right="149"/>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票据保证金押金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16,188,781.96</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16,188,781.96</w:t>
            </w:r>
          </w:p>
        </w:tc>
      </w:tr>
    </w:tbl>
    <w:p>
      <w:pPr>
        <w:pStyle w:val="BodyText"/>
        <w:spacing w:line="240" w:lineRule="auto" w:before="51"/>
        <w:ind w:right="149"/>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42,111,932.48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69,267,765.43</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5,390,239.29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5,246,036.76</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12,739,634.92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11,654,172.24</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1,392,293.49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805,671.86</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1,118,133.43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6,633.43</w:t>
            </w:r>
          </w:p>
        </w:tc>
      </w:tr>
      <w:tr>
        <w:trPr>
          <w:trHeight w:val="714"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-10,722.65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27,449.52</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21,416,199.67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20,275,810.33</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28,641.72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-86,634.34</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-1,619,258.14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-534,529.37</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1,087,736.88</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41,835,184.98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-55,547,714.69</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-66,024,456.53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-15,193,334.24</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-26,657,380.80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-3,457,251.85</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32,808,178.74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32,464,075.08</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163,361,486.25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169,684,685.91</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169,684,685.91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96,278,374.19</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-6,323,199.66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73,406,311.72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64"/>
        <w:gridCol w:w="2536"/>
        <w:gridCol w:w="2657"/>
      </w:tblGrid>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163,361,486.25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169,684,685.91</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553,881.89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428,680.19</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162,807,604.36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137,352,216.44</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36" w:type="dxa"/>
            <w:tcBorders>
              <w:top w:val="single" w:sz="4" w:space="0" w:color="000000"/>
              <w:left w:val="single" w:sz="10" w:space="0" w:color="D3D3D3"/>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31,903,789.28</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163,361,486.25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169,684,685.91</w:t>
            </w:r>
          </w:p>
        </w:tc>
      </w:tr>
    </w:tbl>
    <w:p>
      <w:pPr>
        <w:pStyle w:val="BodyText"/>
        <w:spacing w:line="357" w:lineRule="auto" w:before="51"/>
        <w:ind w:left="153" w:right="3291"/>
        <w:jc w:val="left"/>
      </w:pPr>
      <w:r>
        <w:rPr/>
        <w:t>现金流量表补充资料的说明 注：现金和现金等价物不含母公司或集团内子公司使用受限制的现金和现金等价物</w:t>
      </w:r>
    </w:p>
    <w:p>
      <w:pPr>
        <w:spacing w:line="240" w:lineRule="auto" w:before="2"/>
        <w:rPr>
          <w:rFonts w:ascii="宋体" w:hAnsi="宋体" w:cs="宋体" w:eastAsia="宋体" w:hint="default"/>
          <w:sz w:val="20"/>
          <w:szCs w:val="20"/>
        </w:rPr>
      </w:pPr>
    </w:p>
    <w:p>
      <w:pPr>
        <w:pStyle w:val="Heading3"/>
        <w:spacing w:line="240" w:lineRule="auto"/>
        <w:ind w:right="149"/>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9"/>
        <w:jc w:val="left"/>
      </w:pPr>
      <w:r>
        <w:rPr/>
        <w:t>说明对上年年末余额进行调整的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项目名称及调整金额、由同一控制下企业合并产生的追溯调整等事项</w:t>
      </w:r>
    </w:p>
    <w:p>
      <w:pPr>
        <w:spacing w:line="240" w:lineRule="auto" w:before="0"/>
        <w:rPr>
          <w:rFonts w:ascii="宋体" w:hAnsi="宋体" w:cs="宋体" w:eastAsia="宋体" w:hint="default"/>
          <w:sz w:val="24"/>
          <w:szCs w:val="24"/>
        </w:rPr>
      </w:pPr>
    </w:p>
    <w:p>
      <w:pPr>
        <w:pStyle w:val="Heading2"/>
        <w:spacing w:line="240" w:lineRule="auto"/>
        <w:ind w:right="149"/>
        <w:jc w:val="left"/>
        <w:rPr>
          <w:b w:val="0"/>
          <w:bCs w:val="0"/>
        </w:rPr>
      </w:pPr>
      <w:r>
        <w:rPr/>
        <w:t>八、资产证券化业务的会计处理</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rFonts w:ascii="Times New Roman" w:hAnsi="Times New Roman" w:cs="Times New Roman" w:eastAsia="Times New Roman" w:hint="default"/>
        </w:rPr>
        <w:t>1</w:t>
      </w:r>
      <w:r>
        <w:rPr/>
        <w:t>、说明资产证券化业务的主要交易安排及其会计处理、破产隔离条款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49"/>
        <w:jc w:val="left"/>
        <w:rPr>
          <w:b w:val="0"/>
          <w:bCs w:val="0"/>
        </w:rPr>
      </w:pPr>
      <w:r>
        <w:rPr>
          <w:rFonts w:ascii="Times New Roman" w:hAnsi="Times New Roman" w:cs="Times New Roman" w:eastAsia="Times New Roman" w:hint="default"/>
        </w:rPr>
        <w:t>2</w:t>
      </w:r>
      <w:r>
        <w:rPr/>
        <w:t>、公司不具有控制权但实质上承担其风险的特殊目的主体情况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8"/>
        <w:gridCol w:w="1367"/>
        <w:gridCol w:w="1366"/>
        <w:gridCol w:w="1368"/>
        <w:gridCol w:w="1367"/>
        <w:gridCol w:w="1355"/>
      </w:tblGrid>
      <w:tr>
        <w:trPr>
          <w:trHeight w:val="396"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8"/>
        <w:rPr>
          <w:rFonts w:ascii="宋体" w:hAnsi="宋体" w:cs="宋体" w:eastAsia="宋体" w:hint="default"/>
          <w:sz w:val="18"/>
          <w:szCs w:val="18"/>
        </w:rPr>
      </w:pPr>
    </w:p>
    <w:p>
      <w:pPr>
        <w:pStyle w:val="Heading2"/>
        <w:spacing w:line="240" w:lineRule="auto" w:before="26"/>
        <w:ind w:right="149"/>
        <w:jc w:val="left"/>
        <w:rPr>
          <w:b w:val="0"/>
          <w:bCs w:val="0"/>
        </w:rPr>
      </w:pPr>
      <w:r>
        <w:rPr/>
        <w:t>九、关联方及关联交易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74"/>
        <w:gridCol w:w="870"/>
        <w:gridCol w:w="870"/>
        <w:gridCol w:w="870"/>
        <w:gridCol w:w="870"/>
        <w:gridCol w:w="870"/>
        <w:gridCol w:w="870"/>
        <w:gridCol w:w="870"/>
        <w:gridCol w:w="870"/>
        <w:gridCol w:w="870"/>
        <w:gridCol w:w="860"/>
      </w:tblGrid>
      <w:tr>
        <w:trPr>
          <w:trHeight w:val="357" w:hRule="exact"/>
        </w:trPr>
        <w:tc>
          <w:tcPr>
            <w:tcW w:w="874"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6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5" w:hRule="exact"/>
        </w:trPr>
        <w:tc>
          <w:tcPr>
            <w:tcW w:w="8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40" w:right="71"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39" w:right="68"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本企业的 持股比例</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本企业的 表决权比</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69" w:right="68"/>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356" w:hRule="exact"/>
        </w:trPr>
        <w:tc>
          <w:tcPr>
            <w:tcW w:w="874"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60" w:type="dxa"/>
            <w:tcBorders>
              <w:top w:val="nil" w:sz="6" w:space="0" w:color="auto"/>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74"/>
        <w:gridCol w:w="870"/>
        <w:gridCol w:w="870"/>
        <w:gridCol w:w="870"/>
        <w:gridCol w:w="870"/>
        <w:gridCol w:w="870"/>
        <w:gridCol w:w="870"/>
        <w:gridCol w:w="870"/>
        <w:gridCol w:w="870"/>
        <w:gridCol w:w="870"/>
        <w:gridCol w:w="860"/>
      </w:tblGrid>
      <w:tr>
        <w:trPr>
          <w:trHeight w:val="714"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7"/>
                <w:sz w:val="18"/>
                <w:szCs w:val="18"/>
              </w:rPr>
              <w:t>曾胜强、许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忠桂</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实际控制 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42.12%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42.12%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曾胜强、许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忠桂</w:t>
            </w:r>
          </w:p>
        </w:tc>
        <w:tc>
          <w:tcPr>
            <w:tcW w:w="8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49"/>
        <w:jc w:val="left"/>
      </w:pPr>
      <w:r>
        <w:rPr/>
        <w:t>本企业的母公司情况的说明</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深圳市证通 金信科技有 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电子产品研 发、生产、 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75253457-4</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深圳市证通 佳明光电有 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电子产品研 发、生产、 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55212602-3</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深圳市证通 数码科技有 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电子产品研 发、维护保 养、销售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73625066-x</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深圳市证通 普润电子有 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电子产品研 发、生产、 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75254312-0</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4"/>
        <w:gridCol w:w="955"/>
        <w:gridCol w:w="958"/>
        <w:gridCol w:w="955"/>
        <w:gridCol w:w="958"/>
        <w:gridCol w:w="959"/>
        <w:gridCol w:w="959"/>
        <w:gridCol w:w="956"/>
        <w:gridCol w:w="958"/>
        <w:gridCol w:w="959"/>
      </w:tblGrid>
      <w:tr>
        <w:trPr>
          <w:trHeight w:val="357" w:hRule="exact"/>
        </w:trPr>
        <w:tc>
          <w:tcPr>
            <w:tcW w:w="954" w:type="dxa"/>
            <w:tcBorders>
              <w:top w:val="single" w:sz="4" w:space="0" w:color="000000"/>
              <w:left w:val="single" w:sz="4" w:space="0" w:color="000000"/>
              <w:bottom w:val="nil" w:sz="6" w:space="0" w:color="auto"/>
              <w:right w:val="single" w:sz="4" w:space="0" w:color="000000"/>
            </w:tcBorders>
            <w:shd w:val="clear" w:color="auto" w:fill="D3D3D3"/>
          </w:tcPr>
          <w:p>
            <w:pPr/>
          </w:p>
        </w:tc>
        <w:tc>
          <w:tcPr>
            <w:tcW w:w="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c>
          <w:tcPr>
            <w:tcW w:w="95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本企业在被</w:t>
            </w: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33" w:hRule="exact"/>
        </w:trPr>
        <w:tc>
          <w:tcPr>
            <w:tcW w:w="9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201" w:right="110"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82" w:right="110"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158" w:right="23"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12" w:right="23" w:hanging="90"/>
              <w:jc w:val="left"/>
              <w:rPr>
                <w:rFonts w:ascii="宋体" w:hAnsi="宋体" w:cs="宋体" w:eastAsia="宋体" w:hint="default"/>
                <w:sz w:val="18"/>
                <w:szCs w:val="18"/>
              </w:rPr>
            </w:pPr>
            <w:r>
              <w:rPr>
                <w:rFonts w:ascii="宋体" w:hAnsi="宋体" w:cs="宋体" w:eastAsia="宋体" w:hint="default"/>
                <w:sz w:val="18"/>
                <w:szCs w:val="18"/>
              </w:rPr>
              <w:t>投资单位表 决权比例</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347" w:hRule="exact"/>
        </w:trPr>
        <w:tc>
          <w:tcPr>
            <w:tcW w:w="954" w:type="dxa"/>
            <w:tcBorders>
              <w:top w:val="nil" w:sz="6" w:space="0" w:color="auto"/>
              <w:left w:val="single" w:sz="4" w:space="0" w:color="000000"/>
              <w:bottom w:val="single" w:sz="4" w:space="0" w:color="000000"/>
              <w:right w:val="single" w:sz="4" w:space="0" w:color="000000"/>
            </w:tcBorders>
            <w:shd w:val="clear" w:color="auto" w:fill="D3D3D3"/>
          </w:tcPr>
          <w:p>
            <w:pPr/>
          </w:p>
        </w:tc>
        <w:tc>
          <w:tcPr>
            <w:tcW w:w="955" w:type="dxa"/>
            <w:tcBorders>
              <w:top w:val="nil" w:sz="6" w:space="0" w:color="auto"/>
              <w:left w:val="single" w:sz="4" w:space="0" w:color="000000"/>
              <w:bottom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5" w:type="dxa"/>
            <w:tcBorders>
              <w:top w:val="nil" w:sz="6" w:space="0" w:color="auto"/>
              <w:left w:val="single" w:sz="4" w:space="0" w:color="000000"/>
              <w:bottom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c>
          <w:tcPr>
            <w:tcW w:w="95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4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8" w:hRule="exact"/>
        </w:trPr>
        <w:tc>
          <w:tcPr>
            <w:tcW w:w="9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深圳市兵</w:t>
            </w: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港科技有</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电子行业</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1000000</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15%</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15%</w:t>
            </w:r>
          </w:p>
        </w:tc>
        <w:tc>
          <w:tcPr>
            <w:tcW w:w="958"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78924437-8</w:t>
            </w:r>
          </w:p>
        </w:tc>
      </w:tr>
      <w:tr>
        <w:trPr>
          <w:trHeight w:val="353" w:hRule="exact"/>
        </w:trPr>
        <w:tc>
          <w:tcPr>
            <w:tcW w:w="9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深圳市通</w:t>
            </w: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9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9"/>
              <w:jc w:val="left"/>
              <w:rPr>
                <w:rFonts w:ascii="宋体" w:hAnsi="宋体" w:cs="宋体" w:eastAsia="宋体" w:hint="default"/>
                <w:sz w:val="18"/>
                <w:szCs w:val="18"/>
              </w:rPr>
            </w:pPr>
            <w:r>
              <w:rPr>
                <w:rFonts w:ascii="宋体" w:hAnsi="宋体" w:cs="宋体" w:eastAsia="宋体" w:hint="default"/>
                <w:sz w:val="18"/>
                <w:szCs w:val="18"/>
              </w:rPr>
              <w:t>新源物业 管理有限</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29.41%</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29.41%</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55715812-0</w:t>
            </w:r>
          </w:p>
        </w:tc>
      </w:tr>
      <w:tr>
        <w:trPr>
          <w:trHeight w:val="357" w:hRule="exact"/>
        </w:trPr>
        <w:tc>
          <w:tcPr>
            <w:tcW w:w="9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49"/>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7"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以上股东、副总经理</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林楚彬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董事、副总、董秘</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段永宽</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曾石泉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刘小清</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周青伟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郭友文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程燕娟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张伟松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黎晓池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原财务总监</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李国政</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方进</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深圳市凯立德科技有限公司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原独立董事蔡友良为该公司控股股东</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192455594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深圳市凯立德软件技术有限公司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深圳市凯立德科技有限公司全资子公司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791716178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深圳市依格欣计算机技术有限公司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原独立董事蔡友良为该公司控股股东</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279536864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深圳市依格欣塑胶有限公司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该公司大股东为原独立董事蔡友良弟弟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685371161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深圳威迈斯电源有限公司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该公司控股股东为原独立董事蔡友良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775566106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平安银行股份有限公司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公司董事为该行独立董事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192185379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中科恒源科技股份有限公司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宋体" w:hAnsi="宋体" w:cs="宋体" w:eastAsia="宋体" w:hint="default"/>
                <w:sz w:val="18"/>
                <w:szCs w:val="18"/>
              </w:rPr>
              <w:t>股份</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中科恒源（益阳）新能源科技有限公司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中科恒源科技股份有限公司子公司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78804063-X</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怀化中科恒源能源科技有限公司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中科恒源科技股份有限公司子公司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67800505-9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云南中科恒源新能源科技有限公司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中科恒源科技股份有限公司子公司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56624558-4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内蒙古中科恒源能源科技有限公司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中科恒源科技股份有限公司子公司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67065896-0</w:t>
            </w:r>
          </w:p>
        </w:tc>
      </w:tr>
    </w:tbl>
    <w:p>
      <w:pPr>
        <w:pStyle w:val="BodyText"/>
        <w:spacing w:line="240" w:lineRule="auto" w:before="51"/>
        <w:ind w:right="149"/>
        <w:jc w:val="left"/>
      </w:pPr>
      <w:r>
        <w:rPr/>
        <w:t>本企业的其他关联方情况的说明</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44"/>
        <w:ind w:left="0" w:right="158"/>
        <w:jc w:val="right"/>
      </w:pPr>
      <w:r>
        <w:rPr/>
        <w:pict>
          <v:shape style="position:absolute;margin-left:56.459999pt;margin-top:-52.147961pt;width:479.1pt;height:179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1594"/>
                    <w:gridCol w:w="798"/>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深圳市凯立德软件 技术有限公司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5"/>
                            <w:sz w:val="18"/>
                            <w:szCs w:val="18"/>
                          </w:rPr>
                          <w:t>市场定价，董事会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决议</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深圳市依格欣计算 机技术有限公司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5"/>
                            <w:sz w:val="18"/>
                            <w:szCs w:val="18"/>
                          </w:rPr>
                          <w:t>市场定价，董事会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决议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1" w:right="0"/>
                          <w:jc w:val="left"/>
                          <w:rPr>
                            <w:rFonts w:ascii="Times New Roman" w:hAnsi="Times New Roman" w:cs="Times New Roman" w:eastAsia="Times New Roman" w:hint="default"/>
                            <w:sz w:val="18"/>
                            <w:szCs w:val="18"/>
                          </w:rPr>
                        </w:pPr>
                        <w:r>
                          <w:rPr>
                            <w:rFonts w:ascii="Times New Roman"/>
                            <w:sz w:val="18"/>
                          </w:rPr>
                          <w:t>1,115,547.01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130,498.97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深圳市依格欣塑胶 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5"/>
                            <w:sz w:val="18"/>
                            <w:szCs w:val="18"/>
                          </w:rPr>
                          <w:t>市场定价，董事会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决议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4,097,425.61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5,462,441.50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52.57%</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right="149"/>
        <w:jc w:val="left"/>
      </w:pPr>
      <w:r>
        <w:rPr/>
        <w:t>出售商品、提供劳务情况表</w:t>
      </w:r>
    </w:p>
    <w:p>
      <w:pPr>
        <w:pStyle w:val="BodyText"/>
        <w:spacing w:line="240" w:lineRule="auto" w:before="117"/>
        <w:ind w:left="0" w:right="149"/>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58"/>
        <w:jc w:val="right"/>
      </w:pPr>
      <w:r>
        <w:rPr/>
        <w:pict>
          <v:shape style="position:absolute;margin-left:56.459999pt;margin-top:-52.207981pt;width:479.1pt;height:250.4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1594"/>
                    <w:gridCol w:w="798"/>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平安银行股份有限 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525,522.01</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435,235.04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中科恒源科技股份 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25,781,133.50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73,582,126.27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10.87%</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9"/>
                            <w:sz w:val="18"/>
                            <w:szCs w:val="18"/>
                          </w:rPr>
                          <w:t>中科恒源（益阳）新</w:t>
                        </w:r>
                        <w:r>
                          <w:rPr>
                            <w:rFonts w:ascii="宋体" w:hAnsi="宋体" w:cs="宋体" w:eastAsia="宋体" w:hint="default"/>
                            <w:sz w:val="18"/>
                            <w:szCs w:val="18"/>
                          </w:rPr>
                          <w:t> 能源科技有限公司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1,978,215.18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22,197,245.34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怀化中科恒源能源 科技有限公司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280,654.20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2,798,849.11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0.41%</w:t>
                        </w:r>
                      </w:p>
                    </w:tc>
                  </w:tr>
                  <w:tr>
                    <w:trPr>
                      <w:trHeight w:val="715"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云南中科恒源新能 源科技有限公司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6,230.00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713,855.00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0.11%</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9"/>
        <w:jc w:val="left"/>
      </w:pPr>
      <w:r>
        <w:rPr/>
        <w:t>公司受托管理</w:t>
      </w:r>
      <w:r>
        <w:rPr>
          <w:rFonts w:ascii="Times New Roman" w:hAnsi="Times New Roman" w:cs="Times New Roman" w:eastAsia="Times New Roman" w:hint="default"/>
        </w:rPr>
        <w:t>/</w:t>
      </w:r>
      <w:r>
        <w:rPr/>
        <w:t>承包情况表</w:t>
      </w:r>
    </w:p>
    <w:p>
      <w:pPr>
        <w:pStyle w:val="BodyText"/>
        <w:spacing w:line="240" w:lineRule="auto" w:before="102"/>
        <w:ind w:left="0" w:right="14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3"/>
        <w:gridCol w:w="1367"/>
        <w:gridCol w:w="1372"/>
        <w:gridCol w:w="1369"/>
        <w:gridCol w:w="1370"/>
        <w:gridCol w:w="1370"/>
        <w:gridCol w:w="1357"/>
      </w:tblGrid>
      <w:tr>
        <w:trPr>
          <w:trHeight w:val="1027"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495" w:right="110"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590" w:right="24"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9" w:right="24"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43" w:right="42"/>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bl>
    <w:p>
      <w:pPr>
        <w:pStyle w:val="BodyText"/>
        <w:spacing w:line="240" w:lineRule="auto" w:before="52"/>
        <w:ind w:right="149"/>
        <w:jc w:val="left"/>
      </w:pPr>
      <w:r>
        <w:rPr/>
        <w:t>公司委托管理</w:t>
      </w:r>
      <w:r>
        <w:rPr>
          <w:rFonts w:ascii="Times New Roman" w:hAnsi="Times New Roman" w:cs="Times New Roman" w:eastAsia="Times New Roman" w:hint="default"/>
        </w:rPr>
        <w:t>/</w:t>
      </w:r>
      <w:r>
        <w:rPr/>
        <w:t>出包情况表</w:t>
      </w:r>
    </w:p>
    <w:p>
      <w:pPr>
        <w:pStyle w:val="BodyText"/>
        <w:spacing w:line="240" w:lineRule="auto" w:before="102"/>
        <w:ind w:left="0" w:right="149"/>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1"/>
        <w:gridCol w:w="1367"/>
        <w:gridCol w:w="1372"/>
        <w:gridCol w:w="1369"/>
        <w:gridCol w:w="1370"/>
        <w:gridCol w:w="1370"/>
        <w:gridCol w:w="1357"/>
      </w:tblGrid>
      <w:tr>
        <w:trPr>
          <w:trHeight w:val="710" w:hRule="exact"/>
        </w:trPr>
        <w:tc>
          <w:tcPr>
            <w:tcW w:w="13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84" w:right="110"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90" w:right="24"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09" w:right="24"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7" w:right="42"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5"/>
        <w:ind w:right="149"/>
        <w:jc w:val="left"/>
      </w:pPr>
      <w:r>
        <w:rPr/>
        <w:t>关联托管</w:t>
      </w:r>
      <w:r>
        <w:rPr>
          <w:rFonts w:ascii="Times New Roman" w:hAnsi="Times New Roman" w:cs="Times New Roman" w:eastAsia="Times New Roman" w:hint="default"/>
        </w:rPr>
        <w:t>/</w:t>
      </w:r>
      <w:r>
        <w:rPr/>
        <w:t>承包情况说明</w:t>
      </w:r>
    </w:p>
    <w:p>
      <w:pPr>
        <w:spacing w:after="0" w:line="240"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240" w:lineRule="auto" w:before="44"/>
        <w:ind w:left="153" w:right="149"/>
        <w:jc w:val="left"/>
      </w:pPr>
      <w:r>
        <w:rPr/>
        <w:t>无</w:t>
      </w:r>
    </w:p>
    <w:p>
      <w:pPr>
        <w:spacing w:line="240" w:lineRule="auto" w:before="12"/>
        <w:rPr>
          <w:rFonts w:ascii="宋体" w:hAnsi="宋体" w:cs="宋体" w:eastAsia="宋体" w:hint="default"/>
          <w:sz w:val="26"/>
          <w:szCs w:val="26"/>
        </w:rPr>
      </w:pPr>
    </w:p>
    <w:p>
      <w:pPr>
        <w:pStyle w:val="Heading3"/>
        <w:spacing w:line="240" w:lineRule="auto"/>
        <w:ind w:right="149"/>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9"/>
        <w:jc w:val="left"/>
      </w:pPr>
      <w:r>
        <w:rPr/>
        <w:t>公司出租情况表</w:t>
      </w:r>
    </w:p>
    <w:p>
      <w:pPr>
        <w:pStyle w:val="BodyText"/>
        <w:spacing w:line="240" w:lineRule="auto" w:before="116"/>
        <w:ind w:left="0" w:right="149"/>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3"/>
        <w:gridCol w:w="1364"/>
        <w:gridCol w:w="1370"/>
        <w:gridCol w:w="1370"/>
        <w:gridCol w:w="1369"/>
        <w:gridCol w:w="1370"/>
        <w:gridCol w:w="1360"/>
      </w:tblGrid>
      <w:tr>
        <w:trPr>
          <w:trHeight w:val="714"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0" w:right="48"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4" w:right="43" w:hanging="270"/>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r>
        <w:trPr>
          <w:trHeight w:val="1026"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8"/>
              <w:jc w:val="left"/>
              <w:rPr>
                <w:rFonts w:ascii="宋体" w:hAnsi="宋体" w:cs="宋体" w:eastAsia="宋体" w:hint="default"/>
                <w:sz w:val="18"/>
                <w:szCs w:val="18"/>
              </w:rPr>
            </w:pPr>
            <w:r>
              <w:rPr>
                <w:rFonts w:ascii="宋体" w:hAnsi="宋体" w:cs="宋体" w:eastAsia="宋体" w:hint="default"/>
                <w:sz w:val="18"/>
                <w:szCs w:val="18"/>
              </w:rPr>
              <w:t>深圳市证通电子 股份有限公司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深圳威迈斯电源 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光明新区公司产 业园六楼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r>
              <w:rPr>
                <w:rFonts w:ascii="宋体" w:hAnsi="宋体" w:cs="宋体" w:eastAsia="宋体" w:hint="default"/>
                <w:sz w:val="18"/>
                <w:szCs w:val="18"/>
              </w:rPr>
              <w:t>、</w:t>
            </w:r>
            <w:r>
              <w:rPr>
                <w:rFonts w:ascii="Times New Roman" w:hAnsi="Times New Roman" w:cs="Times New Roman" w:eastAsia="Times New Roman" w:hint="default"/>
                <w:sz w:val="18"/>
                <w:szCs w:val="18"/>
              </w:rPr>
              <w:t>B </w:t>
            </w:r>
            <w:r>
              <w:rPr>
                <w:rFonts w:ascii="宋体" w:hAnsi="宋体" w:cs="宋体" w:eastAsia="宋体" w:hint="default"/>
                <w:sz w:val="18"/>
                <w:szCs w:val="18"/>
              </w:rPr>
              <w:t>区部分</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参照同类交易价 格协商确定</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t>804,357.45</w:t>
            </w:r>
          </w:p>
        </w:tc>
      </w:tr>
    </w:tbl>
    <w:p>
      <w:pPr>
        <w:pStyle w:val="BodyText"/>
        <w:spacing w:line="240" w:lineRule="auto" w:before="51"/>
        <w:ind w:right="149"/>
        <w:jc w:val="left"/>
      </w:pPr>
      <w:r>
        <w:rPr/>
        <w:t>公司承租情况表</w:t>
      </w:r>
    </w:p>
    <w:p>
      <w:pPr>
        <w:pStyle w:val="BodyText"/>
        <w:spacing w:line="240" w:lineRule="auto" w:before="117"/>
        <w:ind w:left="0" w:right="14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2"/>
        <w:gridCol w:w="1372"/>
        <w:gridCol w:w="1374"/>
        <w:gridCol w:w="1368"/>
        <w:gridCol w:w="1368"/>
        <w:gridCol w:w="1368"/>
        <w:gridCol w:w="1349"/>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98" w:right="38"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bl>
    <w:p>
      <w:pPr>
        <w:pStyle w:val="BodyText"/>
        <w:spacing w:line="240" w:lineRule="auto" w:before="51"/>
        <w:ind w:right="149"/>
        <w:jc w:val="left"/>
      </w:pPr>
      <w:r>
        <w:rPr/>
        <w:t>关联租赁情况说明</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3"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曾胜强、许忠桂、曾</w:t>
            </w:r>
            <w:r>
              <w:rPr>
                <w:rFonts w:ascii="宋体" w:hAnsi="宋体" w:cs="宋体" w:eastAsia="宋体" w:hint="default"/>
                <w:sz w:val="18"/>
                <w:szCs w:val="18"/>
              </w:rPr>
              <w:t> 胜辉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曾胜强、许忠桂、曾</w:t>
            </w:r>
            <w:r>
              <w:rPr>
                <w:rFonts w:ascii="宋体" w:hAnsi="宋体" w:cs="宋体" w:eastAsia="宋体" w:hint="default"/>
                <w:sz w:val="18"/>
                <w:szCs w:val="18"/>
              </w:rPr>
              <w:t> 胜辉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曾胜强、许忠桂、曾</w:t>
            </w:r>
            <w:r>
              <w:rPr>
                <w:rFonts w:ascii="宋体" w:hAnsi="宋体" w:cs="宋体" w:eastAsia="宋体" w:hint="default"/>
                <w:sz w:val="18"/>
                <w:szCs w:val="18"/>
              </w:rPr>
              <w:t> 胜辉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曾胜强、许忠桂、曾</w:t>
            </w:r>
            <w:r>
              <w:rPr>
                <w:rFonts w:ascii="宋体" w:hAnsi="宋体" w:cs="宋体" w:eastAsia="宋体" w:hint="default"/>
                <w:sz w:val="18"/>
                <w:szCs w:val="18"/>
              </w:rPr>
              <w:t> 胜辉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曾胜强、许忠桂、曾</w:t>
            </w:r>
            <w:r>
              <w:rPr>
                <w:rFonts w:ascii="宋体" w:hAnsi="宋体" w:cs="宋体" w:eastAsia="宋体" w:hint="default"/>
                <w:sz w:val="18"/>
                <w:szCs w:val="18"/>
              </w:rPr>
              <w:t> 胜辉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曾胜强、许忠桂、曾</w:t>
            </w:r>
            <w:r>
              <w:rPr>
                <w:rFonts w:ascii="宋体" w:hAnsi="宋体" w:cs="宋体" w:eastAsia="宋体" w:hint="default"/>
                <w:sz w:val="18"/>
                <w:szCs w:val="18"/>
              </w:rPr>
              <w:t> 胜辉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曾胜强、许忠桂、曾</w:t>
            </w:r>
            <w:r>
              <w:rPr>
                <w:rFonts w:ascii="宋体" w:hAnsi="宋体" w:cs="宋体" w:eastAsia="宋体" w:hint="default"/>
                <w:sz w:val="18"/>
                <w:szCs w:val="18"/>
              </w:rPr>
              <w:t> 胜辉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曾胜强、许忠桂、曾</w:t>
            </w:r>
            <w:r>
              <w:rPr>
                <w:rFonts w:ascii="宋体" w:hAnsi="宋体" w:cs="宋体" w:eastAsia="宋体" w:hint="default"/>
                <w:sz w:val="18"/>
                <w:szCs w:val="18"/>
              </w:rPr>
              <w:t> 胜辉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曾胜强、许忠桂、曾</w:t>
            </w:r>
            <w:r>
              <w:rPr>
                <w:rFonts w:ascii="宋体" w:hAnsi="宋体" w:cs="宋体" w:eastAsia="宋体" w:hint="default"/>
                <w:sz w:val="18"/>
                <w:szCs w:val="18"/>
              </w:rPr>
              <w:t> 胜辉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曾胜强、许忠桂、曾</w:t>
            </w:r>
            <w:r>
              <w:rPr>
                <w:rFonts w:ascii="宋体" w:hAnsi="宋体" w:cs="宋体" w:eastAsia="宋体" w:hint="default"/>
                <w:sz w:val="18"/>
                <w:szCs w:val="18"/>
              </w:rPr>
              <w:t> 胜辉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曾胜强、许忠桂、曾</w:t>
            </w:r>
            <w:r>
              <w:rPr>
                <w:rFonts w:ascii="宋体" w:hAnsi="宋体" w:cs="宋体" w:eastAsia="宋体" w:hint="default"/>
                <w:sz w:val="18"/>
                <w:szCs w:val="18"/>
              </w:rPr>
              <w:t> 胜辉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曾胜强、许忠桂、曾</w:t>
            </w:r>
            <w:r>
              <w:rPr>
                <w:rFonts w:ascii="宋体" w:hAnsi="宋体" w:cs="宋体" w:eastAsia="宋体" w:hint="default"/>
                <w:sz w:val="18"/>
                <w:szCs w:val="18"/>
              </w:rPr>
              <w:t> 胜辉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曾胜强、许忠桂、曾</w:t>
            </w:r>
            <w:r>
              <w:rPr>
                <w:rFonts w:ascii="宋体" w:hAnsi="宋体" w:cs="宋体" w:eastAsia="宋体" w:hint="default"/>
                <w:sz w:val="18"/>
                <w:szCs w:val="18"/>
              </w:rPr>
              <w:t> 胜辉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本公司子公司证通 佳明光电</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曾胜强、许忠桂、曾</w:t>
            </w:r>
            <w:r>
              <w:rPr>
                <w:rFonts w:ascii="宋体" w:hAnsi="宋体" w:cs="宋体" w:eastAsia="宋体" w:hint="default"/>
                <w:sz w:val="18"/>
                <w:szCs w:val="18"/>
              </w:rPr>
              <w:t> 胜辉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本公司子公司证通 佳明光电</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曾胜强、许忠桂、曾</w:t>
            </w:r>
            <w:r>
              <w:rPr>
                <w:rFonts w:ascii="宋体" w:hAnsi="宋体" w:cs="宋体" w:eastAsia="宋体" w:hint="default"/>
                <w:sz w:val="18"/>
                <w:szCs w:val="18"/>
              </w:rPr>
              <w:t> 胜辉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本公司子公司证通 金信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曾胜强、许忠桂、曾</w:t>
            </w:r>
            <w:r>
              <w:rPr>
                <w:rFonts w:ascii="宋体" w:hAnsi="宋体" w:cs="宋体" w:eastAsia="宋体" w:hint="default"/>
                <w:sz w:val="18"/>
                <w:szCs w:val="18"/>
              </w:rPr>
              <w:t> 胜辉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本公司子公司证通 金信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57" w:lineRule="auto" w:before="51"/>
        <w:ind w:left="153" w:right="2691"/>
        <w:jc w:val="left"/>
      </w:pPr>
      <w:r>
        <w:rPr/>
        <w:t>关联担保情况说明 本公司实际控制人曾胜强、许忠桂及</w:t>
      </w:r>
      <w:r>
        <w:rPr>
          <w:rFonts w:ascii="Times New Roman" w:hAnsi="Times New Roman" w:cs="Times New Roman" w:eastAsia="Times New Roman" w:hint="default"/>
        </w:rPr>
        <w:t>5%</w:t>
      </w:r>
      <w:r>
        <w:rPr/>
        <w:t>以上股东曾胜辉为本公司融资借款提供个人担保。</w:t>
      </w:r>
    </w:p>
    <w:p>
      <w:pPr>
        <w:spacing w:line="240" w:lineRule="auto" w:before="5"/>
        <w:rPr>
          <w:rFonts w:ascii="宋体" w:hAnsi="宋体" w:cs="宋体" w:eastAsia="宋体" w:hint="default"/>
          <w:sz w:val="18"/>
          <w:szCs w:val="18"/>
        </w:rPr>
      </w:pPr>
    </w:p>
    <w:p>
      <w:pPr>
        <w:pStyle w:val="Heading3"/>
        <w:spacing w:line="240" w:lineRule="auto"/>
        <w:ind w:right="149"/>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before="44"/>
        <w:ind w:left="0" w:right="157"/>
        <w:jc w:val="right"/>
      </w:pPr>
      <w:r>
        <w:rPr/>
        <w:pict>
          <v:shape style="position:absolute;margin-left:56.459999pt;margin-top:-52.14798pt;width:479.1pt;height:92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3"/>
                    <w:gridCol w:w="929"/>
                    <w:gridCol w:w="1462"/>
                    <w:gridCol w:w="1328"/>
                    <w:gridCol w:w="1462"/>
                    <w:gridCol w:w="797"/>
                    <w:gridCol w:w="1460"/>
                    <w:gridCol w:w="797"/>
                  </w:tblGrid>
                  <w:tr>
                    <w:trPr>
                      <w:trHeight w:val="402" w:hRule="exact"/>
                    </w:trPr>
                    <w:tc>
                      <w:tcPr>
                        <w:tcW w:w="13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78" w:right="98"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333" w:type="dxa"/>
                        <w:vMerge/>
                        <w:tcBorders>
                          <w:left w:val="single" w:sz="4" w:space="0" w:color="000000"/>
                          <w:bottom w:val="single" w:sz="4" w:space="0" w:color="000000"/>
                          <w:right w:val="single" w:sz="4" w:space="0" w:color="000000"/>
                        </w:tcBorders>
                        <w:shd w:val="clear" w:color="auto" w:fill="D3D3D3"/>
                      </w:tcPr>
                      <w:p>
                        <w:pPr/>
                      </w:p>
                    </w:tc>
                    <w:tc>
                      <w:tcPr>
                        <w:tcW w:w="929"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30"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402" w:hRule="exact"/>
                    </w:trPr>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397" w:right="149"/>
        <w:jc w:val="left"/>
      </w:pPr>
      <w:r>
        <w:rPr/>
        <w:t>关键管理人员薪酬</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828"/>
        <w:gridCol w:w="2836"/>
        <w:gridCol w:w="2693"/>
      </w:tblGrid>
      <w:tr>
        <w:trPr>
          <w:trHeight w:val="347" w:hRule="exact"/>
        </w:trPr>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88"/>
              <w:jc w:val="righ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7" w:hRule="exact"/>
        </w:trPr>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214.59</w:t>
            </w:r>
            <w:r>
              <w:rPr>
                <w:rFonts w:ascii="宋体" w:hAnsi="宋体" w:cs="宋体" w:eastAsia="宋体" w:hint="default"/>
                <w:sz w:val="18"/>
                <w:szCs w:val="18"/>
              </w:rPr>
              <w:t>万元</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11"/>
              <w:jc w:val="right"/>
              <w:rPr>
                <w:rFonts w:ascii="宋体" w:hAnsi="宋体" w:cs="宋体" w:eastAsia="宋体" w:hint="default"/>
                <w:sz w:val="18"/>
                <w:szCs w:val="18"/>
              </w:rPr>
            </w:pPr>
            <w:r>
              <w:rPr>
                <w:rFonts w:ascii="Times New Roman" w:hAnsi="Times New Roman" w:cs="Times New Roman" w:eastAsia="Times New Roman" w:hint="default"/>
                <w:sz w:val="18"/>
                <w:szCs w:val="18"/>
              </w:rPr>
              <w:t>281.42</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9"/>
        <w:jc w:val="left"/>
      </w:pPr>
      <w:r>
        <w:rPr/>
        <w:t>上市公司应收关联方款项</w:t>
      </w:r>
    </w:p>
    <w:p>
      <w:pPr>
        <w:pStyle w:val="BodyText"/>
        <w:spacing w:line="240" w:lineRule="auto" w:before="117"/>
        <w:ind w:left="0" w:right="14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58"/>
        <w:gridCol w:w="1667"/>
        <w:gridCol w:w="1462"/>
        <w:gridCol w:w="1462"/>
        <w:gridCol w:w="1459"/>
        <w:gridCol w:w="1460"/>
      </w:tblGrid>
      <w:tr>
        <w:trPr>
          <w:trHeight w:val="402" w:hRule="exact"/>
        </w:trPr>
        <w:tc>
          <w:tcPr>
            <w:tcW w:w="20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6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2058" w:type="dxa"/>
            <w:vMerge/>
            <w:tcBorders>
              <w:left w:val="single" w:sz="4" w:space="0" w:color="000000"/>
              <w:bottom w:val="single" w:sz="4" w:space="0" w:color="000000"/>
              <w:right w:val="single" w:sz="4" w:space="0" w:color="000000"/>
            </w:tcBorders>
            <w:shd w:val="clear" w:color="auto" w:fill="D3D3D3"/>
          </w:tcPr>
          <w:p>
            <w:pPr/>
          </w:p>
        </w:tc>
        <w:tc>
          <w:tcPr>
            <w:tcW w:w="166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pStyle w:val="BodyText"/>
        <w:spacing w:line="240" w:lineRule="auto" w:before="51"/>
        <w:ind w:right="149"/>
        <w:jc w:val="left"/>
      </w:pPr>
      <w:r>
        <w:rPr/>
        <w:t>上市公司应付关联方款项</w:t>
      </w:r>
    </w:p>
    <w:p>
      <w:pPr>
        <w:pStyle w:val="BodyText"/>
        <w:spacing w:line="240" w:lineRule="auto" w:before="117"/>
        <w:ind w:left="0" w:right="14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94"/>
        <w:gridCol w:w="2258"/>
        <w:gridCol w:w="2258"/>
        <w:gridCol w:w="2257"/>
      </w:tblGrid>
      <w:tr>
        <w:trPr>
          <w:trHeight w:val="403"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794"/>
        <w:gridCol w:w="2258"/>
        <w:gridCol w:w="2258"/>
        <w:gridCol w:w="2257"/>
      </w:tblGrid>
      <w:tr>
        <w:trPr>
          <w:trHeight w:val="71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2"/>
              <w:jc w:val="left"/>
              <w:rPr>
                <w:rFonts w:ascii="宋体" w:hAnsi="宋体" w:cs="宋体" w:eastAsia="宋体" w:hint="default"/>
                <w:sz w:val="18"/>
                <w:szCs w:val="18"/>
              </w:rPr>
            </w:pPr>
            <w:r>
              <w:rPr>
                <w:rFonts w:ascii="宋体" w:hAnsi="宋体" w:cs="宋体" w:eastAsia="宋体" w:hint="default"/>
                <w:sz w:val="18"/>
                <w:szCs w:val="18"/>
              </w:rPr>
              <w:t>深圳市依格欣计算机技术有 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0" w:right="0"/>
              <w:jc w:val="left"/>
              <w:rPr>
                <w:rFonts w:ascii="Times New Roman" w:hAnsi="Times New Roman" w:cs="Times New Roman" w:eastAsia="Times New Roman" w:hint="default"/>
                <w:sz w:val="18"/>
                <w:szCs w:val="18"/>
              </w:rPr>
            </w:pPr>
            <w:r>
              <w:rPr>
                <w:rFonts w:ascii="Times New Roman"/>
                <w:sz w:val="18"/>
              </w:rPr>
              <w:t>260,711.62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3" w:right="0"/>
              <w:jc w:val="left"/>
              <w:rPr>
                <w:rFonts w:ascii="Times New Roman" w:hAnsi="Times New Roman" w:cs="Times New Roman" w:eastAsia="Times New Roman" w:hint="default"/>
                <w:sz w:val="18"/>
                <w:szCs w:val="18"/>
              </w:rPr>
            </w:pPr>
            <w:r>
              <w:rPr>
                <w:rFonts w:ascii="Times New Roman"/>
                <w:sz w:val="18"/>
              </w:rPr>
              <w:t>136,838.12</w:t>
            </w:r>
          </w:p>
        </w:tc>
      </w:tr>
    </w:tbl>
    <w:p>
      <w:pPr>
        <w:spacing w:line="240" w:lineRule="auto" w:before="2"/>
        <w:rPr>
          <w:rFonts w:ascii="宋体" w:hAnsi="宋体" w:cs="宋体" w:eastAsia="宋体" w:hint="default"/>
          <w:sz w:val="18"/>
          <w:szCs w:val="18"/>
        </w:rPr>
      </w:pPr>
    </w:p>
    <w:p>
      <w:pPr>
        <w:pStyle w:val="Heading2"/>
        <w:spacing w:line="468" w:lineRule="auto" w:before="26"/>
        <w:ind w:left="153" w:right="8084"/>
        <w:jc w:val="left"/>
        <w:rPr>
          <w:b w:val="0"/>
          <w:bCs w:val="0"/>
        </w:rPr>
      </w:pPr>
      <w:r>
        <w:rPr/>
        <w:t>十、股份支付</w:t>
      </w:r>
      <w:r>
        <w:rPr>
          <w:w w:val="99"/>
        </w:rPr>
        <w:t> </w:t>
      </w:r>
      <w:r>
        <w:rPr/>
        <w:t>十一、或有事项</w:t>
      </w:r>
      <w:r>
        <w:rPr>
          <w:b w:val="0"/>
          <w:bCs w:val="0"/>
        </w:rPr>
      </w:r>
    </w:p>
    <w:p>
      <w:pPr>
        <w:pStyle w:val="Heading3"/>
        <w:spacing w:line="240" w:lineRule="auto" w:before="94"/>
        <w:ind w:right="149"/>
        <w:jc w:val="left"/>
        <w:rPr>
          <w:b w:val="0"/>
          <w:bCs w:val="0"/>
        </w:rPr>
      </w:pPr>
      <w:r>
        <w:rPr>
          <w:rFonts w:ascii="Times New Roman" w:hAnsi="Times New Roman" w:cs="Times New Roman" w:eastAsia="Times New Roman" w:hint="default"/>
        </w:rPr>
        <w:t>1</w:t>
      </w:r>
      <w:r>
        <w:rPr/>
        <w:t>、未决诉讼或仲裁形成的或有负债及其财务影响</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9"/>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9"/>
        <w:jc w:val="left"/>
      </w:pPr>
      <w:r>
        <w:rPr/>
        <w:t>其他或有负债及其财务影响</w:t>
      </w:r>
    </w:p>
    <w:p>
      <w:pPr>
        <w:pStyle w:val="Heading4"/>
        <w:spacing w:line="256" w:lineRule="auto" w:before="89"/>
        <w:ind w:left="153" w:right="0"/>
        <w:jc w:val="left"/>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日本公司招投标出具投标及履约保函，投标及履约保函金额为</w:t>
      </w:r>
      <w:r>
        <w:rPr>
          <w:rFonts w:ascii="Times New Roman" w:hAnsi="Times New Roman" w:cs="Times New Roman" w:eastAsia="Times New Roman" w:hint="default"/>
        </w:rPr>
        <w:t>1,123,631.1</w:t>
      </w:r>
      <w:r>
        <w:rPr/>
        <w:t>元，存入保证</w:t>
      </w:r>
      <w:r>
        <w:rPr>
          <w:spacing w:val="-99"/>
        </w:rPr>
        <w:t> </w:t>
      </w:r>
      <w:r>
        <w:rPr>
          <w:spacing w:val="-99"/>
        </w:rPr>
      </w:r>
      <w:r>
        <w:rPr/>
        <w:t>金金额</w:t>
      </w:r>
      <w:r>
        <w:rPr>
          <w:rFonts w:ascii="Times New Roman" w:hAnsi="Times New Roman" w:cs="Times New Roman" w:eastAsia="Times New Roman" w:hint="default"/>
        </w:rPr>
        <w:t>1,160,000.00</w:t>
      </w:r>
      <w:r>
        <w:rPr/>
        <w:t>元，列示如下：</w:t>
      </w:r>
    </w:p>
    <w:p>
      <w:pPr>
        <w:pStyle w:val="BodyText"/>
        <w:spacing w:line="240" w:lineRule="auto" w:before="30"/>
        <w:ind w:left="0" w:right="465"/>
        <w:jc w:val="right"/>
      </w:pPr>
      <w:r>
        <w:rPr/>
        <w:t>单位：元</w:t>
      </w:r>
      <w:r>
        <w:rPr>
          <w:spacing w:val="53"/>
        </w:rPr>
        <w:t> </w:t>
      </w:r>
      <w:r>
        <w:rPr/>
        <w:t>币种：人民币</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2785"/>
        <w:gridCol w:w="1456"/>
        <w:gridCol w:w="1312"/>
        <w:gridCol w:w="1283"/>
        <w:gridCol w:w="2822"/>
      </w:tblGrid>
      <w:tr>
        <w:trPr>
          <w:trHeight w:val="347" w:hRule="exact"/>
        </w:trPr>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33"/>
              <w:jc w:val="right"/>
              <w:rPr>
                <w:rFonts w:ascii="宋体" w:hAnsi="宋体" w:cs="宋体" w:eastAsia="宋体" w:hint="default"/>
                <w:sz w:val="18"/>
                <w:szCs w:val="18"/>
              </w:rPr>
            </w:pPr>
            <w:r>
              <w:rPr>
                <w:rFonts w:ascii="宋体" w:hAnsi="宋体" w:cs="宋体" w:eastAsia="宋体" w:hint="default"/>
                <w:sz w:val="18"/>
                <w:szCs w:val="18"/>
              </w:rPr>
              <w:t>保函受益人</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78"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2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开出银行</w:t>
            </w:r>
          </w:p>
        </w:tc>
      </w:tr>
      <w:tr>
        <w:trPr>
          <w:trHeight w:val="347" w:hRule="exact"/>
        </w:trPr>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66"/>
              <w:jc w:val="righ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673,631.10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710,000.00</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3" w:right="0"/>
              <w:jc w:val="left"/>
              <w:rPr>
                <w:rFonts w:ascii="Times New Roman" w:hAnsi="Times New Roman" w:cs="Times New Roman" w:eastAsia="Times New Roman" w:hint="default"/>
                <w:sz w:val="18"/>
                <w:szCs w:val="18"/>
              </w:rPr>
            </w:pPr>
            <w:r>
              <w:rPr>
                <w:rFonts w:ascii="Times New Roman"/>
                <w:sz w:val="18"/>
              </w:rPr>
              <w:t>2015.6.15</w:t>
            </w:r>
          </w:p>
        </w:tc>
        <w:tc>
          <w:tcPr>
            <w:tcW w:w="2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上海浦东发展银行深圳分行</w:t>
            </w:r>
          </w:p>
        </w:tc>
      </w:tr>
      <w:tr>
        <w:trPr>
          <w:trHeight w:val="347" w:hRule="exact"/>
        </w:trPr>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66"/>
              <w:jc w:val="right"/>
              <w:rPr>
                <w:rFonts w:ascii="宋体" w:hAnsi="宋体" w:cs="宋体" w:eastAsia="宋体" w:hint="default"/>
                <w:sz w:val="18"/>
                <w:szCs w:val="18"/>
              </w:rPr>
            </w:pPr>
            <w:r>
              <w:rPr>
                <w:rFonts w:ascii="宋体" w:hAnsi="宋体" w:cs="宋体" w:eastAsia="宋体" w:hint="default"/>
                <w:sz w:val="18"/>
                <w:szCs w:val="18"/>
              </w:rPr>
              <w:t>中国移动通信有限公司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100,000.00</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3" w:right="0"/>
              <w:jc w:val="left"/>
              <w:rPr>
                <w:rFonts w:ascii="Times New Roman" w:hAnsi="Times New Roman" w:cs="Times New Roman" w:eastAsia="Times New Roman" w:hint="default"/>
                <w:sz w:val="18"/>
                <w:szCs w:val="18"/>
              </w:rPr>
            </w:pPr>
            <w:r>
              <w:rPr>
                <w:rFonts w:ascii="Times New Roman"/>
                <w:sz w:val="18"/>
              </w:rPr>
              <w:t>2014.3.31</w:t>
            </w:r>
          </w:p>
        </w:tc>
        <w:tc>
          <w:tcPr>
            <w:tcW w:w="2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上海浦东发展银行深圳分行</w:t>
            </w:r>
          </w:p>
        </w:tc>
      </w:tr>
      <w:tr>
        <w:trPr>
          <w:trHeight w:val="348" w:hRule="exact"/>
        </w:trPr>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66"/>
              <w:jc w:val="right"/>
              <w:rPr>
                <w:rFonts w:ascii="宋体" w:hAnsi="宋体" w:cs="宋体" w:eastAsia="宋体" w:hint="default"/>
                <w:sz w:val="18"/>
                <w:szCs w:val="18"/>
              </w:rPr>
            </w:pPr>
            <w:r>
              <w:rPr>
                <w:rFonts w:ascii="宋体" w:hAnsi="宋体" w:cs="宋体" w:eastAsia="宋体" w:hint="default"/>
                <w:sz w:val="18"/>
                <w:szCs w:val="18"/>
              </w:rPr>
              <w:t>中国移动通信有限公司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100,000.00</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3" w:right="0"/>
              <w:jc w:val="left"/>
              <w:rPr>
                <w:rFonts w:ascii="Times New Roman" w:hAnsi="Times New Roman" w:cs="Times New Roman" w:eastAsia="Times New Roman" w:hint="default"/>
                <w:sz w:val="18"/>
                <w:szCs w:val="18"/>
              </w:rPr>
            </w:pPr>
            <w:r>
              <w:rPr>
                <w:rFonts w:ascii="Times New Roman"/>
                <w:sz w:val="18"/>
              </w:rPr>
              <w:t>2013.1.16</w:t>
            </w:r>
          </w:p>
        </w:tc>
        <w:tc>
          <w:tcPr>
            <w:tcW w:w="2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上海浦东发展银行深圳分行</w:t>
            </w:r>
          </w:p>
        </w:tc>
      </w:tr>
      <w:tr>
        <w:trPr>
          <w:trHeight w:val="347" w:hRule="exact"/>
        </w:trPr>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66"/>
              <w:jc w:val="right"/>
              <w:rPr>
                <w:rFonts w:ascii="宋体" w:hAnsi="宋体" w:cs="宋体" w:eastAsia="宋体" w:hint="default"/>
                <w:sz w:val="18"/>
                <w:szCs w:val="18"/>
              </w:rPr>
            </w:pPr>
            <w:r>
              <w:rPr>
                <w:rFonts w:ascii="宋体" w:hAnsi="宋体" w:cs="宋体" w:eastAsia="宋体" w:hint="default"/>
                <w:sz w:val="18"/>
                <w:szCs w:val="18"/>
              </w:rPr>
              <w:t>中国移动通信有限公司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100,000.00</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28" w:right="0"/>
              <w:jc w:val="left"/>
              <w:rPr>
                <w:rFonts w:ascii="Times New Roman" w:hAnsi="Times New Roman" w:cs="Times New Roman" w:eastAsia="Times New Roman" w:hint="default"/>
                <w:sz w:val="18"/>
                <w:szCs w:val="18"/>
              </w:rPr>
            </w:pPr>
            <w:r>
              <w:rPr>
                <w:rFonts w:ascii="Times New Roman"/>
                <w:sz w:val="18"/>
              </w:rPr>
              <w:t>2012.11.23</w:t>
            </w:r>
          </w:p>
        </w:tc>
        <w:tc>
          <w:tcPr>
            <w:tcW w:w="2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上海浦东发展银行深圳分行</w:t>
            </w:r>
          </w:p>
        </w:tc>
      </w:tr>
      <w:tr>
        <w:trPr>
          <w:trHeight w:val="347" w:hRule="exact"/>
        </w:trPr>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66"/>
              <w:jc w:val="right"/>
              <w:rPr>
                <w:rFonts w:ascii="宋体" w:hAnsi="宋体" w:cs="宋体" w:eastAsia="宋体" w:hint="default"/>
                <w:sz w:val="18"/>
                <w:szCs w:val="18"/>
              </w:rPr>
            </w:pPr>
            <w:r>
              <w:rPr>
                <w:rFonts w:ascii="宋体" w:hAnsi="宋体" w:cs="宋体" w:eastAsia="宋体" w:hint="default"/>
                <w:sz w:val="18"/>
                <w:szCs w:val="18"/>
              </w:rPr>
              <w:t>中国移动通信有限公司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100,000.00</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28" w:right="0"/>
              <w:jc w:val="left"/>
              <w:rPr>
                <w:rFonts w:ascii="Times New Roman" w:hAnsi="Times New Roman" w:cs="Times New Roman" w:eastAsia="Times New Roman" w:hint="default"/>
                <w:sz w:val="18"/>
                <w:szCs w:val="18"/>
              </w:rPr>
            </w:pPr>
            <w:r>
              <w:rPr>
                <w:rFonts w:ascii="Times New Roman"/>
                <w:sz w:val="18"/>
              </w:rPr>
              <w:t>2012.11.23</w:t>
            </w:r>
          </w:p>
        </w:tc>
        <w:tc>
          <w:tcPr>
            <w:tcW w:w="2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上海浦东发展银行深圳分行</w:t>
            </w:r>
          </w:p>
        </w:tc>
      </w:tr>
      <w:tr>
        <w:trPr>
          <w:trHeight w:val="347" w:hRule="exact"/>
        </w:trPr>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66"/>
              <w:jc w:val="right"/>
              <w:rPr>
                <w:rFonts w:ascii="宋体" w:hAnsi="宋体" w:cs="宋体" w:eastAsia="宋体" w:hint="default"/>
                <w:sz w:val="18"/>
                <w:szCs w:val="18"/>
              </w:rPr>
            </w:pPr>
            <w:r>
              <w:rPr>
                <w:rFonts w:ascii="宋体" w:hAnsi="宋体" w:cs="宋体" w:eastAsia="宋体" w:hint="default"/>
                <w:sz w:val="18"/>
                <w:szCs w:val="18"/>
              </w:rPr>
              <w:t>华夏银行股份有限公司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50,000.00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50,000.00</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3" w:right="0"/>
              <w:jc w:val="left"/>
              <w:rPr>
                <w:rFonts w:ascii="Times New Roman" w:hAnsi="Times New Roman" w:cs="Times New Roman" w:eastAsia="Times New Roman" w:hint="default"/>
                <w:sz w:val="18"/>
                <w:szCs w:val="18"/>
              </w:rPr>
            </w:pPr>
            <w:r>
              <w:rPr>
                <w:rFonts w:ascii="Times New Roman"/>
                <w:sz w:val="18"/>
              </w:rPr>
              <w:t>2013.1.23</w:t>
            </w:r>
          </w:p>
        </w:tc>
        <w:tc>
          <w:tcPr>
            <w:tcW w:w="2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平安银行深圳分行</w:t>
            </w:r>
          </w:p>
        </w:tc>
      </w:tr>
      <w:tr>
        <w:trPr>
          <w:trHeight w:val="348" w:hRule="exact"/>
        </w:trPr>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1,123,631.10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1,160,000.00</w:t>
            </w:r>
          </w:p>
        </w:tc>
        <w:tc>
          <w:tcPr>
            <w:tcW w:w="1283" w:type="dxa"/>
            <w:tcBorders>
              <w:top w:val="single" w:sz="6" w:space="0" w:color="000000"/>
              <w:left w:val="single" w:sz="6" w:space="0" w:color="000000"/>
              <w:bottom w:val="single" w:sz="6" w:space="0" w:color="000000"/>
              <w:right w:val="single" w:sz="6" w:space="0" w:color="000000"/>
            </w:tcBorders>
          </w:tcPr>
          <w:p>
            <w:pPr/>
          </w:p>
        </w:tc>
        <w:tc>
          <w:tcPr>
            <w:tcW w:w="282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line="506" w:lineRule="auto" w:before="26"/>
        <w:ind w:left="154" w:right="8083" w:firstLine="0"/>
        <w:jc w:val="left"/>
        <w:rPr>
          <w:rFonts w:ascii="宋体" w:hAnsi="宋体" w:cs="宋体" w:eastAsia="宋体" w:hint="default"/>
          <w:sz w:val="18"/>
          <w:szCs w:val="18"/>
        </w:rPr>
      </w:pPr>
      <w:r>
        <w:rPr>
          <w:rFonts w:ascii="宋体" w:hAnsi="宋体" w:cs="宋体" w:eastAsia="宋体" w:hint="default"/>
          <w:b/>
          <w:bCs/>
          <w:sz w:val="24"/>
          <w:szCs w:val="24"/>
        </w:rPr>
        <w:t>十二、承诺事项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、重大承诺事项</w:t>
      </w:r>
      <w:r>
        <w:rPr>
          <w:rFonts w:ascii="宋体" w:hAnsi="宋体" w:cs="宋体" w:eastAsia="宋体" w:hint="default"/>
          <w:b/>
          <w:bCs/>
          <w:spacing w:val="1"/>
          <w:w w:val="99"/>
          <w:sz w:val="21"/>
          <w:szCs w:val="21"/>
        </w:rPr>
        <w:t> </w:t>
      </w:r>
      <w:r>
        <w:rPr>
          <w:rFonts w:ascii="宋体" w:hAnsi="宋体" w:cs="宋体" w:eastAsia="宋体" w:hint="default"/>
          <w:sz w:val="18"/>
          <w:szCs w:val="18"/>
        </w:rPr>
        <w:t>无</w:t>
      </w:r>
    </w:p>
    <w:p>
      <w:pPr>
        <w:pStyle w:val="Heading3"/>
        <w:spacing w:line="240" w:lineRule="auto" w:before="152"/>
        <w:ind w:right="149"/>
        <w:jc w:val="left"/>
        <w:rPr>
          <w:b w:val="0"/>
          <w:bCs w:val="0"/>
        </w:rPr>
      </w:pPr>
      <w:r>
        <w:rPr>
          <w:rFonts w:ascii="Times New Roman" w:hAnsi="Times New Roman" w:cs="Times New Roman" w:eastAsia="Times New Roman" w:hint="default"/>
        </w:rPr>
        <w:t>2</w:t>
      </w:r>
      <w:r>
        <w:rPr/>
        <w:t>、前期承诺履行情况</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149"/>
        <w:jc w:val="left"/>
        <w:rPr>
          <w:b w:val="0"/>
          <w:bCs w:val="0"/>
        </w:rPr>
      </w:pPr>
      <w:r>
        <w:rPr/>
        <w:t>十三、资产负债表日后事项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rFonts w:ascii="Times New Roman" w:hAnsi="Times New Roman" w:cs="Times New Roman" w:eastAsia="Times New Roman" w:hint="default"/>
        </w:rPr>
        <w:t>1</w:t>
      </w:r>
      <w:r>
        <w:rPr/>
        <w:t>、</w:t>
      </w:r>
      <w:r>
        <w:rPr>
          <w:spacing w:val="-69"/>
        </w:rPr>
        <w:t> </w:t>
      </w:r>
      <w:r>
        <w:rPr/>
        <w:t>重要的资产负债表日后事项说明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9"/>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2" coordorigin="26,14" coordsize="2,392">
              <v:shape style="position:absolute;left:26;top:14;width:2;height:392" coordorigin="26,14" coordsize="0,392" path="m26,14l26,406e" filled="false" stroked="true" strokeweight="1.140pt" strokecolor="#d3d3d3">
                <v:path arrowok="t"/>
              </v:shape>
            </v:group>
            <v:group style="position:absolute;left:4777;top:14;width:2;height:392" coordorigin="4777,14" coordsize="2,392">
              <v:shape style="position:absolute;left:4777;top:14;width:2;height:392" coordorigin="4777,14" coordsize="0,392" path="m4777,14l4777,406e" filled="false" stroked="true" strokeweight="1.2pt" strokecolor="#d3d3d3">
                <v:path arrowok="t"/>
              </v:shape>
            </v:group>
            <v:group style="position:absolute;left:37;top:14;width:4728;height:392" coordorigin="37,14" coordsize="4728,392">
              <v:shape style="position:absolute;left:37;top:14;width:4728;height:392" coordorigin="37,14" coordsize="4728,392" path="m37,406l4765,406,4765,14,37,14,37,406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10;top:5;width:2;height:412" coordorigin="10,5" coordsize="2,412">
              <v:shape style="position:absolute;left:10;top:5;width:2;height:412" coordorigin="10,5" coordsize="0,412" path="m10,5l10,416e" filled="false" stroked="true" strokeweight=".48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8pt" strokecolor="#000000">
                <v:path arrowok="t"/>
              </v:shape>
              <v:shape style="position:absolute;left:21;top:10;width:4773;height:402" type="#_x0000_t202" filled="false" stroked="false">
                <v:textbox inset="0,0,0,0">
                  <w:txbxContent>
                    <w:p>
                      <w:pPr>
                        <w:spacing w:before="56"/>
                        <w:ind w:left="16" w:right="0" w:firstLine="0"/>
                        <w:jc w:val="left"/>
                        <w:rPr>
                          <w:rFonts w:ascii="宋体" w:hAnsi="宋体" w:cs="宋体" w:eastAsia="宋体" w:hint="default"/>
                          <w:sz w:val="18"/>
                          <w:szCs w:val="18"/>
                        </w:rPr>
                      </w:pPr>
                      <w:r>
                        <w:rPr>
                          <w:rFonts w:ascii="宋体" w:hAnsi="宋体" w:cs="宋体" w:eastAsia="宋体" w:hint="default"/>
                          <w:sz w:val="18"/>
                          <w:szCs w:val="18"/>
                        </w:rPr>
                        <w:t>拟分配的利润或股利</w:t>
                      </w:r>
                    </w:p>
                  </w:txbxContent>
                </v:textbox>
                <w10:wrap type="none"/>
              </v:shape>
              <v:shape style="position:absolute;left:4794;top:10;width:4784;height:402" type="#_x0000_t202" filled="false" stroked="false">
                <v:textbox inset="0,0,0,0">
                  <w:txbxContent>
                    <w:p>
                      <w:pPr>
                        <w:spacing w:before="96"/>
                        <w:ind w:left="0" w:right="25" w:firstLine="0"/>
                        <w:jc w:val="right"/>
                        <w:rPr>
                          <w:rFonts w:ascii="Times New Roman" w:hAnsi="Times New Roman" w:cs="Times New Roman" w:eastAsia="Times New Roman" w:hint="default"/>
                          <w:sz w:val="18"/>
                          <w:szCs w:val="18"/>
                        </w:rPr>
                      </w:pPr>
                      <w:r>
                        <w:rPr>
                          <w:rFonts w:ascii="Times New Roman"/>
                          <w:spacing w:val="-1"/>
                          <w:sz w:val="18"/>
                        </w:rPr>
                        <w:t>10,491,600.00</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877" w:footer="982" w:top="1100" w:bottom="1180" w:left="980" w:right="980"/>
        </w:sectPr>
      </w:pPr>
    </w:p>
    <w:p>
      <w:pPr>
        <w:spacing w:line="240" w:lineRule="auto" w:before="2"/>
        <w:rPr>
          <w:rFonts w:ascii="宋体" w:hAnsi="宋体" w:cs="宋体" w:eastAsia="宋体" w:hint="default"/>
          <w:sz w:val="24"/>
          <w:szCs w:val="24"/>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4777;top:14;width:2;height:393" coordorigin="4777,14" coordsize="2,393">
              <v:shape style="position:absolute;left:4777;top:14;width:2;height:393" coordorigin="4777,14" coordsize="0,393" path="m4777,14l4777,407e" filled="false" stroked="true" strokeweight="1.2pt" strokecolor="#d3d3d3">
                <v:path arrowok="t"/>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10;top:5;width:2;height:412" coordorigin="10,5" coordsize="2,412">
              <v:shape style="position:absolute;left:10;top:5;width:2;height:412" coordorigin="10,5" coordsize="0,412" path="m10,5l10,416e" filled="false" stroked="true" strokeweight=".48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8pt" strokecolor="#000000">
                <v:path arrowok="t"/>
              </v:shape>
              <v:shape style="position:absolute;left:10;top:10;width:4785;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xbxContent>
                </v:textbox>
                <w10:wrap type="none"/>
              </v:shape>
              <v:shape style="position:absolute;left:4794;top:10;width:4784;height:402" type="#_x0000_t202" filled="false" stroked="false">
                <v:textbox inset="0,0,0,0">
                  <w:txbxContent>
                    <w:p>
                      <w:pPr>
                        <w:spacing w:before="96"/>
                        <w:ind w:left="0" w:right="25" w:firstLine="0"/>
                        <w:jc w:val="right"/>
                        <w:rPr>
                          <w:rFonts w:ascii="Times New Roman" w:hAnsi="Times New Roman" w:cs="Times New Roman" w:eastAsia="Times New Roman" w:hint="default"/>
                          <w:sz w:val="18"/>
                          <w:szCs w:val="18"/>
                        </w:rPr>
                      </w:pPr>
                      <w:r>
                        <w:rPr>
                          <w:rFonts w:ascii="Times New Roman"/>
                          <w:spacing w:val="-1"/>
                          <w:sz w:val="18"/>
                        </w:rPr>
                        <w:t>10,491,600.00</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90"/>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left="153" w:right="90" w:firstLine="360"/>
        <w:jc w:val="left"/>
      </w:pPr>
      <w:r>
        <w:rPr>
          <w:spacing w:val="-1"/>
        </w:rPr>
        <w:t>公司于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27</w:t>
      </w:r>
      <w:r>
        <w:rPr>
          <w:spacing w:val="-1"/>
        </w:rPr>
        <w:t>日召开的</w:t>
      </w:r>
      <w:r>
        <w:rPr>
          <w:rFonts w:ascii="Times New Roman" w:hAnsi="Times New Roman" w:cs="Times New Roman" w:eastAsia="Times New Roman" w:hint="default"/>
          <w:spacing w:val="-1"/>
        </w:rPr>
        <w:t>2012</w:t>
      </w:r>
      <w:r>
        <w:rPr>
          <w:spacing w:val="-1"/>
        </w:rPr>
        <w:t>年第二次临时股东大会分别审议通过了《关于</w:t>
      </w:r>
      <w:r>
        <w:rPr>
          <w:rFonts w:ascii="Times New Roman" w:hAnsi="Times New Roman" w:cs="Times New Roman" w:eastAsia="Times New Roman" w:hint="default"/>
          <w:spacing w:val="-1"/>
        </w:rPr>
        <w:t>&lt;</w:t>
      </w:r>
      <w:r>
        <w:rPr>
          <w:spacing w:val="-1"/>
        </w:rPr>
        <w:t>公司向特定对象非公开发行股票方案</w:t>
      </w:r>
      <w:r>
        <w:rPr>
          <w:rFonts w:ascii="Times New Roman" w:hAnsi="Times New Roman" w:cs="Times New Roman" w:eastAsia="Times New Roman" w:hint="default"/>
          <w:spacing w:val="-1"/>
        </w:rPr>
        <w:t>&gt;</w:t>
      </w:r>
      <w:r>
        <w:rPr>
          <w:rFonts w:ascii="Times New Roman" w:hAnsi="Times New Roman" w:cs="Times New Roman" w:eastAsia="Times New Roman" w:hint="default"/>
        </w:rPr>
        <w:t> </w:t>
      </w:r>
      <w:r>
        <w:rPr/>
        <w:t>的议案》、《关于</w:t>
      </w:r>
      <w:r>
        <w:rPr>
          <w:rFonts w:ascii="Times New Roman" w:hAnsi="Times New Roman" w:cs="Times New Roman" w:eastAsia="Times New Roman" w:hint="default"/>
        </w:rPr>
        <w:t>&lt;</w:t>
      </w:r>
      <w:r>
        <w:rPr/>
        <w:t>公司向特定对象非公开发行股票方案</w:t>
      </w:r>
      <w:r>
        <w:rPr>
          <w:rFonts w:ascii="Times New Roman" w:hAnsi="Times New Roman" w:cs="Times New Roman" w:eastAsia="Times New Roman" w:hint="default"/>
        </w:rPr>
        <w:t>&gt;</w:t>
      </w:r>
      <w:r>
        <w:rPr/>
        <w:t>（修订稿）的议案》、《关于授权董事会全权办理本次非公开发 </w:t>
      </w:r>
      <w:r>
        <w:rPr>
          <w:spacing w:val="-2"/>
        </w:rPr>
        <w:t>行股票相关事宜的议案》等一系列与非公开发行股票相关的议案，同意公司向不超过十名的符合中国证监会规定的特定投资</w:t>
      </w:r>
      <w:r>
        <w:rPr>
          <w:spacing w:val="-64"/>
        </w:rPr>
        <w:t> </w:t>
      </w:r>
      <w:r>
        <w:rPr>
          <w:spacing w:val="-64"/>
        </w:rPr>
      </w:r>
      <w:r>
        <w:rPr/>
        <w:t>者发行数量不超过</w:t>
      </w:r>
      <w:r>
        <w:rPr>
          <w:rFonts w:ascii="Times New Roman" w:hAnsi="Times New Roman" w:cs="Times New Roman" w:eastAsia="Times New Roman" w:hint="default"/>
        </w:rPr>
        <w:t>6,500</w:t>
      </w:r>
      <w:r>
        <w:rPr/>
        <w:t>万股（含</w:t>
      </w:r>
      <w:r>
        <w:rPr>
          <w:rFonts w:ascii="Times New Roman" w:hAnsi="Times New Roman" w:cs="Times New Roman" w:eastAsia="Times New Roman" w:hint="default"/>
        </w:rPr>
        <w:t>6,500</w:t>
      </w:r>
      <w:r>
        <w:rPr/>
        <w:t>万股）境内上市人民币普通股（</w:t>
      </w:r>
      <w:r>
        <w:rPr>
          <w:rFonts w:ascii="Times New Roman" w:hAnsi="Times New Roman" w:cs="Times New Roman" w:eastAsia="Times New Roman" w:hint="default"/>
        </w:rPr>
        <w:t>A</w:t>
      </w:r>
      <w:r>
        <w:rPr/>
        <w:t>股），拟募集资金不超过</w:t>
      </w:r>
      <w:r>
        <w:rPr>
          <w:rFonts w:ascii="Times New Roman" w:hAnsi="Times New Roman" w:cs="Times New Roman" w:eastAsia="Times New Roman" w:hint="default"/>
        </w:rPr>
        <w:t>55,500.00</w:t>
      </w:r>
      <w:r>
        <w:rPr/>
        <w:t>万元。</w:t>
      </w:r>
    </w:p>
    <w:p>
      <w:pPr>
        <w:pStyle w:val="BodyText"/>
        <w:spacing w:line="309" w:lineRule="auto" w:before="7"/>
        <w:ind w:left="153" w:right="86" w:firstLine="360"/>
        <w:jc w:val="left"/>
      </w:pPr>
      <w:r>
        <w:rPr/>
        <w:t>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日召开第二届董事会第二十六次会议、</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日召开的</w:t>
      </w:r>
      <w:r>
        <w:rPr>
          <w:rFonts w:ascii="Times New Roman" w:hAnsi="Times New Roman" w:cs="Times New Roman" w:eastAsia="Times New Roman" w:hint="default"/>
        </w:rPr>
        <w:t>2013</w:t>
      </w:r>
      <w:r>
        <w:rPr/>
        <w:t>年第一次临时股东大会分别审议通 </w:t>
      </w:r>
      <w:r>
        <w:rPr>
          <w:spacing w:val="-2"/>
        </w:rPr>
        <w:t>过了《关于修订非公开发行股票预案的议案》、《关于提请股东大会延长董事会全权办理本次非公开发行股票相关事宜的授</w:t>
      </w:r>
      <w:r>
        <w:rPr>
          <w:spacing w:val="-65"/>
        </w:rPr>
        <w:t> </w:t>
      </w:r>
      <w:r>
        <w:rPr>
          <w:spacing w:val="-65"/>
        </w:rPr>
      </w:r>
      <w:r>
        <w:rPr>
          <w:spacing w:val="-2"/>
        </w:rPr>
        <w:t>权期限的议案》，对公司本次非公开发行的定价基准日和定价原则、发行股票的决议有效期进行了调整，调整后本次非公开</w:t>
      </w:r>
      <w:r>
        <w:rPr>
          <w:spacing w:val="-66"/>
        </w:rPr>
        <w:t> </w:t>
      </w:r>
      <w:r>
        <w:rPr>
          <w:spacing w:val="-66"/>
        </w:rPr>
      </w:r>
      <w:r>
        <w:rPr/>
        <w:t>发行股票的定价基准日为公司第二届董事会第二十六次会议决议公告日（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日），发行价格仍为不低于</w:t>
      </w:r>
      <w:r>
        <w:rPr>
          <w:rFonts w:ascii="Times New Roman" w:hAnsi="Times New Roman" w:cs="Times New Roman" w:eastAsia="Times New Roman" w:hint="default"/>
        </w:rPr>
        <w:t>8.97</w:t>
      </w:r>
      <w:r>
        <w:rPr/>
        <w:t>元</w:t>
      </w:r>
      <w:r>
        <w:rPr>
          <w:rFonts w:ascii="Times New Roman" w:hAnsi="Times New Roman" w:cs="Times New Roman" w:eastAsia="Times New Roman" w:hint="default"/>
        </w:rPr>
        <w:t>/</w:t>
      </w:r>
      <w:r>
        <w:rPr/>
        <w:t>股， 不低于定价基准日前二十个交易日公司股票交易均价（</w:t>
      </w:r>
      <w:r>
        <w:rPr>
          <w:rFonts w:ascii="Times New Roman" w:hAnsi="Times New Roman" w:cs="Times New Roman" w:eastAsia="Times New Roman" w:hint="default"/>
        </w:rPr>
        <w:t>9.30</w:t>
      </w:r>
      <w:r>
        <w:rPr/>
        <w:t>元</w:t>
      </w:r>
      <w:r>
        <w:rPr>
          <w:rFonts w:ascii="Times New Roman" w:hAnsi="Times New Roman" w:cs="Times New Roman" w:eastAsia="Times New Roman" w:hint="default"/>
        </w:rPr>
        <w:t>/</w:t>
      </w:r>
      <w:r>
        <w:rPr/>
        <w:t>股）的</w:t>
      </w:r>
      <w:r>
        <w:rPr>
          <w:rFonts w:ascii="Times New Roman" w:hAnsi="Times New Roman" w:cs="Times New Roman" w:eastAsia="Times New Roman" w:hint="default"/>
        </w:rPr>
        <w:t>90%</w:t>
      </w:r>
      <w:r>
        <w:rPr/>
        <w:t>；本次非公开发行股票决议的有效期为本议案自股 </w:t>
      </w:r>
      <w:r>
        <w:rPr>
          <w:spacing w:val="-2"/>
        </w:rPr>
        <w:t>东大会审议通过之日起十二个月；同时股东大会在授权事项不变的前提下延长董事会办理本次非公开发行股票工作相关事宜</w:t>
      </w:r>
      <w:r>
        <w:rPr>
          <w:spacing w:val="-64"/>
        </w:rPr>
        <w:t> </w:t>
      </w:r>
      <w:r>
        <w:rPr>
          <w:spacing w:val="-64"/>
        </w:rPr>
      </w:r>
      <w:r>
        <w:rPr/>
        <w:t>的授权期限，授权的有效期为自本议案经股东大会审议通过之日起十二个月。</w:t>
      </w:r>
    </w:p>
    <w:p>
      <w:pPr>
        <w:spacing w:line="240" w:lineRule="auto" w:before="3"/>
        <w:rPr>
          <w:rFonts w:ascii="宋体" w:hAnsi="宋体" w:cs="宋体" w:eastAsia="宋体" w:hint="default"/>
          <w:sz w:val="21"/>
          <w:szCs w:val="21"/>
        </w:rPr>
      </w:pPr>
    </w:p>
    <w:p>
      <w:pPr>
        <w:pStyle w:val="Heading2"/>
        <w:spacing w:line="240" w:lineRule="auto"/>
        <w:ind w:right="90"/>
        <w:jc w:val="left"/>
        <w:rPr>
          <w:b w:val="0"/>
          <w:bCs w:val="0"/>
        </w:rPr>
      </w:pPr>
      <w:r>
        <w:rPr/>
        <w:t>十四、其他重要事项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55"/>
        <w:gridCol w:w="1532"/>
        <w:gridCol w:w="1516"/>
        <w:gridCol w:w="1517"/>
        <w:gridCol w:w="1527"/>
        <w:gridCol w:w="1522"/>
      </w:tblGrid>
      <w:tr>
        <w:trPr>
          <w:trHeight w:val="161" w:hRule="exact"/>
        </w:trPr>
        <w:tc>
          <w:tcPr>
            <w:tcW w:w="1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32"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570" w:right="34"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06" w:right="28"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6" w:type="dxa"/>
            <w:vMerge/>
            <w:tcBorders>
              <w:left w:val="single" w:sz="4" w:space="0" w:color="000000"/>
              <w:right w:val="single" w:sz="4" w:space="0" w:color="000000"/>
            </w:tcBorders>
            <w:shd w:val="clear" w:color="auto" w:fill="D3D3D3"/>
          </w:tcPr>
          <w:p>
            <w:pPr/>
          </w:p>
        </w:tc>
        <w:tc>
          <w:tcPr>
            <w:tcW w:w="1517" w:type="dxa"/>
            <w:vMerge/>
            <w:tcBorders>
              <w:left w:val="single" w:sz="4" w:space="0" w:color="000000"/>
              <w:right w:val="single" w:sz="4" w:space="0" w:color="000000"/>
            </w:tcBorders>
            <w:shd w:val="clear" w:color="auto" w:fill="D3D3D3"/>
          </w:tcPr>
          <w:p>
            <w:pPr/>
          </w:p>
        </w:tc>
        <w:tc>
          <w:tcPr>
            <w:tcW w:w="15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1" w:hRule="exact"/>
        </w:trPr>
        <w:tc>
          <w:tcPr>
            <w:tcW w:w="195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3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6" w:type="dxa"/>
            <w:vMerge/>
            <w:tcBorders>
              <w:left w:val="single" w:sz="4" w:space="0" w:color="000000"/>
              <w:bottom w:val="single" w:sz="4" w:space="0" w:color="000000"/>
              <w:right w:val="single" w:sz="4" w:space="0" w:color="000000"/>
            </w:tcBorders>
            <w:shd w:val="clear" w:color="auto" w:fill="D3D3D3"/>
          </w:tcPr>
          <w:p>
            <w:pPr/>
          </w:p>
        </w:tc>
        <w:tc>
          <w:tcPr>
            <w:tcW w:w="1517" w:type="dxa"/>
            <w:vMerge/>
            <w:tcBorders>
              <w:left w:val="single" w:sz="4" w:space="0" w:color="000000"/>
              <w:bottom w:val="single" w:sz="4" w:space="0" w:color="000000"/>
              <w:right w:val="single" w:sz="4" w:space="0" w:color="000000"/>
            </w:tcBorders>
            <w:shd w:val="clear" w:color="auto" w:fill="D3D3D3"/>
          </w:tcPr>
          <w:p>
            <w:pPr/>
          </w:p>
        </w:tc>
        <w:tc>
          <w:tcPr>
            <w:tcW w:w="1527"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2" w:hRule="exact"/>
        </w:trPr>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90"/>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1"/>
        <w:gridCol w:w="1517"/>
        <w:gridCol w:w="1517"/>
        <w:gridCol w:w="1517"/>
        <w:gridCol w:w="1518"/>
        <w:gridCol w:w="1517"/>
      </w:tblGrid>
      <w:tr>
        <w:trPr>
          <w:trHeight w:val="714"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73"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04" w:right="30"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958"/>
        <w:gridCol w:w="1529"/>
        <w:gridCol w:w="1517"/>
        <w:gridCol w:w="1517"/>
        <w:gridCol w:w="1518"/>
        <w:gridCol w:w="1517"/>
      </w:tblGrid>
      <w:tr>
        <w:trPr>
          <w:trHeight w:val="402" w:hRule="exact"/>
        </w:trPr>
        <w:tc>
          <w:tcPr>
            <w:tcW w:w="955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2" w:hRule="exact"/>
        </w:trPr>
        <w:tc>
          <w:tcPr>
            <w:tcW w:w="1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59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十五、母公司财务报表主要项目注释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right="149"/>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93"/>
        <w:gridCol w:w="1194"/>
        <w:gridCol w:w="525"/>
        <w:gridCol w:w="1334"/>
        <w:gridCol w:w="659"/>
        <w:gridCol w:w="1200"/>
        <w:gridCol w:w="659"/>
        <w:gridCol w:w="1334"/>
        <w:gridCol w:w="647"/>
      </w:tblGrid>
      <w:tr>
        <w:trPr>
          <w:trHeight w:val="402" w:hRule="exact"/>
        </w:trPr>
        <w:tc>
          <w:tcPr>
            <w:tcW w:w="1993" w:type="dxa"/>
            <w:vMerge w:val="restart"/>
            <w:tcBorders>
              <w:top w:val="single" w:sz="4" w:space="0" w:color="000000"/>
              <w:left w:val="single" w:sz="4" w:space="0" w:color="000000"/>
              <w:right w:val="single" w:sz="4" w:space="0" w:color="000000"/>
            </w:tcBorders>
            <w:shd w:val="clear" w:color="auto" w:fill="D3D3D3"/>
          </w:tcPr>
          <w:p>
            <w:pPr/>
          </w:p>
        </w:tc>
        <w:tc>
          <w:tcPr>
            <w:tcW w:w="371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56" w:hRule="exact"/>
        </w:trPr>
        <w:tc>
          <w:tcPr>
            <w:tcW w:w="1993" w:type="dxa"/>
            <w:vMerge/>
            <w:tcBorders>
              <w:left w:val="single" w:sz="4" w:space="0" w:color="000000"/>
              <w:bottom w:val="nil" w:sz="6" w:space="0" w:color="auto"/>
              <w:right w:val="single" w:sz="4" w:space="0" w:color="000000"/>
            </w:tcBorders>
            <w:shd w:val="clear" w:color="auto" w:fill="D3D3D3"/>
          </w:tcPr>
          <w:p>
            <w:pPr/>
          </w:p>
        </w:tc>
        <w:tc>
          <w:tcPr>
            <w:tcW w:w="171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6" w:hRule="exact"/>
        </w:trPr>
        <w:tc>
          <w:tcPr>
            <w:tcW w:w="199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种类</w:t>
            </w:r>
          </w:p>
        </w:tc>
        <w:tc>
          <w:tcPr>
            <w:tcW w:w="1719" w:type="dxa"/>
            <w:gridSpan w:val="2"/>
            <w:vMerge/>
            <w:tcBorders>
              <w:left w:val="single" w:sz="4" w:space="0" w:color="000000"/>
              <w:bottom w:val="single" w:sz="4" w:space="0" w:color="000000"/>
              <w:right w:val="single" w:sz="4" w:space="0" w:color="000000"/>
            </w:tcBorders>
            <w:shd w:val="clear" w:color="auto" w:fill="D3D3D3"/>
          </w:tcPr>
          <w:p>
            <w:pPr/>
          </w:p>
        </w:tc>
        <w:tc>
          <w:tcPr>
            <w:tcW w:w="1993" w:type="dxa"/>
            <w:gridSpan w:val="2"/>
            <w:vMerge/>
            <w:tcBorders>
              <w:left w:val="single" w:sz="4" w:space="0" w:color="000000"/>
              <w:bottom w:val="single" w:sz="4" w:space="0" w:color="000000"/>
              <w:right w:val="single" w:sz="4" w:space="0" w:color="000000"/>
            </w:tcBorders>
            <w:shd w:val="clear" w:color="auto" w:fill="D3D3D3"/>
          </w:tcPr>
          <w:p>
            <w:pPr/>
          </w:p>
        </w:tc>
        <w:tc>
          <w:tcPr>
            <w:tcW w:w="1859" w:type="dxa"/>
            <w:gridSpan w:val="2"/>
            <w:vMerge/>
            <w:tcBorders>
              <w:left w:val="single" w:sz="4" w:space="0" w:color="000000"/>
              <w:bottom w:val="single" w:sz="4" w:space="0" w:color="000000"/>
              <w:right w:val="single" w:sz="4" w:space="0" w:color="000000"/>
            </w:tcBorders>
            <w:shd w:val="clear" w:color="auto" w:fill="D3D3D3"/>
          </w:tcPr>
          <w:p>
            <w:pPr/>
          </w:p>
        </w:tc>
        <w:tc>
          <w:tcPr>
            <w:tcW w:w="1981" w:type="dxa"/>
            <w:gridSpan w:val="2"/>
            <w:vMerge/>
            <w:tcBorders>
              <w:left w:val="single" w:sz="4" w:space="0" w:color="000000"/>
              <w:bottom w:val="single" w:sz="4" w:space="0" w:color="000000"/>
              <w:right w:val="single" w:sz="4" w:space="0" w:color="000000"/>
            </w:tcBorders>
            <w:shd w:val="clear" w:color="auto" w:fill="D3D3D3"/>
          </w:tcPr>
          <w:p>
            <w:pPr/>
          </w:p>
        </w:tc>
      </w:tr>
      <w:tr>
        <w:trPr>
          <w:trHeight w:val="154" w:hRule="exact"/>
        </w:trPr>
        <w:tc>
          <w:tcPr>
            <w:tcW w:w="1993" w:type="dxa"/>
            <w:vMerge/>
            <w:tcBorders>
              <w:left w:val="single" w:sz="4" w:space="0" w:color="000000"/>
              <w:bottom w:val="nil" w:sz="6" w:space="0" w:color="auto"/>
              <w:right w:val="single" w:sz="4" w:space="0" w:color="000000"/>
            </w:tcBorders>
            <w:shd w:val="clear" w:color="auto" w:fill="D3D3D3"/>
          </w:tcPr>
          <w:p>
            <w:pPr/>
          </w:p>
        </w:tc>
        <w:tc>
          <w:tcPr>
            <w:tcW w:w="1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5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19" w:right="0"/>
              <w:jc w:val="left"/>
              <w:rPr>
                <w:rFonts w:ascii="Times New Roman" w:hAnsi="Times New Roman" w:cs="Times New Roman" w:eastAsia="Times New Roman" w:hint="default"/>
                <w:sz w:val="18"/>
                <w:szCs w:val="18"/>
              </w:rPr>
            </w:pPr>
            <w:r>
              <w:rPr>
                <w:rFonts w:ascii="Times New Roman"/>
                <w:sz w:val="18"/>
              </w:rPr>
              <w:t>(%)</w:t>
            </w:r>
          </w:p>
        </w:tc>
        <w:tc>
          <w:tcPr>
            <w:tcW w:w="1334" w:type="dxa"/>
            <w:tcBorders>
              <w:top w:val="single" w:sz="4" w:space="0" w:color="000000"/>
              <w:left w:val="single" w:sz="4" w:space="0" w:color="000000"/>
              <w:bottom w:val="nil" w:sz="6" w:space="0" w:color="auto"/>
              <w:right w:val="single" w:sz="4" w:space="0" w:color="000000"/>
            </w:tcBorders>
            <w:shd w:val="clear" w:color="auto" w:fill="D3D3D3"/>
          </w:tcPr>
          <w:p>
            <w:pP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6" w:right="0"/>
              <w:jc w:val="left"/>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nil" w:sz="6" w:space="0" w:color="auto"/>
              <w:right w:val="single" w:sz="4" w:space="0" w:color="000000"/>
            </w:tcBorders>
            <w:shd w:val="clear" w:color="auto" w:fill="D3D3D3"/>
          </w:tcPr>
          <w:p>
            <w:pP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7" w:right="0"/>
              <w:jc w:val="left"/>
              <w:rPr>
                <w:rFonts w:ascii="Times New Roman" w:hAnsi="Times New Roman" w:cs="Times New Roman" w:eastAsia="Times New Roman" w:hint="default"/>
                <w:sz w:val="18"/>
                <w:szCs w:val="18"/>
              </w:rPr>
            </w:pPr>
            <w:r>
              <w:rPr>
                <w:rFonts w:ascii="Times New Roman"/>
                <w:sz w:val="18"/>
              </w:rPr>
              <w:t>(%)</w:t>
            </w:r>
          </w:p>
        </w:tc>
        <w:tc>
          <w:tcPr>
            <w:tcW w:w="1334" w:type="dxa"/>
            <w:tcBorders>
              <w:top w:val="single" w:sz="4" w:space="0" w:color="000000"/>
              <w:left w:val="single" w:sz="4" w:space="0" w:color="000000"/>
              <w:bottom w:val="nil" w:sz="6" w:space="0" w:color="auto"/>
              <w:right w:val="single" w:sz="4" w:space="0" w:color="000000"/>
            </w:tcBorders>
            <w:shd w:val="clear" w:color="auto" w:fill="D3D3D3"/>
          </w:tcPr>
          <w:p>
            <w:pPr/>
          </w:p>
        </w:tc>
        <w:tc>
          <w:tcPr>
            <w:tcW w:w="6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6" w:right="0"/>
              <w:jc w:val="left"/>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1993" w:type="dxa"/>
            <w:vMerge w:val="restart"/>
            <w:tcBorders>
              <w:top w:val="nil" w:sz="6" w:space="0" w:color="auto"/>
              <w:left w:val="single" w:sz="4" w:space="0" w:color="000000"/>
              <w:right w:val="single" w:sz="4" w:space="0" w:color="000000"/>
            </w:tcBorders>
            <w:shd w:val="clear" w:color="auto" w:fill="D3D3D3"/>
          </w:tcPr>
          <w:p>
            <w:pPr/>
          </w:p>
        </w:tc>
        <w:tc>
          <w:tcPr>
            <w:tcW w:w="1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8"/>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525" w:type="dxa"/>
            <w:vMerge/>
            <w:tcBorders>
              <w:left w:val="single" w:sz="4" w:space="0" w:color="000000"/>
              <w:right w:val="single" w:sz="4" w:space="0" w:color="000000"/>
            </w:tcBorders>
            <w:shd w:val="clear" w:color="auto" w:fill="D3D3D3"/>
          </w:tcPr>
          <w:p>
            <w:pPr/>
          </w:p>
        </w:tc>
        <w:tc>
          <w:tcPr>
            <w:tcW w:w="13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5"/>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vMerge/>
            <w:tcBorders>
              <w:left w:val="single" w:sz="4" w:space="0" w:color="000000"/>
              <w:right w:val="single" w:sz="4" w:space="0" w:color="000000"/>
            </w:tcBorders>
            <w:shd w:val="clear" w:color="auto" w:fill="D3D3D3"/>
          </w:tcPr>
          <w:p>
            <w:pPr/>
          </w:p>
        </w:tc>
        <w:tc>
          <w:tcPr>
            <w:tcW w:w="12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vMerge/>
            <w:tcBorders>
              <w:left w:val="single" w:sz="4" w:space="0" w:color="000000"/>
              <w:right w:val="single" w:sz="4" w:space="0" w:color="000000"/>
            </w:tcBorders>
            <w:shd w:val="clear" w:color="auto" w:fill="D3D3D3"/>
          </w:tcPr>
          <w:p>
            <w:pPr/>
          </w:p>
        </w:tc>
        <w:tc>
          <w:tcPr>
            <w:tcW w:w="13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47" w:type="dxa"/>
            <w:vMerge/>
            <w:tcBorders>
              <w:left w:val="single" w:sz="4" w:space="0" w:color="000000"/>
              <w:right w:val="single" w:sz="4" w:space="0" w:color="000000"/>
            </w:tcBorders>
            <w:shd w:val="clear" w:color="auto" w:fill="D3D3D3"/>
          </w:tcPr>
          <w:p>
            <w:pPr/>
          </w:p>
        </w:tc>
      </w:tr>
      <w:tr>
        <w:trPr>
          <w:trHeight w:val="161" w:hRule="exact"/>
        </w:trPr>
        <w:tc>
          <w:tcPr>
            <w:tcW w:w="1993" w:type="dxa"/>
            <w:vMerge/>
            <w:tcBorders>
              <w:left w:val="single" w:sz="4" w:space="0" w:color="000000"/>
              <w:bottom w:val="single" w:sz="4" w:space="0" w:color="000000"/>
              <w:right w:val="single" w:sz="4" w:space="0" w:color="000000"/>
            </w:tcBorders>
            <w:shd w:val="clear" w:color="auto" w:fill="D3D3D3"/>
          </w:tcPr>
          <w:p>
            <w:pPr/>
          </w:p>
        </w:tc>
        <w:tc>
          <w:tcPr>
            <w:tcW w:w="1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525" w:type="dxa"/>
            <w:vMerge/>
            <w:tcBorders>
              <w:left w:val="single" w:sz="4" w:space="0" w:color="000000"/>
              <w:bottom w:val="single" w:sz="4" w:space="0" w:color="000000"/>
              <w:right w:val="single" w:sz="4" w:space="0" w:color="000000"/>
            </w:tcBorders>
            <w:shd w:val="clear" w:color="auto" w:fill="D3D3D3"/>
          </w:tcPr>
          <w:p>
            <w:pPr/>
          </w:p>
        </w:tc>
        <w:tc>
          <w:tcPr>
            <w:tcW w:w="1334" w:type="dxa"/>
            <w:tcBorders>
              <w:top w:val="nil" w:sz="6" w:space="0" w:color="auto"/>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c>
          <w:tcPr>
            <w:tcW w:w="1200" w:type="dxa"/>
            <w:tcBorders>
              <w:top w:val="nil" w:sz="6" w:space="0" w:color="auto"/>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c>
          <w:tcPr>
            <w:tcW w:w="1334" w:type="dxa"/>
            <w:tcBorders>
              <w:top w:val="nil" w:sz="6" w:space="0" w:color="auto"/>
              <w:left w:val="single" w:sz="4" w:space="0" w:color="000000"/>
              <w:bottom w:val="single" w:sz="4" w:space="0" w:color="000000"/>
              <w:right w:val="single" w:sz="4" w:space="0" w:color="000000"/>
            </w:tcBorders>
            <w:shd w:val="clear" w:color="auto" w:fill="D3D3D3"/>
          </w:tcPr>
          <w:p>
            <w:pPr/>
          </w:p>
        </w:tc>
        <w:tc>
          <w:tcPr>
            <w:tcW w:w="64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70"/>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1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1,433,880.70</w:t>
            </w:r>
          </w:p>
        </w:tc>
        <w:tc>
          <w:tcPr>
            <w:tcW w:w="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0.49%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1,433,880.70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1,495,400.00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1,495,400.00</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45"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2"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282,938,850.70</w:t>
            </w:r>
          </w:p>
        </w:tc>
        <w:tc>
          <w:tcPr>
            <w:tcW w:w="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95.5%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16,821,584.35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5.95%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231,721,555.24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14,275,886.22</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6.16%</w:t>
            </w:r>
          </w:p>
        </w:tc>
      </w:tr>
      <w:tr>
        <w:trPr>
          <w:trHeight w:val="402"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11,885,696.78</w:t>
            </w:r>
          </w:p>
        </w:tc>
        <w:tc>
          <w:tcPr>
            <w:tcW w:w="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4.01%</w:t>
            </w:r>
          </w:p>
        </w:tc>
        <w:tc>
          <w:tcPr>
            <w:tcW w:w="1334"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7,169,988.25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w:t>
            </w:r>
          </w:p>
        </w:tc>
        <w:tc>
          <w:tcPr>
            <w:tcW w:w="1334"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294,824,547.48</w:t>
            </w:r>
          </w:p>
        </w:tc>
        <w:tc>
          <w:tcPr>
            <w:tcW w:w="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99.52</w:t>
            </w:r>
          </w:p>
          <w:p>
            <w:pPr>
              <w:pStyle w:val="TableParagraph"/>
              <w:spacing w:line="240" w:lineRule="auto" w:before="105"/>
              <w:ind w:left="342" w:right="0"/>
              <w:jc w:val="left"/>
              <w:rPr>
                <w:rFonts w:ascii="Times New Roman" w:hAnsi="Times New Roman" w:cs="Times New Roman" w:eastAsia="Times New Roman" w:hint="default"/>
                <w:sz w:val="18"/>
                <w:szCs w:val="18"/>
              </w:rPr>
            </w:pPr>
            <w:r>
              <w:rPr>
                <w:rFonts w:ascii="Times New Roman"/>
                <w:sz w:val="18"/>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16,821,584.35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5.71%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238,891,543.49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14,275,886.22</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5.98%</w:t>
            </w:r>
          </w:p>
        </w:tc>
      </w:tr>
      <w:tr>
        <w:trPr>
          <w:trHeight w:val="402" w:hRule="exact"/>
        </w:trPr>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296,258,428.18</w:t>
            </w:r>
          </w:p>
        </w:tc>
        <w:tc>
          <w:tcPr>
            <w:tcW w:w="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18,255,465.05</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240,386,943.49</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15,771,286.22</w:t>
            </w:r>
          </w:p>
        </w:tc>
        <w:tc>
          <w:tcPr>
            <w:tcW w:w="6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pStyle w:val="BodyText"/>
        <w:spacing w:line="360" w:lineRule="auto" w:before="51"/>
        <w:ind w:left="153" w:right="-19"/>
        <w:jc w:val="left"/>
      </w:pPr>
      <w:r>
        <w:rPr/>
        <w:t>应收账款种类的说明 期末单项金额重大并单项计提坏账准备的应收账款</w:t>
      </w:r>
    </w:p>
    <w:p>
      <w:pPr>
        <w:pStyle w:val="BodyText"/>
        <w:spacing w:line="240" w:lineRule="auto" w:before="26"/>
        <w:ind w:left="153" w:right="-19"/>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115" w:space="471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65"/>
        <w:gridCol w:w="1626"/>
        <w:gridCol w:w="1626"/>
        <w:gridCol w:w="1626"/>
        <w:gridCol w:w="1627"/>
      </w:tblGrid>
      <w:tr>
        <w:trPr>
          <w:trHeight w:val="402" w:hRule="exact"/>
        </w:trPr>
        <w:tc>
          <w:tcPr>
            <w:tcW w:w="3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6"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深圳市雄震自动设备有限公司</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1,433,880.70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1,433,880.70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6"/>
                <w:sz w:val="18"/>
                <w:szCs w:val="18"/>
              </w:rPr>
              <w:t>判决胜诉，多年无法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执行</w:t>
            </w:r>
          </w:p>
        </w:tc>
      </w:tr>
      <w:tr>
        <w:trPr>
          <w:trHeight w:val="402" w:hRule="exact"/>
        </w:trPr>
        <w:tc>
          <w:tcPr>
            <w:tcW w:w="3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1,433,880.70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1,433,880.70</w:t>
            </w:r>
          </w:p>
        </w:tc>
        <w:tc>
          <w:tcPr>
            <w:tcW w:w="1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51"/>
        <w:ind w:right="-20"/>
        <w:jc w:val="left"/>
      </w:pPr>
      <w:r>
        <w:rPr/>
        <w:t>组合中，采用账龄分析法计提坏账准备的应收账款</w:t>
      </w:r>
    </w:p>
    <w:p>
      <w:pPr>
        <w:pStyle w:val="BodyText"/>
        <w:spacing w:line="240" w:lineRule="auto" w:before="117"/>
        <w:ind w:left="153" w:right="-19"/>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115" w:space="4714"/>
            <w:col w:w="1121"/>
          </w:cols>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6"/>
        <w:gridCol w:w="1993"/>
        <w:gridCol w:w="665"/>
        <w:gridCol w:w="1462"/>
        <w:gridCol w:w="2126"/>
        <w:gridCol w:w="664"/>
        <w:gridCol w:w="1594"/>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34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2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6" w:type="dxa"/>
            <w:vMerge/>
            <w:tcBorders>
              <w:left w:val="single" w:sz="4" w:space="0" w:color="000000"/>
              <w:right w:val="single" w:sz="4" w:space="0" w:color="000000"/>
            </w:tcBorders>
            <w:shd w:val="clear" w:color="auto" w:fill="D3D3D3"/>
          </w:tcPr>
          <w:p>
            <w:pPr/>
          </w:p>
        </w:tc>
        <w:tc>
          <w:tcPr>
            <w:tcW w:w="26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066" w:type="dxa"/>
            <w:vMerge/>
            <w:tcBorders>
              <w:left w:val="single" w:sz="4" w:space="0" w:color="000000"/>
              <w:bottom w:val="single" w:sz="4" w:space="0" w:color="000000"/>
              <w:right w:val="single" w:sz="4" w:space="0" w:color="000000"/>
            </w:tcBorders>
            <w:shd w:val="clear" w:color="auto" w:fill="D3D3D3"/>
          </w:tcPr>
          <w:p>
            <w:pP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3"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258,664,346.74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87.74%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12,338,932.50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4.77</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210,338</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,554.08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88.05</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 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258,664,346.74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87.73%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12,338,932.50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210,338,554.08</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10,276,217.98</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33,483,270.33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11.36%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3,348,327.03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21,863,325.64</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1,950,753.18</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1,232,844.72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246,568.94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5,139,583.87</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1,027,916.77</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1,444,085.69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887,755.88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1,550,079.90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1,020,998.29</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1,035,821.62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517,910.81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840,083.45</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420,041.73</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192,094.99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153,675.99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545,199.45</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436,159.56</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216,169.08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216,169.08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164,797.00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164,797.00</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294,824,547.48</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16,821,584.35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238,891,543.49</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14,275,886.22</w:t>
            </w:r>
          </w:p>
        </w:tc>
      </w:tr>
    </w:tbl>
    <w:p>
      <w:pPr>
        <w:pStyle w:val="BodyText"/>
        <w:spacing w:line="240" w:lineRule="auto" w:before="51"/>
        <w:ind w:right="149"/>
        <w:jc w:val="left"/>
      </w:pPr>
      <w:r>
        <w:rPr/>
        <w:t>组合中，采用余额百分比法计提坏账准备的应收账款</w:t>
      </w:r>
    </w:p>
    <w:p>
      <w:pPr>
        <w:pStyle w:val="BodyText"/>
        <w:spacing w:line="357" w:lineRule="auto" w:before="117"/>
        <w:ind w:left="153" w:right="5991"/>
        <w:jc w:val="left"/>
      </w:pPr>
      <w:r>
        <w:rPr/>
        <w:t>□ 适用 √ 不适用 组合中，采用其他方法计提坏账准备的应收账款</w:t>
      </w:r>
    </w:p>
    <w:p>
      <w:pPr>
        <w:pStyle w:val="BodyText"/>
        <w:spacing w:line="357" w:lineRule="auto" w:before="29"/>
        <w:ind w:left="153" w:right="5451"/>
        <w:jc w:val="left"/>
      </w:pPr>
      <w:r>
        <w:rPr/>
        <w:t>□ 适用 √ 不适用 期末单项金额虽不重大但单项计提坏账准备的应收账款</w:t>
      </w:r>
    </w:p>
    <w:p>
      <w:pPr>
        <w:pStyle w:val="BodyText"/>
        <w:spacing w:line="240" w:lineRule="auto" w:before="27"/>
        <w:ind w:left="153" w:right="149"/>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714"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714"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深圳市雄震自动设备有限 公司</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全额计提坏账准备本 期收回执行款</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6"/>
              <w:jc w:val="left"/>
              <w:rPr>
                <w:rFonts w:ascii="宋体" w:hAnsi="宋体" w:cs="宋体" w:eastAsia="宋体" w:hint="default"/>
                <w:sz w:val="18"/>
                <w:szCs w:val="18"/>
              </w:rPr>
            </w:pPr>
            <w:r>
              <w:rPr>
                <w:rFonts w:ascii="宋体" w:hAnsi="宋体" w:cs="宋体" w:eastAsia="宋体" w:hint="default"/>
                <w:sz w:val="18"/>
                <w:szCs w:val="18"/>
              </w:rPr>
              <w:t>判决胜诉，多年无法执 行</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9" w:right="0"/>
              <w:jc w:val="left"/>
              <w:rPr>
                <w:rFonts w:ascii="Times New Roman" w:hAnsi="Times New Roman" w:cs="Times New Roman" w:eastAsia="Times New Roman" w:hint="default"/>
                <w:sz w:val="18"/>
                <w:szCs w:val="18"/>
              </w:rPr>
            </w:pPr>
            <w:r>
              <w:rPr>
                <w:rFonts w:ascii="Times New Roman"/>
                <w:sz w:val="18"/>
              </w:rPr>
              <w:t>1,495,400.00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0" w:right="0"/>
              <w:jc w:val="left"/>
              <w:rPr>
                <w:rFonts w:ascii="Times New Roman" w:hAnsi="Times New Roman" w:cs="Times New Roman" w:eastAsia="Times New Roman" w:hint="default"/>
                <w:sz w:val="18"/>
                <w:szCs w:val="18"/>
              </w:rPr>
            </w:pPr>
            <w:r>
              <w:rPr>
                <w:rFonts w:ascii="Times New Roman"/>
                <w:sz w:val="18"/>
              </w:rPr>
              <w:t>61,519.30</w:t>
            </w:r>
          </w:p>
        </w:tc>
      </w:tr>
    </w:tbl>
    <w:p>
      <w:pPr>
        <w:pStyle w:val="BodyText"/>
        <w:spacing w:line="240" w:lineRule="auto" w:before="51"/>
        <w:ind w:right="149"/>
        <w:jc w:val="left"/>
      </w:pPr>
      <w:r>
        <w:rPr/>
        <w:t>期末单项金额重大或虽不重大但单独进行减值测试的应收账款坏账准备计提</w:t>
      </w:r>
    </w:p>
    <w:p>
      <w:pPr>
        <w:pStyle w:val="BodyText"/>
        <w:spacing w:line="240" w:lineRule="auto" w:before="117"/>
        <w:ind w:left="0" w:right="14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33"/>
        <w:gridCol w:w="1934"/>
        <w:gridCol w:w="1932"/>
        <w:gridCol w:w="1933"/>
        <w:gridCol w:w="1823"/>
      </w:tblGrid>
      <w:tr>
        <w:trPr>
          <w:trHeight w:val="402" w:hRule="exact"/>
        </w:trPr>
        <w:tc>
          <w:tcPr>
            <w:tcW w:w="1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1"/>
        <w:ind w:right="149"/>
        <w:jc w:val="left"/>
      </w:pPr>
      <w:r>
        <w:rPr/>
        <w:t>单项金额不重大但按信用风险特征组合后该组合的风险较大的应收账款的说明</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83"/>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03" w:right="58"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pStyle w:val="BodyText"/>
        <w:spacing w:line="240" w:lineRule="auto" w:before="52"/>
        <w:ind w:right="149"/>
        <w:jc w:val="left"/>
      </w:pPr>
      <w:r>
        <w:rPr/>
        <w:t>应收账款核销说明</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t>（</w:t>
      </w:r>
      <w:r>
        <w:rPr>
          <w:rFonts w:ascii="Times New Roman" w:hAnsi="Times New Roman" w:cs="Times New Roman" w:eastAsia="Times New Roman" w:hint="default"/>
        </w:rPr>
        <w:t>4</w:t>
      </w:r>
      <w:r>
        <w:rPr/>
        <w:t>）本报告期应收账款中持有公司</w:t>
      </w:r>
      <w:r>
        <w:rPr>
          <w:spacing w:val="-61"/>
        </w:rPr>
        <w:t> </w:t>
      </w:r>
      <w:r>
        <w:rPr>
          <w:rFonts w:ascii="Times New Roman" w:hAnsi="Times New Roman" w:cs="Times New Roman" w:eastAsia="Times New Roman" w:hint="default"/>
        </w:rPr>
        <w:t>5</w:t>
      </w:r>
      <w:r>
        <w:rPr/>
        <w:t>％（含</w:t>
      </w:r>
      <w:r>
        <w:rPr>
          <w:spacing w:val="-62"/>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595"/>
        <w:gridCol w:w="1860"/>
        <w:gridCol w:w="1860"/>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中国农业银行广东省分 行</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17,093,410.90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5.83%</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中国农业银行云南省分 行</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14,359,700.00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中国建设银行安徽省分 行</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11,218,730.00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3.83%</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中科恒源（益阳）新能 源科技有限公司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10,090,644.19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3.44%</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91"/>
              <w:ind w:left="22" w:right="9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Hitachi</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Financial</w:t>
            </w:r>
            <w:r>
              <w:rPr>
                <w:rFonts w:ascii="Times New Roman" w:hAnsi="Times New Roman" w:cs="Times New Roman" w:eastAsia="Times New Roman" w:hint="default"/>
                <w:sz w:val="18"/>
                <w:szCs w:val="18"/>
              </w:rPr>
              <w:t> Equipment</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System(Shen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Zhen</w:t>
            </w:r>
            <w:r>
              <w:rPr>
                <w:rFonts w:ascii="宋体" w:hAnsi="宋体" w:cs="宋体" w:eastAsia="宋体" w:hint="default"/>
                <w:sz w:val="18"/>
                <w:szCs w:val="18"/>
              </w:rPr>
              <w:t>）</w:t>
            </w:r>
            <w:r>
              <w:rPr>
                <w:rFonts w:ascii="Times New Roman" w:hAnsi="Times New Roman" w:cs="Times New Roman" w:eastAsia="Times New Roman" w:hint="default"/>
                <w:sz w:val="18"/>
                <w:szCs w:val="18"/>
              </w:rPr>
              <w:t>Co.Ltd</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9,770,120.04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3.33%</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62,532,605.13</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21.33%</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深圳市证通普润电子有限公 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7,619,188.68</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2.57%</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60"/>
              <w:jc w:val="center"/>
              <w:rPr>
                <w:rFonts w:ascii="宋体" w:hAnsi="宋体" w:cs="宋体" w:eastAsia="宋体" w:hint="default"/>
                <w:sz w:val="18"/>
                <w:szCs w:val="18"/>
              </w:rPr>
            </w:pPr>
            <w:r>
              <w:rPr>
                <w:rFonts w:ascii="宋体" w:hAnsi="宋体" w:cs="宋体" w:eastAsia="宋体" w:hint="default"/>
                <w:sz w:val="18"/>
                <w:szCs w:val="18"/>
              </w:rPr>
              <w:t>深圳市证通数码科技有限公</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4,266,508.10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36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430" w:type="dxa"/>
            <w:tcBorders>
              <w:top w:val="single" w:sz="4" w:space="0" w:color="000000"/>
              <w:left w:val="single" w:sz="4" w:space="0" w:color="000000"/>
              <w:bottom w:val="single" w:sz="4" w:space="0" w:color="000000"/>
              <w:right w:val="single" w:sz="4" w:space="0" w:color="000000"/>
            </w:tcBorders>
          </w:tcPr>
          <w:p>
            <w:pPr/>
          </w:p>
        </w:tc>
        <w:tc>
          <w:tcPr>
            <w:tcW w:w="2430" w:type="dxa"/>
            <w:tcBorders>
              <w:top w:val="single" w:sz="4" w:space="0" w:color="000000"/>
              <w:left w:val="single" w:sz="4" w:space="0" w:color="000000"/>
              <w:bottom w:val="single" w:sz="4" w:space="0" w:color="000000"/>
              <w:right w:val="single" w:sz="4" w:space="0" w:color="000000"/>
            </w:tcBorders>
          </w:tcPr>
          <w:p>
            <w:pPr/>
          </w:p>
        </w:tc>
        <w:tc>
          <w:tcPr>
            <w:tcW w:w="24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6" w:right="0"/>
              <w:jc w:val="left"/>
              <w:rPr>
                <w:rFonts w:ascii="Times New Roman" w:hAnsi="Times New Roman" w:cs="Times New Roman" w:eastAsia="Times New Roman" w:hint="default"/>
                <w:sz w:val="18"/>
                <w:szCs w:val="18"/>
              </w:rPr>
            </w:pPr>
            <w:r>
              <w:rPr>
                <w:rFonts w:ascii="Times New Roman"/>
                <w:sz w:val="18"/>
              </w:rPr>
              <w:t>11,885,696.78</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4.01%</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9"/>
        <w:jc w:val="left"/>
      </w:pPr>
      <w:r>
        <w:rPr/>
        <w:t>不符合终止确认条件的应收账款的转移金额为元。</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9"/>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53"/>
        <w:gridCol w:w="1466"/>
        <w:gridCol w:w="516"/>
        <w:gridCol w:w="1333"/>
        <w:gridCol w:w="514"/>
        <w:gridCol w:w="1336"/>
        <w:gridCol w:w="516"/>
        <w:gridCol w:w="1200"/>
        <w:gridCol w:w="510"/>
      </w:tblGrid>
      <w:tr>
        <w:trPr>
          <w:trHeight w:val="401" w:hRule="exact"/>
        </w:trPr>
        <w:tc>
          <w:tcPr>
            <w:tcW w:w="2153" w:type="dxa"/>
            <w:vMerge w:val="restart"/>
            <w:tcBorders>
              <w:top w:val="single" w:sz="4" w:space="0" w:color="000000"/>
              <w:left w:val="single" w:sz="4" w:space="0" w:color="000000"/>
              <w:right w:val="single" w:sz="4" w:space="0" w:color="000000"/>
            </w:tcBorders>
            <w:shd w:val="clear" w:color="auto" w:fill="D3D3D3"/>
          </w:tcPr>
          <w:p>
            <w:pP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57" w:hRule="exact"/>
        </w:trPr>
        <w:tc>
          <w:tcPr>
            <w:tcW w:w="2153" w:type="dxa"/>
            <w:vMerge/>
            <w:tcBorders>
              <w:left w:val="single" w:sz="4" w:space="0" w:color="000000"/>
              <w:bottom w:val="nil" w:sz="6" w:space="0" w:color="auto"/>
              <w:right w:val="single" w:sz="4" w:space="0" w:color="000000"/>
            </w:tcBorders>
            <w:shd w:val="clear" w:color="auto" w:fill="D3D3D3"/>
          </w:tcPr>
          <w:p>
            <w:pPr/>
          </w:p>
        </w:tc>
        <w:tc>
          <w:tcPr>
            <w:tcW w:w="198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6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6" w:hRule="exact"/>
        </w:trPr>
        <w:tc>
          <w:tcPr>
            <w:tcW w:w="215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种类</w:t>
            </w:r>
          </w:p>
        </w:tc>
        <w:tc>
          <w:tcPr>
            <w:tcW w:w="1982" w:type="dxa"/>
            <w:gridSpan w:val="2"/>
            <w:vMerge/>
            <w:tcBorders>
              <w:left w:val="single" w:sz="4" w:space="0" w:color="000000"/>
              <w:bottom w:val="single" w:sz="4" w:space="0" w:color="000000"/>
              <w:right w:val="single" w:sz="4" w:space="0" w:color="000000"/>
            </w:tcBorders>
            <w:shd w:val="clear" w:color="auto" w:fill="D3D3D3"/>
          </w:tcPr>
          <w:p>
            <w:pPr/>
          </w:p>
        </w:tc>
        <w:tc>
          <w:tcPr>
            <w:tcW w:w="1847" w:type="dxa"/>
            <w:gridSpan w:val="2"/>
            <w:vMerge/>
            <w:tcBorders>
              <w:left w:val="single" w:sz="4" w:space="0" w:color="000000"/>
              <w:bottom w:val="single" w:sz="4" w:space="0" w:color="000000"/>
              <w:right w:val="single" w:sz="4" w:space="0" w:color="000000"/>
            </w:tcBorders>
            <w:shd w:val="clear" w:color="auto" w:fill="D3D3D3"/>
          </w:tcPr>
          <w:p>
            <w:pPr/>
          </w:p>
        </w:tc>
        <w:tc>
          <w:tcPr>
            <w:tcW w:w="1853" w:type="dxa"/>
            <w:gridSpan w:val="2"/>
            <w:vMerge/>
            <w:tcBorders>
              <w:left w:val="single" w:sz="4" w:space="0" w:color="000000"/>
              <w:bottom w:val="single" w:sz="4" w:space="0" w:color="000000"/>
              <w:right w:val="single" w:sz="4" w:space="0" w:color="000000"/>
            </w:tcBorders>
            <w:shd w:val="clear" w:color="auto" w:fill="D3D3D3"/>
          </w:tcPr>
          <w:p>
            <w:pPr/>
          </w:p>
        </w:tc>
        <w:tc>
          <w:tcPr>
            <w:tcW w:w="1710" w:type="dxa"/>
            <w:gridSpan w:val="2"/>
            <w:vMerge/>
            <w:tcBorders>
              <w:left w:val="single" w:sz="4" w:space="0" w:color="000000"/>
              <w:bottom w:val="single" w:sz="4" w:space="0" w:color="000000"/>
              <w:right w:val="single" w:sz="4" w:space="0" w:color="000000"/>
            </w:tcBorders>
            <w:shd w:val="clear" w:color="auto" w:fill="D3D3D3"/>
          </w:tcPr>
          <w:p>
            <w:pPr/>
          </w:p>
        </w:tc>
      </w:tr>
      <w:tr>
        <w:trPr>
          <w:trHeight w:val="157" w:hRule="exact"/>
        </w:trPr>
        <w:tc>
          <w:tcPr>
            <w:tcW w:w="2153" w:type="dxa"/>
            <w:vMerge/>
            <w:tcBorders>
              <w:left w:val="single" w:sz="4" w:space="0" w:color="000000"/>
              <w:bottom w:val="single" w:sz="7" w:space="0" w:color="FFFFFF"/>
              <w:right w:val="single" w:sz="4" w:space="0" w:color="000000"/>
            </w:tcBorders>
            <w:shd w:val="clear" w:color="auto" w:fill="D3D3D3"/>
          </w:tcPr>
          <w:p>
            <w:pPr/>
          </w:p>
        </w:tc>
        <w:tc>
          <w:tcPr>
            <w:tcW w:w="1466"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5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17" w:right="0"/>
              <w:jc w:val="left"/>
              <w:rPr>
                <w:rFonts w:ascii="Times New Roman" w:hAnsi="Times New Roman" w:cs="Times New Roman" w:eastAsia="Times New Roman" w:hint="default"/>
                <w:sz w:val="18"/>
                <w:szCs w:val="18"/>
              </w:rPr>
            </w:pPr>
            <w:r>
              <w:rPr>
                <w:rFonts w:ascii="Times New Roman"/>
                <w:sz w:val="18"/>
              </w:rPr>
              <w:t>(%)</w:t>
            </w:r>
          </w:p>
        </w:tc>
        <w:tc>
          <w:tcPr>
            <w:tcW w:w="1333" w:type="dxa"/>
            <w:tcBorders>
              <w:top w:val="single" w:sz="4" w:space="0" w:color="000000"/>
              <w:left w:val="single" w:sz="4" w:space="0" w:color="000000"/>
              <w:bottom w:val="nil" w:sz="6" w:space="0" w:color="auto"/>
              <w:right w:val="single" w:sz="4" w:space="0" w:color="000000"/>
            </w:tcBorders>
            <w:shd w:val="clear" w:color="auto" w:fill="D3D3D3"/>
          </w:tcPr>
          <w:p>
            <w:pPr/>
          </w:p>
        </w:tc>
        <w:tc>
          <w:tcPr>
            <w:tcW w:w="5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17" w:right="0"/>
              <w:jc w:val="left"/>
              <w:rPr>
                <w:rFonts w:ascii="Times New Roman" w:hAnsi="Times New Roman" w:cs="Times New Roman" w:eastAsia="Times New Roman" w:hint="default"/>
                <w:sz w:val="18"/>
                <w:szCs w:val="18"/>
              </w:rPr>
            </w:pPr>
            <w:r>
              <w:rPr>
                <w:rFonts w:ascii="Times New Roman"/>
                <w:sz w:val="18"/>
              </w:rPr>
              <w:t>(%)</w:t>
            </w:r>
          </w:p>
        </w:tc>
        <w:tc>
          <w:tcPr>
            <w:tcW w:w="1336" w:type="dxa"/>
            <w:tcBorders>
              <w:top w:val="single" w:sz="4" w:space="0" w:color="000000"/>
              <w:left w:val="single" w:sz="4" w:space="0" w:color="000000"/>
              <w:bottom w:val="nil" w:sz="6" w:space="0" w:color="auto"/>
              <w:right w:val="single" w:sz="4" w:space="0" w:color="000000"/>
            </w:tcBorders>
            <w:shd w:val="clear" w:color="auto" w:fill="D3D3D3"/>
          </w:tcPr>
          <w:p>
            <w:pPr/>
          </w:p>
        </w:tc>
        <w:tc>
          <w:tcPr>
            <w:tcW w:w="5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17" w:right="0"/>
              <w:jc w:val="left"/>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nil" w:sz="6" w:space="0" w:color="auto"/>
              <w:right w:val="single" w:sz="4" w:space="0" w:color="000000"/>
            </w:tcBorders>
            <w:shd w:val="clear" w:color="auto" w:fill="D3D3D3"/>
          </w:tcPr>
          <w:p>
            <w:pPr/>
          </w:p>
        </w:tc>
        <w:tc>
          <w:tcPr>
            <w:tcW w:w="5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18" w:right="0"/>
              <w:jc w:val="lef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153" w:type="dxa"/>
            <w:vMerge w:val="restart"/>
            <w:tcBorders>
              <w:top w:val="single" w:sz="7" w:space="0" w:color="FFFFFF"/>
              <w:left w:val="single" w:sz="4" w:space="0" w:color="000000"/>
              <w:right w:val="single" w:sz="4" w:space="0" w:color="000000"/>
            </w:tcBorders>
            <w:shd w:val="clear" w:color="auto" w:fill="D3D3D3"/>
          </w:tcPr>
          <w:p>
            <w:pPr/>
          </w:p>
        </w:tc>
        <w:tc>
          <w:tcPr>
            <w:tcW w:w="1466" w:type="dxa"/>
            <w:tcBorders>
              <w:top w:val="single" w:sz="7" w:space="0" w:color="FFFFFF"/>
              <w:left w:val="single" w:sz="4" w:space="0" w:color="000000"/>
              <w:bottom w:val="nil" w:sz="6" w:space="0" w:color="auto"/>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16" w:type="dxa"/>
            <w:vMerge/>
            <w:tcBorders>
              <w:left w:val="single" w:sz="4" w:space="0" w:color="000000"/>
              <w:right w:val="single" w:sz="4" w:space="0" w:color="000000"/>
            </w:tcBorders>
            <w:shd w:val="clear" w:color="auto" w:fill="D3D3D3"/>
          </w:tcPr>
          <w:p>
            <w:pPr/>
          </w:p>
        </w:tc>
        <w:tc>
          <w:tcPr>
            <w:tcW w:w="13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14" w:type="dxa"/>
            <w:vMerge/>
            <w:tcBorders>
              <w:left w:val="single" w:sz="4" w:space="0" w:color="000000"/>
              <w:right w:val="single" w:sz="4" w:space="0" w:color="000000"/>
            </w:tcBorders>
            <w:shd w:val="clear" w:color="auto" w:fill="D3D3D3"/>
          </w:tcPr>
          <w:p>
            <w:pPr/>
          </w:p>
        </w:tc>
        <w:tc>
          <w:tcPr>
            <w:tcW w:w="13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16" w:type="dxa"/>
            <w:vMerge/>
            <w:tcBorders>
              <w:left w:val="single" w:sz="4" w:space="0" w:color="000000"/>
              <w:right w:val="single" w:sz="4" w:space="0" w:color="000000"/>
            </w:tcBorders>
            <w:shd w:val="clear" w:color="auto" w:fill="D3D3D3"/>
          </w:tcPr>
          <w:p>
            <w:pPr/>
          </w:p>
        </w:tc>
        <w:tc>
          <w:tcPr>
            <w:tcW w:w="12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10" w:type="dxa"/>
            <w:vMerge/>
            <w:tcBorders>
              <w:left w:val="single" w:sz="4" w:space="0" w:color="000000"/>
              <w:right w:val="single" w:sz="4" w:space="0" w:color="000000"/>
            </w:tcBorders>
            <w:shd w:val="clear" w:color="auto" w:fill="D3D3D3"/>
          </w:tcPr>
          <w:p>
            <w:pPr/>
          </w:p>
        </w:tc>
      </w:tr>
      <w:tr>
        <w:trPr>
          <w:trHeight w:val="162" w:hRule="exact"/>
        </w:trPr>
        <w:tc>
          <w:tcPr>
            <w:tcW w:w="2153" w:type="dxa"/>
            <w:vMerge/>
            <w:tcBorders>
              <w:left w:val="single" w:sz="4" w:space="0" w:color="000000"/>
              <w:bottom w:val="single" w:sz="4" w:space="0" w:color="000000"/>
              <w:right w:val="single" w:sz="4" w:space="0" w:color="000000"/>
            </w:tcBorders>
            <w:shd w:val="clear" w:color="auto" w:fill="D3D3D3"/>
          </w:tcPr>
          <w:p>
            <w:pPr/>
          </w:p>
        </w:tc>
        <w:tc>
          <w:tcPr>
            <w:tcW w:w="1466" w:type="dxa"/>
            <w:tcBorders>
              <w:top w:val="nil" w:sz="6" w:space="0" w:color="auto"/>
              <w:left w:val="single" w:sz="4" w:space="0" w:color="000000"/>
              <w:bottom w:val="single" w:sz="4" w:space="0" w:color="000000"/>
              <w:right w:val="single" w:sz="4" w:space="0" w:color="000000"/>
            </w:tcBorders>
            <w:shd w:val="clear" w:color="auto" w:fill="D3D3D3"/>
          </w:tcPr>
          <w:p>
            <w:pPr/>
          </w:p>
        </w:tc>
        <w:tc>
          <w:tcPr>
            <w:tcW w:w="516" w:type="dxa"/>
            <w:vMerge/>
            <w:tcBorders>
              <w:left w:val="single" w:sz="4" w:space="0" w:color="000000"/>
              <w:bottom w:val="single" w:sz="4" w:space="0" w:color="000000"/>
              <w:right w:val="single" w:sz="4" w:space="0" w:color="000000"/>
            </w:tcBorders>
            <w:shd w:val="clear" w:color="auto" w:fill="D3D3D3"/>
          </w:tcPr>
          <w:p>
            <w:pPr/>
          </w:p>
        </w:tc>
        <w:tc>
          <w:tcPr>
            <w:tcW w:w="1333" w:type="dxa"/>
            <w:tcBorders>
              <w:top w:val="nil" w:sz="6" w:space="0" w:color="auto"/>
              <w:left w:val="single" w:sz="4" w:space="0" w:color="000000"/>
              <w:bottom w:val="single" w:sz="4" w:space="0" w:color="000000"/>
              <w:right w:val="single" w:sz="4" w:space="0" w:color="000000"/>
            </w:tcBorders>
            <w:shd w:val="clear" w:color="auto" w:fill="D3D3D3"/>
          </w:tcPr>
          <w:p>
            <w:pPr/>
          </w:p>
        </w:tc>
        <w:tc>
          <w:tcPr>
            <w:tcW w:w="514" w:type="dxa"/>
            <w:vMerge/>
            <w:tcBorders>
              <w:left w:val="single" w:sz="4" w:space="0" w:color="000000"/>
              <w:bottom w:val="single" w:sz="4" w:space="0" w:color="000000"/>
              <w:right w:val="single" w:sz="4" w:space="0" w:color="000000"/>
            </w:tcBorders>
            <w:shd w:val="clear" w:color="auto" w:fill="D3D3D3"/>
          </w:tcPr>
          <w:p>
            <w:pPr/>
          </w:p>
        </w:tc>
        <w:tc>
          <w:tcPr>
            <w:tcW w:w="1336" w:type="dxa"/>
            <w:tcBorders>
              <w:top w:val="nil" w:sz="6" w:space="0" w:color="auto"/>
              <w:left w:val="single" w:sz="4" w:space="0" w:color="000000"/>
              <w:bottom w:val="single" w:sz="4" w:space="0" w:color="000000"/>
              <w:right w:val="single" w:sz="4" w:space="0" w:color="000000"/>
            </w:tcBorders>
            <w:shd w:val="clear" w:color="auto" w:fill="D3D3D3"/>
          </w:tcPr>
          <w:p>
            <w:pPr/>
          </w:p>
        </w:tc>
        <w:tc>
          <w:tcPr>
            <w:tcW w:w="516" w:type="dxa"/>
            <w:vMerge/>
            <w:tcBorders>
              <w:left w:val="single" w:sz="4" w:space="0" w:color="000000"/>
              <w:bottom w:val="single" w:sz="4" w:space="0" w:color="000000"/>
              <w:right w:val="single" w:sz="4" w:space="0" w:color="000000"/>
            </w:tcBorders>
            <w:shd w:val="clear" w:color="auto" w:fill="D3D3D3"/>
          </w:tcPr>
          <w:p>
            <w:pPr/>
          </w:p>
        </w:tc>
        <w:tc>
          <w:tcPr>
            <w:tcW w:w="1200" w:type="dxa"/>
            <w:tcBorders>
              <w:top w:val="nil" w:sz="6" w:space="0" w:color="auto"/>
              <w:left w:val="single" w:sz="4" w:space="0" w:color="000000"/>
              <w:bottom w:val="single" w:sz="4" w:space="0" w:color="000000"/>
              <w:right w:val="single" w:sz="4" w:space="0" w:color="000000"/>
            </w:tcBorders>
            <w:shd w:val="clear" w:color="auto" w:fill="D3D3D3"/>
          </w:tcPr>
          <w:p>
            <w:pPr/>
          </w:p>
        </w:tc>
        <w:tc>
          <w:tcPr>
            <w:tcW w:w="510"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1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9"/>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坏账准备的其他应收款</w:t>
            </w:r>
          </w:p>
        </w:tc>
        <w:tc>
          <w:tcPr>
            <w:tcW w:w="1466" w:type="dxa"/>
            <w:tcBorders>
              <w:top w:val="single" w:sz="4" w:space="0" w:color="000000"/>
              <w:left w:val="single" w:sz="13" w:space="0" w:color="D3D3D3"/>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706,324.51</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706,324.51</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54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5"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14,369,677.86</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100%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2,884,074.43</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19,757,146.04</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94.81</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1,870,710.69</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9.47%</w:t>
            </w:r>
          </w:p>
        </w:tc>
      </w:tr>
      <w:tr>
        <w:trPr>
          <w:trHeight w:val="402"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46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14,369,677.86</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100%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2,884,074.43</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19,757,146.04</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94.81</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1,870,710.69</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9.47%</w:t>
            </w:r>
          </w:p>
        </w:tc>
      </w:tr>
      <w:tr>
        <w:trPr>
          <w:trHeight w:val="1026" w:hRule="exact"/>
        </w:trPr>
        <w:tc>
          <w:tcPr>
            <w:tcW w:w="21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单项金额虽不重大但单项 计提坏账准备的其他应收 款</w:t>
            </w:r>
          </w:p>
        </w:tc>
        <w:tc>
          <w:tcPr>
            <w:tcW w:w="146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375,170.56</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375,170.56</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1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6"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14,369,677.86</w:t>
            </w:r>
          </w:p>
        </w:tc>
        <w:tc>
          <w:tcPr>
            <w:tcW w:w="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2,884,074.43</w:t>
            </w:r>
          </w:p>
        </w:tc>
        <w:tc>
          <w:tcPr>
            <w:tcW w:w="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20,838,641.11</w:t>
            </w:r>
          </w:p>
        </w:tc>
        <w:tc>
          <w:tcPr>
            <w:tcW w:w="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2,952,205.76</w:t>
            </w:r>
          </w:p>
        </w:tc>
        <w:tc>
          <w:tcPr>
            <w:tcW w:w="5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pStyle w:val="BodyText"/>
        <w:spacing w:line="360" w:lineRule="auto" w:before="51"/>
        <w:ind w:left="153" w:right="-19"/>
        <w:jc w:val="left"/>
      </w:pPr>
      <w:r>
        <w:rPr/>
        <w:t>其他应收款种类的说明 期末单项金额重大并单项计提坏账准备的其他应收款</w:t>
      </w:r>
    </w:p>
    <w:p>
      <w:pPr>
        <w:pStyle w:val="BodyText"/>
        <w:spacing w:line="357" w:lineRule="auto" w:before="26"/>
        <w:ind w:left="153" w:right="-19"/>
        <w:jc w:val="left"/>
      </w:pPr>
      <w:r>
        <w:rPr/>
        <w:t>□ 适用 √ 不适用 组合中，采用账龄分析法计提坏账准备的其他应收款</w:t>
      </w:r>
    </w:p>
    <w:p>
      <w:pPr>
        <w:pStyle w:val="BodyText"/>
        <w:spacing w:line="240" w:lineRule="auto" w:before="29"/>
        <w:ind w:left="153" w:right="-19"/>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5"/>
        <w:gridCol w:w="1594"/>
        <w:gridCol w:w="1861"/>
        <w:gridCol w:w="665"/>
        <w:gridCol w:w="1726"/>
      </w:tblGrid>
      <w:tr>
        <w:trPr>
          <w:trHeight w:val="402" w:hRule="exact"/>
        </w:trPr>
        <w:tc>
          <w:tcPr>
            <w:tcW w:w="1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0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66" w:type="dxa"/>
            <w:vMerge/>
            <w:tcBorders>
              <w:left w:val="single" w:sz="4" w:space="0" w:color="000000"/>
              <w:right w:val="single" w:sz="4" w:space="0" w:color="000000"/>
            </w:tcBorders>
            <w:shd w:val="clear" w:color="auto" w:fill="D3D3D3"/>
          </w:tcPr>
          <w:p>
            <w:pPr/>
          </w:p>
        </w:tc>
        <w:tc>
          <w:tcPr>
            <w:tcW w:w="24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266" w:type="dxa"/>
            <w:vMerge/>
            <w:tcBorders>
              <w:left w:val="single" w:sz="4" w:space="0" w:color="000000"/>
              <w:bottom w:val="single" w:sz="4" w:space="0" w:color="000000"/>
              <w:right w:val="single" w:sz="4" w:space="0" w:color="000000"/>
            </w:tcBorders>
            <w:shd w:val="clear" w:color="auto" w:fill="D3D3D3"/>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4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94"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4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26" w:type="dxa"/>
            <w:vMerge/>
            <w:tcBorders>
              <w:left w:val="single" w:sz="4" w:space="0" w:color="000000"/>
              <w:bottom w:val="single" w:sz="4" w:space="0" w:color="000000"/>
              <w:right w:val="single" w:sz="4" w:space="0" w:color="000000"/>
            </w:tcBorders>
            <w:shd w:val="clear" w:color="auto" w:fill="D3D3D3"/>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5"/>
        <w:gridCol w:w="1594"/>
        <w:gridCol w:w="1861"/>
        <w:gridCol w:w="665"/>
        <w:gridCol w:w="1726"/>
      </w:tblGrid>
      <w:tr>
        <w:trPr>
          <w:trHeight w:val="36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9,945,018.65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497,250.93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13,100,120.35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66.31%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224,549.03</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9,945,018.65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497,250.93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13,100,120.35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66.31%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224,549.03</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939,738.82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93,973.88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3,371,859.72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17.07%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137,333.32</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512,415.88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102,483.18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1,484,833.40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296,966.68</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2,972,504.51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2,190,366.44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1,800,332.57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9.11%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1,211,861.66</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1,317,446.94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658,723.47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761,348.00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380,674.00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617,073.00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493,658.40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1,038,984.57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831,187.66</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1,037,984.57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1,037,984.57</w:t>
            </w:r>
          </w:p>
        </w:tc>
        <w:tc>
          <w:tcPr>
            <w:tcW w:w="18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14,369,677.86</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2,884,074.43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19,757,146.04</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1,870,710.69</w:t>
            </w:r>
          </w:p>
        </w:tc>
      </w:tr>
    </w:tbl>
    <w:p>
      <w:pPr>
        <w:pStyle w:val="BodyText"/>
        <w:spacing w:line="240" w:lineRule="auto" w:before="51"/>
        <w:ind w:right="149"/>
        <w:jc w:val="left"/>
      </w:pPr>
      <w:r>
        <w:rPr/>
        <w:t>组合中，采用余额百分比法计提坏账准备的其他应收款</w:t>
      </w:r>
    </w:p>
    <w:p>
      <w:pPr>
        <w:pStyle w:val="BodyText"/>
        <w:spacing w:line="357" w:lineRule="auto" w:before="117"/>
        <w:ind w:left="153" w:right="5811"/>
        <w:jc w:val="left"/>
      </w:pPr>
      <w:r>
        <w:rPr/>
        <w:t>□ 适用 √ 不适用 组合中，采用其他方法计提坏账准备的其他应收款</w:t>
      </w:r>
    </w:p>
    <w:p>
      <w:pPr>
        <w:pStyle w:val="BodyText"/>
        <w:spacing w:line="360" w:lineRule="auto" w:before="27"/>
        <w:ind w:left="153" w:right="5271"/>
        <w:jc w:val="left"/>
      </w:pPr>
      <w:r>
        <w:rPr/>
        <w:t>□ 适用 √ 不适用 期末单项金额虽不重大但单项计提坏账准备的其他应收款</w:t>
      </w:r>
    </w:p>
    <w:p>
      <w:pPr>
        <w:pStyle w:val="BodyText"/>
        <w:spacing w:line="240" w:lineRule="auto" w:before="26"/>
        <w:ind w:left="153" w:right="149"/>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49"/>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715"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2"/>
        <w:ind w:right="149"/>
        <w:jc w:val="left"/>
      </w:pPr>
      <w:r>
        <w:rPr/>
        <w:t>期末单项金额重大或虽不重大但单独进行减值测试的其他应收账款坏账准备计提</w:t>
      </w:r>
    </w:p>
    <w:p>
      <w:pPr>
        <w:pStyle w:val="BodyText"/>
        <w:spacing w:line="240" w:lineRule="auto" w:before="116"/>
        <w:ind w:left="0" w:right="149"/>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2"/>
        <w:gridCol w:w="1954"/>
        <w:gridCol w:w="1954"/>
        <w:gridCol w:w="1955"/>
        <w:gridCol w:w="1854"/>
      </w:tblGrid>
      <w:tr>
        <w:trPr>
          <w:trHeight w:val="397" w:hRule="exact"/>
        </w:trPr>
        <w:tc>
          <w:tcPr>
            <w:tcW w:w="1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6"/>
        <w:ind w:right="149"/>
        <w:jc w:val="left"/>
      </w:pPr>
      <w:r>
        <w:rPr/>
        <w:t>单项金额不重大但按信用风险特征组合后该组合的风险较大的其他应收款的说明</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5"/>
        <w:gridCol w:w="1595"/>
        <w:gridCol w:w="1594"/>
        <w:gridCol w:w="1462"/>
        <w:gridCol w:w="1519"/>
        <w:gridCol w:w="1789"/>
      </w:tblGrid>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357" w:lineRule="auto" w:before="51"/>
        <w:ind w:left="153" w:right="6306"/>
        <w:jc w:val="left"/>
      </w:pPr>
      <w:r>
        <w:rPr/>
        <w:t>其他应收款核销说明 其他应收款本期核销金额为</w:t>
      </w:r>
      <w:r>
        <w:rPr>
          <w:rFonts w:ascii="Times New Roman" w:hAnsi="Times New Roman" w:cs="Times New Roman" w:eastAsia="Times New Roman" w:hint="default"/>
        </w:rPr>
        <w:t>1,081,495.07</w:t>
      </w:r>
      <w:r>
        <w:rPr/>
        <w:t>元。</w:t>
      </w:r>
    </w:p>
    <w:p>
      <w:pPr>
        <w:spacing w:after="0" w:line="357"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4</w:t>
      </w:r>
      <w:r>
        <w:rPr/>
        <w:t>）本报告期其他应收款中持有公司</w:t>
      </w:r>
      <w:r>
        <w:rPr>
          <w:spacing w:val="-64"/>
        </w:rPr>
        <w:t> </w:t>
      </w:r>
      <w:r>
        <w:rPr>
          <w:rFonts w:ascii="Times New Roman" w:hAnsi="Times New Roman" w:cs="Times New Roman" w:eastAsia="Times New Roman" w:hint="default"/>
        </w:rPr>
        <w:t>5</w:t>
      </w:r>
      <w:r>
        <w:rPr/>
        <w:t>％（含</w:t>
      </w:r>
      <w:r>
        <w:rPr>
          <w:spacing w:val="-64"/>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59"/>
        <w:gridCol w:w="1727"/>
        <w:gridCol w:w="1727"/>
        <w:gridCol w:w="1860"/>
        <w:gridCol w:w="1583"/>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659"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26"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周创新</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939,863.00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5.79%</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中信建投证券股份有限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中介服务机构</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3.48%</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中国航空技术进出口深 圳公司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558,458.33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3.44%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聂大鹏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548,378.80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3.38%</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中国建设银行股份有限 公司湖北省分行</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531,700.00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3.28%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2,878,400.13</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17.74%</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9"/>
        <w:jc w:val="left"/>
      </w:pPr>
      <w:r>
        <w:rPr/>
        <w:t>不符合终止确认条件的其他应收款项的转移金额为元。</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49"/>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1338"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33" w:right="32"/>
              <w:jc w:val="both"/>
              <w:rPr>
                <w:rFonts w:ascii="宋体" w:hAnsi="宋体" w:cs="宋体" w:eastAsia="宋体" w:hint="default"/>
                <w:sz w:val="18"/>
                <w:szCs w:val="18"/>
              </w:rPr>
            </w:pPr>
            <w:r>
              <w:rPr>
                <w:rFonts w:ascii="宋体" w:hAnsi="宋体" w:cs="宋体" w:eastAsia="宋体" w:hint="default"/>
                <w:sz w:val="18"/>
                <w:szCs w:val="18"/>
              </w:rPr>
              <w:t>在被投资 单位持股 比例与表 决权比例</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bl>
    <w:p>
      <w:pPr>
        <w:spacing w:after="0" w:line="316"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67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13" w:right="32" w:hanging="180"/>
              <w:jc w:val="left"/>
              <w:rPr>
                <w:rFonts w:ascii="宋体" w:hAnsi="宋体" w:cs="宋体" w:eastAsia="宋体" w:hint="default"/>
                <w:sz w:val="18"/>
                <w:szCs w:val="18"/>
              </w:rPr>
            </w:pPr>
            <w:r>
              <w:rPr>
                <w:rFonts w:ascii="宋体" w:hAnsi="宋体" w:cs="宋体" w:eastAsia="宋体" w:hint="default"/>
                <w:sz w:val="18"/>
                <w:szCs w:val="18"/>
              </w:rPr>
              <w:t>不一致的 说明</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深圳市通 新源物业 管理有限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5,882,000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5,882,000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5,575,808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11,457,80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深圳市证 通金信科 技有限公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31,331,91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31,331,91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31,331,91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深圳市证 通佳明光 电有限公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深圳市证 通普润电 子有限公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4,727,471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4,727,471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4,727,471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深圳市证 通数码科 技有限公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2,246,993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2,246,993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2,246,993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其他被投 资单位</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湖南中科 恒源科技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19,825,00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19,825,00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19,825,00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277,550.0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深圳市兵 港科技有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138,258.8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138,258.8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84,163,38</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84,151,64</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3.15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5,575,808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89,727,45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1.43</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277,550.0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149"/>
        <w:jc w:val="left"/>
      </w:pPr>
      <w:r>
        <w:rPr/>
        <w:t>长期股权投资的说明</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5"/>
        <w:gridCol w:w="3455"/>
        <w:gridCol w:w="3588"/>
      </w:tblGrid>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525"/>
        <w:gridCol w:w="3455"/>
        <w:gridCol w:w="3588"/>
      </w:tblGrid>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566,222,133.15</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603,385,324.45</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566,222,133.15</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603,385,324.45</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420,347,570.84</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477,162,812.79</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458,188,131.12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338,006,513.58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481,103,202.39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375,827,414.98</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照明电子</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43,386,543.01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35,625,124.55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92,932,015.47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89,279,523.65</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64,647,459.02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45,457,375.29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29,350,106.59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10,797,316.74</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566,222,133.15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419,089,013.42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603,385,324.45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475,904,255.37</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458,188,131.12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338,006,513.58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481,103,202.39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375,827,414.98</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照明电子</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43,386,543.01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35,625,124.55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92,932,015.47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89,279,523.65</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64,647,459.02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45,457,375.29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29,350,106.59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10,797,316.74</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566,222,133.15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419,089,013.42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603,385,324.45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475,904,255.37</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490,869,568.73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390,052,060.00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528,568,665.43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444,811,014.17</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出口销售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75,352,564.42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29,036,953.42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74,816,659.02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31,093,241.20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566,222,133.15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419,089,013.42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603,385,324.45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475,904,255.37</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51"/>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0" w:right="14" w:hanging="58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bl>
    <w:p>
      <w:pPr>
        <w:spacing w:after="0" w:line="316"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62"/>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Hitachi Financial Equipment System(Shen</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Zhen</w:t>
            </w:r>
            <w:r>
              <w:rPr>
                <w:rFonts w:ascii="宋体" w:hAnsi="宋体" w:cs="宋体" w:eastAsia="宋体" w:hint="default"/>
                <w:sz w:val="18"/>
                <w:szCs w:val="18"/>
              </w:rPr>
              <w:t>）</w:t>
            </w:r>
            <w:r>
              <w:rPr>
                <w:rFonts w:ascii="Times New Roman" w:hAnsi="Times New Roman" w:cs="Times New Roman" w:eastAsia="Times New Roman" w:hint="default"/>
                <w:sz w:val="18"/>
                <w:szCs w:val="18"/>
              </w:rPr>
              <w:t>Co.Ltd</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42,831,149.75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浙江金大科技有限公司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33,967,930.67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中国农业银行湖南分行</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29,086,004.57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中国农业银行广东省分行</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22,608,348.73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中科恒源科技股份有限公司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20,780,082.40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149,273,516.12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26.36%</w:t>
            </w:r>
          </w:p>
        </w:tc>
      </w:tr>
    </w:tbl>
    <w:p>
      <w:pPr>
        <w:pStyle w:val="BodyText"/>
        <w:spacing w:line="240" w:lineRule="auto" w:before="51"/>
        <w:ind w:right="149"/>
        <w:jc w:val="left"/>
      </w:pPr>
      <w:r>
        <w:rPr/>
        <w:t>营业收入的说明</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9"/>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499"/>
        <w:gridCol w:w="2535"/>
        <w:gridCol w:w="2522"/>
      </w:tblGrid>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277,550.00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87,230.00</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-306,191.72</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-595.66</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-28,641.72</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86,634.34</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22"/>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中科恒源科技股份有限公司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277,550.00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86,634.34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股东大会决议分配股利</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277,550.00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86,634.34</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22"/>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深圳通新源股份有限公司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-306,191.72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亏损</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-306,191.72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149"/>
        <w:jc w:val="left"/>
      </w:pPr>
      <w:r>
        <w:rPr/>
        <w:t>投资收益的说明</w:t>
      </w:r>
    </w:p>
    <w:p>
      <w:pPr>
        <w:spacing w:line="240" w:lineRule="auto" w:before="11"/>
        <w:rPr>
          <w:rFonts w:ascii="宋体" w:hAnsi="宋体" w:cs="宋体" w:eastAsia="宋体" w:hint="default"/>
          <w:sz w:val="26"/>
          <w:szCs w:val="26"/>
        </w:rPr>
      </w:pPr>
    </w:p>
    <w:p>
      <w:pPr>
        <w:pStyle w:val="Heading3"/>
        <w:spacing w:line="240" w:lineRule="auto"/>
        <w:ind w:right="149"/>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5024"/>
        <w:gridCol w:w="2258"/>
        <w:gridCol w:w="2257"/>
      </w:tblGrid>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9"/>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5029"/>
        <w:gridCol w:w="2270"/>
        <w:gridCol w:w="2257"/>
      </w:tblGrid>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16,296,712.15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10,390,516.37</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3,459,827.91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4,562,413.16</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12,579,001.72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10,778,522.67</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1,392,293.49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805,671.86</w:t>
            </w:r>
          </w:p>
        </w:tc>
      </w:tr>
      <w:tr>
        <w:trPr>
          <w:trHeight w:val="714"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-11,372.65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27,203.52</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20,310,867.34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16,987,199.04</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28,641.72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-86,634.34</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-1,048,217.53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-171,715.02</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-670,887.43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-824,057.52</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1,087,736.88</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44,950,209.13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-41,986,578.00</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-69,532,325.81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-19,832,312.91</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25,159,564.85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32,089,974.53</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55,050,269.30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12,911,918.38</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75" w:right="0"/>
              <w:jc w:val="left"/>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75" w:right="0"/>
              <w:jc w:val="left"/>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126,812,715.61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145,284,882.08</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145,284,882.08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90,016,430.03</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-18,472,166.47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55,268,452.05</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9"/>
        <w:jc w:val="left"/>
      </w:pPr>
      <w:r>
        <w:rPr/>
        <w:t>反向购买下以公允价值入账的资产、负债情况</w:t>
      </w:r>
    </w:p>
    <w:p>
      <w:pPr>
        <w:pStyle w:val="BodyText"/>
        <w:spacing w:line="240" w:lineRule="auto" w:before="117"/>
        <w:ind w:left="0" w:right="14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0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pStyle w:val="BodyText"/>
        <w:spacing w:line="240" w:lineRule="auto" w:before="51"/>
        <w:ind w:right="149"/>
        <w:jc w:val="left"/>
      </w:pPr>
      <w:r>
        <w:rPr/>
        <w:t>反向购买形成长期股权投资的情况</w:t>
      </w:r>
    </w:p>
    <w:p>
      <w:pPr>
        <w:pStyle w:val="BodyText"/>
        <w:spacing w:line="240" w:lineRule="auto" w:before="117"/>
        <w:ind w:left="0" w:right="14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line="240" w:lineRule="auto" w:before="2"/>
        <w:rPr>
          <w:rFonts w:ascii="宋体" w:hAnsi="宋体" w:cs="宋体" w:eastAsia="宋体" w:hint="default"/>
          <w:sz w:val="18"/>
          <w:szCs w:val="18"/>
        </w:rPr>
      </w:pPr>
    </w:p>
    <w:p>
      <w:pPr>
        <w:pStyle w:val="Heading2"/>
        <w:spacing w:line="240" w:lineRule="auto" w:before="26"/>
        <w:ind w:right="149"/>
        <w:jc w:val="left"/>
        <w:rPr>
          <w:b w:val="0"/>
          <w:bCs w:val="0"/>
        </w:rPr>
      </w:pP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9"/>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39"/>
        <w:gridCol w:w="2178"/>
        <w:gridCol w:w="1914"/>
        <w:gridCol w:w="1938"/>
      </w:tblGrid>
      <w:tr>
        <w:trPr>
          <w:trHeight w:val="402" w:hRule="exact"/>
        </w:trPr>
        <w:tc>
          <w:tcPr>
            <w:tcW w:w="35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1"/>
              <w:ind w:left="1"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3" w:hRule="exact"/>
        </w:trPr>
        <w:tc>
          <w:tcPr>
            <w:tcW w:w="3539" w:type="dxa"/>
            <w:vMerge/>
            <w:tcBorders>
              <w:left w:val="single" w:sz="4" w:space="0" w:color="000000"/>
              <w:bottom w:val="single" w:sz="4" w:space="0" w:color="000000"/>
              <w:right w:val="single" w:sz="4" w:space="0" w:color="000000"/>
            </w:tcBorders>
            <w:shd w:val="clear" w:color="auto" w:fill="D3D3D3"/>
          </w:tcPr>
          <w:p>
            <w:pPr/>
          </w:p>
        </w:tc>
        <w:tc>
          <w:tcPr>
            <w:tcW w:w="2178" w:type="dxa"/>
            <w:vMerge/>
            <w:tcBorders>
              <w:left w:val="single" w:sz="4" w:space="0" w:color="000000"/>
              <w:bottom w:val="single" w:sz="4" w:space="0" w:color="000000"/>
              <w:right w:val="single" w:sz="4" w:space="0" w:color="000000"/>
            </w:tcBorders>
            <w:shd w:val="clear" w:color="auto" w:fill="D3D3D3"/>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527"/>
        <w:gridCol w:w="2190"/>
        <w:gridCol w:w="1914"/>
        <w:gridCol w:w="1938"/>
      </w:tblGrid>
      <w:tr>
        <w:trPr>
          <w:trHeight w:val="402"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9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w:t>
            </w:r>
          </w:p>
        </w:tc>
      </w:tr>
      <w:tr>
        <w:trPr>
          <w:trHeight w:val="714"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9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0.15</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0.15</w:t>
            </w:r>
          </w:p>
        </w:tc>
      </w:tr>
    </w:tbl>
    <w:p>
      <w:pPr>
        <w:spacing w:line="240" w:lineRule="auto" w:before="2"/>
        <w:rPr>
          <w:rFonts w:ascii="宋体" w:hAnsi="宋体" w:cs="宋体" w:eastAsia="宋体" w:hint="default"/>
          <w:sz w:val="19"/>
          <w:szCs w:val="19"/>
        </w:rPr>
      </w:pPr>
    </w:p>
    <w:p>
      <w:pPr>
        <w:pStyle w:val="Heading3"/>
        <w:spacing w:line="240" w:lineRule="auto" w:before="35"/>
        <w:ind w:right="149"/>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702"/>
        <w:gridCol w:w="1602"/>
        <w:gridCol w:w="1559"/>
        <w:gridCol w:w="1375"/>
        <w:gridCol w:w="2694"/>
      </w:tblGrid>
      <w:tr>
        <w:trPr>
          <w:trHeight w:val="34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33"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变动比率</w:t>
            </w:r>
            <w:r>
              <w:rPr>
                <w:rFonts w:ascii="Times New Roman" w:hAnsi="Times New Roman" w:cs="Times New Roman" w:eastAsia="Times New Roman" w:hint="default"/>
                <w:sz w:val="18"/>
                <w:szCs w:val="18"/>
              </w:rPr>
              <w:t>(%)</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61,510,799.99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79,819,630.00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-22.94</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销售票据结算减少</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283,480,718.03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238,981,116.20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18.62</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公司发货增加款项未结算所致</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18,130,828.42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16,504,112.90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9.86</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公司材料采购增加所致</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12,934,733.66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8,295,446.88</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55.93</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公司投标保证金</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202,671,209.43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264,130,438.88</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-23.27</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销售结转</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35,022,999.92</w:t>
            </w:r>
          </w:p>
        </w:tc>
        <w:tc>
          <w:tcPr>
            <w:tcW w:w="1559"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分期收款销售增加所致</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16,235,093.44</w:t>
            </w:r>
          </w:p>
        </w:tc>
        <w:tc>
          <w:tcPr>
            <w:tcW w:w="1559"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新增在建</w:t>
            </w:r>
            <w:r>
              <w:rPr>
                <w:rFonts w:ascii="Times New Roman" w:hAnsi="Times New Roman" w:cs="Times New Roman" w:eastAsia="Times New Roman" w:hint="default"/>
                <w:sz w:val="18"/>
                <w:szCs w:val="18"/>
              </w:rPr>
              <w:t>EMC</w:t>
            </w:r>
            <w:r>
              <w:rPr>
                <w:rFonts w:ascii="宋体" w:hAnsi="宋体" w:cs="宋体" w:eastAsia="宋体" w:hint="default"/>
                <w:sz w:val="18"/>
                <w:szCs w:val="18"/>
              </w:rPr>
              <w:t>项</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4,537,823.95</w:t>
            </w:r>
          </w:p>
        </w:tc>
        <w:tc>
          <w:tcPr>
            <w:tcW w:w="1559"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云计算机项目研发投入</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22,593,215.47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232,169.99</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9,631.32</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EMC</w:t>
            </w:r>
            <w:r>
              <w:rPr>
                <w:rFonts w:ascii="宋体" w:hAnsi="宋体" w:cs="宋体" w:eastAsia="宋体" w:hint="default"/>
                <w:sz w:val="18"/>
                <w:szCs w:val="18"/>
              </w:rPr>
              <w:t>项目完工结转增加</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375,000,000.00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310,000,000.00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20.97</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流动性资金借款增加</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16,849,068.60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12,950,311.58</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30.11</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银行承兑汇票结算增加</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22,157,284.41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44,193,105.30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-49.86</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货款结算增加</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11,484,136.02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14,637,894.19</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-21.55</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工资薪酬及时支付所致</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7,150,000.00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3,000,000.00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138.33</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收到政府专项补助所致</w:t>
            </w:r>
          </w:p>
        </w:tc>
      </w:tr>
      <w:tr>
        <w:trPr>
          <w:trHeight w:val="659"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584,875,543.99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677,480,693.05</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-13.67</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POS</w:t>
            </w:r>
            <w:r>
              <w:rPr>
                <w:rFonts w:ascii="宋体" w:hAnsi="宋体" w:cs="宋体" w:eastAsia="宋体" w:hint="default"/>
                <w:sz w:val="18"/>
                <w:szCs w:val="18"/>
              </w:rPr>
              <w:t>支付产品需求订单减少及</w:t>
            </w:r>
            <w:r>
              <w:rPr>
                <w:rFonts w:ascii="Times New Roman" w:hAnsi="Times New Roman" w:cs="Times New Roman" w:eastAsia="Times New Roman" w:hint="default"/>
                <w:sz w:val="18"/>
                <w:szCs w:val="18"/>
              </w:rPr>
              <w:t>LED</w:t>
            </w:r>
          </w:p>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代采业务较少所致</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375,289,635.17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444,974,921.17</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-15.66</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销售收入减少相应较少成本结转</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4,349,930.15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3,838,123.61</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13.33</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应缴税金增加</w:t>
            </w:r>
          </w:p>
        </w:tc>
      </w:tr>
      <w:tr>
        <w:trPr>
          <w:trHeight w:val="66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71,996,466.99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65,446,836.21</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10.01</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55"/>
              <w:jc w:val="left"/>
              <w:rPr>
                <w:rFonts w:ascii="宋体" w:hAnsi="宋体" w:cs="宋体" w:eastAsia="宋体" w:hint="default"/>
                <w:sz w:val="18"/>
                <w:szCs w:val="18"/>
              </w:rPr>
            </w:pPr>
            <w:r>
              <w:rPr>
                <w:rFonts w:ascii="宋体" w:hAnsi="宋体" w:cs="宋体" w:eastAsia="宋体" w:hint="default"/>
                <w:sz w:val="18"/>
                <w:szCs w:val="18"/>
              </w:rPr>
              <w:t>薪酬最低标准调升和项目推介费 增加</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69,573,717.89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60,394,919.62</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15.20</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研发项目增加，研发人员增加</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11,777,658.38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7,026,614.75</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67.61</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收到软件退税增加</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3286" w:right="149"/>
        <w:jc w:val="left"/>
        <w:rPr>
          <w:b w:val="0"/>
          <w:bCs w:val="0"/>
        </w:rPr>
      </w:pPr>
      <w:bookmarkStart w:name="_bookmark10" w:id="11"/>
      <w:bookmarkEnd w:id="11"/>
      <w:r>
        <w:rPr>
          <w:b w:val="0"/>
          <w:bCs w:val="0"/>
        </w:rPr>
      </w:r>
      <w:r>
        <w:rPr/>
        <w:t>第十一节</w:t>
      </w:r>
      <w:r>
        <w:rPr>
          <w:spacing w:val="-9"/>
        </w:rPr>
        <w:t> </w:t>
      </w:r>
      <w:r>
        <w:rPr/>
        <w:t>备查文件目录</w:t>
      </w:r>
      <w:r>
        <w:rPr>
          <w:b w:val="0"/>
          <w:bCs w:val="0"/>
        </w:rPr>
      </w:r>
    </w:p>
    <w:p>
      <w:pPr>
        <w:spacing w:line="240" w:lineRule="auto" w:before="2"/>
        <w:rPr>
          <w:rFonts w:ascii="宋体" w:hAnsi="宋体" w:cs="宋体" w:eastAsia="宋体" w:hint="default"/>
          <w:b/>
          <w:bCs/>
          <w:sz w:val="32"/>
          <w:szCs w:val="32"/>
        </w:rPr>
      </w:pPr>
    </w:p>
    <w:p>
      <w:pPr>
        <w:pStyle w:val="BodyText"/>
        <w:spacing w:line="432" w:lineRule="exact"/>
        <w:ind w:left="513" w:right="149"/>
        <w:jc w:val="left"/>
      </w:pPr>
      <w:r>
        <w:rPr/>
        <w:t>一、载有董事长签名的</w:t>
      </w:r>
      <w:r>
        <w:rPr>
          <w:rFonts w:ascii="Times New Roman" w:hAnsi="Times New Roman" w:cs="Times New Roman" w:eastAsia="Times New Roman" w:hint="default"/>
        </w:rPr>
        <w:t>2012</w:t>
      </w:r>
      <w:r>
        <w:rPr/>
        <w:t>年年度报告全文； 二、载有公司负责人、主管会计工作负责人、会计机构负责人（会计主管人员）签名并盖章的财务报表； 三、载有会计师事务所盖章、注册会计师签名并盖章的审计报告原件； </w:t>
      </w:r>
      <w:r>
        <w:rPr>
          <w:spacing w:val="-1"/>
        </w:rPr>
        <w:t>四、报告期内，公司在《证券时报》和巨潮资讯网（</w:t>
      </w:r>
      <w:hyperlink r:id="rId13">
        <w:r>
          <w:rPr>
            <w:rFonts w:ascii="Times New Roman" w:hAnsi="Times New Roman" w:cs="Times New Roman" w:eastAsia="Times New Roman" w:hint="default"/>
            <w:spacing w:val="-1"/>
          </w:rPr>
          <w:t>http://www.cninfo.com.cn</w:t>
        </w:r>
      </w:hyperlink>
      <w:r>
        <w:rPr>
          <w:spacing w:val="-1"/>
        </w:rPr>
        <w:t>）上公开披露过的所有公司文件的正本及</w:t>
      </w:r>
    </w:p>
    <w:p>
      <w:pPr>
        <w:pStyle w:val="BodyText"/>
        <w:spacing w:line="240" w:lineRule="auto" w:before="15"/>
        <w:ind w:left="153" w:right="149"/>
        <w:jc w:val="left"/>
      </w:pPr>
      <w:r>
        <w:rPr/>
        <w:t>公告的原稿。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7"/>
        <w:ind w:left="513" w:right="149"/>
        <w:jc w:val="left"/>
      </w:pPr>
      <w:r>
        <w:rPr/>
        <w:t>上述文件备置于公司董事会办公室备查。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BodyText"/>
        <w:spacing w:line="561" w:lineRule="auto"/>
        <w:ind w:left="6544" w:right="1310" w:hanging="270"/>
        <w:jc w:val="left"/>
      </w:pPr>
      <w:r>
        <w:rPr/>
        <w:t>深圳市证通电子股份有限公司 董事长（曾胜强）： 二○一三年四月二十七日</w:t>
      </w:r>
    </w:p>
    <w:sectPr>
      <w:pgSz w:w="11910" w:h="16840"/>
      <w:pgMar w:header="877" w:footer="982" w:top="110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8583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8580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8583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8583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8582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8582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8581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8581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8580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85804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119995pt;margin-top:36.325325pt;width:195.55pt;height:11.5pt;mso-position-horizontal-relative:page;mso-position-vertical-relative:page;z-index:-858400" type="#_x0000_t202" filled="false" stroked="false">
          <v:textbox inset="0,0,0,0">
            <w:txbxContent>
              <w:p>
                <w:pPr>
                  <w:pStyle w:val="BodyText"/>
                  <w:spacing w:line="214" w:lineRule="exact"/>
                  <w:ind w:left="20" w:right="0"/>
                  <w:jc w:val="left"/>
                </w:pPr>
                <w:r>
                  <w:rPr/>
                  <w:t>深圳市证通电子股份有限公司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10522pt;margin-top:42.865623pt;width:195.55pt;height:11.5pt;mso-position-horizontal-relative:page;mso-position-vertical-relative:page;z-index:-858328" type="#_x0000_t202" filled="false" stroked="false">
          <v:textbox inset="0,0,0,0">
            <w:txbxContent>
              <w:p>
                <w:pPr>
                  <w:pStyle w:val="BodyText"/>
                  <w:spacing w:line="214" w:lineRule="exact"/>
                  <w:ind w:left="20" w:right="0"/>
                  <w:jc w:val="left"/>
                </w:pPr>
                <w:r>
                  <w:rPr/>
                  <w:t>深圳市证通电子股份有限公司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99pt;width:484.95pt;height:.1pt;mso-position-horizontal-relative:page;mso-position-vertical-relative:page;z-index:-858280" coordorigin="1104,1112" coordsize="9699,2">
          <v:shape style="position:absolute;left:1104;top:1112;width:9699;height:2" coordorigin="1104,1112" coordsize="9699,0" path="m1104,1112l10802,1112e" filled="false" stroked="true" strokeweight=".72pt" strokecolor="#000000">
            <v:path arrowok="t"/>
          </v:shape>
          <w10:wrap type="none"/>
        </v:group>
      </w:pict>
    </w:r>
    <w:r>
      <w:rPr/>
      <w:pict>
        <v:shape style="position:absolute;margin-left:344.119995pt;margin-top:42.865326pt;width:195.55pt;height:11.5pt;mso-position-horizontal-relative:page;mso-position-vertical-relative:page;z-index:-858256" type="#_x0000_t202" filled="false" stroked="false">
          <v:textbox inset="0,0,0,0">
            <w:txbxContent>
              <w:p>
                <w:pPr>
                  <w:pStyle w:val="BodyText"/>
                  <w:spacing w:line="214" w:lineRule="exact"/>
                  <w:ind w:left="20" w:right="0"/>
                  <w:jc w:val="left"/>
                </w:pPr>
                <w:r>
                  <w:rPr/>
                  <w:t>深圳市证通电子股份有限公司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10522pt;margin-top:42.865623pt;width:195.55pt;height:11.5pt;mso-position-horizontal-relative:page;mso-position-vertical-relative:page;z-index:-858160" type="#_x0000_t202" filled="false" stroked="false">
          <v:textbox inset="0,0,0,0">
            <w:txbxContent>
              <w:p>
                <w:pPr>
                  <w:pStyle w:val="BodyText"/>
                  <w:spacing w:line="214" w:lineRule="exact"/>
                  <w:ind w:left="20" w:right="0"/>
                  <w:jc w:val="left"/>
                </w:pPr>
                <w:r>
                  <w:rPr/>
                  <w:t>深圳市证通电子股份有限公司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99pt;width:484.95pt;height:.1pt;mso-position-horizontal-relative:page;mso-position-vertical-relative:page;z-index:-858112" coordorigin="1104,1112" coordsize="9699,2">
          <v:shape style="position:absolute;left:1104;top:1112;width:9699;height:2" coordorigin="1104,1112" coordsize="9699,0" path="m1104,1112l10802,1112e" filled="false" stroked="true" strokeweight=".72pt" strokecolor="#000000">
            <v:path arrowok="t"/>
          </v:shape>
          <w10:wrap type="none"/>
        </v:group>
      </w:pict>
    </w:r>
    <w:r>
      <w:rPr/>
      <w:pict>
        <v:shape style="position:absolute;margin-left:344.119995pt;margin-top:42.865326pt;width:195.55pt;height:11.5pt;mso-position-horizontal-relative:page;mso-position-vertical-relative:page;z-index:-858088" type="#_x0000_t202" filled="false" stroked="false">
          <v:textbox inset="0,0,0,0">
            <w:txbxContent>
              <w:p>
                <w:pPr>
                  <w:pStyle w:val="BodyText"/>
                  <w:spacing w:line="214" w:lineRule="exact"/>
                  <w:ind w:left="20" w:right="0"/>
                  <w:jc w:val="left"/>
                </w:pPr>
                <w:r>
                  <w:rPr/>
                  <w:t>深圳市证通电子股份有限公司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54"/>
    </w:pPr>
    <w:rPr>
      <w:rFonts w:ascii="宋体" w:hAnsi="宋体" w:eastAsia="宋体"/>
      <w:sz w:val="28"/>
      <w:szCs w:val="28"/>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359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871"/>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szzt.com.cn/" TargetMode="External"/><Relationship Id="rId10" Type="http://schemas.openxmlformats.org/officeDocument/2006/relationships/hyperlink" Target="mailto:IR@szzt.com.cn" TargetMode="External"/><Relationship Id="rId11" Type="http://schemas.openxmlformats.org/officeDocument/2006/relationships/hyperlink" Target="mailto:zcxu@szzt.com.cn" TargetMode="External"/><Relationship Id="rId12" Type="http://schemas.openxmlformats.org/officeDocument/2006/relationships/hyperlink" Target="mailto:caojun@szzt.com.cn" TargetMode="External"/><Relationship Id="rId13" Type="http://schemas.openxmlformats.org/officeDocument/2006/relationships/hyperlink" Target="http://www.cninfo.com.cn/" TargetMode="External"/><Relationship Id="rId14" Type="http://schemas.openxmlformats.org/officeDocument/2006/relationships/image" Target="media/image2.pn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header" Target="header2.xml"/><Relationship Id="rId18" Type="http://schemas.openxmlformats.org/officeDocument/2006/relationships/footer" Target="footer3.xml"/><Relationship Id="rId19" Type="http://schemas.openxmlformats.org/officeDocument/2006/relationships/header" Target="head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header" Target="header4.xml"/><Relationship Id="rId24" Type="http://schemas.openxmlformats.org/officeDocument/2006/relationships/footer" Target="footer7.xml"/><Relationship Id="rId25" Type="http://schemas.openxmlformats.org/officeDocument/2006/relationships/header" Target="header5.xml"/><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深圳市证通电子股份有限公司</dc:creator>
  <dc:title>深圳市证通电子股份有限公司2012年度报告全文</dc:title>
  <dcterms:created xsi:type="dcterms:W3CDTF">2020-05-04T00:25:57Z</dcterms:created>
  <dcterms:modified xsi:type="dcterms:W3CDTF">2020-05-04T00:25:57Z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2013-04-26T00:00:00Z</vt:filetime>
  </property>
  <property fmtid="{D5CDD505-2E9C-101B-9397-08002B2CF9AE}" pid="3" name="Creator">
    <vt:lpwstr>Acrobat PDFMaker 7.0 for Word</vt:lpwstr>
  </property>
  <property fmtid="{D5CDD505-2E9C-101B-9397-08002B2CF9AE}" pid="4" name="LastSaved">
    <vt:filetime>2020-05-03T00:00:00Z</vt:filetime>
  </property>
</Properties>
</file>