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Default Extension="png" ContentType="image/png"/>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6"/>
          <w:szCs w:val="16"/>
        </w:rPr>
      </w:pPr>
    </w:p>
    <w:p>
      <w:pPr>
        <w:spacing w:line="718" w:lineRule="exact"/>
        <w:ind w:left="283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2873349" cy="456056"/>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873349" cy="456056"/>
                    </a:xfrm>
                    <a:prstGeom prst="rect">
                      <a:avLst/>
                    </a:prstGeom>
                  </pic:spPr>
                </pic:pic>
              </a:graphicData>
            </a:graphic>
          </wp:inline>
        </w:drawing>
      </w:r>
      <w:r>
        <w:rPr>
          <w:rFonts w:ascii="Times New Roman" w:hAnsi="Times New Roman" w:cs="Times New Roman" w:eastAsia="Times New Roman" w:hint="default"/>
          <w:position w:val="-13"/>
          <w:sz w:val="20"/>
          <w:szCs w:val="20"/>
        </w:rPr>
      </w:r>
    </w:p>
    <w:p>
      <w:pPr>
        <w:spacing w:line="240" w:lineRule="auto" w:before="4"/>
        <w:rPr>
          <w:rFonts w:ascii="Times New Roman" w:hAnsi="Times New Roman" w:cs="Times New Roman" w:eastAsia="Times New Roman" w:hint="default"/>
          <w:sz w:val="16"/>
          <w:szCs w:val="16"/>
        </w:rPr>
      </w:pPr>
    </w:p>
    <w:p>
      <w:pPr>
        <w:spacing w:line="460" w:lineRule="exact" w:before="0"/>
        <w:ind w:left="2778" w:right="0" w:firstLine="0"/>
        <w:jc w:val="left"/>
        <w:rPr>
          <w:rFonts w:ascii="宋体" w:hAnsi="宋体" w:cs="宋体" w:eastAsia="宋体" w:hint="default"/>
          <w:sz w:val="36"/>
          <w:szCs w:val="36"/>
        </w:rPr>
      </w:pPr>
      <w:r>
        <w:rPr>
          <w:rFonts w:ascii="宋体" w:hAnsi="宋体" w:cs="宋体" w:eastAsia="宋体" w:hint="default"/>
          <w:b/>
          <w:bCs/>
          <w:sz w:val="36"/>
          <w:szCs w:val="36"/>
        </w:rPr>
        <w:t>深圳市证通电子股份有限公司</w:t>
      </w:r>
      <w:r>
        <w:rPr>
          <w:rFonts w:ascii="宋体" w:hAnsi="宋体" w:cs="宋体" w:eastAsia="宋体" w:hint="default"/>
          <w:sz w:val="36"/>
          <w:szCs w:val="36"/>
        </w:rPr>
        <w:t> </w:t>
      </w:r>
    </w:p>
    <w:p>
      <w:pPr>
        <w:spacing w:line="240" w:lineRule="auto" w:before="6"/>
        <w:rPr>
          <w:rFonts w:ascii="宋体" w:hAnsi="宋体" w:cs="宋体" w:eastAsia="宋体" w:hint="default"/>
          <w:sz w:val="32"/>
          <w:szCs w:val="32"/>
        </w:rPr>
      </w:pPr>
    </w:p>
    <w:p>
      <w:pPr>
        <w:spacing w:before="0"/>
        <w:ind w:left="3355" w:right="319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54"/>
          <w:sz w:val="32"/>
          <w:szCs w:val="32"/>
        </w:rPr>
        <w:t> </w:t>
      </w:r>
      <w:r>
        <w:rPr>
          <w:rFonts w:ascii="宋体" w:hAnsi="宋体" w:cs="宋体" w:eastAsia="宋体" w:hint="default"/>
          <w:b/>
          <w:bCs/>
          <w:sz w:val="32"/>
          <w:szCs w:val="32"/>
        </w:rPr>
        <w:t>年度报告</w:t>
      </w:r>
      <w:r>
        <w:rPr>
          <w:rFonts w:ascii="宋体" w:hAnsi="宋体" w:cs="宋体" w:eastAsia="宋体" w:hint="default"/>
          <w:w w:val="99"/>
          <w:sz w:val="32"/>
          <w:szCs w:val="32"/>
        </w:rPr>
        <w:t> </w:t>
      </w:r>
      <w:r>
        <w:rPr>
          <w:rFonts w:ascii="宋体" w:hAnsi="宋体" w:cs="宋体" w:eastAsia="宋体" w:hint="default"/>
          <w:sz w:val="32"/>
          <w:szCs w:val="32"/>
        </w:rPr>
      </w:r>
    </w:p>
    <w:p>
      <w:pPr>
        <w:spacing w:line="240" w:lineRule="auto" w:before="3"/>
        <w:rPr>
          <w:rFonts w:ascii="宋体" w:hAnsi="宋体" w:cs="宋体" w:eastAsia="宋体" w:hint="default"/>
          <w:sz w:val="37"/>
          <w:szCs w:val="37"/>
        </w:rPr>
      </w:pPr>
    </w:p>
    <w:p>
      <w:pPr>
        <w:spacing w:before="0"/>
        <w:ind w:left="3355" w:right="3342" w:firstLine="0"/>
        <w:jc w:val="center"/>
        <w:rPr>
          <w:rFonts w:ascii="Times New Roman" w:hAnsi="Times New Roman" w:cs="Times New Roman" w:eastAsia="Times New Roman" w:hint="default"/>
          <w:sz w:val="22"/>
          <w:szCs w:val="22"/>
        </w:rPr>
      </w:pPr>
      <w:r>
        <w:rPr>
          <w:rFonts w:ascii="Times New Roman"/>
          <w:b/>
          <w:sz w:val="22"/>
        </w:rPr>
        <w:t>2018-035</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43"/>
        <w:ind w:left="3355" w:right="319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  </w:t>
      </w:r>
      <w:r>
        <w:rPr>
          <w:rFonts w:ascii="宋体" w:hAnsi="宋体" w:cs="宋体" w:eastAsia="宋体" w:hint="default"/>
          <w:b/>
          <w:bCs/>
          <w:sz w:val="32"/>
          <w:szCs w:val="32"/>
        </w:rPr>
        <w:t>年</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1"/>
          <w:sz w:val="32"/>
          <w:szCs w:val="32"/>
        </w:rPr>
        <w:t> </w:t>
      </w:r>
      <w:r>
        <w:rPr>
          <w:rFonts w:ascii="宋体" w:hAnsi="宋体" w:cs="宋体" w:eastAsia="宋体" w:hint="default"/>
          <w:b/>
          <w:bCs/>
          <w:sz w:val="32"/>
          <w:szCs w:val="32"/>
        </w:rPr>
        <w:t>月</w:t>
      </w:r>
      <w:r>
        <w:rPr>
          <w:rFonts w:ascii="宋体" w:hAnsi="宋体" w:cs="宋体" w:eastAsia="宋体" w:hint="default"/>
          <w:w w:val="99"/>
          <w:sz w:val="32"/>
          <w:szCs w:val="32"/>
        </w:rPr>
        <w:t> </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Heading1"/>
        <w:spacing w:line="240" w:lineRule="auto"/>
        <w:ind w:left="2802" w:right="253"/>
        <w:jc w:val="left"/>
        <w:rPr>
          <w:b w:val="0"/>
          <w:bCs w:val="0"/>
        </w:rPr>
      </w:pPr>
      <w:bookmarkStart w:name="_bookmark0" w:id="1"/>
      <w:bookmarkEnd w:id="1"/>
      <w:r>
        <w:rPr>
          <w:b w:val="0"/>
          <w:bCs w:val="0"/>
        </w:rPr>
      </w:r>
      <w:r>
        <w:rPr/>
        <w:t>第一节</w:t>
      </w:r>
      <w:r>
        <w:rPr>
          <w:spacing w:val="-5"/>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25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52" w:right="2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公司负责人曾胜强、主管会计工作负责人黄毅及会计机构负责人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谌光荣声明：保证年度报告中财务报告的真实、准确、完整。</w:t>
      </w:r>
      <w:r>
        <w:rPr>
          <w:rFonts w:ascii="宋体" w:hAnsi="宋体" w:cs="宋体" w:eastAsia="宋体" w:hint="default"/>
          <w:sz w:val="28"/>
          <w:szCs w:val="28"/>
        </w:rPr>
      </w:r>
    </w:p>
    <w:p>
      <w:pPr>
        <w:spacing w:line="472" w:lineRule="auto" w:before="148"/>
        <w:ind w:left="714" w:right="25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公司存在经营风险、行业竞争加剧的风险、经营规模迅速扩张导致的管理</w:t>
      </w:r>
      <w:r>
        <w:rPr>
          <w:rFonts w:ascii="宋体" w:hAnsi="宋体" w:cs="宋体" w:eastAsia="宋体" w:hint="default"/>
          <w:spacing w:val="2"/>
          <w:sz w:val="28"/>
          <w:szCs w:val="28"/>
        </w:rPr>
      </w:r>
    </w:p>
    <w:p>
      <w:pPr>
        <w:spacing w:line="398" w:lineRule="auto" w:before="0"/>
        <w:ind w:left="152" w:right="251" w:firstLine="0"/>
        <w:jc w:val="both"/>
        <w:rPr>
          <w:rFonts w:ascii="宋体" w:hAnsi="宋体" w:cs="宋体" w:eastAsia="宋体" w:hint="default"/>
          <w:sz w:val="28"/>
          <w:szCs w:val="28"/>
        </w:rPr>
      </w:pPr>
      <w:r>
        <w:rPr>
          <w:rFonts w:ascii="宋体" w:hAnsi="宋体" w:cs="宋体" w:eastAsia="宋体" w:hint="default"/>
          <w:b/>
          <w:bCs/>
          <w:spacing w:val="2"/>
          <w:sz w:val="28"/>
          <w:szCs w:val="28"/>
        </w:rPr>
        <w:t>风险、现金流风险、新增固定资产折旧风险、运营成本增加带来的风险，敬请</w:t>
      </w:r>
      <w:r>
        <w:rPr>
          <w:rFonts w:ascii="宋体" w:hAnsi="宋体" w:cs="宋体" w:eastAsia="宋体" w:hint="default"/>
          <w:b/>
          <w:bCs/>
          <w:w w:val="99"/>
          <w:sz w:val="28"/>
          <w:szCs w:val="28"/>
        </w:rPr>
        <w:t> </w:t>
      </w:r>
      <w:r>
        <w:rPr>
          <w:rFonts w:ascii="宋体" w:hAnsi="宋体" w:cs="宋体" w:eastAsia="宋体" w:hint="default"/>
          <w:b/>
          <w:bCs/>
          <w:spacing w:val="-2"/>
          <w:sz w:val="28"/>
          <w:szCs w:val="28"/>
        </w:rPr>
        <w:t>广大投资者注意投资风险。详细内容见本报告</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第四节、九（四）公司面临的风</w:t>
      </w:r>
      <w:r>
        <w:rPr>
          <w:rFonts w:ascii="宋体" w:hAnsi="宋体" w:cs="宋体" w:eastAsia="宋体" w:hint="default"/>
          <w:b/>
          <w:bCs/>
          <w:spacing w:val="-134"/>
          <w:sz w:val="28"/>
          <w:szCs w:val="28"/>
        </w:rPr>
        <w:t> </w:t>
      </w:r>
      <w:r>
        <w:rPr>
          <w:rFonts w:ascii="宋体" w:hAnsi="宋体" w:cs="宋体" w:eastAsia="宋体" w:hint="default"/>
          <w:b/>
          <w:bCs/>
          <w:spacing w:val="-134"/>
          <w:sz w:val="28"/>
          <w:szCs w:val="28"/>
        </w:rPr>
      </w:r>
      <w:r>
        <w:rPr>
          <w:rFonts w:ascii="宋体" w:hAnsi="宋体" w:cs="宋体" w:eastAsia="宋体" w:hint="default"/>
          <w:b/>
          <w:bCs/>
          <w:sz w:val="28"/>
          <w:szCs w:val="28"/>
        </w:rPr>
        <w:t>险和应对措施</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w:t>
      </w:r>
      <w:r>
        <w:rPr>
          <w:rFonts w:ascii="宋体" w:hAnsi="宋体" w:cs="宋体" w:eastAsia="宋体" w:hint="default"/>
          <w:sz w:val="28"/>
          <w:szCs w:val="28"/>
        </w:rPr>
      </w:r>
    </w:p>
    <w:p>
      <w:pPr>
        <w:spacing w:before="133"/>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68"/>
          <w:sz w:val="28"/>
          <w:szCs w:val="28"/>
        </w:rPr>
        <w:t> </w:t>
      </w:r>
      <w:r>
        <w:rPr>
          <w:rFonts w:ascii="Times New Roman" w:hAnsi="Times New Roman" w:cs="Times New Roman" w:eastAsia="Times New Roman" w:hint="default"/>
          <w:b/>
          <w:bCs/>
          <w:sz w:val="28"/>
          <w:szCs w:val="28"/>
        </w:rPr>
        <w:t>515,156,948.00</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为基数，</w:t>
      </w:r>
      <w:r>
        <w:rPr>
          <w:rFonts w:ascii="宋体" w:hAnsi="宋体" w:cs="宋体" w:eastAsia="宋体" w:hint="default"/>
          <w:sz w:val="28"/>
          <w:szCs w:val="28"/>
        </w:rPr>
      </w:r>
    </w:p>
    <w:p>
      <w:pPr>
        <w:spacing w:line="386" w:lineRule="auto" w:before="236"/>
        <w:ind w:left="152" w:right="249" w:firstLine="0"/>
        <w:jc w:val="both"/>
        <w:rPr>
          <w:rFonts w:ascii="宋体" w:hAnsi="宋体" w:cs="宋体" w:eastAsia="宋体" w:hint="default"/>
          <w:sz w:val="28"/>
          <w:szCs w:val="28"/>
        </w:rPr>
      </w:pPr>
      <w:r>
        <w:rPr>
          <w:rFonts w:ascii="宋体" w:hAnsi="宋体" w:cs="宋体" w:eastAsia="宋体" w:hint="default"/>
          <w:b/>
          <w:bCs/>
          <w:w w:val="99"/>
          <w:sz w:val="28"/>
          <w:szCs w:val="28"/>
        </w:rPr>
        <w:t>向全体股东每</w:t>
      </w:r>
      <w:r>
        <w:rPr>
          <w:rFonts w:ascii="宋体" w:hAnsi="宋体" w:cs="宋体" w:eastAsia="宋体" w:hint="default"/>
          <w:b/>
          <w:bCs/>
          <w:spacing w:val="-70"/>
          <w:w w:val="99"/>
          <w:sz w:val="28"/>
          <w:szCs w:val="28"/>
        </w:rPr>
        <w:t> </w:t>
      </w:r>
      <w:r>
        <w:rPr>
          <w:rFonts w:ascii="Times New Roman" w:hAnsi="Times New Roman" w:cs="Times New Roman" w:eastAsia="Times New Roman" w:hint="default"/>
          <w:b/>
          <w:bCs/>
          <w:w w:val="100"/>
          <w:sz w:val="28"/>
          <w:szCs w:val="28"/>
        </w:rPr>
        <w:t>10</w:t>
      </w:r>
      <w:r>
        <w:rPr>
          <w:rFonts w:ascii="Times New Roman" w:hAnsi="Times New Roman" w:cs="Times New Roman" w:eastAsia="Times New Roman" w:hint="default"/>
          <w:b/>
          <w:bCs/>
          <w:spacing w:val="-1"/>
          <w:w w:val="100"/>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70"/>
          <w:w w:val="99"/>
          <w:sz w:val="28"/>
          <w:szCs w:val="28"/>
        </w:rPr>
        <w:t> </w:t>
      </w:r>
      <w:r>
        <w:rPr>
          <w:rFonts w:ascii="Times New Roman" w:hAnsi="Times New Roman" w:cs="Times New Roman" w:eastAsia="Times New Roman" w:hint="default"/>
          <w:b/>
          <w:bCs/>
          <w:w w:val="100"/>
          <w:sz w:val="28"/>
          <w:szCs w:val="28"/>
        </w:rPr>
        <w:t>0.50 </w:t>
      </w:r>
      <w:r>
        <w:rPr>
          <w:rFonts w:ascii="宋体" w:hAnsi="宋体" w:cs="宋体" w:eastAsia="宋体" w:hint="default"/>
          <w:b/>
          <w:bCs/>
          <w:spacing w:val="-22"/>
          <w:w w:val="99"/>
          <w:sz w:val="28"/>
          <w:szCs w:val="28"/>
        </w:rPr>
        <w:t>元（含税），送红股</w:t>
      </w:r>
      <w:r>
        <w:rPr>
          <w:rFonts w:ascii="宋体" w:hAnsi="宋体" w:cs="宋体" w:eastAsia="宋体" w:hint="default"/>
          <w:b/>
          <w:bCs/>
          <w:spacing w:val="-70"/>
          <w:w w:val="99"/>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11"/>
          <w:w w:val="100"/>
          <w:sz w:val="28"/>
          <w:szCs w:val="28"/>
        </w:rPr>
        <w:t> </w:t>
      </w:r>
      <w:r>
        <w:rPr>
          <w:rFonts w:ascii="宋体" w:hAnsi="宋体" w:cs="宋体" w:eastAsia="宋体" w:hint="default"/>
          <w:b/>
          <w:bCs/>
          <w:spacing w:val="-22"/>
          <w:w w:val="99"/>
          <w:sz w:val="28"/>
          <w:szCs w:val="28"/>
        </w:rPr>
        <w:t>股（含税），不以公</w:t>
      </w:r>
      <w:r>
        <w:rPr>
          <w:rFonts w:ascii="宋体" w:hAnsi="宋体" w:cs="宋体" w:eastAsia="宋体" w:hint="default"/>
          <w:b/>
          <w:bCs/>
          <w:w w:val="99"/>
          <w:sz w:val="28"/>
          <w:szCs w:val="28"/>
        </w:rPr>
        <w:t> </w:t>
      </w:r>
      <w:r>
        <w:rPr>
          <w:rFonts w:ascii="宋体" w:hAnsi="宋体" w:cs="宋体" w:eastAsia="宋体" w:hint="default"/>
          <w:b/>
          <w:bCs/>
          <w:sz w:val="28"/>
          <w:szCs w:val="28"/>
        </w:rPr>
        <w:t>积金转增股本。</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footerReference w:type="default" r:id="rId8"/>
          <w:pgSz w:w="11910" w:h="16840"/>
          <w:pgMar w:footer="980" w:header="745" w:top="1060" w:bottom="1160" w:left="980" w:right="8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3355" w:right="335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4"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4" w:val="right" w:leader="dot"/>
            </w:tabs>
            <w:spacing w:line="240" w:lineRule="auto" w:before="278"/>
            <w:ind w:right="0"/>
            <w:jc w:val="left"/>
            <w:rPr>
              <w:rFonts w:ascii="Times New Roman" w:hAnsi="Times New Roman" w:cs="Times New Roman" w:eastAsia="Times New Roman" w:hint="default"/>
              <w:b w:val="0"/>
              <w:bCs w:val="0"/>
            </w:rPr>
          </w:pPr>
          <w:hyperlink w:history="true" w:anchor="_bookmark1">
            <w:r>
              <w:rPr/>
              <w:t>第二节 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9"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2">
            <w:r>
              <w:rPr/>
              <w:t>第三节 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6"/>
              </w:rPr>
              <w:t>11</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 经营情况讨论与分析</w:t>
            </w:r>
            <w:r>
              <w:rPr>
                <w:rFonts w:ascii="Times New Roman" w:hAnsi="Times New Roman" w:cs="Times New Roman" w:eastAsia="Times New Roman" w:hint="default"/>
              </w:rPr>
              <w:tab/>
              <w:t>14</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 重要事项</w:t>
            </w:r>
            <w:r>
              <w:rPr>
                <w:rFonts w:ascii="Times New Roman" w:hAnsi="Times New Roman" w:cs="Times New Roman" w:eastAsia="Times New Roman" w:hint="default"/>
              </w:rPr>
              <w:tab/>
              <w:t>45</w:t>
            </w:r>
            <w:r>
              <w:rPr>
                <w:rFonts w:ascii="Times New Roman" w:hAnsi="Times New Roman" w:cs="Times New Roman" w:eastAsia="Times New Roman" w:hint="default"/>
                <w:b w:val="0"/>
                <w:bCs w:val="0"/>
              </w:rPr>
            </w:r>
          </w:hyperlink>
        </w:p>
        <w:p>
          <w:pPr>
            <w:pStyle w:val="TOC1"/>
            <w:tabs>
              <w:tab w:pos="9785"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5">
            <w:r>
              <w:rPr/>
              <w:t>第六节 股份变动及股东情况</w:t>
            </w:r>
            <w:r>
              <w:rPr>
                <w:rFonts w:ascii="Times New Roman" w:hAnsi="Times New Roman" w:cs="Times New Roman" w:eastAsia="Times New Roman" w:hint="default"/>
              </w:rPr>
              <w:tab/>
              <w:t>66</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 优先股相关情况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 董事、监事、高级管理人员和员工情况</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9784"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8">
            <w:r>
              <w:rPr/>
              <w:t>第九节 公司治理</w:t>
            </w:r>
            <w:r>
              <w:rPr>
                <w:rFonts w:ascii="Times New Roman" w:hAnsi="Times New Roman" w:cs="Times New Roman" w:eastAsia="Times New Roman" w:hint="default"/>
              </w:rPr>
              <w:tab/>
              <w:t>84</w:t>
            </w:r>
            <w:r>
              <w:rPr>
                <w:rFonts w:ascii="Times New Roman" w:hAnsi="Times New Roman" w:cs="Times New Roman" w:eastAsia="Times New Roman" w:hint="default"/>
                <w:b w:val="0"/>
                <w:bCs w:val="0"/>
              </w:rPr>
            </w:r>
          </w:hyperlink>
        </w:p>
        <w:p>
          <w:pPr>
            <w:pStyle w:val="TOC1"/>
            <w:tabs>
              <w:tab w:pos="9785"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 公司债券相关情况</w:t>
            </w:r>
            <w:r>
              <w:rPr>
                <w:rFonts w:ascii="Times New Roman" w:hAnsi="Times New Roman" w:cs="Times New Roman" w:eastAsia="Times New Roman" w:hint="default"/>
              </w:rPr>
              <w:tab/>
              <w:t>93</w:t>
            </w:r>
            <w:r>
              <w:rPr>
                <w:rFonts w:ascii="Times New Roman" w:hAnsi="Times New Roman" w:cs="Times New Roman" w:eastAsia="Times New Roman" w:hint="default"/>
                <w:b w:val="0"/>
                <w:bCs w:val="0"/>
              </w:rPr>
            </w:r>
          </w:hyperlink>
        </w:p>
        <w:p>
          <w:pPr>
            <w:pStyle w:val="TOC1"/>
            <w:tabs>
              <w:tab w:pos="9784"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2"/>
              </w:rPr>
              <w:t> </w:t>
            </w:r>
            <w:r>
              <w:rPr/>
              <w:t>财务报告</w:t>
            </w:r>
            <w:r>
              <w:rPr>
                <w:rFonts w:ascii="Times New Roman" w:hAnsi="Times New Roman" w:cs="Times New Roman" w:eastAsia="Times New Roman" w:hint="default"/>
              </w:rPr>
              <w:tab/>
              <w:t>100</w:t>
            </w:r>
            <w:r>
              <w:rPr>
                <w:rFonts w:ascii="Times New Roman" w:hAnsi="Times New Roman" w:cs="Times New Roman" w:eastAsia="Times New Roman" w:hint="default"/>
                <w:b w:val="0"/>
                <w:bCs w:val="0"/>
              </w:rPr>
            </w:r>
          </w:hyperlink>
        </w:p>
        <w:p>
          <w:pPr>
            <w:pStyle w:val="TOC1"/>
            <w:tabs>
              <w:tab w:pos="9784" w:val="right" w:leader="dot"/>
            </w:tabs>
            <w:spacing w:line="240" w:lineRule="auto" w:before="275"/>
            <w:ind w:right="0"/>
            <w:jc w:val="left"/>
            <w:rPr>
              <w:rFonts w:ascii="Times New Roman" w:hAnsi="Times New Roman" w:cs="Times New Roman" w:eastAsia="Times New Roman" w:hint="default"/>
              <w:b w:val="0"/>
              <w:bCs w:val="0"/>
            </w:rPr>
          </w:pPr>
          <w:hyperlink w:history="true" w:anchor="_bookmark11">
            <w:r>
              <w:rPr/>
              <w:t>第十二节</w:t>
            </w:r>
            <w:r>
              <w:rPr>
                <w:spacing w:val="-2"/>
              </w:rPr>
              <w:t> </w:t>
            </w:r>
            <w:r>
              <w:rPr/>
              <w:t>备查文件目录</w:t>
            </w:r>
            <w:r>
              <w:rPr>
                <w:rFonts w:ascii="Times New Roman" w:hAnsi="Times New Roman" w:cs="Times New Roman" w:eastAsia="Times New Roman" w:hint="default"/>
              </w:rPr>
              <w:tab/>
              <w:t>208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b/>
          <w:bCs/>
          <w:sz w:val="32"/>
          <w:szCs w:val="32"/>
        </w:rPr>
      </w:pPr>
    </w:p>
    <w:p>
      <w:pPr>
        <w:spacing w:line="240" w:lineRule="auto" w:before="0"/>
        <w:rPr>
          <w:rFonts w:ascii="Times New Roman" w:hAnsi="Times New Roman" w:cs="Times New Roman" w:eastAsia="Times New Roman" w:hint="default"/>
          <w:b/>
          <w:bCs/>
          <w:sz w:val="32"/>
          <w:szCs w:val="32"/>
        </w:rPr>
      </w:pPr>
    </w:p>
    <w:p>
      <w:pPr>
        <w:spacing w:line="240" w:lineRule="auto" w:before="3"/>
        <w:rPr>
          <w:rFonts w:ascii="Times New Roman" w:hAnsi="Times New Roman" w:cs="Times New Roman" w:eastAsia="Times New Roman" w:hint="default"/>
          <w:b/>
          <w:bCs/>
          <w:sz w:val="30"/>
          <w:szCs w:val="30"/>
        </w:rPr>
      </w:pPr>
    </w:p>
    <w:p>
      <w:pPr>
        <w:spacing w:before="0"/>
        <w:ind w:left="3355" w:right="3355"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53"/>
        <w:gridCol w:w="582"/>
        <w:gridCol w:w="5436"/>
      </w:tblGrid>
      <w:tr>
        <w:trPr>
          <w:trHeight w:val="401" w:hRule="exact"/>
        </w:trPr>
        <w:tc>
          <w:tcPr>
            <w:tcW w:w="3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4"/>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证通电子</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证通金信</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深圳市证通金信科技有限公司</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证通佳明</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深圳市证通佳明光电有限公司</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贵州证通光电</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贵州证通光电有限公司</w:t>
            </w:r>
          </w:p>
        </w:tc>
      </w:tr>
      <w:tr>
        <w:trPr>
          <w:trHeight w:val="404"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定州中标</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定州市中标节能技术服务有限公司</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证通南非</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SZZT</w:t>
            </w:r>
            <w:r>
              <w:rPr>
                <w:rFonts w:ascii="Times New Roman" w:hAnsi="Times New Roman" w:cs="Times New Roman" w:eastAsia="Times New Roman" w:hint="default"/>
                <w:spacing w:val="-17"/>
                <w:sz w:val="18"/>
                <w:szCs w:val="18"/>
              </w:rPr>
              <w:t> </w:t>
            </w:r>
            <w:r>
              <w:rPr>
                <w:rFonts w:ascii="Times New Roman" w:hAnsi="Times New Roman" w:cs="Times New Roman" w:eastAsia="Times New Roman" w:hint="default"/>
                <w:sz w:val="18"/>
                <w:szCs w:val="18"/>
              </w:rPr>
              <w:t>Africa</w:t>
            </w:r>
            <w:r>
              <w:rPr>
                <w:rFonts w:ascii="宋体" w:hAnsi="宋体" w:cs="宋体" w:eastAsia="宋体" w:hint="default"/>
                <w:sz w:val="18"/>
                <w:szCs w:val="18"/>
              </w:rPr>
              <w:t>，</w:t>
            </w:r>
            <w:r>
              <w:rPr>
                <w:rFonts w:ascii="Times New Roman" w:hAnsi="Times New Roman" w:cs="Times New Roman" w:eastAsia="Times New Roman" w:hint="default"/>
                <w:sz w:val="18"/>
                <w:szCs w:val="18"/>
              </w:rPr>
              <w:t>SZZT</w:t>
            </w:r>
            <w:r>
              <w:rPr>
                <w:rFonts w:ascii="Times New Roman" w:hAnsi="Times New Roman" w:cs="Times New Roman" w:eastAsia="Times New Roman" w:hint="default"/>
                <w:spacing w:val="-8"/>
                <w:sz w:val="18"/>
                <w:szCs w:val="18"/>
              </w:rPr>
              <w:t> </w:t>
            </w:r>
            <w:r>
              <w:rPr>
                <w:rFonts w:ascii="Times New Roman" w:hAnsi="Times New Roman" w:cs="Times New Roman" w:eastAsia="Times New Roman" w:hint="default"/>
                <w:sz w:val="18"/>
                <w:szCs w:val="18"/>
              </w:rPr>
              <w:t>SOUTH</w:t>
            </w:r>
            <w:r>
              <w:rPr>
                <w:rFonts w:ascii="Times New Roman" w:hAnsi="Times New Roman" w:cs="Times New Roman" w:eastAsia="Times New Roman" w:hint="default"/>
                <w:spacing w:val="-12"/>
                <w:sz w:val="18"/>
                <w:szCs w:val="18"/>
              </w:rPr>
              <w:t> </w:t>
            </w:r>
            <w:r>
              <w:rPr>
                <w:rFonts w:ascii="Times New Roman" w:hAnsi="Times New Roman" w:cs="Times New Roman" w:eastAsia="Times New Roman" w:hint="default"/>
                <w:sz w:val="18"/>
                <w:szCs w:val="18"/>
              </w:rPr>
              <w:t>Africa(PTY).,Ltd</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证通国际</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证通国际投资有限公司</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证通网络</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广州证通网络科技有限公司，系原广州佩博利思电子科技有限公司</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四川蜀信易</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四川蜀信易电子商务有限公司</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证通邦客</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证通邦客（广州）信息科技有限公司</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云硕科技</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广州云硕科技发展有限公司</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宏达通信</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广东宏达通信有限公司</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长沙证通</w:t>
            </w:r>
            <w:r>
              <w:rPr>
                <w:rFonts w:ascii="Times New Roman" w:hAnsi="Times New Roman" w:cs="Times New Roman" w:eastAsia="Times New Roman" w:hint="default"/>
                <w:sz w:val="18"/>
                <w:szCs w:val="18"/>
              </w:rPr>
              <w:t>/</w:t>
            </w:r>
            <w:r>
              <w:rPr>
                <w:rFonts w:ascii="宋体" w:hAnsi="宋体" w:cs="宋体" w:eastAsia="宋体" w:hint="default"/>
                <w:sz w:val="18"/>
                <w:szCs w:val="18"/>
              </w:rPr>
              <w:t>长沙证通云计算</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长沙证通云计算有限公司</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深圳证通云计算</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深圳市证通云计算有限公司</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证通普润</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深圳市证通普润电子有限公司</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证通数码</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江苏睿博</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江苏睿博数据技术有限公司</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江苏中茂</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江苏中茂节能环保产业创业投资基金（有限合伙）</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鹏鼎创盈</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深圳市鹏鼎创盈金融信息服务股份有限公司</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益趣科技</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杭州益趣科技有限公司</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通新源物业</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盛灿科技</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深圳盛灿科技股份有限公司</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中信建投</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高新投</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深圳市高新投集团有限公司</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中勤万信</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鹏元资信</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鹏元资信评估有限公司</w:t>
            </w:r>
          </w:p>
        </w:tc>
      </w:tr>
      <w:tr>
        <w:trPr>
          <w:trHeight w:val="403"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55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人民币元、万元、亿元</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r>
        <w:rPr/>
        <w:pict>
          <v:shape style="position:absolute;margin-left:56.400002pt;margin-top:71.999985pt;width:479.3pt;height:694.9pt;mso-position-horizontal-relative:page;mso-position-vertical-relative:page;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深圳市证通电子股份有限公司股东大会</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深圳市证通电子股份有限公司董事会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深圳市证通电子股份有限公司监事会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《深圳市证通电子股份有限公司章程》</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农业银行</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建设银行</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中国银行</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中国银行股份有限公司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邮政储蓄银行</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中国邮政储蓄银行股份有限公司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交通银行</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交通银行股份有限公司</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电话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E-POS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1"/>
                          <w:jc w:val="left"/>
                          <w:rPr>
                            <w:rFonts w:ascii="宋体" w:hAnsi="宋体" w:cs="宋体" w:eastAsia="宋体" w:hint="default"/>
                            <w:sz w:val="18"/>
                            <w:szCs w:val="18"/>
                          </w:rPr>
                        </w:pPr>
                        <w:r>
                          <w:rPr>
                            <w:rFonts w:ascii="宋体" w:hAnsi="宋体" w:cs="宋体" w:eastAsia="宋体" w:hint="default"/>
                            <w:sz w:val="18"/>
                            <w:szCs w:val="18"/>
                          </w:rPr>
                          <w:t>是在普通电话的基础上集成了</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LCD </w:t>
                        </w:r>
                        <w:r>
                          <w:rPr>
                            <w:rFonts w:ascii="宋体" w:hAnsi="宋体" w:cs="宋体" w:eastAsia="宋体" w:hint="default"/>
                            <w:sz w:val="18"/>
                            <w:szCs w:val="18"/>
                          </w:rPr>
                          <w:t>大屏幕、磁条卡读卡器，</w:t>
                        </w:r>
                        <w:r>
                          <w:rPr>
                            <w:rFonts w:ascii="Times New Roman" w:hAnsi="Times New Roman" w:cs="Times New Roman" w:eastAsia="Times New Roman" w:hint="default"/>
                            <w:sz w:val="18"/>
                            <w:szCs w:val="18"/>
                          </w:rPr>
                          <w:t>IC </w:t>
                        </w:r>
                        <w:r>
                          <w:rPr>
                            <w:rFonts w:ascii="宋体" w:hAnsi="宋体" w:cs="宋体" w:eastAsia="宋体" w:hint="default"/>
                            <w:sz w:val="18"/>
                            <w:szCs w:val="18"/>
                          </w:rPr>
                          <w:t>卡读 卡器、加密键盘等设备的金融刷卡支付终端</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自助服务终端</w:t>
                        </w:r>
                        <w:r>
                          <w:rPr>
                            <w:rFonts w:ascii="Times New Roman" w:hAnsi="Times New Roman" w:cs="Times New Roman" w:eastAsia="Times New Roman" w:hint="default"/>
                            <w:sz w:val="18"/>
                            <w:szCs w:val="18"/>
                          </w:rPr>
                          <w:t>/</w:t>
                        </w:r>
                        <w:r>
                          <w:rPr>
                            <w:rFonts w:ascii="宋体" w:hAnsi="宋体" w:cs="宋体" w:eastAsia="宋体" w:hint="default"/>
                            <w:sz w:val="18"/>
                            <w:szCs w:val="18"/>
                          </w:rPr>
                          <w:t>自助终端</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
                          <w:jc w:val="left"/>
                          <w:rPr>
                            <w:rFonts w:ascii="宋体" w:hAnsi="宋体" w:cs="宋体" w:eastAsia="宋体" w:hint="default"/>
                            <w:sz w:val="18"/>
                            <w:szCs w:val="18"/>
                          </w:rPr>
                        </w:pPr>
                        <w:r>
                          <w:rPr>
                            <w:rFonts w:ascii="宋体" w:hAnsi="宋体" w:cs="宋体" w:eastAsia="宋体" w:hint="default"/>
                            <w:spacing w:val="-5"/>
                            <w:sz w:val="18"/>
                            <w:szCs w:val="18"/>
                          </w:rPr>
                          <w:t>一个由硬件和软件组成的，允许用户通过简单的界面（例如：触摸屏</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1"/>
                            <w:sz w:val="18"/>
                            <w:szCs w:val="18"/>
                          </w:rPr>
                          <w:t>小键盘等）与之进行交互式自助服务的设备，用于替代人工服务。如</w:t>
                        </w:r>
                        <w:r>
                          <w:rPr>
                            <w:rFonts w:ascii="宋体" w:hAnsi="宋体" w:cs="宋体" w:eastAsia="宋体" w:hint="default"/>
                            <w:sz w:val="18"/>
                            <w:szCs w:val="18"/>
                          </w:rPr>
                          <w:t> 银行自助服务终端、自助发卡机等。</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POS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全称</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Point Of</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Sells</w:t>
                        </w:r>
                        <w:r>
                          <w:rPr>
                            <w:rFonts w:ascii="宋体" w:hAnsi="宋体" w:cs="宋体" w:eastAsia="宋体" w:hint="default"/>
                            <w:sz w:val="18"/>
                            <w:szCs w:val="18"/>
                          </w:rPr>
                          <w:t>，电子收款机系统</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终端</w:t>
                        </w:r>
                        <w:r>
                          <w:rPr>
                            <w:rFonts w:ascii="Times New Roman" w:hAnsi="Times New Roman" w:cs="Times New Roman" w:eastAsia="Times New Roman" w:hint="default"/>
                            <w:sz w:val="18"/>
                            <w:szCs w:val="18"/>
                          </w:rPr>
                          <w:t>/</w:t>
                        </w:r>
                        <w:r>
                          <w:rPr>
                            <w:rFonts w:ascii="宋体" w:hAnsi="宋体" w:cs="宋体" w:eastAsia="宋体" w:hint="default"/>
                            <w:sz w:val="18"/>
                            <w:szCs w:val="18"/>
                          </w:rPr>
                          <w:t>脱机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一种受理金融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卡使用的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终端，能够受理接触或非接触金融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IC</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卡</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安全芯片</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48"/>
                          <w:jc w:val="left"/>
                          <w:rPr>
                            <w:rFonts w:ascii="宋体" w:hAnsi="宋体" w:cs="宋体" w:eastAsia="宋体" w:hint="default"/>
                            <w:sz w:val="18"/>
                            <w:szCs w:val="18"/>
                          </w:rPr>
                        </w:pPr>
                        <w:r>
                          <w:rPr>
                            <w:rFonts w:ascii="宋体" w:hAnsi="宋体" w:cs="宋体" w:eastAsia="宋体" w:hint="default"/>
                            <w:sz w:val="18"/>
                            <w:szCs w:val="18"/>
                          </w:rPr>
                          <w:t>公司研发的具有自主知识产权的符合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PCI3.0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PBOC4.0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认证标准的</w:t>
                        </w:r>
                        <w:r>
                          <w:rPr>
                            <w:rFonts w:ascii="宋体" w:hAnsi="宋体" w:cs="宋体" w:eastAsia="宋体" w:hint="default"/>
                            <w:w w:val="99"/>
                            <w:sz w:val="18"/>
                            <w:szCs w:val="18"/>
                          </w:rPr>
                          <w:t> </w:t>
                        </w:r>
                        <w:r>
                          <w:rPr>
                            <w:rFonts w:ascii="宋体" w:hAnsi="宋体" w:cs="宋体" w:eastAsia="宋体" w:hint="default"/>
                            <w:sz w:val="18"/>
                            <w:szCs w:val="18"/>
                          </w:rPr>
                          <w:t>支付卡行业专用安全芯片</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both"/>
                          <w:rPr>
                            <w:rFonts w:ascii="宋体" w:hAnsi="宋体" w:cs="宋体" w:eastAsia="宋体" w:hint="default"/>
                            <w:sz w:val="18"/>
                            <w:szCs w:val="18"/>
                          </w:rPr>
                        </w:pPr>
                        <w:r>
                          <w:rPr>
                            <w:rFonts w:ascii="宋体" w:hAnsi="宋体" w:cs="宋体" w:eastAsia="宋体" w:hint="default"/>
                            <w:spacing w:val="-2"/>
                            <w:sz w:val="18"/>
                            <w:szCs w:val="18"/>
                          </w:rPr>
                          <w:t>由商业银行（信用社）或支付机构发行的，采用集成电路技术，遵循</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国家金融行业标准，具有消费信用、转账结算、现金存取全部或部分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金融功能，可以具有其他商业服务和社会管理功能的金融工具。</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LED</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92"/>
                          <w:jc w:val="left"/>
                          <w:rPr>
                            <w:rFonts w:ascii="宋体" w:hAnsi="宋体" w:cs="宋体" w:eastAsia="宋体" w:hint="default"/>
                            <w:sz w:val="18"/>
                            <w:szCs w:val="18"/>
                          </w:rPr>
                        </w:pPr>
                        <w:r>
                          <w:rPr>
                            <w:rFonts w:ascii="宋体" w:hAnsi="宋体" w:cs="宋体" w:eastAsia="宋体" w:hint="default"/>
                            <w:sz w:val="18"/>
                            <w:szCs w:val="18"/>
                          </w:rPr>
                          <w:t>全称为</w:t>
                        </w:r>
                        <w:r>
                          <w:rPr>
                            <w:rFonts w:ascii="Times New Roman" w:hAnsi="Times New Roman" w:cs="Times New Roman" w:eastAsia="Times New Roman" w:hint="default"/>
                            <w:sz w:val="18"/>
                            <w:szCs w:val="18"/>
                          </w:rPr>
                          <w:t>"Light Emitting</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Diode"</w:t>
                        </w:r>
                        <w:r>
                          <w:rPr>
                            <w:rFonts w:ascii="宋体" w:hAnsi="宋体" w:cs="宋体" w:eastAsia="宋体" w:hint="default"/>
                            <w:sz w:val="18"/>
                            <w:szCs w:val="18"/>
                          </w:rPr>
                          <w:t>，指发光二极管，是一种可以将电能转 化为光能的电子器件</w:t>
                        </w:r>
                      </w:p>
                    </w:tc>
                  </w:tr>
                  <w:tr>
                    <w:trPr>
                      <w:trHeight w:val="102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EMC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both"/>
                          <w:rPr>
                            <w:rFonts w:ascii="宋体" w:hAnsi="宋体" w:cs="宋体" w:eastAsia="宋体" w:hint="default"/>
                            <w:sz w:val="18"/>
                            <w:szCs w:val="18"/>
                          </w:rPr>
                        </w:pPr>
                        <w:r>
                          <w:rPr>
                            <w:rFonts w:ascii="宋体" w:hAnsi="宋体" w:cs="宋体" w:eastAsia="宋体" w:hint="default"/>
                            <w:spacing w:val="-2"/>
                            <w:sz w:val="18"/>
                            <w:szCs w:val="18"/>
                          </w:rPr>
                          <w:t>合同能源管理，由节能服务公司与用户签订能源管理合同、约定节能</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目标，为用户提供节能诊断、融资、改造等服务，并以节能效益分享</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方式回收投资和获得合理利润。</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模式</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Build and</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transfer</w:t>
                        </w:r>
                        <w:r>
                          <w:rPr>
                            <w:rFonts w:ascii="宋体" w:hAnsi="宋体" w:cs="宋体" w:eastAsia="宋体" w:hint="default"/>
                            <w:sz w:val="18"/>
                            <w:szCs w:val="18"/>
                          </w:rPr>
                          <w:t>，即</w:t>
                        </w:r>
                        <w:r>
                          <w:rPr>
                            <w:rFonts w:ascii="Times New Roman" w:hAnsi="Times New Roman" w:cs="Times New Roman" w:eastAsia="Times New Roman" w:hint="default"/>
                            <w:sz w:val="18"/>
                            <w:szCs w:val="18"/>
                          </w:rPr>
                          <w:t>"</w:t>
                        </w:r>
                        <w:r>
                          <w:rPr>
                            <w:rFonts w:ascii="宋体" w:hAnsi="宋体" w:cs="宋体" w:eastAsia="宋体" w:hint="default"/>
                            <w:sz w:val="18"/>
                            <w:szCs w:val="18"/>
                          </w:rPr>
                          <w:t>建设</w:t>
                        </w:r>
                        <w:r>
                          <w:rPr>
                            <w:rFonts w:ascii="Times New Roman" w:hAnsi="Times New Roman" w:cs="Times New Roman" w:eastAsia="Times New Roman" w:hint="default"/>
                            <w:sz w:val="18"/>
                            <w:szCs w:val="18"/>
                          </w:rPr>
                          <w:t>-</w:t>
                        </w:r>
                        <w:r>
                          <w:rPr>
                            <w:rFonts w:ascii="宋体" w:hAnsi="宋体" w:cs="宋体" w:eastAsia="宋体" w:hint="default"/>
                            <w:sz w:val="18"/>
                            <w:szCs w:val="18"/>
                          </w:rPr>
                          <w:t>移交</w:t>
                        </w:r>
                        <w:r>
                          <w:rPr>
                            <w:rFonts w:ascii="Times New Roman" w:hAnsi="Times New Roman" w:cs="Times New Roman" w:eastAsia="Times New Roman" w:hint="default"/>
                            <w:sz w:val="18"/>
                            <w:szCs w:val="18"/>
                          </w:rPr>
                          <w:t>"</w:t>
                        </w:r>
                        <w:r>
                          <w:rPr>
                            <w:rFonts w:ascii="宋体" w:hAnsi="宋体" w:cs="宋体" w:eastAsia="宋体" w:hint="default"/>
                            <w:sz w:val="18"/>
                            <w:szCs w:val="18"/>
                          </w:rPr>
                          <w:t>，由政府或代理公司与业务承接方 </w:t>
                        </w:r>
                        <w:r>
                          <w:rPr>
                            <w:rFonts w:ascii="宋体" w:hAnsi="宋体" w:cs="宋体" w:eastAsia="宋体" w:hint="default"/>
                            <w:spacing w:val="-2"/>
                            <w:sz w:val="18"/>
                            <w:szCs w:val="18"/>
                          </w:rPr>
                          <w:t>签订市政工程项目投资建设回购协议，并授权业务承接方代理其实施</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投融资职能进行市政工程建设，工程完工后移交政府，政府根据回购</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协议在规定的期限内支付回购资金（含投资回报）的经营方式。</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O2O</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Online</w:t>
                        </w:r>
                        <w:r>
                          <w:rPr>
                            <w:rFonts w:ascii="Times New Roman" w:hAnsi="Times New Roman" w:cs="Times New Roman" w:eastAsia="Times New Roman" w:hint="default"/>
                            <w:spacing w:val="2"/>
                            <w:w w:val="99"/>
                            <w:sz w:val="18"/>
                            <w:szCs w:val="18"/>
                          </w:rPr>
                          <w:t> </w:t>
                        </w:r>
                        <w:r>
                          <w:rPr>
                            <w:rFonts w:ascii="Times New Roman" w:hAnsi="Times New Roman" w:cs="Times New Roman" w:eastAsia="Times New Roman" w:hint="default"/>
                            <w:spacing w:val="-7"/>
                            <w:sz w:val="18"/>
                            <w:szCs w:val="18"/>
                          </w:rPr>
                          <w:t>To</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4"/>
                            <w:w w:val="99"/>
                            <w:sz w:val="18"/>
                            <w:szCs w:val="18"/>
                          </w:rPr>
                          <w:t>Offline</w:t>
                        </w:r>
                        <w:r>
                          <w:rPr>
                            <w:rFonts w:ascii="宋体" w:hAnsi="宋体" w:cs="宋体" w:eastAsia="宋体" w:hint="default"/>
                            <w:spacing w:val="-4"/>
                            <w:w w:val="99"/>
                            <w:sz w:val="18"/>
                            <w:szCs w:val="18"/>
                          </w:rPr>
                          <w:t>（在线离线</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线上到线下），是指将线下的商务机会与</w:t>
                        </w:r>
                        <w:r>
                          <w:rPr>
                            <w:rFonts w:ascii="宋体" w:hAnsi="宋体" w:cs="宋体" w:eastAsia="宋体" w:hint="default"/>
                            <w:spacing w:val="-88"/>
                            <w:w w:val="99"/>
                            <w:sz w:val="18"/>
                            <w:szCs w:val="18"/>
                          </w:rPr>
                          <w:t> </w:t>
                        </w:r>
                        <w:r>
                          <w:rPr>
                            <w:rFonts w:ascii="宋体" w:hAnsi="宋体" w:cs="宋体" w:eastAsia="宋体" w:hint="default"/>
                            <w:spacing w:val="-88"/>
                            <w:w w:val="99"/>
                            <w:sz w:val="18"/>
                            <w:szCs w:val="18"/>
                          </w:rPr>
                        </w:r>
                        <w:r>
                          <w:rPr>
                            <w:rFonts w:ascii="宋体" w:hAnsi="宋体" w:cs="宋体" w:eastAsia="宋体" w:hint="default"/>
                            <w:sz w:val="18"/>
                            <w:szCs w:val="18"/>
                          </w:rPr>
                          <w:t>互联网结合，让互联网成为线下交易的前台。</w:t>
                        </w:r>
                      </w:p>
                    </w:tc>
                  </w:tr>
                  <w:tr>
                    <w:trPr>
                      <w:trHeight w:val="67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IDC</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0"/>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t>Internet </w:t>
                        </w:r>
                        <w:r>
                          <w:rPr>
                            <w:rFonts w:ascii="Times New Roman" w:hAnsi="Times New Roman" w:cs="Times New Roman" w:eastAsia="Times New Roman" w:hint="default"/>
                            <w:spacing w:val="-1"/>
                            <w:w w:val="99"/>
                            <w:sz w:val="18"/>
                            <w:szCs w:val="18"/>
                          </w:rPr>
                          <w:t>Data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4"/>
                            <w:sz w:val="18"/>
                            <w:szCs w:val="18"/>
                          </w:rPr>
                          <w:t>Center</w:t>
                        </w:r>
                        <w:r>
                          <w:rPr>
                            <w:rFonts w:ascii="宋体" w:hAnsi="宋体" w:cs="宋体" w:eastAsia="宋体" w:hint="default"/>
                            <w:spacing w:val="-4"/>
                            <w:sz w:val="18"/>
                            <w:szCs w:val="18"/>
                          </w:rPr>
                          <w:t>（互联网数据中心），是指拥有高速互联网宽带接</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入、高性能局域网络、安全可靠地机房环境等完善设备、专业化的管</w:t>
                        </w:r>
                      </w:p>
                    </w:tc>
                  </w:tr>
                </w:tbl>
                <w:p>
                  <w:pP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BodyText"/>
        <w:spacing w:line="240" w:lineRule="auto"/>
        <w:ind w:left="0" w:right="159"/>
        <w:jc w:val="right"/>
      </w:pPr>
      <w:r>
        <w:rPr/>
        <w:t>、</w:t>
      </w:r>
    </w:p>
    <w:p>
      <w:pPr>
        <w:spacing w:after="0" w:line="240" w:lineRule="auto"/>
        <w:jc w:val="righ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9"/>
          <w:szCs w:val="29"/>
        </w:rPr>
      </w:pPr>
    </w:p>
    <w:p>
      <w:pPr>
        <w:pStyle w:val="BodyText"/>
        <w:spacing w:line="240" w:lineRule="auto" w:before="44"/>
        <w:ind w:left="0" w:right="156"/>
        <w:jc w:val="right"/>
      </w:pPr>
      <w:r>
        <w:rPr/>
        <w:pict>
          <v:shape style="position:absolute;margin-left:56.400002pt;margin-top:-183.868256pt;width:479.3pt;height:234.9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5"/>
                    <w:gridCol w:w="620"/>
                    <w:gridCol w:w="5425"/>
                  </w:tblGrid>
                  <w:tr>
                    <w:trPr>
                      <w:trHeight w:val="987" w:hRule="exact"/>
                    </w:trPr>
                    <w:tc>
                      <w:tcPr>
                        <w:tcW w:w="3525"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9"/>
                          <w:jc w:val="both"/>
                          <w:rPr>
                            <w:rFonts w:ascii="宋体" w:hAnsi="宋体" w:cs="宋体" w:eastAsia="宋体" w:hint="default"/>
                            <w:sz w:val="18"/>
                            <w:szCs w:val="18"/>
                          </w:rPr>
                        </w:pPr>
                        <w:r>
                          <w:rPr>
                            <w:rFonts w:ascii="宋体" w:hAnsi="宋体" w:cs="宋体" w:eastAsia="宋体" w:hint="default"/>
                            <w:spacing w:val="-6"/>
                            <w:sz w:val="18"/>
                            <w:szCs w:val="18"/>
                          </w:rPr>
                          <w:t>理、完善的应用级服务的服务平台。通过 </w:t>
                        </w:r>
                        <w:r>
                          <w:rPr>
                            <w:rFonts w:ascii="Times New Roman" w:hAnsi="Times New Roman" w:cs="Times New Roman" w:eastAsia="Times New Roman" w:hint="default"/>
                            <w:sz w:val="18"/>
                            <w:szCs w:val="18"/>
                          </w:rPr>
                          <w:t>IDC </w:t>
                        </w:r>
                        <w:r>
                          <w:rPr>
                            <w:rFonts w:ascii="宋体" w:hAnsi="宋体" w:cs="宋体" w:eastAsia="宋体" w:hint="default"/>
                            <w:spacing w:val="-6"/>
                            <w:sz w:val="18"/>
                            <w:szCs w:val="18"/>
                          </w:rPr>
                          <w:t>这个服务平台，</w:t>
                        </w:r>
                        <w:r>
                          <w:rPr>
                            <w:rFonts w:ascii="Times New Roman" w:hAnsi="Times New Roman" w:cs="Times New Roman" w:eastAsia="Times New Roman" w:hint="default"/>
                            <w:spacing w:val="-6"/>
                            <w:sz w:val="18"/>
                            <w:szCs w:val="18"/>
                          </w:rPr>
                          <w:t>IDC</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服 务商为企事业单位和 </w:t>
                        </w:r>
                        <w:r>
                          <w:rPr>
                            <w:rFonts w:ascii="Times New Roman" w:hAnsi="Times New Roman" w:cs="Times New Roman" w:eastAsia="Times New Roman" w:hint="default"/>
                            <w:sz w:val="18"/>
                            <w:szCs w:val="18"/>
                          </w:rPr>
                          <w:t>ISP</w:t>
                        </w:r>
                        <w:r>
                          <w:rPr>
                            <w:rFonts w:ascii="宋体" w:hAnsi="宋体" w:cs="宋体" w:eastAsia="宋体" w:hint="default"/>
                            <w:sz w:val="18"/>
                            <w:szCs w:val="18"/>
                          </w:rPr>
                          <w:t>、</w:t>
                        </w:r>
                        <w:r>
                          <w:rPr>
                            <w:rFonts w:ascii="Times New Roman" w:hAnsi="Times New Roman" w:cs="Times New Roman" w:eastAsia="Times New Roman" w:hint="default"/>
                            <w:sz w:val="18"/>
                            <w:szCs w:val="18"/>
                          </w:rPr>
                          <w:t>ICP</w:t>
                        </w:r>
                        <w:r>
                          <w:rPr>
                            <w:rFonts w:ascii="宋体" w:hAnsi="宋体" w:cs="宋体" w:eastAsia="宋体" w:hint="default"/>
                            <w:sz w:val="18"/>
                            <w:szCs w:val="18"/>
                          </w:rPr>
                          <w:t>、</w:t>
                        </w:r>
                        <w:r>
                          <w:rPr>
                            <w:rFonts w:ascii="Times New Roman" w:hAnsi="Times New Roman" w:cs="Times New Roman" w:eastAsia="Times New Roman" w:hint="default"/>
                            <w:sz w:val="18"/>
                            <w:szCs w:val="18"/>
                          </w:rPr>
                          <w:t>ASP</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等客户提供互联网基础平台服 务及其他的各种增值服务。</w:t>
                        </w:r>
                      </w:p>
                    </w:tc>
                  </w:tr>
                  <w:tr>
                    <w:trPr>
                      <w:trHeight w:val="1649"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云计算</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8"/>
                          <w:jc w:val="left"/>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NIST</w:t>
                        </w:r>
                        <w:r>
                          <w:rPr>
                            <w:rFonts w:ascii="宋体" w:hAnsi="宋体" w:cs="宋体" w:eastAsia="宋体" w:hint="default"/>
                            <w:sz w:val="18"/>
                            <w:szCs w:val="18"/>
                          </w:rPr>
                          <w:t>（美国国家标准与技术研究院）的定义，云计算是一种能 </w:t>
                        </w:r>
                        <w:r>
                          <w:rPr>
                            <w:rFonts w:ascii="宋体" w:hAnsi="宋体" w:cs="宋体" w:eastAsia="宋体" w:hint="default"/>
                            <w:spacing w:val="-1"/>
                            <w:sz w:val="18"/>
                            <w:szCs w:val="18"/>
                          </w:rPr>
                          <w:t>够通过网络以便利的、按需付费的方式获取计算资源（包括网络、服</w:t>
                        </w:r>
                        <w:r>
                          <w:rPr>
                            <w:rFonts w:ascii="宋体" w:hAnsi="宋体" w:cs="宋体" w:eastAsia="宋体" w:hint="default"/>
                            <w:sz w:val="18"/>
                            <w:szCs w:val="18"/>
                          </w:rPr>
                          <w:t> </w:t>
                        </w:r>
                        <w:r>
                          <w:rPr>
                            <w:rFonts w:ascii="宋体" w:hAnsi="宋体" w:cs="宋体" w:eastAsia="宋体" w:hint="default"/>
                            <w:spacing w:val="-2"/>
                            <w:sz w:val="18"/>
                            <w:szCs w:val="18"/>
                          </w:rPr>
                          <w:t>务器、存储、应用和服务等）并提高其可用性的模式，这些资源来自</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一个共享的、可配置的资源池，并能够以最省力和无人干预的方式获</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取和释放</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OEM</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36"/>
                          <w:jc w:val="left"/>
                          <w:rPr>
                            <w:rFonts w:ascii="宋体" w:hAnsi="宋体" w:cs="宋体" w:eastAsia="宋体" w:hint="default"/>
                            <w:sz w:val="18"/>
                            <w:szCs w:val="18"/>
                          </w:rPr>
                        </w:pPr>
                        <w:r>
                          <w:rPr>
                            <w:rFonts w:ascii="宋体" w:hAnsi="宋体" w:cs="宋体" w:eastAsia="宋体" w:hint="default"/>
                            <w:sz w:val="18"/>
                            <w:szCs w:val="18"/>
                          </w:rPr>
                          <w:t>全称</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Original</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Equipment</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Manufacturer</w:t>
                        </w:r>
                        <w:r>
                          <w:rPr>
                            <w:rFonts w:ascii="宋体" w:hAnsi="宋体" w:cs="宋体" w:eastAsia="宋体" w:hint="default"/>
                            <w:sz w:val="18"/>
                            <w:szCs w:val="18"/>
                          </w:rPr>
                          <w:t>，意为</w:t>
                        </w:r>
                        <w:r>
                          <w:rPr>
                            <w:rFonts w:ascii="Times New Roman" w:hAnsi="Times New Roman" w:cs="Times New Roman" w:eastAsia="Times New Roman" w:hint="default"/>
                            <w:sz w:val="18"/>
                            <w:szCs w:val="18"/>
                          </w:rPr>
                          <w:t>"</w:t>
                        </w:r>
                        <w:r>
                          <w:rPr>
                            <w:rFonts w:ascii="宋体" w:hAnsi="宋体" w:cs="宋体" w:eastAsia="宋体" w:hint="default"/>
                            <w:sz w:val="18"/>
                            <w:szCs w:val="18"/>
                          </w:rPr>
                          <w:t>原始设备生产商</w:t>
                        </w:r>
                        <w:r>
                          <w:rPr>
                            <w:rFonts w:ascii="Times New Roman" w:hAnsi="Times New Roman" w:cs="Times New Roman" w:eastAsia="Times New Roman" w:hint="default"/>
                            <w:sz w:val="18"/>
                            <w:szCs w:val="18"/>
                          </w:rPr>
                          <w:t>"</w:t>
                        </w:r>
                        <w:r>
                          <w:rPr>
                            <w:rFonts w:ascii="宋体" w:hAnsi="宋体" w:cs="宋体" w:eastAsia="宋体" w:hint="default"/>
                            <w:sz w:val="18"/>
                            <w:szCs w:val="18"/>
                          </w:rPr>
                          <w:t>，是指 一家公司被允许贴牌生产另一家公司的产品</w:t>
                        </w:r>
                      </w:p>
                    </w:tc>
                  </w:tr>
                  <w:tr>
                    <w:trPr>
                      <w:trHeight w:val="1337"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ODM</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4"/>
                          <w:jc w:val="left"/>
                          <w:rPr>
                            <w:rFonts w:ascii="Times New Roman" w:hAnsi="Times New Roman" w:cs="Times New Roman" w:eastAsia="Times New Roman" w:hint="default"/>
                            <w:sz w:val="18"/>
                            <w:szCs w:val="18"/>
                          </w:rPr>
                        </w:pPr>
                        <w:r>
                          <w:rPr>
                            <w:rFonts w:ascii="宋体" w:hAnsi="宋体" w:cs="宋体" w:eastAsia="宋体" w:hint="default"/>
                            <w:sz w:val="18"/>
                            <w:szCs w:val="18"/>
                          </w:rPr>
                          <w:t>全称</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Original</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Design</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Manufacturing</w:t>
                        </w:r>
                        <w:r>
                          <w:rPr>
                            <w:rFonts w:ascii="宋体" w:hAnsi="宋体" w:cs="宋体" w:eastAsia="宋体" w:hint="default"/>
                            <w:sz w:val="18"/>
                            <w:szCs w:val="18"/>
                          </w:rPr>
                          <w:t>，自主设计制造：指产品的结构、 </w:t>
                        </w:r>
                        <w:r>
                          <w:rPr>
                            <w:rFonts w:ascii="宋体" w:hAnsi="宋体" w:cs="宋体" w:eastAsia="宋体" w:hint="default"/>
                            <w:spacing w:val="-4"/>
                            <w:sz w:val="18"/>
                            <w:szCs w:val="18"/>
                          </w:rPr>
                          <w:t>外观、工艺均由生产商自行开发和设计，产品开发完成后供客户选择</w:t>
                        </w:r>
                        <w:r>
                          <w:rPr>
                            <w:rFonts w:ascii="宋体" w:hAnsi="宋体" w:cs="宋体" w:eastAsia="宋体" w:hint="default"/>
                            <w:sz w:val="18"/>
                            <w:szCs w:val="18"/>
                          </w:rPr>
                          <w:t> </w:t>
                        </w:r>
                        <w:r>
                          <w:rPr>
                            <w:rFonts w:ascii="宋体" w:hAnsi="宋体" w:cs="宋体" w:eastAsia="宋体" w:hint="default"/>
                            <w:spacing w:val="-2"/>
                            <w:sz w:val="18"/>
                            <w:szCs w:val="18"/>
                          </w:rPr>
                          <w:t>生产商根据客户选择后的订单情况进入量产，产品生产完成后贴客户</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的品牌出售，即</w:t>
                        </w:r>
                        <w:r>
                          <w:rPr>
                            <w:rFonts w:ascii="Times New Roman" w:hAnsi="Times New Roman" w:cs="Times New Roman" w:eastAsia="Times New Roman" w:hint="default"/>
                            <w:sz w:val="18"/>
                            <w:szCs w:val="18"/>
                          </w:rPr>
                          <w:t>"</w:t>
                        </w:r>
                        <w:r>
                          <w:rPr>
                            <w:rFonts w:ascii="宋体" w:hAnsi="宋体" w:cs="宋体" w:eastAsia="宋体" w:hint="default"/>
                            <w:sz w:val="18"/>
                            <w:szCs w:val="18"/>
                          </w:rPr>
                          <w:t>生产商从事贴牌生产和产品设计，品牌由客户拥有</w:t>
                        </w:r>
                        <w:r>
                          <w:rPr>
                            <w:rFonts w:ascii="Times New Roman" w:hAnsi="Times New Roman" w:cs="Times New Roman" w:eastAsia="Times New Roman" w:hint="default"/>
                            <w:sz w:val="18"/>
                            <w:szCs w:val="18"/>
                          </w:rPr>
                          <w:t>"</w:t>
                        </w:r>
                      </w:p>
                    </w:tc>
                  </w:tr>
                </w:tbl>
                <w:p>
                  <w:pPr/>
                </w:p>
              </w:txbxContent>
            </v:textbox>
            <w10:wrap type="none"/>
          </v:shape>
        </w:pict>
      </w:r>
      <w:r>
        <w:rPr/>
        <w:t>，</w:t>
      </w:r>
    </w:p>
    <w:p>
      <w:pPr>
        <w:spacing w:after="0" w:line="240" w:lineRule="auto"/>
        <w:jc w:val="right"/>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group style="position:absolute;margin-left:172.339996pt;margin-top:272.78598pt;width:361.55pt;height:19.6pt;mso-position-horizontal-relative:page;mso-position-vertical-relative:page;z-index:-1152928" coordorigin="3447,5456" coordsize="7231,392">
            <v:shape style="position:absolute;left:3447;top:5456;width:7231;height:392" coordorigin="3447,5456" coordsize="7231,392" path="m3447,5847l10677,5847,10677,5456,3447,5456,3447,5847xe" filled="true" fillcolor="#ffffff" stroked="false">
              <v:path arrowok="t"/>
              <v:fill type="solid"/>
            </v:shape>
            <w10:wrap type="none"/>
          </v:group>
        </w:pic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42" w:right="0"/>
        <w:jc w:val="left"/>
        <w:rPr>
          <w:b w:val="0"/>
          <w:bCs w:val="0"/>
        </w:rPr>
      </w:pPr>
      <w:bookmarkStart w:name="_bookmark1" w:id="2"/>
      <w:bookmarkEnd w:id="2"/>
      <w:r>
        <w:rPr>
          <w:b w:val="0"/>
          <w:bCs w:val="0"/>
        </w:rPr>
      </w:r>
      <w:r>
        <w:rPr/>
        <w:t>第二节</w:t>
      </w:r>
      <w:r>
        <w:rPr>
          <w:spacing w:val="-5"/>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2"/>
        <w:gridCol w:w="2977"/>
        <w:gridCol w:w="2132"/>
        <w:gridCol w:w="2188"/>
      </w:tblGrid>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证通电子</w:t>
            </w:r>
          </w:p>
        </w:tc>
        <w:tc>
          <w:tcPr>
            <w:tcW w:w="21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002197</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证通电子</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SZZT Electronics</w:t>
            </w:r>
            <w:r>
              <w:rPr>
                <w:rFonts w:ascii="Times New Roman"/>
                <w:spacing w:val="-9"/>
                <w:sz w:val="18"/>
              </w:rPr>
              <w:t> </w:t>
            </w:r>
            <w:r>
              <w:rPr>
                <w:rFonts w:ascii="Times New Roman"/>
                <w:spacing w:val="-3"/>
                <w:sz w:val="18"/>
              </w:rPr>
              <w:t>CO.,LTD</w:t>
            </w:r>
          </w:p>
        </w:tc>
      </w:tr>
      <w:tr>
        <w:trPr>
          <w:trHeight w:val="401" w:hRule="exact"/>
        </w:trPr>
        <w:tc>
          <w:tcPr>
            <w:tcW w:w="227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8"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SZZT</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曾胜强</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深圳市南山区南油天安工业村八座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3A</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单元</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518054</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深圳市光明新区同观路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号证通电子产业园</w:t>
            </w:r>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518132</w:t>
            </w:r>
          </w:p>
        </w:tc>
      </w:tr>
      <w:tr>
        <w:trPr>
          <w:trHeight w:val="401"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http://www.szzt.com.cn</w:t>
              </w:r>
            </w:hyperlink>
          </w:p>
        </w:tc>
      </w:tr>
      <w:tr>
        <w:trPr>
          <w:trHeight w:val="403" w:hRule="exact"/>
        </w:trPr>
        <w:tc>
          <w:tcPr>
            <w:tcW w:w="2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8"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IR@szzt.com.cn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傅德亮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王芳</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深圳市光明新区同观路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号证通电子产</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业园二期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深圳市光明新区同观路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号证通电子产</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业园二期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394"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0755-26490118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0755-26490118</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0755-26490099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0755-26490099</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11">
              <w:r>
                <w:rPr>
                  <w:rFonts w:ascii="Times New Roman"/>
                  <w:sz w:val="18"/>
                </w:rPr>
                <w:t>fudeliang@szzt.com.cn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2">
              <w:r>
                <w:rPr>
                  <w:rFonts w:ascii="Times New Roman"/>
                  <w:sz w:val="18"/>
                </w:rPr>
                <w:t>wangfang@szzt.com.cn</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638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公司统一社会信用代码为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91440300279402305L</w:t>
            </w:r>
          </w:p>
        </w:tc>
      </w:tr>
      <w:tr>
        <w:trPr>
          <w:trHeight w:val="165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公司主营业务为金融电子业务、</w:t>
            </w:r>
            <w:r>
              <w:rPr>
                <w:rFonts w:ascii="Times New Roman" w:hAnsi="Times New Roman" w:cs="Times New Roman" w:eastAsia="Times New Roman" w:hint="default"/>
                <w:sz w:val="18"/>
                <w:szCs w:val="18"/>
              </w:rPr>
              <w:t>IDC </w:t>
            </w:r>
            <w:r>
              <w:rPr>
                <w:rFonts w:ascii="宋体" w:hAnsi="宋体" w:cs="宋体" w:eastAsia="宋体" w:hint="default"/>
                <w:sz w:val="18"/>
                <w:szCs w:val="18"/>
              </w:rPr>
              <w:t>业务、</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照明业务。金融电子业务是公司 成立至今的核心业务，公司从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年开始从事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照明电子业务，后期逐渐以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照明亮化工程业务为主。</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年公司进入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及云计算行业，成为产品及 服务涉及金融电子、</w:t>
            </w:r>
            <w:r>
              <w:rPr>
                <w:rFonts w:ascii="Times New Roman" w:hAnsi="Times New Roman" w:cs="Times New Roman" w:eastAsia="Times New Roman" w:hint="default"/>
                <w:sz w:val="18"/>
                <w:szCs w:val="18"/>
              </w:rPr>
              <w:t>IDC </w:t>
            </w:r>
            <w:r>
              <w:rPr>
                <w:rFonts w:ascii="宋体" w:hAnsi="宋体" w:cs="宋体" w:eastAsia="宋体" w:hint="default"/>
                <w:sz w:val="18"/>
                <w:szCs w:val="18"/>
              </w:rPr>
              <w:t>及云计算、</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照明三大领域，集自主研发、生产、销 售及服务为一体的现代化高科技企业。</w:t>
            </w:r>
          </w:p>
        </w:tc>
      </w:tr>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9"/>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深圳市福田区福华一路六号免税商务大厦二十八楼</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7A</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肖逸、李志光</w:t>
            </w:r>
          </w:p>
        </w:tc>
      </w:tr>
    </w:tbl>
    <w:p>
      <w:pPr>
        <w:pStyle w:val="BodyText"/>
        <w:spacing w:line="240" w:lineRule="auto" w:before="49"/>
        <w:ind w:right="0"/>
        <w:jc w:val="left"/>
      </w:pPr>
      <w:r>
        <w:rPr/>
        <w:t>公司聘请的报告期内履行持续督导职责的保荐机构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中信建投证券股份有限公司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101"/>
              <w:jc w:val="left"/>
              <w:rPr>
                <w:rFonts w:ascii="宋体" w:hAnsi="宋体" w:cs="宋体" w:eastAsia="宋体" w:hint="default"/>
                <w:sz w:val="18"/>
                <w:szCs w:val="18"/>
              </w:rPr>
            </w:pPr>
            <w:r>
              <w:rPr>
                <w:rFonts w:ascii="宋体" w:hAnsi="宋体" w:cs="宋体" w:eastAsia="宋体" w:hint="default"/>
                <w:sz w:val="18"/>
                <w:szCs w:val="18"/>
              </w:rPr>
              <w:t>深圳市福田区益田路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6003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 荣超商务中心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层</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刘建亮、徐洋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bl>
    <w:p>
      <w:pPr>
        <w:pStyle w:val="BodyText"/>
        <w:spacing w:line="240" w:lineRule="auto" w:before="49"/>
        <w:ind w:right="0"/>
        <w:jc w:val="left"/>
      </w:pPr>
      <w:r>
        <w:rPr/>
        <w:t>公司聘请的报告期内履行持续督导职责的财务顾问</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1,682,593,168.29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1,795,906,799.75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-6.31%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1,127,441,401.54</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43,095,599.68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54,395,643.64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-20.77%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81,593,007.59</w:t>
            </w:r>
          </w:p>
        </w:tc>
      </w:tr>
      <w:tr>
        <w:trPr>
          <w:trHeight w:val="71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30,052,428.77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49,185,605.40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-38.90%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78,459,524.53</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-724,673,391.47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146,807,140.65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-593.62%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-48,654,079.27</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0.12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-33.33%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0.19</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-1.61%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49"/>
        <w:gridCol w:w="1738"/>
        <w:gridCol w:w="1738"/>
        <w:gridCol w:w="1735"/>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left="450" w:right="0"/>
              <w:jc w:val="left"/>
              <w:rPr>
                <w:rFonts w:ascii="Times New Roman" w:hAnsi="Times New Roman" w:cs="Times New Roman" w:eastAsia="Times New Roman" w:hint="default"/>
                <w:sz w:val="18"/>
                <w:szCs w:val="18"/>
              </w:rPr>
            </w:pPr>
            <w:r>
              <w:rPr>
                <w:rFonts w:ascii="Times New Roman"/>
                <w:sz w:val="18"/>
              </w:rPr>
              <w:t>5,321,185,715.15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44" w:right="0"/>
              <w:jc w:val="left"/>
              <w:rPr>
                <w:rFonts w:ascii="Times New Roman" w:hAnsi="Times New Roman" w:cs="Times New Roman" w:eastAsia="Times New Roman" w:hint="default"/>
                <w:sz w:val="18"/>
                <w:szCs w:val="18"/>
              </w:rPr>
            </w:pPr>
            <w:r>
              <w:rPr>
                <w:rFonts w:ascii="Times New Roman"/>
                <w:sz w:val="18"/>
              </w:rPr>
              <w:t>4,749,085,664.74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12.05%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43" w:right="0"/>
              <w:jc w:val="left"/>
              <w:rPr>
                <w:rFonts w:ascii="Times New Roman" w:hAnsi="Times New Roman" w:cs="Times New Roman" w:eastAsia="Times New Roman" w:hint="default"/>
                <w:sz w:val="18"/>
                <w:szCs w:val="18"/>
              </w:rPr>
            </w:pPr>
            <w:r>
              <w:rPr>
                <w:rFonts w:ascii="Times New Roman"/>
                <w:sz w:val="18"/>
              </w:rPr>
              <w:t>2,942,296,687.97</w:t>
            </w:r>
          </w:p>
        </w:tc>
      </w:tr>
      <w:tr>
        <w:trPr>
          <w:trHeight w:val="715"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4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2,766,860,849.03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4" w:right="0"/>
              <w:jc w:val="left"/>
              <w:rPr>
                <w:rFonts w:ascii="Times New Roman" w:hAnsi="Times New Roman" w:cs="Times New Roman" w:eastAsia="Times New Roman" w:hint="default"/>
                <w:sz w:val="18"/>
                <w:szCs w:val="18"/>
              </w:rPr>
            </w:pPr>
            <w:r>
              <w:rPr>
                <w:rFonts w:ascii="Times New Roman"/>
                <w:sz w:val="18"/>
              </w:rPr>
              <w:t>2,733,712,276.32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1.21%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1,204,777,202.77</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1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八、分季度主要财务指标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40"/>
        <w:gridCol w:w="1738"/>
        <w:gridCol w:w="1730"/>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369,588,244.81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381,377,707.03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357,752,075.79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573,875,140.66</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5,013,698.51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4,279,775.83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16,887,298.92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16,914,826.42</w:t>
            </w:r>
          </w:p>
        </w:tc>
      </w:tr>
      <w:tr>
        <w:trPr>
          <w:trHeight w:val="716"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4"/>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4,339,116.00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2,788,303.94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16,418,916.81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6,506,092.02</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-483,695,571.05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-139,837,948.20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-30,148,511.26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-70,991,360.96</w:t>
            </w:r>
          </w:p>
        </w:tc>
      </w:tr>
    </w:tbl>
    <w:p>
      <w:pPr>
        <w:pStyle w:val="BodyText"/>
        <w:spacing w:line="240" w:lineRule="auto" w:before="49"/>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九、非经常性损益项目及金额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-49,803.75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1,521.80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-15,916.36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27,879,669.93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9,485,852.52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3,187,003.00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-12,434,717.59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-4,694,508.98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247,140.50</w:t>
            </w:r>
          </w:p>
        </w:tc>
        <w:tc>
          <w:tcPr>
            <w:tcW w:w="171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5"/>
        <w:gridCol w:w="1522"/>
        <w:gridCol w:w="1520"/>
        <w:gridCol w:w="1522"/>
        <w:gridCol w:w="1711"/>
      </w:tblGrid>
      <w:tr>
        <w:trPr>
          <w:trHeight w:val="401"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3,089,619.75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413,564.52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286,032.70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-737,642.07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-830,737.42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-1,288.62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13,043,170.91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5,210,038.24</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3,133,483.06</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3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300" w:lineRule="auto" w:before="103"/>
        <w:ind w:right="13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535" w:right="576"/>
        <w:jc w:val="center"/>
        <w:rPr>
          <w:b w:val="0"/>
          <w:bCs w:val="0"/>
        </w:rPr>
      </w:pPr>
      <w:bookmarkStart w:name="_bookmark2" w:id="3"/>
      <w:bookmarkEnd w:id="3"/>
      <w:r>
        <w:rPr>
          <w:b w:val="0"/>
          <w:bCs w:val="0"/>
        </w:rPr>
      </w:r>
      <w:r>
        <w:rPr/>
        <w:t>第三节</w:t>
      </w:r>
      <w:r>
        <w:rPr>
          <w:spacing w:val="-6"/>
        </w:rPr>
        <w:t> </w:t>
      </w:r>
      <w:r>
        <w:rPr/>
        <w:t>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54"/>
        <w:jc w:val="left"/>
      </w:pPr>
      <w:r>
        <w:rPr/>
        <w:t>公司是否需要遵守特殊行业的披露要求 否</w:t>
      </w:r>
    </w:p>
    <w:p>
      <w:pPr>
        <w:pStyle w:val="BodyText"/>
        <w:spacing w:line="477" w:lineRule="auto" w:before="104"/>
        <w:ind w:right="178" w:firstLine="360"/>
        <w:jc w:val="left"/>
        <w:rPr>
          <w:rFonts w:ascii="宋体" w:hAnsi="宋体" w:cs="宋体" w:eastAsia="宋体" w:hint="default"/>
        </w:rPr>
      </w:pPr>
      <w:r>
        <w:rPr/>
        <w:t>公司是一家产品及服务涉及金融电子、</w:t>
      </w:r>
      <w:r>
        <w:rPr>
          <w:rFonts w:ascii="宋体" w:hAnsi="宋体" w:cs="宋体" w:eastAsia="宋体" w:hint="default"/>
        </w:rPr>
        <w:t>IDC </w:t>
      </w:r>
      <w:r>
        <w:rPr>
          <w:spacing w:val="-3"/>
        </w:rPr>
        <w:t>及云计算、</w:t>
      </w:r>
      <w:r>
        <w:rPr>
          <w:rFonts w:ascii="宋体" w:hAnsi="宋体" w:cs="宋体" w:eastAsia="宋体" w:hint="default"/>
          <w:spacing w:val="-3"/>
        </w:rPr>
        <w:t>LED</w:t>
      </w:r>
      <w:r>
        <w:rPr>
          <w:rFonts w:ascii="宋体" w:hAnsi="宋体" w:cs="宋体" w:eastAsia="宋体" w:hint="default"/>
          <w:spacing w:val="-60"/>
        </w:rPr>
        <w:t> </w:t>
      </w:r>
      <w:r>
        <w:rPr/>
        <w:t>照明三大领域，集自主研发、生产、销售及服务为一体的现 代化高科技企业。</w:t>
      </w:r>
      <w:r>
        <w:rPr>
          <w:rFonts w:ascii="宋体" w:hAnsi="宋体" w:cs="宋体" w:eastAsia="宋体" w:hint="default"/>
        </w:rPr>
        <w:t> </w:t>
      </w:r>
    </w:p>
    <w:p>
      <w:pPr>
        <w:pStyle w:val="BodyText"/>
        <w:spacing w:line="477" w:lineRule="auto" w:before="54"/>
        <w:ind w:left="513" w:right="93"/>
        <w:jc w:val="left"/>
      </w:pPr>
      <w:r>
        <w:rPr>
          <w:rFonts w:ascii="宋体" w:hAnsi="宋体" w:cs="宋体" w:eastAsia="宋体" w:hint="default"/>
        </w:rPr>
        <w:t>1</w:t>
      </w:r>
      <w:r>
        <w:rPr/>
        <w:t>、金融电子业务</w:t>
      </w:r>
      <w:r>
        <w:rPr>
          <w:rFonts w:ascii="宋体" w:hAnsi="宋体" w:cs="宋体" w:eastAsia="宋体" w:hint="default"/>
          <w:spacing w:val="-2"/>
        </w:rPr>
        <w:t> </w:t>
      </w:r>
      <w:r>
        <w:rPr>
          <w:rFonts w:ascii="宋体" w:hAnsi="宋体" w:cs="宋体" w:eastAsia="宋体" w:hint="default"/>
        </w:rPr>
        <w:t> </w:t>
      </w:r>
      <w:r>
        <w:rPr/>
        <w:t>金融电子业务是公司成立至今的传统和核心业务，以自助服务终端、支付产品等硬件设备的研发、生产、销售为基础，</w:t>
      </w:r>
    </w:p>
    <w:p>
      <w:pPr>
        <w:pStyle w:val="BodyText"/>
        <w:spacing w:line="424" w:lineRule="auto" w:before="54"/>
        <w:ind w:left="513" w:right="178" w:hanging="361"/>
        <w:jc w:val="left"/>
      </w:pPr>
      <w:r>
        <w:rPr/>
        <w:t>硬件设备的业务领域逐步从银行业拓展到通信、彩票、税务、政务、交通、医疗、零售、第三方支付等其他行业。</w:t>
      </w:r>
      <w:r>
        <w:rPr>
          <w:rFonts w:ascii="宋体" w:hAnsi="宋体" w:cs="宋体" w:eastAsia="宋体" w:hint="default"/>
        </w:rPr>
        <w:t> </w:t>
      </w:r>
      <w:r>
        <w:rPr>
          <w:spacing w:val="-2"/>
        </w:rPr>
        <w:t>近年来，互联网尤其是移动互联网、云计算等现代信息技术迅速发展，伴随着</w:t>
      </w:r>
      <w:r>
        <w:rPr>
          <w:rFonts w:ascii="Malgun Gothic" w:hAnsi="Malgun Gothic" w:cs="Malgun Gothic" w:eastAsia="Malgun Gothic" w:hint="default"/>
          <w:spacing w:val="-2"/>
        </w:rPr>
        <w:t>利</w:t>
      </w:r>
      <w:r>
        <w:rPr>
          <w:spacing w:val="-2"/>
        </w:rPr>
        <w:t>率市场化与互联网金融的冲击，新兴金</w:t>
      </w:r>
    </w:p>
    <w:p>
      <w:pPr>
        <w:pStyle w:val="BodyText"/>
        <w:spacing w:line="284" w:lineRule="exact"/>
        <w:ind w:right="0"/>
        <w:jc w:val="both"/>
      </w:pPr>
      <w:r>
        <w:rPr/>
        <w:t>融服务模式和新兴</w:t>
      </w:r>
      <w:r>
        <w:rPr>
          <w:rFonts w:ascii="Malgun Gothic" w:hAnsi="Malgun Gothic" w:cs="Malgun Gothic" w:eastAsia="Malgun Gothic" w:hint="default"/>
        </w:rPr>
        <w:t>金</w:t>
      </w:r>
      <w:r>
        <w:rPr/>
        <w:t>融业态的快速发展，传统银行向智慧银行转型升级，一方面加快营业网点的升级改造和渠道延伸，另一</w:t>
      </w:r>
    </w:p>
    <w:p>
      <w:pPr>
        <w:spacing w:line="240" w:lineRule="auto" w:before="8"/>
        <w:rPr>
          <w:rFonts w:ascii="宋体" w:hAnsi="宋体" w:cs="宋体" w:eastAsia="宋体" w:hint="default"/>
          <w:sz w:val="15"/>
          <w:szCs w:val="15"/>
        </w:rPr>
      </w:pPr>
    </w:p>
    <w:p>
      <w:pPr>
        <w:pStyle w:val="BodyText"/>
        <w:spacing w:line="477" w:lineRule="auto"/>
        <w:ind w:right="101"/>
        <w:jc w:val="both"/>
        <w:rPr>
          <w:rFonts w:ascii="宋体" w:hAnsi="宋体" w:cs="宋体" w:eastAsia="宋体" w:hint="default"/>
        </w:rPr>
      </w:pPr>
      <w:r>
        <w:rPr>
          <w:spacing w:val="-2"/>
        </w:rPr>
        <w:t>方面加强与行业客户、零售业务客户的合作，开展客户营销工作。在此背景下，公司在硬件设备上，加强产品创新，加强低</w:t>
      </w:r>
      <w:r>
        <w:rPr>
          <w:spacing w:val="-67"/>
        </w:rPr>
        <w:t> </w:t>
      </w:r>
      <w:r>
        <w:rPr>
          <w:rFonts w:ascii="宋体" w:hAnsi="宋体" w:cs="宋体" w:eastAsia="宋体" w:hint="default"/>
          <w:spacing w:val="-67"/>
        </w:rPr>
      </w:r>
      <w:r>
        <w:rPr>
          <w:spacing w:val="-2"/>
        </w:rPr>
        <w:t>成本及快速定制化交付能力建设，持续提升在硬件设备的竞争优势，另一方面公司探索开展为银行业务转型提供咨询服务，</w:t>
      </w:r>
      <w:r>
        <w:rPr>
          <w:spacing w:val="-84"/>
        </w:rPr>
        <w:t> </w:t>
      </w:r>
      <w:r>
        <w:rPr>
          <w:rFonts w:ascii="宋体" w:hAnsi="宋体" w:cs="宋体" w:eastAsia="宋体" w:hint="default"/>
          <w:spacing w:val="-84"/>
        </w:rPr>
      </w:r>
      <w:r>
        <w:rPr/>
        <w:t>并在银行网点及渠道转型升级提供信息系统的整体解决方案。</w:t>
      </w:r>
      <w:r>
        <w:rPr>
          <w:rFonts w:ascii="宋体" w:hAnsi="宋体" w:cs="宋体" w:eastAsia="宋体" w:hint="default"/>
        </w:rPr>
        <w:t> </w:t>
      </w:r>
    </w:p>
    <w:p>
      <w:pPr>
        <w:pStyle w:val="BodyText"/>
        <w:spacing w:line="477" w:lineRule="auto" w:before="54"/>
        <w:ind w:right="93" w:firstLine="360"/>
        <w:jc w:val="left"/>
        <w:rPr>
          <w:rFonts w:ascii="宋体" w:hAnsi="宋体" w:cs="宋体" w:eastAsia="宋体" w:hint="default"/>
        </w:rPr>
      </w:pPr>
      <w:r>
        <w:rPr>
          <w:spacing w:val="-2"/>
        </w:rPr>
        <w:t>金融电子业务主要的经营模式为为客户提供包括软件、硬件以及服务的综合性解决方案。主要产品包括自助服务终端、</w:t>
      </w:r>
      <w:r>
        <w:rPr>
          <w:rFonts w:ascii="宋体" w:hAnsi="宋体" w:cs="宋体" w:eastAsia="宋体" w:hint="default"/>
        </w:rPr>
        <w:t> </w:t>
      </w:r>
      <w:r>
        <w:rPr/>
        <w:t>支付产品</w:t>
      </w:r>
      <w:r>
        <w:rPr>
          <w:rFonts w:ascii="宋体" w:hAnsi="宋体" w:cs="宋体" w:eastAsia="宋体" w:hint="default"/>
        </w:rPr>
        <w:t>(</w:t>
      </w:r>
      <w:r>
        <w:rPr/>
        <w:t>含电话 </w:t>
      </w:r>
      <w:r>
        <w:rPr>
          <w:rFonts w:ascii="宋体" w:hAnsi="宋体" w:cs="宋体" w:eastAsia="宋体" w:hint="default"/>
        </w:rPr>
      </w:r>
      <w:r>
        <w:rPr>
          <w:rFonts w:ascii="宋体" w:hAnsi="宋体" w:cs="宋体" w:eastAsia="宋体" w:hint="default"/>
          <w:spacing w:val="-3"/>
        </w:rPr>
        <w:t>E-POS</w:t>
      </w:r>
      <w:r>
        <w:rPr>
          <w:spacing w:val="-3"/>
        </w:rPr>
        <w:t>、金融 </w:t>
      </w:r>
      <w:r>
        <w:rPr>
          <w:rFonts w:ascii="宋体" w:hAnsi="宋体" w:cs="宋体" w:eastAsia="宋体" w:hint="default"/>
          <w:spacing w:val="-3"/>
        </w:rPr>
        <w:t>POS</w:t>
      </w:r>
      <w:r>
        <w:rPr>
          <w:spacing w:val="-3"/>
        </w:rPr>
        <w:t>、智能 </w:t>
      </w:r>
      <w:r>
        <w:rPr>
          <w:rFonts w:ascii="宋体" w:hAnsi="宋体" w:cs="宋体" w:eastAsia="宋体" w:hint="default"/>
          <w:spacing w:val="-3"/>
        </w:rPr>
      </w:r>
      <w:r>
        <w:rPr>
          <w:rFonts w:ascii="宋体" w:hAnsi="宋体" w:cs="宋体" w:eastAsia="宋体" w:hint="default"/>
        </w:rPr>
        <w:t>POS </w:t>
      </w:r>
      <w:r>
        <w:rPr/>
        <w:t>等</w:t>
      </w:r>
      <w:r>
        <w:rPr>
          <w:rFonts w:ascii="宋体" w:hAnsi="宋体" w:cs="宋体" w:eastAsia="宋体" w:hint="default"/>
        </w:rPr>
        <w:t>)</w:t>
      </w:r>
      <w:r>
        <w:rPr/>
        <w:t>、加密键盘、智能机器人等，以及智慧网点综合服务平台、社区 </w:t>
      </w:r>
      <w:r>
        <w:rPr>
          <w:rFonts w:ascii="宋体" w:hAnsi="宋体" w:cs="宋体" w:eastAsia="宋体" w:hint="default"/>
        </w:rPr>
        <w:t>O2O</w:t>
      </w:r>
      <w:r>
        <w:rPr>
          <w:rFonts w:ascii="宋体" w:hAnsi="宋体" w:cs="宋体" w:eastAsia="宋体" w:hint="default"/>
          <w:spacing w:val="-36"/>
        </w:rPr>
        <w:t> </w:t>
      </w:r>
      <w:r>
        <w:rPr/>
        <w:t>金 融服务平台、</w:t>
      </w:r>
      <w:r>
        <w:rPr>
          <w:spacing w:val="1"/>
        </w:rPr>
        <w:t> </w:t>
      </w:r>
      <w:r>
        <w:rPr>
          <w:rFonts w:ascii="宋体" w:hAnsi="宋体" w:cs="宋体" w:eastAsia="宋体" w:hint="default"/>
          <w:spacing w:val="1"/>
        </w:rPr>
      </w:r>
      <w:r>
        <w:rPr/>
        <w:t>机器互联云平台等软件及系统解决方案。</w:t>
      </w:r>
      <w:r>
        <w:rPr>
          <w:rFonts w:ascii="宋体" w:hAnsi="宋体" w:cs="宋体" w:eastAsia="宋体" w:hint="default"/>
        </w:rPr>
        <w:t> </w:t>
      </w:r>
    </w:p>
    <w:p>
      <w:pPr>
        <w:pStyle w:val="BodyText"/>
        <w:spacing w:line="240" w:lineRule="auto" w:before="54"/>
        <w:ind w:left="513" w:right="6754"/>
        <w:jc w:val="left"/>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IDC</w:t>
      </w:r>
      <w:r>
        <w:rPr>
          <w:rFonts w:ascii="宋体" w:hAnsi="宋体" w:cs="宋体" w:eastAsia="宋体" w:hint="default"/>
          <w:spacing w:val="-1"/>
        </w:rPr>
        <w:t> </w:t>
      </w:r>
      <w:r>
        <w:rPr/>
        <w:t>及云计算业务</w:t>
      </w:r>
      <w:r>
        <w:rPr>
          <w:rFonts w:ascii="宋体" w:hAnsi="宋体" w:cs="宋体" w:eastAsia="宋体" w:hint="default"/>
        </w:rPr>
        <w:t> </w:t>
      </w:r>
    </w:p>
    <w:p>
      <w:pPr>
        <w:spacing w:line="240" w:lineRule="auto" w:before="10"/>
        <w:rPr>
          <w:rFonts w:ascii="宋体" w:hAnsi="宋体" w:cs="宋体" w:eastAsia="宋体" w:hint="default"/>
          <w:sz w:val="17"/>
          <w:szCs w:val="17"/>
        </w:rPr>
      </w:pPr>
    </w:p>
    <w:p>
      <w:pPr>
        <w:pStyle w:val="BodyText"/>
        <w:spacing w:line="477" w:lineRule="auto"/>
        <w:ind w:right="191" w:firstLine="360"/>
        <w:jc w:val="both"/>
        <w:rPr>
          <w:rFonts w:ascii="宋体" w:hAnsi="宋体" w:cs="宋体" w:eastAsia="宋体" w:hint="default"/>
        </w:rPr>
      </w:pPr>
      <w:r>
        <w:rPr>
          <w:rFonts w:ascii="宋体" w:hAnsi="宋体" w:cs="宋体" w:eastAsia="宋体" w:hint="default"/>
        </w:rPr>
        <w:t>IDC </w:t>
      </w:r>
      <w:r>
        <w:rPr/>
        <w:t>业务主要经营模式为与通信运营商“合作建设、合作分成”。即 </w:t>
      </w:r>
      <w:r>
        <w:rPr>
          <w:rFonts w:ascii="宋体" w:hAnsi="宋体" w:cs="宋体" w:eastAsia="宋体" w:hint="default"/>
        </w:rPr>
        <w:t>IDC</w:t>
      </w:r>
      <w:r>
        <w:rPr>
          <w:rFonts w:ascii="宋体" w:hAnsi="宋体" w:cs="宋体" w:eastAsia="宋体" w:hint="default"/>
          <w:spacing w:val="-3"/>
        </w:rPr>
        <w:t> </w:t>
      </w:r>
      <w:r>
        <w:rPr/>
        <w:t>数据中心建设由电信运营商负责投资光纤光 </w:t>
      </w:r>
      <w:r>
        <w:rPr>
          <w:spacing w:val="-2"/>
        </w:rPr>
        <w:t>缆、网络接入、通信带宽等；由公司投资场地、外电引入、变配电、油机、冷却、蓄电池、</w:t>
      </w:r>
      <w:r>
        <w:rPr>
          <w:rFonts w:ascii="宋体" w:hAnsi="宋体" w:cs="宋体" w:eastAsia="宋体" w:hint="default"/>
          <w:spacing w:val="-2"/>
        </w:rPr>
        <w:t>UPS</w:t>
      </w:r>
      <w:r>
        <w:rPr>
          <w:rFonts w:ascii="宋体" w:hAnsi="宋体" w:cs="宋体" w:eastAsia="宋体" w:hint="default"/>
          <w:spacing w:val="17"/>
        </w:rPr>
        <w:t> </w:t>
      </w:r>
      <w:r>
        <w:rPr>
          <w:spacing w:val="-2"/>
        </w:rPr>
        <w:t>电源综合布线、机柜等机电</w:t>
      </w:r>
      <w:r>
        <w:rPr>
          <w:spacing w:val="-87"/>
        </w:rPr>
        <w:t> </w:t>
      </w:r>
      <w:r>
        <w:rPr>
          <w:spacing w:val="-87"/>
        </w:rPr>
      </w:r>
      <w:r>
        <w:rPr/>
        <w:t>设 </w:t>
      </w:r>
      <w:r>
        <w:rPr>
          <w:rFonts w:ascii="宋体" w:hAnsi="宋体" w:cs="宋体" w:eastAsia="宋体" w:hint="default"/>
        </w:rPr>
      </w:r>
      <w:r>
        <w:rPr/>
        <w:t>备、消防、安保、智能化监控系统等。</w:t>
      </w:r>
      <w:r>
        <w:rPr>
          <w:rFonts w:ascii="宋体" w:hAnsi="宋体" w:cs="宋体" w:eastAsia="宋体" w:hint="default"/>
        </w:rPr>
        <w:t>IDC</w:t>
      </w:r>
      <w:r>
        <w:rPr>
          <w:rFonts w:ascii="宋体" w:hAnsi="宋体" w:cs="宋体" w:eastAsia="宋体" w:hint="default"/>
          <w:spacing w:val="-1"/>
        </w:rPr>
        <w:t> </w:t>
      </w:r>
      <w:r>
        <w:rPr/>
        <w:t>数据中心建成后，向互联网企业或政企客户收取机柜租金、带宽租金和增值 服务等费用，并根据公司与电信运营商的约定进行分成。公司在</w:t>
      </w:r>
      <w:r>
        <w:rPr>
          <w:rFonts w:ascii="宋体" w:hAnsi="宋体" w:cs="宋体" w:eastAsia="宋体" w:hint="default"/>
        </w:rPr>
        <w:t>IDC</w:t>
      </w:r>
      <w:r>
        <w:rPr/>
        <w:t>基础业务的基础上，积极面向各省市地方政府，大力开 拓</w:t>
      </w:r>
      <w:r>
        <w:rPr>
          <w:rFonts w:ascii="宋体" w:hAnsi="宋体" w:cs="宋体" w:eastAsia="宋体" w:hint="default"/>
        </w:rPr>
        <w:t>IDC+</w:t>
      </w:r>
      <w:r>
        <w:rPr/>
        <w:t>智慧城市市场，提高业务盈利能力。</w:t>
      </w:r>
      <w:r>
        <w:rPr>
          <w:rFonts w:ascii="宋体" w:hAnsi="宋体" w:cs="宋体" w:eastAsia="宋体" w:hint="default"/>
        </w:rPr>
        <w:t> </w:t>
      </w:r>
    </w:p>
    <w:p>
      <w:pPr>
        <w:pStyle w:val="BodyText"/>
        <w:spacing w:line="240" w:lineRule="auto" w:before="55"/>
        <w:ind w:left="513" w:right="6754"/>
        <w:jc w:val="left"/>
        <w:rPr>
          <w:rFonts w:ascii="宋体" w:hAnsi="宋体" w:cs="宋体" w:eastAsia="宋体" w:hint="default"/>
        </w:rPr>
      </w:pPr>
      <w:r>
        <w:rPr>
          <w:rFonts w:ascii="宋体" w:hAnsi="宋体" w:cs="宋体" w:eastAsia="宋体" w:hint="default"/>
        </w:rPr>
        <w:t>3</w:t>
      </w:r>
      <w:r>
        <w:rPr/>
        <w:t>、</w:t>
      </w:r>
      <w:r>
        <w:rPr>
          <w:rFonts w:ascii="宋体" w:hAnsi="宋体" w:cs="宋体" w:eastAsia="宋体" w:hint="default"/>
        </w:rPr>
        <w:t>LED</w:t>
      </w:r>
      <w:r>
        <w:rPr>
          <w:rFonts w:ascii="宋体" w:hAnsi="宋体" w:cs="宋体" w:eastAsia="宋体" w:hint="default"/>
          <w:spacing w:val="-1"/>
        </w:rPr>
        <w:t> </w:t>
      </w:r>
      <w:r>
        <w:rPr/>
        <w:t>照明电子</w:t>
      </w:r>
      <w:r>
        <w:rPr>
          <w:rFonts w:ascii="宋体" w:hAnsi="宋体" w:cs="宋体" w:eastAsia="宋体" w:hint="default"/>
        </w:rPr>
        <w:t> </w:t>
      </w:r>
    </w:p>
    <w:p>
      <w:pPr>
        <w:spacing w:line="240" w:lineRule="auto" w:before="10"/>
        <w:rPr>
          <w:rFonts w:ascii="宋体" w:hAnsi="宋体" w:cs="宋体" w:eastAsia="宋体" w:hint="default"/>
          <w:sz w:val="17"/>
          <w:szCs w:val="17"/>
        </w:rPr>
      </w:pPr>
    </w:p>
    <w:p>
      <w:pPr>
        <w:pStyle w:val="BodyText"/>
        <w:spacing w:line="477" w:lineRule="auto"/>
        <w:ind w:right="187" w:firstLine="360"/>
        <w:jc w:val="left"/>
        <w:rPr>
          <w:rFonts w:ascii="宋体" w:hAnsi="宋体" w:cs="宋体" w:eastAsia="宋体" w:hint="default"/>
        </w:rPr>
      </w:pPr>
      <w:r>
        <w:rPr>
          <w:rFonts w:ascii="宋体" w:hAnsi="宋体" w:cs="宋体" w:eastAsia="宋体" w:hint="default"/>
        </w:rPr>
        <w:t>LED </w:t>
      </w:r>
      <w:r>
        <w:rPr/>
        <w:t>照明电子业务主要为 </w:t>
      </w:r>
      <w:r>
        <w:rPr>
          <w:rFonts w:ascii="宋体" w:hAnsi="宋体" w:cs="宋体" w:eastAsia="宋体" w:hint="default"/>
        </w:rPr>
        <w:t>LED</w:t>
      </w:r>
      <w:r>
        <w:rPr>
          <w:rFonts w:ascii="宋体" w:hAnsi="宋体" w:cs="宋体" w:eastAsia="宋体" w:hint="default"/>
          <w:spacing w:val="-3"/>
        </w:rPr>
        <w:t> </w:t>
      </w:r>
      <w:r>
        <w:rPr/>
        <w:t>道路照明产品和商业照明产品生产和销售。业务开展方式包括直销、合同能源管理、城 市道路照明及景观照明亮化工程等，公司将继续抓住政府投资驱动的智慧城市亮化工程市场机会进行发展。</w:t>
      </w:r>
      <w:r>
        <w:rPr>
          <w:rFonts w:ascii="宋体" w:hAnsi="宋体" w:cs="宋体" w:eastAsia="宋体" w:hint="default"/>
        </w:rPr>
        <w:t> </w:t>
      </w:r>
    </w:p>
    <w:p>
      <w:pPr>
        <w:spacing w:after="0" w:line="477" w:lineRule="auto"/>
        <w:jc w:val="left"/>
        <w:rPr>
          <w:rFonts w:ascii="宋体" w:hAnsi="宋体" w:cs="宋体" w:eastAsia="宋体" w:hint="default"/>
        </w:rPr>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6754"/>
        <w:jc w:val="left"/>
        <w:rPr>
          <w:b w:val="0"/>
          <w:bCs w:val="0"/>
        </w:rPr>
      </w:pP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6754"/>
        <w:jc w:val="left"/>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9"/>
        <w:gridCol w:w="6530"/>
      </w:tblGrid>
      <w:tr>
        <w:trPr>
          <w:trHeight w:val="187"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3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1"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主要系内部开发项目形成无形资产以及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EMC </w:t>
            </w:r>
            <w:r>
              <w:rPr>
                <w:rFonts w:ascii="宋体" w:hAnsi="宋体" w:cs="宋体" w:eastAsia="宋体" w:hint="default"/>
                <w:sz w:val="18"/>
                <w:szCs w:val="18"/>
              </w:rPr>
              <w:t>项目完工形成</w:t>
            </w:r>
          </w:p>
        </w:tc>
      </w:tr>
      <w:tr>
        <w:trPr>
          <w:trHeight w:val="403"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3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主要系报告期内公司位于深圳、长沙、及东莞的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IDC </w:t>
            </w:r>
            <w:r>
              <w:rPr>
                <w:rFonts w:ascii="宋体" w:hAnsi="宋体" w:cs="宋体" w:eastAsia="宋体" w:hint="default"/>
                <w:sz w:val="18"/>
                <w:szCs w:val="18"/>
              </w:rPr>
              <w:t>数据中心在建工程增加所致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6754"/>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6754"/>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57" w:lineRule="auto"/>
        <w:ind w:right="6754"/>
        <w:jc w:val="left"/>
      </w:pPr>
      <w:r>
        <w:rPr/>
        <w:t>公司是否需要遵守特殊行业的披露要求 否</w:t>
      </w:r>
    </w:p>
    <w:p>
      <w:pPr>
        <w:pStyle w:val="BodyText"/>
        <w:spacing w:line="477" w:lineRule="auto" w:before="108"/>
        <w:ind w:left="513" w:right="178"/>
        <w:jc w:val="left"/>
      </w:pPr>
      <w:r>
        <w:rPr>
          <w:rFonts w:ascii="宋体" w:hAnsi="宋体" w:cs="宋体" w:eastAsia="宋体" w:hint="default"/>
        </w:rPr>
        <w:t>1</w:t>
      </w:r>
      <w:r>
        <w:rPr/>
        <w:t>、研发和技术优势</w:t>
      </w:r>
      <w:r>
        <w:rPr>
          <w:rFonts w:ascii="宋体" w:hAnsi="宋体" w:cs="宋体" w:eastAsia="宋体" w:hint="default"/>
        </w:rPr>
        <w:t> </w:t>
      </w:r>
      <w:r>
        <w:rPr>
          <w:spacing w:val="-2"/>
        </w:rPr>
        <w:t>公司是国内最早生产金融电子设备的高新技术企业之一，具有较强研发技术优势。公司二十多年来积累了丰富的技术诀</w:t>
      </w:r>
    </w:p>
    <w:p>
      <w:pPr>
        <w:pStyle w:val="BodyText"/>
        <w:spacing w:line="477" w:lineRule="auto" w:before="54"/>
        <w:ind w:right="94"/>
        <w:jc w:val="left"/>
        <w:rPr>
          <w:rFonts w:ascii="宋体" w:hAnsi="宋体" w:cs="宋体" w:eastAsia="宋体" w:hint="default"/>
        </w:rPr>
      </w:pPr>
      <w:r>
        <w:rPr>
          <w:spacing w:val="-2"/>
        </w:rPr>
        <w:t>窍和专有技术，拥有多项能够大幅提高生产效率、降低生产成本的非专利技术，为准确快速制定应用方案、快捷提供优质产</w:t>
      </w:r>
      <w:r>
        <w:rPr>
          <w:spacing w:val="-65"/>
        </w:rPr>
        <w:t> </w:t>
      </w:r>
      <w:r>
        <w:rPr>
          <w:spacing w:val="-65"/>
        </w:rPr>
      </w:r>
      <w:r>
        <w:rPr>
          <w:spacing w:val="-5"/>
        </w:rPr>
        <w:t>品提供了保障。公司为国家级高新技术企业，拥有深圳市市级研究开发中心；国家商用密码产品研发、生产、销售定点单位；</w:t>
      </w:r>
      <w:r>
        <w:rPr>
          <w:spacing w:val="-80"/>
        </w:rPr>
        <w:t> </w:t>
      </w:r>
      <w:r>
        <w:rPr>
          <w:spacing w:val="-80"/>
        </w:rPr>
      </w:r>
      <w:r>
        <w:rPr/>
        <w:t>国家高技术产业化发展项目示范单位；国家金融支付信息安全产品产业化基地。公司与同行业其他企业相比，在核心技术、</w:t>
      </w:r>
      <w:r>
        <w:rPr>
          <w:spacing w:val="-86"/>
        </w:rPr>
        <w:t> </w:t>
      </w:r>
      <w:r>
        <w:rPr>
          <w:spacing w:val="-86"/>
        </w:rPr>
      </w:r>
      <w:r>
        <w:rPr/>
        <w:t>知识产权等方面具有一定的竞争优势。</w:t>
      </w:r>
      <w:r>
        <w:rPr>
          <w:rFonts w:ascii="宋体" w:hAnsi="宋体" w:cs="宋体" w:eastAsia="宋体" w:hint="default"/>
        </w:rPr>
        <w:t> </w:t>
      </w:r>
    </w:p>
    <w:p>
      <w:pPr>
        <w:pStyle w:val="BodyText"/>
        <w:spacing w:line="477" w:lineRule="auto" w:before="54"/>
        <w:ind w:left="513" w:right="178"/>
        <w:jc w:val="left"/>
      </w:pPr>
      <w:r>
        <w:rPr>
          <w:rFonts w:ascii="宋体" w:hAnsi="宋体" w:cs="宋体" w:eastAsia="宋体" w:hint="default"/>
        </w:rPr>
        <w:t>2</w:t>
      </w:r>
      <w:r>
        <w:rPr/>
        <w:t>、客户和品牌优势</w:t>
      </w:r>
      <w:r>
        <w:rPr>
          <w:rFonts w:ascii="宋体" w:hAnsi="宋体" w:cs="宋体" w:eastAsia="宋体" w:hint="default"/>
        </w:rPr>
        <w:t> </w:t>
      </w:r>
      <w:r>
        <w:rPr>
          <w:spacing w:val="-2"/>
        </w:rPr>
        <w:t>公司多年来深耕金融领域，向银行客户提供自助服务终端、支付产品、柜面产品等多个产品系统，积累了优质的客户资</w:t>
      </w:r>
    </w:p>
    <w:p>
      <w:pPr>
        <w:pStyle w:val="BodyText"/>
        <w:spacing w:line="477" w:lineRule="auto" w:before="54"/>
        <w:ind w:right="192"/>
        <w:jc w:val="both"/>
        <w:rPr>
          <w:rFonts w:ascii="宋体" w:hAnsi="宋体" w:cs="宋体" w:eastAsia="宋体" w:hint="default"/>
        </w:rPr>
      </w:pPr>
      <w:r>
        <w:rPr>
          <w:spacing w:val="-2"/>
        </w:rPr>
        <w:t>源，与国内五大国有银行、主要股份制银行构建了紧密的客户关系，“证通”品牌在在金融电子领域具有较高的知名度，是</w:t>
      </w:r>
      <w:r>
        <w:rPr>
          <w:spacing w:val="-66"/>
        </w:rPr>
        <w:t> </w:t>
      </w:r>
      <w:r>
        <w:rPr>
          <w:spacing w:val="-66"/>
        </w:rPr>
      </w:r>
      <w:r>
        <w:rPr/>
        <w:t>公司金融电子业务持续发展的关键因素，同时品牌优势为公司金融电子业务拓展其他客户，以及公司在</w:t>
      </w:r>
      <w:r>
        <w:rPr>
          <w:rFonts w:ascii="宋体" w:hAnsi="宋体" w:cs="宋体" w:eastAsia="宋体" w:hint="default"/>
        </w:rPr>
        <w:t>IDC</w:t>
      </w:r>
      <w:r>
        <w:rPr/>
        <w:t>及云计算业务、 </w:t>
      </w:r>
      <w:r>
        <w:rPr>
          <w:rFonts w:ascii="宋体" w:hAnsi="宋体" w:cs="宋体" w:eastAsia="宋体" w:hint="default"/>
        </w:rPr>
        <w:t>LED</w:t>
      </w:r>
      <w:r>
        <w:rPr/>
        <w:t>照明工程开展业务提供了良好的支撑。</w:t>
      </w:r>
      <w:r>
        <w:rPr>
          <w:rFonts w:ascii="宋体" w:hAnsi="宋体" w:cs="宋体" w:eastAsia="宋体" w:hint="default"/>
        </w:rPr>
        <w:t> </w:t>
      </w:r>
    </w:p>
    <w:p>
      <w:pPr>
        <w:pStyle w:val="BodyText"/>
        <w:spacing w:line="477" w:lineRule="auto" w:before="55"/>
        <w:ind w:left="513" w:right="178"/>
        <w:jc w:val="left"/>
      </w:pPr>
      <w:r>
        <w:rPr>
          <w:rFonts w:ascii="宋体" w:hAnsi="宋体" w:cs="宋体" w:eastAsia="宋体" w:hint="default"/>
        </w:rPr>
        <w:t>3</w:t>
      </w:r>
      <w:r>
        <w:rPr/>
        <w:t>、资质优势</w:t>
      </w:r>
      <w:r>
        <w:rPr>
          <w:rFonts w:ascii="宋体" w:hAnsi="宋体" w:cs="宋体" w:eastAsia="宋体" w:hint="default"/>
        </w:rPr>
        <w:t> </w:t>
      </w:r>
      <w:r>
        <w:rPr>
          <w:spacing w:val="-2"/>
        </w:rPr>
        <w:t>由于金融电子产品涉及金融信息安全，要进入某些重要的应用领域必须通过严格的安全、技术等方面的检测并取得入围</w:t>
      </w:r>
    </w:p>
    <w:p>
      <w:pPr>
        <w:pStyle w:val="BodyText"/>
        <w:spacing w:line="477" w:lineRule="auto" w:before="54"/>
        <w:ind w:left="513" w:right="178" w:hanging="361"/>
        <w:jc w:val="left"/>
      </w:pPr>
      <w:r>
        <w:rPr/>
        <w:t>许可的资质。因此，资质是企业进入某些重要的细分市场的准入证，是企业获取更多市场份额的基础保证。</w:t>
      </w:r>
      <w:r>
        <w:rPr>
          <w:rFonts w:ascii="宋体" w:hAnsi="宋体" w:cs="宋体" w:eastAsia="宋体" w:hint="default"/>
        </w:rPr>
        <w:t> </w:t>
      </w:r>
      <w:r>
        <w:rPr>
          <w:spacing w:val="-2"/>
        </w:rPr>
        <w:t>金融电子支付设备具有较强的替代性壁垒。相关产品在进入应用前，客户会对其产品进行严格的测试或要求取得相关认</w:t>
      </w:r>
    </w:p>
    <w:p>
      <w:pPr>
        <w:pStyle w:val="BodyText"/>
        <w:spacing w:line="240" w:lineRule="auto" w:before="54"/>
        <w:ind w:right="0"/>
        <w:jc w:val="left"/>
      </w:pPr>
      <w:r>
        <w:rPr/>
        <w:t>证，其花费的时间较长。银行出于信息安全角度的考虑，对供应商的选择相当严格，同时由于产品涉及安全保密的特殊性，</w:t>
      </w:r>
    </w:p>
    <w:p>
      <w:pPr>
        <w:spacing w:after="0" w:line="240"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07"/>
        <w:jc w:val="both"/>
        <w:rPr>
          <w:rFonts w:ascii="宋体" w:hAnsi="宋体" w:cs="宋体" w:eastAsia="宋体" w:hint="default"/>
        </w:rPr>
      </w:pPr>
      <w:r>
        <w:rPr/>
        <w:t>这样从技术层面上客户对供应商就容易形成技术路径依赖，因此一旦成为客户的供应商后，客户出于安全保密方面的考虑，</w:t>
      </w:r>
      <w:r>
        <w:rPr>
          <w:spacing w:val="-86"/>
        </w:rPr>
        <w:t> </w:t>
      </w:r>
      <w:r>
        <w:rPr>
          <w:spacing w:val="-86"/>
        </w:rPr>
      </w:r>
      <w:r>
        <w:rPr/>
        <w:t>不会轻易更换供应商，客户具有一定粘性。</w:t>
      </w:r>
      <w:r>
        <w:rPr>
          <w:rFonts w:ascii="宋体" w:hAnsi="宋体" w:cs="宋体" w:eastAsia="宋体" w:hint="default"/>
        </w:rPr>
        <w:t> </w:t>
      </w:r>
    </w:p>
    <w:p>
      <w:pPr>
        <w:pStyle w:val="BodyText"/>
        <w:spacing w:line="477" w:lineRule="auto" w:before="54"/>
        <w:ind w:left="513" w:right="178"/>
        <w:jc w:val="left"/>
      </w:pPr>
      <w:r>
        <w:rPr>
          <w:rFonts w:ascii="宋体" w:hAnsi="宋体" w:cs="宋体" w:eastAsia="宋体" w:hint="default"/>
        </w:rPr>
        <w:t>4</w:t>
      </w:r>
      <w:r>
        <w:rPr/>
        <w:t>、服务优势</w:t>
      </w:r>
      <w:r>
        <w:rPr>
          <w:rFonts w:ascii="宋体" w:hAnsi="宋体" w:cs="宋体" w:eastAsia="宋体" w:hint="default"/>
        </w:rPr>
        <w:t> </w:t>
      </w:r>
      <w:r>
        <w:rPr>
          <w:spacing w:val="-2"/>
        </w:rPr>
        <w:t>为了满足用户需求，公司加强售后服务体系建设，在产品售后的基础上不断挖掘产业链价值，拓展服务领域，实现优质</w:t>
      </w:r>
    </w:p>
    <w:p>
      <w:pPr>
        <w:pStyle w:val="BodyText"/>
        <w:spacing w:line="477" w:lineRule="auto" w:before="54"/>
        <w:ind w:right="195"/>
        <w:jc w:val="both"/>
        <w:rPr>
          <w:rFonts w:ascii="宋体" w:hAnsi="宋体" w:cs="宋体" w:eastAsia="宋体" w:hint="default"/>
        </w:rPr>
      </w:pPr>
      <w:r>
        <w:rPr>
          <w:spacing w:val="-2"/>
        </w:rPr>
        <w:t>服务。公司的服务包括自助设备售后维保业务、支付终端（银联卡收单）外包服务及外包运营服务。专业为客户提供自助服</w:t>
      </w:r>
      <w:r>
        <w:rPr>
          <w:spacing w:val="-67"/>
        </w:rPr>
        <w:t> </w:t>
      </w:r>
      <w:r>
        <w:rPr>
          <w:spacing w:val="-67"/>
        </w:rPr>
      </w:r>
      <w:r>
        <w:rPr/>
        <w:t>务终端服务、耗材销售配送服务、部件维修</w:t>
      </w:r>
      <w:r>
        <w:rPr>
          <w:rFonts w:ascii="宋体" w:hAnsi="宋体" w:cs="宋体" w:eastAsia="宋体" w:hint="default"/>
        </w:rPr>
        <w:t>/</w:t>
      </w:r>
      <w:r>
        <w:rPr/>
        <w:t>销售服务，同时提供支付终端（银联卡收单）外包服务、外包运营服务的高科 技服务机构。</w:t>
      </w:r>
      <w:r>
        <w:rPr>
          <w:rFonts w:ascii="宋体" w:hAnsi="宋体" w:cs="宋体" w:eastAsia="宋体" w:hint="default"/>
        </w:rPr>
        <w:t> </w:t>
      </w:r>
    </w:p>
    <w:p>
      <w:pPr>
        <w:pStyle w:val="BodyText"/>
        <w:spacing w:line="477" w:lineRule="auto" w:before="54"/>
        <w:ind w:right="184" w:firstLine="360"/>
        <w:jc w:val="left"/>
        <w:rPr>
          <w:rFonts w:ascii="宋体" w:hAnsi="宋体" w:cs="宋体" w:eastAsia="宋体" w:hint="default"/>
        </w:rPr>
      </w:pPr>
      <w:r>
        <w:rPr/>
        <w:t>经过</w:t>
      </w:r>
      <w:r>
        <w:rPr>
          <w:rFonts w:ascii="宋体" w:hAnsi="宋体" w:cs="宋体" w:eastAsia="宋体" w:hint="default"/>
        </w:rPr>
        <w:t>20</w:t>
      </w:r>
      <w:r>
        <w:rPr/>
        <w:t>多年的发展，公司客户服务中心已发展成为拥有覆盖全国（除港澳台）所有省市的</w:t>
      </w:r>
      <w:r>
        <w:rPr>
          <w:rFonts w:ascii="宋体" w:hAnsi="宋体" w:cs="宋体" w:eastAsia="宋体" w:hint="default"/>
        </w:rPr>
        <w:t>28</w:t>
      </w:r>
      <w:r>
        <w:rPr/>
        <w:t>个区域客服管理中心、</w:t>
      </w:r>
      <w:r>
        <w:rPr>
          <w:rFonts w:ascii="宋体" w:hAnsi="宋体" w:cs="宋体" w:eastAsia="宋体" w:hint="default"/>
        </w:rPr>
        <w:t>346 </w:t>
      </w:r>
      <w:r>
        <w:rPr/>
        <w:t>个售后服务网点、四百余名专业服务工程师的全国性</w:t>
      </w:r>
      <w:r>
        <w:rPr>
          <w:rFonts w:ascii="宋体" w:hAnsi="宋体" w:cs="宋体" w:eastAsia="宋体" w:hint="default"/>
        </w:rPr>
        <w:t>IT</w:t>
      </w:r>
      <w:r>
        <w:rPr/>
        <w:t>服务机构。</w:t>
      </w:r>
      <w:r>
        <w:rPr>
          <w:rFonts w:ascii="宋体" w:hAnsi="宋体" w:cs="宋体" w:eastAsia="宋体" w:hint="default"/>
        </w:rPr>
        <w:t> </w:t>
      </w:r>
    </w:p>
    <w:p>
      <w:pPr>
        <w:spacing w:after="0" w:line="477" w:lineRule="auto"/>
        <w:jc w:val="left"/>
        <w:rPr>
          <w:rFonts w:ascii="宋体" w:hAnsi="宋体" w:cs="宋体" w:eastAsia="宋体" w:hint="default"/>
        </w:rPr>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178"/>
        <w:jc w:val="left"/>
        <w:rPr>
          <w:b w:val="0"/>
          <w:bCs w:val="0"/>
        </w:rPr>
      </w:pPr>
      <w:bookmarkStart w:name="_bookmark3" w:id="4"/>
      <w:bookmarkEnd w:id="4"/>
      <w:r>
        <w:rPr>
          <w:b w:val="0"/>
          <w:bCs w:val="0"/>
        </w:rPr>
      </w:r>
      <w:r>
        <w:rPr/>
        <w:t>第四节</w:t>
      </w:r>
      <w:r>
        <w:rPr>
          <w:spacing w:val="-6"/>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6754"/>
        <w:jc w:val="left"/>
        <w:rPr>
          <w:b w:val="0"/>
          <w:bCs w:val="0"/>
        </w:rPr>
      </w:pPr>
      <w:r>
        <w:rPr/>
        <w:t>一、概述</w:t>
      </w:r>
      <w:r>
        <w:rPr>
          <w:b w:val="0"/>
          <w:bCs w:val="0"/>
        </w:rPr>
      </w:r>
    </w:p>
    <w:p>
      <w:pPr>
        <w:spacing w:line="240" w:lineRule="auto" w:before="7"/>
        <w:rPr>
          <w:rFonts w:ascii="宋体" w:hAnsi="宋体" w:cs="宋体" w:eastAsia="宋体" w:hint="default"/>
          <w:b/>
          <w:bCs/>
          <w:sz w:val="32"/>
          <w:szCs w:val="32"/>
        </w:rPr>
      </w:pPr>
    </w:p>
    <w:p>
      <w:pPr>
        <w:pStyle w:val="BodyText"/>
        <w:spacing w:line="477" w:lineRule="auto"/>
        <w:ind w:right="188" w:firstLine="360"/>
        <w:jc w:val="both"/>
        <w:rPr>
          <w:rFonts w:ascii="宋体" w:hAnsi="宋体" w:cs="宋体" w:eastAsia="宋体" w:hint="default"/>
        </w:rPr>
      </w:pPr>
      <w:r>
        <w:rPr>
          <w:rFonts w:ascii="宋体" w:hAnsi="宋体" w:cs="宋体" w:eastAsia="宋体" w:hint="default"/>
          <w:spacing w:val="-2"/>
        </w:rPr>
        <w:t>2017</w:t>
      </w:r>
      <w:r>
        <w:rPr>
          <w:spacing w:val="-2"/>
        </w:rPr>
        <w:t>年度，公司持续关注金融支付、</w:t>
      </w:r>
      <w:r>
        <w:rPr>
          <w:rFonts w:ascii="宋体" w:hAnsi="宋体" w:cs="宋体" w:eastAsia="宋体" w:hint="default"/>
          <w:spacing w:val="-2"/>
        </w:rPr>
        <w:t>IDC</w:t>
      </w:r>
      <w:r>
        <w:rPr>
          <w:spacing w:val="-2"/>
        </w:rPr>
        <w:t>及云计算、</w:t>
      </w:r>
      <w:r>
        <w:rPr>
          <w:rFonts w:ascii="宋体" w:hAnsi="宋体" w:cs="宋体" w:eastAsia="宋体" w:hint="default"/>
          <w:spacing w:val="-2"/>
        </w:rPr>
        <w:t>LED</w:t>
      </w:r>
      <w:r>
        <w:rPr>
          <w:spacing w:val="-2"/>
        </w:rPr>
        <w:t>照明电子行业的发展趋势，在年初以“明确战略目标，推进管理</w:t>
      </w:r>
      <w:r>
        <w:rPr/>
        <w:t> </w:t>
      </w:r>
      <w:r>
        <w:rPr>
          <w:spacing w:val="-2"/>
        </w:rPr>
        <w:t>升级；改善组织机能，提升运营效率”为指导思想下，在公司内部推行事业部制管理模式，以期逐步改善组织机能，提升运</w:t>
      </w:r>
      <w:r>
        <w:rPr>
          <w:spacing w:val="-67"/>
        </w:rPr>
        <w:t> </w:t>
      </w:r>
      <w:r>
        <w:rPr>
          <w:spacing w:val="-67"/>
        </w:rPr>
      </w:r>
      <w:r>
        <w:rPr>
          <w:spacing w:val="-2"/>
        </w:rPr>
        <w:t>营效率；同时面对市场变化，持续加大各项投入，积极探索新的业务机会，推进公司各项经营活动开展。报告期内，公司形</w:t>
      </w:r>
      <w:r>
        <w:rPr>
          <w:spacing w:val="-68"/>
        </w:rPr>
        <w:t> </w:t>
      </w:r>
      <w:r>
        <w:rPr>
          <w:spacing w:val="-68"/>
        </w:rPr>
      </w:r>
      <w:r>
        <w:rPr>
          <w:spacing w:val="-2"/>
        </w:rPr>
        <w:t>成了以金融科技、照明科技、</w:t>
      </w:r>
      <w:r>
        <w:rPr>
          <w:rFonts w:ascii="宋体" w:hAnsi="宋体" w:cs="宋体" w:eastAsia="宋体" w:hint="default"/>
          <w:spacing w:val="-2"/>
        </w:rPr>
        <w:t>IDC+</w:t>
      </w:r>
      <w:r>
        <w:rPr>
          <w:spacing w:val="-2"/>
        </w:rPr>
        <w:t>三大业务板块的产业布局，报告期内公司实现营业收入</w:t>
      </w:r>
      <w:r>
        <w:rPr>
          <w:rFonts w:ascii="宋体" w:hAnsi="宋体" w:cs="宋体" w:eastAsia="宋体" w:hint="default"/>
          <w:spacing w:val="-2"/>
        </w:rPr>
        <w:t>168,259.32</w:t>
      </w:r>
      <w:r>
        <w:rPr>
          <w:spacing w:val="-2"/>
        </w:rPr>
        <w:t>万元，实现归属于母公</w:t>
      </w:r>
      <w:r>
        <w:rPr>
          <w:spacing w:val="-52"/>
        </w:rPr>
        <w:t> </w:t>
      </w:r>
      <w:r>
        <w:rPr>
          <w:spacing w:val="-52"/>
        </w:rPr>
      </w:r>
      <w:r>
        <w:rPr/>
        <w:t>司所有者的净利润</w:t>
      </w:r>
      <w:r>
        <w:rPr>
          <w:rFonts w:ascii="宋体" w:hAnsi="宋体" w:cs="宋体" w:eastAsia="宋体" w:hint="default"/>
        </w:rPr>
        <w:t>4,309.56</w:t>
      </w:r>
      <w:r>
        <w:rPr>
          <w:rFonts w:ascii="宋体" w:hAnsi="宋体" w:cs="宋体" w:eastAsia="宋体" w:hint="default"/>
          <w:spacing w:val="-3"/>
        </w:rPr>
        <w:t> </w:t>
      </w:r>
      <w:r>
        <w:rPr/>
        <w:t>万元。</w:t>
      </w:r>
      <w:r>
        <w:rPr>
          <w:rFonts w:ascii="宋体" w:hAnsi="宋体" w:cs="宋体" w:eastAsia="宋体" w:hint="default"/>
        </w:rPr>
        <w:t> </w:t>
      </w:r>
    </w:p>
    <w:p>
      <w:pPr>
        <w:pStyle w:val="BodyText"/>
        <w:spacing w:line="477" w:lineRule="auto" w:before="55"/>
        <w:ind w:right="101" w:firstLine="360"/>
        <w:jc w:val="both"/>
        <w:rPr>
          <w:rFonts w:ascii="宋体" w:hAnsi="宋体" w:cs="宋体" w:eastAsia="宋体" w:hint="default"/>
        </w:rPr>
      </w:pPr>
      <w:r>
        <w:rPr>
          <w:spacing w:val="-5"/>
        </w:rPr>
        <w:t>自助设备业务方面，</w:t>
      </w:r>
      <w:r>
        <w:rPr>
          <w:spacing w:val="1"/>
        </w:rPr>
        <w:t> </w:t>
      </w:r>
      <w:r>
        <w:rPr>
          <w:rFonts w:ascii="宋体" w:hAnsi="宋体" w:cs="宋体" w:eastAsia="宋体" w:hint="default"/>
          <w:spacing w:val="1"/>
        </w:rPr>
      </w:r>
      <w:r>
        <w:rPr>
          <w:rFonts w:ascii="宋体" w:hAnsi="宋体" w:cs="宋体" w:eastAsia="宋体" w:hint="default"/>
          <w:spacing w:val="-3"/>
        </w:rPr>
        <w:t>2017</w:t>
      </w:r>
      <w:r>
        <w:rPr>
          <w:spacing w:val="-3"/>
        </w:rPr>
        <w:t>年成功入围中国银行、邮储银行智能网点项目，巩固了在银行领域的优势地位，并利用品牌、</w:t>
      </w:r>
      <w:r>
        <w:rPr/>
        <w:t> </w:t>
      </w:r>
      <w:r>
        <w:rPr>
          <w:spacing w:val="-5"/>
        </w:rPr>
        <w:t>规模、公司综合实力的优势，大力拓展自助终端设备在行业客户的销售，产品覆盖在税务、彩票、公安、影院、电力、政务、</w:t>
      </w:r>
      <w:r>
        <w:rPr>
          <w:spacing w:val="-83"/>
        </w:rPr>
        <w:t> </w:t>
      </w:r>
      <w:r>
        <w:rPr>
          <w:spacing w:val="-83"/>
        </w:rPr>
      </w:r>
      <w:r>
        <w:rPr>
          <w:spacing w:val="-2"/>
        </w:rPr>
        <w:t>医疗、交通、检测等领域。公司在自助终端设计、机电传动部件制造、软件平台、安卓桌面化终端四大核心领域继续夯实研</w:t>
      </w:r>
      <w:r>
        <w:rPr>
          <w:spacing w:val="-68"/>
        </w:rPr>
        <w:t> </w:t>
      </w:r>
      <w:r>
        <w:rPr>
          <w:spacing w:val="-68"/>
        </w:rPr>
      </w:r>
      <w:r>
        <w:rPr/>
        <w:t>发基础，提升设计和制造水平，不断优化和升级公司的软、硬件平台开发能力，年内完成</w:t>
      </w:r>
      <w:r>
        <w:rPr>
          <w:rFonts w:ascii="宋体" w:hAnsi="宋体" w:cs="宋体" w:eastAsia="宋体" w:hint="default"/>
        </w:rPr>
        <w:t>5</w:t>
      </w:r>
      <w:r>
        <w:rPr/>
        <w:t>款自助部件和首款零售自助终端 </w:t>
      </w:r>
      <w:r>
        <w:rPr>
          <w:spacing w:val="-5"/>
        </w:rPr>
        <w:t>的研发工作，提高了快速定制的研发能力，稳步实现自助终端全产业链运营，为打造“中国自助产业基地”打下了坚实基础。</w:t>
      </w:r>
      <w:r>
        <w:rPr>
          <w:rFonts w:ascii="宋体" w:hAnsi="宋体" w:cs="宋体" w:eastAsia="宋体" w:hint="default"/>
        </w:rPr>
        <w:t> </w:t>
      </w:r>
    </w:p>
    <w:p>
      <w:pPr>
        <w:pStyle w:val="BodyText"/>
        <w:spacing w:line="477" w:lineRule="auto" w:before="54"/>
        <w:ind w:right="93" w:firstLine="360"/>
        <w:jc w:val="left"/>
        <w:rPr>
          <w:rFonts w:ascii="宋体" w:hAnsi="宋体" w:cs="宋体" w:eastAsia="宋体" w:hint="default"/>
        </w:rPr>
      </w:pPr>
      <w:r>
        <w:rPr>
          <w:spacing w:val="-4"/>
        </w:rPr>
        <w:t>安全支付业务方面，公司在国内积极应对各商业银行的</w:t>
      </w:r>
      <w:r>
        <w:rPr>
          <w:rFonts w:ascii="宋体" w:hAnsi="宋体" w:cs="宋体" w:eastAsia="宋体" w:hint="default"/>
          <w:spacing w:val="-4"/>
        </w:rPr>
        <w:t>POS</w:t>
      </w:r>
      <w:r>
        <w:rPr>
          <w:spacing w:val="-4"/>
        </w:rPr>
        <w:t>产品招标入围，加大布局智能</w:t>
      </w:r>
      <w:r>
        <w:rPr>
          <w:rFonts w:ascii="宋体" w:hAnsi="宋体" w:cs="宋体" w:eastAsia="宋体" w:hint="default"/>
          <w:spacing w:val="-4"/>
        </w:rPr>
        <w:t>POS</w:t>
      </w:r>
      <w:r>
        <w:rPr>
          <w:spacing w:val="-4"/>
        </w:rPr>
        <w:t>在国内零售及连锁市场销售，</w:t>
      </w:r>
      <w:r>
        <w:rPr/>
        <w:t> 在海外市场以公司支付新技术和差异化定制产品，大力发展业务。报告期内，公司集中优势资源对智能</w:t>
      </w:r>
      <w:r>
        <w:rPr>
          <w:rFonts w:ascii="宋体" w:hAnsi="宋体" w:cs="宋体" w:eastAsia="宋体" w:hint="default"/>
        </w:rPr>
        <w:t>POS</w:t>
      </w:r>
      <w:r>
        <w:rPr/>
        <w:t>进行差异化定制 </w:t>
      </w:r>
      <w:r>
        <w:rPr>
          <w:spacing w:val="-2"/>
        </w:rPr>
        <w:t>及功能延展，加入了税控、虹膜、指纹、人脸、车牌、身份证等模块及配套智能操作系统，从客户需求导入、产品支撑、终</w:t>
      </w:r>
      <w:r>
        <w:rPr>
          <w:spacing w:val="-70"/>
        </w:rPr>
        <w:t> </w:t>
      </w:r>
      <w:r>
        <w:rPr>
          <w:spacing w:val="-70"/>
        </w:rPr>
      </w:r>
      <w:r>
        <w:rPr>
          <w:spacing w:val="-2"/>
        </w:rPr>
        <w:t>端研发、应用研发、工程导入、生产制造全运营链条逐步夯实基础，得到国内和海外客户的认可。报告期内，公司成功拓展</w:t>
      </w:r>
      <w:r>
        <w:rPr>
          <w:spacing w:val="-68"/>
        </w:rPr>
        <w:t> </w:t>
      </w:r>
      <w:r>
        <w:rPr>
          <w:spacing w:val="-68"/>
        </w:rPr>
      </w:r>
      <w:r>
        <w:rPr/>
        <w:t>国内多家农商行及北美、东南亚、中东、俄罗斯、印度等海外客户，并中标邮政储蓄银行的电话</w:t>
      </w:r>
      <w:r>
        <w:rPr>
          <w:rFonts w:ascii="宋体" w:hAnsi="宋体" w:cs="宋体" w:eastAsia="宋体" w:hint="default"/>
        </w:rPr>
        <w:t>POS</w:t>
      </w:r>
      <w:r>
        <w:rPr/>
        <w:t>项目。</w:t>
      </w:r>
      <w:r>
        <w:rPr>
          <w:rFonts w:ascii="宋体" w:hAnsi="宋体" w:cs="宋体" w:eastAsia="宋体" w:hint="default"/>
        </w:rPr>
        <w:t> </w:t>
      </w:r>
    </w:p>
    <w:p>
      <w:pPr>
        <w:pStyle w:val="BodyText"/>
        <w:spacing w:line="477" w:lineRule="auto" w:before="54"/>
        <w:ind w:right="190" w:firstLine="360"/>
        <w:jc w:val="both"/>
        <w:rPr>
          <w:rFonts w:ascii="宋体" w:hAnsi="宋体" w:cs="宋体" w:eastAsia="宋体" w:hint="default"/>
        </w:rPr>
      </w:pPr>
      <w:r>
        <w:rPr>
          <w:spacing w:val="-2"/>
        </w:rPr>
        <w:t>公司在金融物联网与金融服务方面，针对国内商业银行智能转型升级，从银行网点转型咨询服务、电子和员工渠道平台</w:t>
      </w:r>
      <w:r>
        <w:rPr/>
        <w:t> </w:t>
      </w:r>
      <w:r>
        <w:rPr>
          <w:spacing w:val="-2"/>
        </w:rPr>
        <w:t>的应用系统开发等方面，与国内部分城商行、农信社展开合作，为今后公司为银行智能转型升级提供全方面服务进行前期探</w:t>
      </w:r>
      <w:r>
        <w:rPr>
          <w:spacing w:val="-63"/>
        </w:rPr>
        <w:t> </w:t>
      </w:r>
      <w:r>
        <w:rPr>
          <w:spacing w:val="-63"/>
        </w:rPr>
      </w:r>
      <w:r>
        <w:rPr/>
        <w:t>索和市场准备。公司在报告期内积极推进智能软件平台和服务机器人的研发与创新，探索“互联网</w:t>
      </w:r>
      <w:r>
        <w:rPr>
          <w:rFonts w:ascii="宋体" w:hAnsi="宋体" w:cs="宋体" w:eastAsia="宋体" w:hint="default"/>
        </w:rPr>
        <w:t>+</w:t>
      </w:r>
      <w:r>
        <w:rPr/>
        <w:t>金融”服务新模式，不</w:t>
      </w:r>
      <w:r>
        <w:rPr>
          <w:spacing w:val="-87"/>
        </w:rPr>
        <w:t> </w:t>
      </w:r>
      <w:r>
        <w:rPr/>
        <w:t>断完善惠生活</w:t>
      </w:r>
      <w:r>
        <w:rPr>
          <w:rFonts w:ascii="宋体" w:hAnsi="宋体" w:cs="宋体" w:eastAsia="宋体" w:hint="default"/>
        </w:rPr>
        <w:t>O2O</w:t>
      </w:r>
      <w:r>
        <w:rPr/>
        <w:t>社区服务平台应用功能与服务理念，服务范围涵盖银行</w:t>
      </w:r>
      <w:r>
        <w:rPr>
          <w:rFonts w:ascii="宋体" w:hAnsi="宋体" w:cs="宋体" w:eastAsia="宋体" w:hint="default"/>
        </w:rPr>
        <w:t>AI</w:t>
      </w:r>
      <w:r>
        <w:rPr/>
        <w:t>人工智能、智慧银行体系规划、</w:t>
      </w:r>
      <w:r>
        <w:rPr>
          <w:rFonts w:ascii="宋体" w:hAnsi="宋体" w:cs="宋体" w:eastAsia="宋体" w:hint="default"/>
        </w:rPr>
        <w:t>IT</w:t>
      </w:r>
      <w:r>
        <w:rPr/>
        <w:t>系统建设等专 业领域。公司通过完成网点规划及相关技术支撑，完成定制化智能机器人设计及运营流程落地，构建</w:t>
      </w:r>
      <w:r>
        <w:rPr>
          <w:spacing w:val="2"/>
        </w:rPr>
        <w:t> </w:t>
      </w:r>
      <w:r>
        <w:rPr>
          <w:rFonts w:ascii="宋体" w:hAnsi="宋体" w:cs="宋体" w:eastAsia="宋体" w:hint="default"/>
          <w:spacing w:val="2"/>
        </w:rPr>
      </w:r>
      <w:r>
        <w:rPr/>
        <w:t>“智能化、场景化、 定制化、去人工化”的智能机器人应用体系，切实推动商业银行“智能银行转型升级”项目的实施落地。</w:t>
      </w:r>
      <w:r>
        <w:rPr>
          <w:rFonts w:ascii="宋体" w:hAnsi="宋体" w:cs="宋体" w:eastAsia="宋体" w:hint="default"/>
        </w:rPr>
        <w:t> </w:t>
      </w:r>
    </w:p>
    <w:p>
      <w:pPr>
        <w:pStyle w:val="BodyText"/>
        <w:spacing w:line="477" w:lineRule="auto" w:before="55"/>
        <w:ind w:right="193" w:firstLine="360"/>
        <w:jc w:val="both"/>
      </w:pPr>
      <w:r>
        <w:rPr>
          <w:rFonts w:ascii="宋体" w:hAnsi="宋体" w:cs="宋体" w:eastAsia="宋体" w:hint="default"/>
        </w:rPr>
        <w:t>LED</w:t>
      </w:r>
      <w:r>
        <w:rPr/>
        <w:t>照明业务方面，公司完善内部管理的同时积极探索新的业务模式，公司大力拓展道路照明改造和景观亮化市场，在 贵州、湖北、辽宁等多地开展了</w:t>
      </w:r>
      <w:r>
        <w:rPr>
          <w:rFonts w:ascii="宋体" w:hAnsi="宋体" w:cs="宋体" w:eastAsia="宋体" w:hint="default"/>
        </w:rPr>
        <w:t>LED</w:t>
      </w:r>
      <w:r>
        <w:rPr/>
        <w:t>照明工程业务。报告期内，公司取得了城市及道路照明工程专业承包三级资质、城市及 道路照明工程专业承包二级资质，拥有了行业领先的“设计</w:t>
      </w:r>
      <w:r>
        <w:rPr>
          <w:rFonts w:ascii="宋体" w:hAnsi="宋体" w:cs="宋体" w:eastAsia="宋体" w:hint="default"/>
        </w:rPr>
        <w:t>-</w:t>
      </w:r>
      <w:r>
        <w:rPr/>
        <w:t>生产</w:t>
      </w:r>
      <w:r>
        <w:rPr>
          <w:rFonts w:ascii="宋体" w:hAnsi="宋体" w:cs="宋体" w:eastAsia="宋体" w:hint="default"/>
        </w:rPr>
        <w:t>-</w:t>
      </w:r>
      <w:r>
        <w:rPr/>
        <w:t>施工”（</w:t>
      </w:r>
      <w:r>
        <w:rPr>
          <w:rFonts w:ascii="宋体" w:hAnsi="宋体" w:cs="宋体" w:eastAsia="宋体" w:hint="default"/>
        </w:rPr>
        <w:t>EPC</w:t>
      </w:r>
      <w:r>
        <w:rPr/>
        <w:t>）综合服务能力，通过项目整体设计方案， </w:t>
      </w:r>
      <w:r>
        <w:rPr>
          <w:spacing w:val="-2"/>
        </w:rPr>
        <w:t>成功将节能型高科技照明产品和智能化控制技术应用于承接的各项照明工程、景观工程、市政工程、文旅工程、智慧城市工</w:t>
      </w:r>
    </w:p>
    <w:p>
      <w:pPr>
        <w:spacing w:after="0" w:line="477" w:lineRule="auto"/>
        <w:jc w:val="both"/>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0"/>
        <w:jc w:val="left"/>
        <w:rPr>
          <w:rFonts w:ascii="宋体" w:hAnsi="宋体" w:cs="宋体" w:eastAsia="宋体" w:hint="default"/>
        </w:rPr>
      </w:pPr>
      <w:r>
        <w:rPr>
          <w:spacing w:val="-2"/>
        </w:rPr>
        <w:t>程等行业。并通过成功实施贵州思达欢乐谷灯光秀工程项目、陕西耀州智慧城市等行业内有示范效应的照明工程项目和市政</w:t>
      </w:r>
      <w:r>
        <w:rPr>
          <w:spacing w:val="-64"/>
        </w:rPr>
        <w:t> </w:t>
      </w:r>
      <w:r>
        <w:rPr>
          <w:spacing w:val="-64"/>
        </w:rPr>
      </w:r>
      <w:r>
        <w:rPr/>
        <w:t>项目，使公司获得了一定的知名度和业内协会的认可。</w:t>
      </w:r>
      <w:r>
        <w:rPr>
          <w:rFonts w:ascii="宋体" w:hAnsi="宋体" w:cs="宋体" w:eastAsia="宋体" w:hint="default"/>
        </w:rPr>
        <w:t> </w:t>
      </w:r>
    </w:p>
    <w:p>
      <w:pPr>
        <w:pStyle w:val="BodyText"/>
        <w:spacing w:line="477" w:lineRule="auto" w:before="54"/>
        <w:ind w:right="151" w:firstLine="360"/>
        <w:jc w:val="both"/>
        <w:rPr>
          <w:rFonts w:ascii="宋体" w:hAnsi="宋体" w:cs="宋体" w:eastAsia="宋体" w:hint="default"/>
        </w:rPr>
      </w:pPr>
      <w:r>
        <w:rPr>
          <w:rFonts w:ascii="宋体" w:hAnsi="宋体" w:cs="宋体" w:eastAsia="宋体" w:hint="default"/>
          <w:spacing w:val="-2"/>
        </w:rPr>
        <w:t>IDC</w:t>
      </w:r>
      <w:r>
        <w:rPr>
          <w:spacing w:val="-2"/>
        </w:rPr>
        <w:t>云计算业务方面，在</w:t>
      </w:r>
      <w:r>
        <w:rPr>
          <w:rFonts w:ascii="宋体" w:hAnsi="宋体" w:cs="宋体" w:eastAsia="宋体" w:hint="default"/>
          <w:spacing w:val="-2"/>
        </w:rPr>
        <w:t>2016</w:t>
      </w:r>
      <w:r>
        <w:rPr>
          <w:spacing w:val="-2"/>
        </w:rPr>
        <w:t>年</w:t>
      </w:r>
      <w:r>
        <w:rPr>
          <w:rFonts w:ascii="宋体" w:hAnsi="宋体" w:cs="宋体" w:eastAsia="宋体" w:hint="default"/>
          <w:spacing w:val="-2"/>
        </w:rPr>
        <w:t>IDC</w:t>
      </w:r>
      <w:r>
        <w:rPr>
          <w:spacing w:val="-2"/>
        </w:rPr>
        <w:t>租赁业务的基础上，公司在报告期内积极展开基于</w:t>
      </w:r>
      <w:r>
        <w:rPr>
          <w:rFonts w:ascii="宋体" w:hAnsi="宋体" w:cs="宋体" w:eastAsia="宋体" w:hint="default"/>
          <w:spacing w:val="-2"/>
        </w:rPr>
        <w:t>IDC+</w:t>
      </w:r>
      <w:r>
        <w:rPr>
          <w:spacing w:val="-2"/>
        </w:rPr>
        <w:t>业务探索。结合当前国内智慧</w:t>
      </w:r>
      <w:r>
        <w:rPr/>
        <w:t> </w:t>
      </w:r>
      <w:r>
        <w:rPr>
          <w:spacing w:val="-5"/>
        </w:rPr>
        <w:t>城市市场的蓬勃发展，公司以证通云平台为业务基础和依托，以湖南为重点业务开展地区，探索发展“</w:t>
      </w:r>
      <w:r>
        <w:rPr>
          <w:rFonts w:ascii="宋体" w:hAnsi="宋体" w:cs="宋体" w:eastAsia="宋体" w:hint="default"/>
          <w:spacing w:val="-5"/>
        </w:rPr>
        <w:t>IDC+</w:t>
      </w:r>
      <w:r>
        <w:rPr>
          <w:spacing w:val="-5"/>
        </w:rPr>
        <w:t>智慧城市”业务，</w:t>
      </w:r>
      <w:r>
        <w:rPr>
          <w:spacing w:val="-71"/>
        </w:rPr>
        <w:t> </w:t>
      </w:r>
      <w:r>
        <w:rPr>
          <w:spacing w:val="-71"/>
        </w:rPr>
      </w:r>
      <w:r>
        <w:rPr>
          <w:spacing w:val="-2"/>
        </w:rPr>
        <w:t>提高</w:t>
      </w:r>
      <w:r>
        <w:rPr>
          <w:rFonts w:ascii="宋体" w:hAnsi="宋体" w:cs="宋体" w:eastAsia="宋体" w:hint="default"/>
          <w:spacing w:val="-2"/>
        </w:rPr>
        <w:t>IDC</w:t>
      </w:r>
      <w:r>
        <w:rPr>
          <w:spacing w:val="-2"/>
        </w:rPr>
        <w:t>业务的盈利能力。</w:t>
      </w:r>
      <w:r>
        <w:rPr>
          <w:rFonts w:ascii="宋体" w:hAnsi="宋体" w:cs="宋体" w:eastAsia="宋体" w:hint="default"/>
          <w:spacing w:val="-2"/>
        </w:rPr>
        <w:t>2017</w:t>
      </w:r>
      <w:r>
        <w:rPr>
          <w:spacing w:val="-2"/>
        </w:rPr>
        <w:t>年，基于公司</w:t>
      </w:r>
      <w:r>
        <w:rPr>
          <w:rFonts w:ascii="宋体" w:hAnsi="宋体" w:cs="宋体" w:eastAsia="宋体" w:hint="default"/>
          <w:spacing w:val="-2"/>
        </w:rPr>
        <w:t>IDC</w:t>
      </w:r>
      <w:r>
        <w:rPr>
          <w:spacing w:val="-2"/>
        </w:rPr>
        <w:t>的智慧城市云服务首先在长沙望城成功落地，长沙望城经济开发区委托公司</w:t>
      </w:r>
      <w:r>
        <w:rPr>
          <w:spacing w:val="-61"/>
        </w:rPr>
        <w:t> </w:t>
      </w:r>
      <w:r>
        <w:rPr>
          <w:spacing w:val="-61"/>
        </w:rPr>
      </w:r>
      <w:r>
        <w:rPr/>
        <w:t>建设开发区内智慧园区系统，并建设智慧园区云平台。</w:t>
      </w:r>
      <w:r>
        <w:rPr>
          <w:rFonts w:ascii="宋体" w:hAnsi="宋体" w:cs="宋体" w:eastAsia="宋体" w:hint="default"/>
        </w:rPr>
        <w:t> </w:t>
      </w:r>
    </w:p>
    <w:p>
      <w:pPr>
        <w:pStyle w:val="BodyText"/>
        <w:spacing w:line="477" w:lineRule="auto" w:before="54"/>
        <w:ind w:right="148" w:firstLine="360"/>
        <w:jc w:val="both"/>
        <w:rPr>
          <w:rFonts w:ascii="宋体" w:hAnsi="宋体" w:cs="宋体" w:eastAsia="宋体" w:hint="default"/>
        </w:rPr>
      </w:pPr>
      <w:r>
        <w:rPr>
          <w:spacing w:val="-2"/>
        </w:rPr>
        <w:t>报告期内，公司按照规划投资建设长沙证通科技园数据中心、深圳市证通电子产业园一号数据中心和广东宏达通信旗峰</w:t>
      </w:r>
      <w:r>
        <w:rPr/>
        <w:t> </w:t>
      </w:r>
      <w:r>
        <w:rPr>
          <w:spacing w:val="-2"/>
        </w:rPr>
        <w:t>数据中心建设。报告期末，长沙证通科技园动力中心、长沙证通科技园</w:t>
      </w:r>
      <w:r>
        <w:rPr>
          <w:rFonts w:ascii="宋体" w:hAnsi="宋体" w:cs="宋体" w:eastAsia="宋体" w:hint="default"/>
          <w:spacing w:val="-2"/>
        </w:rPr>
        <w:t>1</w:t>
      </w:r>
      <w:r>
        <w:rPr>
          <w:spacing w:val="-2"/>
        </w:rPr>
        <w:t>号机房的土建工程、机架及配套机电设备等，以</w:t>
      </w:r>
      <w:r>
        <w:rPr>
          <w:rFonts w:ascii="宋体" w:hAnsi="宋体" w:cs="宋体" w:eastAsia="宋体" w:hint="default"/>
          <w:spacing w:val="-2"/>
        </w:rPr>
        <w:t>T3+</w:t>
      </w:r>
      <w:r>
        <w:rPr>
          <w:rFonts w:ascii="宋体" w:hAnsi="宋体" w:cs="宋体" w:eastAsia="宋体" w:hint="default"/>
          <w:spacing w:val="-58"/>
        </w:rPr>
        <w:t> </w:t>
      </w:r>
      <w:r>
        <w:rPr/>
        <w:t>标准达到试运行条件，长沙证通科技园</w:t>
      </w:r>
      <w:r>
        <w:rPr>
          <w:rFonts w:ascii="宋体" w:hAnsi="宋体" w:cs="宋体" w:eastAsia="宋体" w:hint="default"/>
        </w:rPr>
        <w:t>2</w:t>
      </w:r>
      <w:r>
        <w:rPr/>
        <w:t>号机房后续建设也在积极推进中。智慧城市云服务能力建设方面，</w:t>
      </w:r>
      <w:r>
        <w:rPr>
          <w:rFonts w:ascii="宋体" w:hAnsi="宋体" w:cs="宋体" w:eastAsia="宋体" w:hint="default"/>
        </w:rPr>
        <w:t>2017</w:t>
      </w:r>
      <w:r>
        <w:rPr/>
        <w:t>年公司开始 </w:t>
      </w:r>
      <w:r>
        <w:rPr>
          <w:spacing w:val="-2"/>
        </w:rPr>
        <w:t>组建智慧城市云服务业务团队和云服务技术团队。结合望城经济开发区智慧园区云服务业务，经过去一年的努力，公司目前</w:t>
      </w:r>
      <w:r>
        <w:rPr>
          <w:spacing w:val="-65"/>
        </w:rPr>
        <w:t> </w:t>
      </w:r>
      <w:r>
        <w:rPr>
          <w:spacing w:val="-65"/>
        </w:rPr>
      </w:r>
      <w:r>
        <w:rPr/>
        <w:t>已经具备了</w:t>
      </w:r>
      <w:r>
        <w:rPr>
          <w:rFonts w:ascii="宋体" w:hAnsi="宋体" w:cs="宋体" w:eastAsia="宋体" w:hint="default"/>
        </w:rPr>
        <w:t>100</w:t>
      </w:r>
      <w:r>
        <w:rPr/>
        <w:t>多人的智慧城市云服务核心技术团队，包括智慧城市需求研发专业团队、</w:t>
      </w:r>
      <w:r>
        <w:rPr>
          <w:rFonts w:ascii="宋体" w:hAnsi="宋体" w:cs="宋体" w:eastAsia="宋体" w:hint="default"/>
        </w:rPr>
        <w:t>SAAS</w:t>
      </w:r>
      <w:r>
        <w:rPr/>
        <w:t>开发技术团队、</w:t>
      </w:r>
      <w:r>
        <w:rPr>
          <w:rFonts w:ascii="宋体" w:hAnsi="宋体" w:cs="宋体" w:eastAsia="宋体" w:hint="default"/>
        </w:rPr>
        <w:t>PAAS</w:t>
      </w:r>
      <w:r>
        <w:rPr/>
        <w:t>开发技术 </w:t>
      </w:r>
      <w:r>
        <w:rPr>
          <w:spacing w:val="-2"/>
        </w:rPr>
        <w:t>团队、</w:t>
      </w:r>
      <w:r>
        <w:rPr>
          <w:rFonts w:ascii="宋体" w:hAnsi="宋体" w:cs="宋体" w:eastAsia="宋体" w:hint="default"/>
          <w:spacing w:val="-2"/>
        </w:rPr>
        <w:t>IAAS</w:t>
      </w:r>
      <w:r>
        <w:rPr>
          <w:spacing w:val="-2"/>
        </w:rPr>
        <w:t>开发技术团队和应用容器开发团队。</w:t>
      </w:r>
      <w:r>
        <w:rPr>
          <w:rFonts w:ascii="宋体" w:hAnsi="宋体" w:cs="宋体" w:eastAsia="宋体" w:hint="default"/>
          <w:spacing w:val="-2"/>
        </w:rPr>
        <w:t>2018</w:t>
      </w:r>
      <w:r>
        <w:rPr>
          <w:spacing w:val="-2"/>
        </w:rPr>
        <w:t>年</w:t>
      </w:r>
      <w:r>
        <w:rPr>
          <w:rFonts w:ascii="宋体" w:hAnsi="宋体" w:cs="宋体" w:eastAsia="宋体" w:hint="default"/>
          <w:spacing w:val="-2"/>
        </w:rPr>
        <w:t>2</w:t>
      </w:r>
      <w:r>
        <w:rPr>
          <w:spacing w:val="-2"/>
        </w:rPr>
        <w:t>月</w:t>
      </w:r>
      <w:r>
        <w:rPr>
          <w:rFonts w:ascii="宋体" w:hAnsi="宋体" w:cs="宋体" w:eastAsia="宋体" w:hint="default"/>
          <w:spacing w:val="-2"/>
        </w:rPr>
        <w:t>1</w:t>
      </w:r>
      <w:r>
        <w:rPr>
          <w:spacing w:val="-2"/>
        </w:rPr>
        <w:t>日，中国信息通信研究院正式发布了</w:t>
      </w:r>
      <w:r>
        <w:rPr>
          <w:rFonts w:ascii="宋体" w:hAnsi="宋体" w:cs="宋体" w:eastAsia="宋体" w:hint="default"/>
          <w:spacing w:val="-2"/>
        </w:rPr>
        <w:t>2017</w:t>
      </w:r>
      <w:r>
        <w:rPr>
          <w:spacing w:val="-2"/>
        </w:rPr>
        <w:t>年下半年第九批通过可</w:t>
      </w:r>
      <w:r>
        <w:rPr>
          <w:spacing w:val="-53"/>
        </w:rPr>
        <w:t> </w:t>
      </w:r>
      <w:r>
        <w:rPr>
          <w:spacing w:val="-53"/>
        </w:rPr>
      </w:r>
      <w:r>
        <w:rPr/>
        <w:t>信云认证的名单。证通云主机服务顺利通过可信云云主机服务认证。</w:t>
      </w:r>
      <w:r>
        <w:rPr>
          <w:rFonts w:ascii="宋体" w:hAnsi="宋体" w:cs="宋体" w:eastAsia="宋体" w:hint="default"/>
        </w:rPr>
        <w:t> </w:t>
      </w:r>
    </w:p>
    <w:p>
      <w:pPr>
        <w:spacing w:after="0" w:line="477" w:lineRule="auto"/>
        <w:jc w:val="both"/>
        <w:rPr>
          <w:rFonts w:ascii="宋体" w:hAnsi="宋体" w:cs="宋体" w:eastAsia="宋体" w:hint="default"/>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6"/>
          <w:szCs w:val="26"/>
        </w:rPr>
      </w:pPr>
    </w:p>
    <w:p>
      <w:pPr>
        <w:pStyle w:val="Heading2"/>
        <w:spacing w:line="240" w:lineRule="auto" w:before="26"/>
        <w:ind w:right="0"/>
        <w:jc w:val="left"/>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spacing w:line="544" w:lineRule="auto" w:before="0"/>
        <w:ind w:left="152" w:right="54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4"/>
        <w:gridCol w:w="1591"/>
        <w:gridCol w:w="1599"/>
        <w:gridCol w:w="1588"/>
        <w:gridCol w:w="1597"/>
      </w:tblGrid>
      <w:tr>
        <w:trPr>
          <w:trHeight w:val="206" w:hRule="exact"/>
        </w:trPr>
        <w:tc>
          <w:tcPr>
            <w:tcW w:w="1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8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599" w:type="dxa"/>
            <w:vMerge w:val="restart"/>
            <w:tcBorders>
              <w:top w:val="nil" w:sz="6" w:space="0" w:color="auto"/>
              <w:left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3187" w:type="dxa"/>
            <w:gridSpan w:val="2"/>
            <w:vMerge/>
            <w:tcBorders>
              <w:left w:val="single" w:sz="4" w:space="0" w:color="000000"/>
              <w:bottom w:val="single" w:sz="4" w:space="0" w:color="000000"/>
              <w:right w:val="single" w:sz="4" w:space="0" w:color="000000"/>
            </w:tcBorders>
            <w:shd w:val="clear" w:color="auto" w:fill="D2D2D2"/>
          </w:tcPr>
          <w:p>
            <w:pPr/>
          </w:p>
        </w:tc>
        <w:tc>
          <w:tcPr>
            <w:tcW w:w="15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2" w:hRule="exact"/>
        </w:trPr>
        <w:tc>
          <w:tcPr>
            <w:tcW w:w="1599"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3"/>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1" w:type="dxa"/>
            <w:vMerge/>
            <w:tcBorders>
              <w:left w:val="single" w:sz="4" w:space="0" w:color="000000"/>
              <w:bottom w:val="single" w:sz="4" w:space="0" w:color="000000"/>
              <w:right w:val="single" w:sz="4" w:space="0" w:color="000000"/>
            </w:tcBorders>
            <w:shd w:val="clear" w:color="auto" w:fill="D2D2D2"/>
          </w:tcPr>
          <w:p>
            <w:pPr/>
          </w:p>
        </w:tc>
        <w:tc>
          <w:tcPr>
            <w:tcW w:w="1599"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1,682,593,168.29</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599"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1,795,906,799.75</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-6.31%</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533,555,400.07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31.71%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963,416,149.40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53.65%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-44.62%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照明电子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369,346,428.65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21.95%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206,641,369.72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11.51%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78.74%</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合同能源管理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280,947,749.79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16.70%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259,392,903.69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14.44%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215,277,731.95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12.79%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140,563,386.92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53.15%</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283,465,857.83</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16.85%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225,892,990.02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12.58%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25.49%</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加密键盘</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93,011,676.61</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102,822,275.23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5.73%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自助服务终端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323,413,362.04</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19.22%</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686,845,364.81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38.25%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-52.91%</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支付产品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109,998,963.69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157,691,152.85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8.78%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-30.24%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及相关贸易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369,346,428.65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21.95%</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206,641,369.72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11.51%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78.74%</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合同能源管理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280,947,749.79</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16.70%</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259,392,903.69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14.44%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215,277,731.95</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12.79%</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140,563,386.92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53.15%</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电子产品贸易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93,252,467.50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5.54%</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114,309,310.00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6.36%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-18.42%</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197,344,788.06</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11.73%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127,641,036.53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2"/>
                <w:sz w:val="18"/>
              </w:rPr>
              <w:t>7.11%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54.61%</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1,535,083,687.12</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91.23%</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1,656,230,438.03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92.22%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147,509,481.17</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139,676,361.72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5.61%</w:t>
            </w:r>
          </w:p>
        </w:tc>
      </w:tr>
    </w:tbl>
    <w:p>
      <w:pPr>
        <w:pStyle w:val="BodyText"/>
        <w:spacing w:line="477" w:lineRule="auto" w:before="87"/>
        <w:ind w:right="151" w:firstLine="360"/>
        <w:jc w:val="both"/>
        <w:rPr>
          <w:rFonts w:ascii="宋体" w:hAnsi="宋体" w:cs="宋体" w:eastAsia="宋体" w:hint="default"/>
        </w:rPr>
      </w:pPr>
      <w:r>
        <w:rPr>
          <w:spacing w:val="-2"/>
        </w:rPr>
        <w:t>报告期内，公司自助服务终端实现销售收入</w:t>
      </w:r>
      <w:r>
        <w:rPr>
          <w:rFonts w:ascii="宋体" w:hAnsi="宋体" w:cs="宋体" w:eastAsia="宋体" w:hint="default"/>
          <w:spacing w:val="-2"/>
        </w:rPr>
        <w:t>323,413,362.04</w:t>
      </w:r>
      <w:r>
        <w:rPr>
          <w:spacing w:val="-2"/>
        </w:rPr>
        <w:t>元，较上年同期下降</w:t>
      </w:r>
      <w:r>
        <w:rPr>
          <w:rFonts w:ascii="宋体" w:hAnsi="宋体" w:cs="宋体" w:eastAsia="宋体" w:hint="default"/>
          <w:spacing w:val="-2"/>
        </w:rPr>
        <w:t>52.91%</w:t>
      </w:r>
      <w:r>
        <w:rPr>
          <w:spacing w:val="-2"/>
        </w:rPr>
        <w:t>，主要原因系公司报告期内虽在</w:t>
      </w:r>
      <w:r>
        <w:rPr/>
        <w:t> </w:t>
      </w:r>
      <w:r>
        <w:rPr>
          <w:spacing w:val="-2"/>
        </w:rPr>
        <w:t>税务、彩票、公安、影院、电力、政务、医疗、交通等自助应用行业领域销售有所增长，但因国有大型银行智能网点转型的</w:t>
      </w:r>
      <w:r>
        <w:rPr>
          <w:spacing w:val="-68"/>
        </w:rPr>
        <w:t> </w:t>
      </w:r>
      <w:r>
        <w:rPr>
          <w:spacing w:val="-68"/>
        </w:rPr>
      </w:r>
      <w:r>
        <w:rPr/>
        <w:t>硬件建设阶段性需求回落，自助终端金融设备业务开展不及预期，导致公司自助终端设备销售大幅下降。</w:t>
      </w:r>
      <w:r>
        <w:rPr>
          <w:rFonts w:ascii="宋体" w:hAnsi="宋体" w:cs="宋体" w:eastAsia="宋体" w:hint="default"/>
        </w:rPr>
        <w:t> </w:t>
      </w:r>
    </w:p>
    <w:p>
      <w:pPr>
        <w:pStyle w:val="BodyText"/>
        <w:spacing w:line="240" w:lineRule="auto" w:before="54"/>
        <w:ind w:left="513" w:right="0"/>
        <w:jc w:val="left"/>
      </w:pPr>
      <w:r>
        <w:rPr/>
        <w:t>报告期内，公司支付产品实现销售收入</w:t>
      </w:r>
      <w:r>
        <w:rPr>
          <w:rFonts w:ascii="宋体" w:hAnsi="宋体" w:cs="宋体" w:eastAsia="宋体" w:hint="default"/>
        </w:rPr>
        <w:t>109,998,963.69</w:t>
      </w:r>
      <w:r>
        <w:rPr/>
        <w:t>元，较上年同期减少</w:t>
      </w:r>
      <w:r>
        <w:rPr>
          <w:rFonts w:ascii="宋体" w:hAnsi="宋体" w:cs="宋体" w:eastAsia="宋体" w:hint="default"/>
        </w:rPr>
        <w:t>30.24%</w:t>
      </w:r>
      <w:r>
        <w:rPr/>
        <w:t>，主要原因系新兴金融支付业态的快</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44"/>
        <w:jc w:val="left"/>
        <w:rPr>
          <w:rFonts w:ascii="宋体" w:hAnsi="宋体" w:cs="宋体" w:eastAsia="宋体" w:hint="default"/>
        </w:rPr>
      </w:pPr>
      <w:r>
        <w:rPr/>
        <w:t>速发展及移动支付的迅猛发展导致传统</w:t>
      </w:r>
      <w:r>
        <w:rPr>
          <w:rFonts w:ascii="宋体" w:hAnsi="宋体" w:cs="宋体" w:eastAsia="宋体" w:hint="default"/>
        </w:rPr>
        <w:t>POS</w:t>
      </w:r>
      <w:r>
        <w:rPr/>
        <w:t>的销售下滑，公司金融</w:t>
      </w:r>
      <w:r>
        <w:rPr>
          <w:rFonts w:ascii="宋体" w:hAnsi="宋体" w:cs="宋体" w:eastAsia="宋体" w:hint="default"/>
        </w:rPr>
        <w:t>POS</w:t>
      </w:r>
      <w:r>
        <w:rPr/>
        <w:t>和智能</w:t>
      </w:r>
      <w:r>
        <w:rPr>
          <w:rFonts w:ascii="宋体" w:hAnsi="宋体" w:cs="宋体" w:eastAsia="宋体" w:hint="default"/>
        </w:rPr>
        <w:t>POS</w:t>
      </w:r>
      <w:r>
        <w:rPr/>
        <w:t>产品虽然在海外市场的销售较</w:t>
      </w:r>
      <w:r>
        <w:rPr>
          <w:rFonts w:ascii="宋体" w:hAnsi="宋体" w:cs="宋体" w:eastAsia="宋体" w:hint="default"/>
        </w:rPr>
        <w:t>2016</w:t>
      </w:r>
      <w:r>
        <w:rPr/>
        <w:t>年有所增 长，但在银行未取得销售重大突破，导致公司</w:t>
      </w:r>
      <w:r>
        <w:rPr>
          <w:rFonts w:ascii="宋体" w:hAnsi="宋体" w:cs="宋体" w:eastAsia="宋体" w:hint="default"/>
        </w:rPr>
        <w:t>POS</w:t>
      </w:r>
      <w:r>
        <w:rPr/>
        <w:t>产品销售下降。</w:t>
      </w:r>
      <w:r>
        <w:rPr>
          <w:rFonts w:ascii="宋体" w:hAnsi="宋体" w:cs="宋体" w:eastAsia="宋体" w:hint="default"/>
        </w:rPr>
        <w:t> </w:t>
      </w:r>
    </w:p>
    <w:p>
      <w:pPr>
        <w:pStyle w:val="BodyText"/>
        <w:spacing w:line="477" w:lineRule="auto" w:before="54"/>
        <w:ind w:right="153" w:firstLine="360"/>
        <w:jc w:val="both"/>
        <w:rPr>
          <w:rFonts w:ascii="宋体" w:hAnsi="宋体" w:cs="宋体" w:eastAsia="宋体" w:hint="default"/>
        </w:rPr>
      </w:pPr>
      <w:r>
        <w:rPr/>
        <w:t>报告期内，公司</w:t>
      </w:r>
      <w:r>
        <w:rPr>
          <w:rFonts w:ascii="宋体" w:hAnsi="宋体" w:cs="宋体" w:eastAsia="宋体" w:hint="default"/>
        </w:rPr>
        <w:t>LED</w:t>
      </w:r>
      <w:r>
        <w:rPr/>
        <w:t>及相关贸易业务实现销售收入</w:t>
      </w:r>
      <w:r>
        <w:rPr>
          <w:rFonts w:ascii="宋体" w:hAnsi="宋体" w:cs="宋体" w:eastAsia="宋体" w:hint="default"/>
        </w:rPr>
        <w:t>369,346,428.65</w:t>
      </w:r>
      <w:r>
        <w:rPr/>
        <w:t>元，较上年同期增长</w:t>
      </w:r>
      <w:r>
        <w:rPr>
          <w:rFonts w:ascii="宋体" w:hAnsi="宋体" w:cs="宋体" w:eastAsia="宋体" w:hint="default"/>
        </w:rPr>
        <w:t>78.74%</w:t>
      </w:r>
      <w:r>
        <w:rPr/>
        <w:t>，主要原因系公司进一步 将业务方向从</w:t>
      </w:r>
      <w:r>
        <w:rPr>
          <w:rFonts w:ascii="宋体" w:hAnsi="宋体" w:cs="宋体" w:eastAsia="宋体" w:hint="default"/>
        </w:rPr>
        <w:t>LED</w:t>
      </w:r>
      <w:r>
        <w:rPr/>
        <w:t>路灯产品销售向</w:t>
      </w:r>
      <w:r>
        <w:rPr>
          <w:rFonts w:ascii="宋体" w:hAnsi="宋体" w:cs="宋体" w:eastAsia="宋体" w:hint="default"/>
        </w:rPr>
        <w:t>LED</w:t>
      </w:r>
      <w:r>
        <w:rPr/>
        <w:t>照明工程亮化建设转型，大力拓展了在湖南、兰州、内蒙、贵州多地的</w:t>
      </w:r>
      <w:r>
        <w:rPr>
          <w:rFonts w:ascii="宋体" w:hAnsi="宋体" w:cs="宋体" w:eastAsia="宋体" w:hint="default"/>
        </w:rPr>
        <w:t>LED</w:t>
      </w:r>
      <w:r>
        <w:rPr/>
        <w:t>照明工程业 务导致销售收入增加。</w:t>
      </w:r>
      <w:r>
        <w:rPr>
          <w:rFonts w:ascii="宋体" w:hAnsi="宋体" w:cs="宋体" w:eastAsia="宋体" w:hint="default"/>
        </w:rPr>
        <w:t> </w:t>
      </w:r>
    </w:p>
    <w:p>
      <w:pPr>
        <w:pStyle w:val="BodyText"/>
        <w:spacing w:line="477" w:lineRule="auto" w:before="54"/>
        <w:ind w:right="0" w:firstLine="360"/>
        <w:jc w:val="left"/>
        <w:rPr>
          <w:rFonts w:ascii="宋体" w:hAnsi="宋体" w:cs="宋体" w:eastAsia="宋体" w:hint="default"/>
        </w:rPr>
      </w:pPr>
      <w:r>
        <w:rPr/>
        <w:t>报告期内，公司</w:t>
      </w:r>
      <w:r>
        <w:rPr>
          <w:rFonts w:ascii="宋体" w:hAnsi="宋体" w:cs="宋体" w:eastAsia="宋体" w:hint="default"/>
        </w:rPr>
        <w:t>IDC</w:t>
      </w:r>
      <w:r>
        <w:rPr/>
        <w:t>业务实现销售收入</w:t>
      </w:r>
      <w:r>
        <w:rPr>
          <w:rFonts w:ascii="宋体" w:hAnsi="宋体" w:cs="宋体" w:eastAsia="宋体" w:hint="default"/>
        </w:rPr>
        <w:t>215,277,731.95</w:t>
      </w:r>
      <w:r>
        <w:rPr/>
        <w:t>元，较上年同期增长</w:t>
      </w:r>
      <w:r>
        <w:rPr>
          <w:rFonts w:ascii="宋体" w:hAnsi="宋体" w:cs="宋体" w:eastAsia="宋体" w:hint="default"/>
        </w:rPr>
        <w:t>53.15%</w:t>
      </w:r>
      <w:r>
        <w:rPr/>
        <w:t>，主要原因系在公司广州南沙的</w:t>
      </w:r>
      <w:r>
        <w:rPr>
          <w:rFonts w:ascii="宋体" w:hAnsi="宋体" w:cs="宋体" w:eastAsia="宋体" w:hint="default"/>
        </w:rPr>
        <w:t>IDC</w:t>
      </w:r>
      <w:r>
        <w:rPr>
          <w:rFonts w:ascii="宋体" w:hAnsi="宋体" w:cs="宋体" w:eastAsia="宋体" w:hint="default"/>
          <w:spacing w:val="1"/>
        </w:rPr>
        <w:t> </w:t>
      </w:r>
      <w:r>
        <w:rPr>
          <w:spacing w:val="-2"/>
        </w:rPr>
        <w:t>数据中心机柜上架率及流量分成收入逐步提升的基础上，公司新增长沙市望城区智慧园区建设项目、政务云、警务云等云增</w:t>
      </w:r>
      <w:r>
        <w:rPr>
          <w:spacing w:val="-65"/>
        </w:rPr>
        <w:t> </w:t>
      </w:r>
      <w:r>
        <w:rPr>
          <w:spacing w:val="-65"/>
        </w:rPr>
      </w:r>
      <w:r>
        <w:rPr/>
        <w:t>值服务及数据中心建设解决方案的咨询服务收入。</w:t>
      </w:r>
      <w:r>
        <w:rPr>
          <w:rFonts w:ascii="宋体" w:hAnsi="宋体" w:cs="宋体" w:eastAsia="宋体" w:hint="default"/>
        </w:rPr>
        <w:t> </w:t>
      </w:r>
    </w:p>
    <w:p>
      <w:pPr>
        <w:pStyle w:val="BodyText"/>
        <w:spacing w:line="477" w:lineRule="auto" w:before="54"/>
        <w:ind w:right="0" w:firstLine="360"/>
        <w:jc w:val="left"/>
        <w:rPr>
          <w:rFonts w:ascii="宋体" w:hAnsi="宋体" w:cs="宋体" w:eastAsia="宋体" w:hint="default"/>
        </w:rPr>
      </w:pPr>
      <w:r>
        <w:rPr>
          <w:spacing w:val="-2"/>
        </w:rPr>
        <w:t>报告期内，公司其他业务实现销售收入</w:t>
      </w:r>
      <w:r>
        <w:rPr>
          <w:rFonts w:ascii="宋体" w:hAnsi="宋体" w:cs="宋体" w:eastAsia="宋体" w:hint="default"/>
          <w:spacing w:val="-2"/>
        </w:rPr>
        <w:t>197,344,788.06</w:t>
      </w:r>
      <w:r>
        <w:rPr>
          <w:spacing w:val="-2"/>
        </w:rPr>
        <w:t>元，较上年同期增长</w:t>
      </w:r>
      <w:r>
        <w:rPr>
          <w:rFonts w:ascii="宋体" w:hAnsi="宋体" w:cs="宋体" w:eastAsia="宋体" w:hint="default"/>
          <w:spacing w:val="-2"/>
        </w:rPr>
        <w:t>54.61%</w:t>
      </w:r>
      <w:r>
        <w:rPr>
          <w:spacing w:val="-2"/>
        </w:rPr>
        <w:t>，主要原因系因公司金融自助设备相</w:t>
      </w:r>
      <w:r>
        <w:rPr/>
        <w:t> 关的配件、耗材销售增加所致。</w:t>
      </w:r>
      <w:r>
        <w:rPr>
          <w:rFonts w:ascii="宋体" w:hAnsi="宋体" w:cs="宋体" w:eastAsia="宋体" w:hint="default"/>
        </w:rPr>
        <w:t> </w:t>
      </w:r>
    </w:p>
    <w:p>
      <w:pPr>
        <w:spacing w:after="0" w:line="477" w:lineRule="auto"/>
        <w:jc w:val="left"/>
        <w:rPr>
          <w:rFonts w:ascii="宋体" w:hAnsi="宋体" w:cs="宋体" w:eastAsia="宋体" w:hint="default"/>
        </w:rPr>
        <w:sectPr>
          <w:pgSz w:w="11910" w:h="16840"/>
          <w:pgMar w:header="745" w:footer="980" w:top="1060" w:bottom="1160" w:left="980" w:right="980"/>
        </w:sectPr>
      </w:pPr>
    </w:p>
    <w:p>
      <w:pPr>
        <w:pStyle w:val="BodyText"/>
        <w:spacing w:line="348" w:lineRule="auto" w:before="16"/>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9"/>
        <w:ind w:right="-19"/>
        <w:jc w:val="left"/>
      </w:pPr>
      <w:r>
        <w:rPr/>
        <w:t>单位：元</w:t>
      </w:r>
    </w:p>
    <w:p>
      <w:pPr>
        <w:spacing w:after="0" w:line="240" w:lineRule="auto"/>
        <w:jc w:val="left"/>
        <w:sectPr>
          <w:type w:val="continuous"/>
          <w:pgSz w:w="11910" w:h="16840"/>
          <w:pgMar w:top="1060" w:bottom="1160" w:left="980" w:right="980"/>
          <w:cols w:num="2" w:equalWidth="0">
            <w:col w:w="3213" w:space="5707"/>
            <w:col w:w="103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533,555,400.07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426,636,004.97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照明电子</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369,346,428.65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287,792,435.65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合同能源管理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280,947,749.79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156,891,818.32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215,277,731.95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170,743,308.08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283,465,857.83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202,689,091.83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25.49%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7.28%</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加密键盘</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93,011,676.61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54,220,120.24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8.72%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自助服务终端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323,413,362.04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268,938,450.65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-52.91%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支付产品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109,998,963.69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96,645,592.23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及相关贸易</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369,346,428.65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287,792,435.65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78.74%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57.94%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10.26%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合同能源管理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280,947,749.79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156,891,818.32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215,277,731.95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170,743,308.08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53.15%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电子产品贸易</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93,252,467.50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86,422,369.34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197,344,788.06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123,098,564.34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54.61%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70.78%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-5.91%</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1,535,083,687.12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1,137,358,108.33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87"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海外</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147,509,481.17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 w:right="0"/>
              <w:jc w:val="left"/>
              <w:rPr>
                <w:rFonts w:ascii="Times New Roman" w:hAnsi="Times New Roman" w:cs="Times New Roman" w:eastAsia="Times New Roman" w:hint="default"/>
                <w:sz w:val="18"/>
                <w:szCs w:val="18"/>
              </w:rPr>
            </w:pPr>
            <w:r>
              <w:rPr>
                <w:rFonts w:ascii="Times New Roman"/>
                <w:sz w:val="18"/>
              </w:rPr>
              <w:t>107,394,550.52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27.19%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8" w:right="0"/>
              <w:jc w:val="left"/>
              <w:rPr>
                <w:rFonts w:ascii="Times New Roman" w:hAnsi="Times New Roman" w:cs="Times New Roman" w:eastAsia="Times New Roman" w:hint="default"/>
                <w:sz w:val="18"/>
                <w:szCs w:val="18"/>
              </w:rPr>
            </w:pPr>
            <w:r>
              <w:rPr>
                <w:rFonts w:ascii="Times New Roman"/>
                <w:sz w:val="18"/>
              </w:rPr>
              <w:t>5.61%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20.30%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3" w:right="0"/>
              <w:jc w:val="left"/>
              <w:rPr>
                <w:rFonts w:ascii="Times New Roman" w:hAnsi="Times New Roman" w:cs="Times New Roman" w:eastAsia="Times New Roman" w:hint="default"/>
                <w:sz w:val="18"/>
                <w:szCs w:val="18"/>
              </w:rPr>
            </w:pPr>
            <w:r>
              <w:rPr>
                <w:rFonts w:ascii="Times New Roman"/>
                <w:sz w:val="18"/>
              </w:rPr>
              <w:t>-8.90%</w:t>
            </w:r>
          </w:p>
        </w:tc>
      </w:tr>
    </w:tbl>
    <w:p>
      <w:pPr>
        <w:pStyle w:val="BodyText"/>
        <w:spacing w:line="477" w:lineRule="auto" w:before="87"/>
        <w:ind w:left="192" w:right="184" w:firstLine="360"/>
        <w:jc w:val="left"/>
        <w:rPr>
          <w:rFonts w:ascii="宋体" w:hAnsi="宋体" w:cs="宋体" w:eastAsia="宋体" w:hint="default"/>
        </w:rPr>
      </w:pPr>
      <w:r>
        <w:rPr/>
        <w:t>加密键盘毛利率较上年同期下降</w:t>
      </w:r>
      <w:r>
        <w:rPr>
          <w:rFonts w:ascii="宋体" w:hAnsi="宋体" w:cs="宋体" w:eastAsia="宋体" w:hint="default"/>
        </w:rPr>
        <w:t>9.79%</w:t>
      </w:r>
      <w:r>
        <w:rPr/>
        <w:t>，主要原因系受到国家在银行业网络安全和信息化建设领域应用安全可控信息技 术的影响，公司销售量及产量减少，相关原材料价格上涨，制造费用增加所致。</w:t>
      </w:r>
      <w:r>
        <w:rPr>
          <w:rFonts w:ascii="宋体" w:hAnsi="宋体" w:cs="宋体" w:eastAsia="宋体" w:hint="default"/>
        </w:rPr>
        <w:t> </w:t>
      </w:r>
    </w:p>
    <w:p>
      <w:pPr>
        <w:pStyle w:val="BodyText"/>
        <w:spacing w:line="477" w:lineRule="auto" w:before="54"/>
        <w:ind w:left="553" w:right="183"/>
        <w:jc w:val="left"/>
      </w:pPr>
      <w:r>
        <w:rPr/>
        <w:t>公司支付产品毛利率较上年同期上升</w:t>
      </w:r>
      <w:r>
        <w:rPr>
          <w:rFonts w:ascii="宋体" w:hAnsi="宋体" w:cs="宋体" w:eastAsia="宋体" w:hint="default"/>
        </w:rPr>
        <w:t>5.56%</w:t>
      </w:r>
      <w:r>
        <w:rPr/>
        <w:t>，主要原因系本年度公司通过优化产品方案及降低产品生产成本所致。</w:t>
      </w:r>
      <w:r>
        <w:rPr>
          <w:rFonts w:ascii="宋体" w:hAnsi="宋体" w:cs="宋体" w:eastAsia="宋体" w:hint="default"/>
        </w:rPr>
        <w:t> LED</w:t>
      </w:r>
      <w:r>
        <w:rPr/>
        <w:t>及相关贸易毛利率较上期上升</w:t>
      </w:r>
      <w:r>
        <w:rPr>
          <w:rFonts w:ascii="宋体" w:hAnsi="宋体" w:cs="宋体" w:eastAsia="宋体" w:hint="default"/>
        </w:rPr>
        <w:t>10.26%</w:t>
      </w:r>
      <w:r>
        <w:rPr/>
        <w:t>，主要原因系按照明工程业务的收入占比提高，且工程中附带照明设计和定制</w:t>
      </w:r>
    </w:p>
    <w:p>
      <w:pPr>
        <w:pStyle w:val="BodyText"/>
        <w:spacing w:line="240" w:lineRule="auto" w:before="54"/>
        <w:ind w:left="192" w:right="184"/>
        <w:jc w:val="left"/>
        <w:rPr>
          <w:rFonts w:ascii="宋体" w:hAnsi="宋体" w:cs="宋体" w:eastAsia="宋体" w:hint="default"/>
        </w:rPr>
      </w:pPr>
      <w:r>
        <w:rPr/>
        <w:t>灯具销售导致毛利率提升。</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3"/>
          <w:szCs w:val="23"/>
        </w:rPr>
      </w:pPr>
    </w:p>
    <w:p>
      <w:pPr>
        <w:pStyle w:val="BodyText"/>
        <w:spacing w:line="240" w:lineRule="auto"/>
        <w:ind w:left="192" w:right="184"/>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left="192"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left="192" w:right="184"/>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92" w:right="18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87" w:type="dxa"/>
        <w:tblLayout w:type="fixed"/>
        <w:tblCellMar>
          <w:top w:w="0" w:type="dxa"/>
          <w:left w:w="0" w:type="dxa"/>
          <w:bottom w:w="0" w:type="dxa"/>
          <w:right w:w="0" w:type="dxa"/>
        </w:tblCellMar>
        <w:tblLook w:val="01E0"/>
      </w:tblPr>
      <w:tblGrid>
        <w:gridCol w:w="1608"/>
        <w:gridCol w:w="1571"/>
        <w:gridCol w:w="1604"/>
        <w:gridCol w:w="1596"/>
        <w:gridCol w:w="1594"/>
        <w:gridCol w:w="1594"/>
      </w:tblGrid>
      <w:tr>
        <w:trPr>
          <w:trHeight w:val="401"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265,735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518,047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-48.70%</w:t>
            </w:r>
          </w:p>
        </w:tc>
      </w:tr>
      <w:tr>
        <w:trPr>
          <w:trHeight w:val="401"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297,847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535,841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-44.42%</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116,976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-22.05%</w:t>
            </w:r>
          </w:p>
        </w:tc>
      </w:tr>
      <w:tr>
        <w:trPr>
          <w:trHeight w:val="401"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灯具</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-64.24%</w:t>
            </w:r>
          </w:p>
        </w:tc>
      </w:tr>
      <w:tr>
        <w:trPr>
          <w:trHeight w:val="403"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5,881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-76.97%</w:t>
            </w:r>
          </w:p>
        </w:tc>
      </w:tr>
      <w:tr>
        <w:trPr>
          <w:trHeight w:val="403"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-34.03%</w:t>
            </w:r>
          </w:p>
        </w:tc>
      </w:tr>
    </w:tbl>
    <w:p>
      <w:pPr>
        <w:pStyle w:val="BodyText"/>
        <w:spacing w:line="240" w:lineRule="auto" w:before="49"/>
        <w:ind w:left="192" w:right="184"/>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415" w:lineRule="auto" w:before="101"/>
        <w:ind w:left="553" w:right="18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报告期内，公司金融电子业务，因受新兴金融支付业态的快速发展及移动支付的迅猛发展对传统领域的冲击，</w:t>
      </w:r>
      <w:r>
        <w:rPr>
          <w:rFonts w:ascii="宋体" w:hAnsi="宋体" w:cs="宋体" w:eastAsia="宋体" w:hint="default"/>
        </w:rPr>
        <w:t>POS</w:t>
      </w:r>
      <w:r>
        <w:rPr/>
        <w:t>等金</w:t>
      </w:r>
    </w:p>
    <w:p>
      <w:pPr>
        <w:pStyle w:val="BodyText"/>
        <w:spacing w:line="477" w:lineRule="auto" w:before="101"/>
        <w:ind w:left="192" w:right="94"/>
        <w:jc w:val="left"/>
        <w:rPr>
          <w:rFonts w:ascii="宋体" w:hAnsi="宋体" w:cs="宋体" w:eastAsia="宋体" w:hint="default"/>
        </w:rPr>
      </w:pPr>
      <w:r>
        <w:rPr/>
        <w:t>融支付产品市场需求萎缩及国有大型银行智能网点转型的硬件建设阶段性需求回落，及相关业务开展不如预期等因素影响，</w:t>
      </w:r>
      <w:r>
        <w:rPr>
          <w:spacing w:val="-86"/>
        </w:rPr>
        <w:t> </w:t>
      </w:r>
      <w:r>
        <w:rPr>
          <w:spacing w:val="-86"/>
        </w:rPr>
      </w:r>
      <w:r>
        <w:rPr/>
        <w:t>公司自助终端及支付</w:t>
      </w:r>
      <w:r>
        <w:rPr>
          <w:rFonts w:ascii="宋体" w:hAnsi="宋体" w:cs="宋体" w:eastAsia="宋体" w:hint="default"/>
        </w:rPr>
        <w:t>POS</w:t>
      </w:r>
      <w:r>
        <w:rPr/>
        <w:t>产品收入大幅下降，相应金融电子产品的产销量下降。</w:t>
      </w:r>
      <w:r>
        <w:rPr>
          <w:rFonts w:ascii="宋体" w:hAnsi="宋体" w:cs="宋体" w:eastAsia="宋体" w:hint="default"/>
        </w:rPr>
        <w:t> </w:t>
      </w:r>
    </w:p>
    <w:p>
      <w:pPr>
        <w:pStyle w:val="BodyText"/>
        <w:spacing w:line="475" w:lineRule="auto" w:before="54"/>
        <w:ind w:left="192" w:right="184" w:firstLine="360"/>
        <w:jc w:val="left"/>
        <w:rPr>
          <w:rFonts w:ascii="宋体" w:hAnsi="宋体" w:cs="宋体" w:eastAsia="宋体" w:hint="default"/>
        </w:rPr>
      </w:pPr>
      <w:r>
        <w:rPr/>
        <w:t>报告期内，公司将</w:t>
      </w:r>
      <w:r>
        <w:rPr>
          <w:rFonts w:ascii="宋体" w:hAnsi="宋体" w:cs="宋体" w:eastAsia="宋体" w:hint="default"/>
        </w:rPr>
        <w:t>LED</w:t>
      </w:r>
      <w:r>
        <w:rPr/>
        <w:t>照明业务的运作模式进一步从</w:t>
      </w:r>
      <w:r>
        <w:rPr>
          <w:rFonts w:ascii="宋体" w:hAnsi="宋体" w:cs="宋体" w:eastAsia="宋体" w:hint="default"/>
        </w:rPr>
        <w:t>LED</w:t>
      </w:r>
      <w:r>
        <w:rPr/>
        <w:t>路灯销售向</w:t>
      </w:r>
      <w:r>
        <w:rPr>
          <w:rFonts w:ascii="宋体" w:hAnsi="宋体" w:cs="宋体" w:eastAsia="宋体" w:hint="default"/>
        </w:rPr>
        <w:t>LED</w:t>
      </w:r>
      <w:r>
        <w:rPr/>
        <w:t>照明相关的智慧城市整体解决方案、景观亮化工 程设计、施工等综合服务进行调整，减少了公司</w:t>
      </w:r>
      <w:r>
        <w:rPr>
          <w:rFonts w:ascii="宋体" w:hAnsi="宋体" w:cs="宋体" w:eastAsia="宋体" w:hint="default"/>
        </w:rPr>
        <w:t>LED</w:t>
      </w:r>
      <w:r>
        <w:rPr/>
        <w:t>照明灯具生产，相应公司自产的</w:t>
      </w:r>
      <w:r>
        <w:rPr>
          <w:rFonts w:ascii="宋体" w:hAnsi="宋体" w:cs="宋体" w:eastAsia="宋体" w:hint="default"/>
        </w:rPr>
        <w:t>LED</w:t>
      </w:r>
      <w:r>
        <w:rPr/>
        <w:t>灯具产销量及库存下降。</w:t>
      </w:r>
      <w:r>
        <w:rPr>
          <w:rFonts w:ascii="宋体" w:hAnsi="宋体" w:cs="宋体" w:eastAsia="宋体" w:hint="default"/>
        </w:rPr>
        <w:t> </w:t>
      </w:r>
    </w:p>
    <w:p>
      <w:pPr>
        <w:spacing w:line="240" w:lineRule="auto" w:before="8"/>
        <w:rPr>
          <w:rFonts w:ascii="宋体" w:hAnsi="宋体" w:cs="宋体" w:eastAsia="宋体" w:hint="default"/>
          <w:sz w:val="19"/>
          <w:szCs w:val="19"/>
        </w:rPr>
      </w:pPr>
    </w:p>
    <w:p>
      <w:pPr>
        <w:pStyle w:val="Heading3"/>
        <w:spacing w:line="240" w:lineRule="auto"/>
        <w:ind w:left="192" w:right="184"/>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pStyle w:val="BodyText"/>
        <w:spacing w:line="340" w:lineRule="auto"/>
        <w:ind w:left="192" w:right="83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否</w:t>
      </w:r>
    </w:p>
    <w:p>
      <w:pPr>
        <w:pStyle w:val="BodyText"/>
        <w:spacing w:line="316" w:lineRule="auto" w:before="39"/>
        <w:ind w:left="101" w:right="191" w:firstLine="451"/>
        <w:jc w:val="both"/>
        <w:rPr>
          <w:rFonts w:ascii="宋体" w:hAnsi="宋体" w:cs="宋体" w:eastAsia="宋体" w:hint="default"/>
        </w:rPr>
      </w:pPr>
      <w:r>
        <w:rPr>
          <w:rFonts w:ascii="宋体" w:hAnsi="宋体" w:cs="宋体" w:eastAsia="宋体" w:hint="default"/>
          <w:spacing w:val="-5"/>
        </w:rPr>
        <w:t>2017</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15</w:t>
      </w:r>
      <w:r>
        <w:rPr>
          <w:spacing w:val="-5"/>
        </w:rPr>
        <w:t>日，公司与湖南昭山未名生物医学有限公司</w:t>
      </w:r>
      <w:r>
        <w:rPr>
          <w:rFonts w:ascii="宋体" w:hAnsi="宋体" w:cs="宋体" w:eastAsia="宋体" w:hint="default"/>
          <w:spacing w:val="-5"/>
        </w:rPr>
        <w:t>(</w:t>
      </w:r>
      <w:r>
        <w:rPr>
          <w:spacing w:val="-5"/>
        </w:rPr>
        <w:t>以下简称“未名医学”</w:t>
      </w:r>
      <w:r>
        <w:rPr>
          <w:rFonts w:ascii="宋体" w:hAnsi="宋体" w:cs="宋体" w:eastAsia="宋体" w:hint="default"/>
          <w:spacing w:val="-5"/>
        </w:rPr>
        <w:t>)</w:t>
      </w:r>
      <w:r>
        <w:rPr>
          <w:spacing w:val="-5"/>
        </w:rPr>
        <w:t>、湖南北大未名生物科技有限公司（以</w:t>
      </w:r>
      <w:r>
        <w:rPr/>
        <w:t> </w:t>
      </w:r>
      <w:r>
        <w:rPr>
          <w:spacing w:val="-2"/>
        </w:rPr>
        <w:t>下简称“未名科技”）签订了《“北大未名（昭山）生物医学创新示范园”项目合作协议》，未名医学承诺在其投资建设的</w:t>
      </w:r>
      <w:r>
        <w:rPr>
          <w:spacing w:val="-72"/>
        </w:rPr>
        <w:t> </w:t>
      </w:r>
      <w:r>
        <w:rPr>
          <w:spacing w:val="-72"/>
        </w:rPr>
      </w:r>
      <w:r>
        <w:rPr/>
        <w:t>“北大未名（昭山）生物医学创新示范园”项目中子项目直接发包给公司或公司下属子公司实施，所实施工程量按实结算不</w:t>
      </w:r>
      <w:r>
        <w:rPr/>
        <w:t> 低于</w:t>
      </w:r>
      <w:r>
        <w:rPr>
          <w:rFonts w:ascii="宋体" w:hAnsi="宋体" w:cs="宋体" w:eastAsia="宋体" w:hint="default"/>
        </w:rPr>
        <w:t>4</w:t>
      </w:r>
      <w:r>
        <w:rPr/>
        <w:t>亿元。同时未名医学向公司收取协议履约保证金</w:t>
      </w:r>
      <w:r>
        <w:rPr>
          <w:rFonts w:ascii="宋体" w:hAnsi="宋体" w:cs="宋体" w:eastAsia="宋体" w:hint="default"/>
        </w:rPr>
        <w:t>4,000.00</w:t>
      </w:r>
      <w:r>
        <w:rPr/>
        <w:t>万元，报告期内公司已向未名医学支付履约保证金</w:t>
      </w:r>
      <w:r>
        <w:rPr>
          <w:rFonts w:ascii="宋体" w:hAnsi="宋体" w:cs="宋体" w:eastAsia="宋体" w:hint="default"/>
        </w:rPr>
        <w:t>2,000.00</w:t>
      </w:r>
    </w:p>
    <w:p>
      <w:pPr>
        <w:spacing w:after="0" w:line="316" w:lineRule="auto"/>
        <w:jc w:val="both"/>
        <w:rPr>
          <w:rFonts w:ascii="宋体" w:hAnsi="宋体" w:cs="宋体" w:eastAsia="宋体" w:hint="default"/>
        </w:rPr>
        <w:sectPr>
          <w:pgSz w:w="11910" w:h="16840"/>
          <w:pgMar w:header="745" w:footer="980" w:top="1060" w:bottom="1160" w:left="940" w:right="940"/>
        </w:sectPr>
      </w:pPr>
    </w:p>
    <w:p>
      <w:pPr>
        <w:spacing w:line="240" w:lineRule="auto" w:before="9"/>
        <w:rPr>
          <w:rFonts w:ascii="宋体" w:hAnsi="宋体" w:cs="宋体" w:eastAsia="宋体" w:hint="default"/>
          <w:sz w:val="25"/>
          <w:szCs w:val="25"/>
        </w:rPr>
      </w:pPr>
    </w:p>
    <w:p>
      <w:pPr>
        <w:pStyle w:val="BodyText"/>
        <w:spacing w:line="319" w:lineRule="auto" w:before="44"/>
        <w:ind w:right="0"/>
        <w:jc w:val="left"/>
        <w:rPr>
          <w:rFonts w:ascii="宋体" w:hAnsi="宋体" w:cs="宋体" w:eastAsia="宋体" w:hint="default"/>
        </w:rPr>
      </w:pPr>
      <w:r>
        <w:rPr>
          <w:spacing w:val="-2"/>
        </w:rPr>
        <w:t>万元。未名科技为未名医学向公司提供连带保证担保。截止报告期末，各方尚未签署项目相关的工程合同。相关事项详见于</w:t>
      </w:r>
      <w:r>
        <w:rPr>
          <w:spacing w:val="-65"/>
        </w:rPr>
        <w:t> </w:t>
      </w:r>
      <w:r>
        <w:rPr>
          <w:spacing w:val="-65"/>
        </w:rPr>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16</w:t>
      </w:r>
      <w:r>
        <w:rPr/>
        <w:t>日披露于《证券时报》</w:t>
      </w:r>
      <w:r>
        <w:rPr>
          <w:spacing w:val="-7"/>
        </w:rPr>
        <w:t> </w:t>
      </w:r>
      <w:r>
        <w:rPr>
          <w:rFonts w:ascii="宋体" w:hAnsi="宋体" w:cs="宋体" w:eastAsia="宋体" w:hint="default"/>
          <w:spacing w:val="-7"/>
        </w:rPr>
      </w:r>
      <w:r>
        <w:rPr/>
        <w:t>及巨潮资讯网上的《公司关于签订项目合作协议的公告》（编号：</w:t>
      </w:r>
      <w:r>
        <w:rPr>
          <w:rFonts w:ascii="宋体" w:hAnsi="宋体" w:cs="宋体" w:eastAsia="宋体" w:hint="default"/>
        </w:rPr>
        <w:t>2017-100</w:t>
      </w:r>
      <w:r>
        <w:rPr/>
        <w:t>号）。</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行业和产品分类</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426,636,004.97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766,665,272.25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56.14%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-44.35%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照明电子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287,792,435.65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182,221,340.85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57.94%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照明工程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156,891,818.32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130,217,333.64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20.48%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170,743,308.08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108,673,082.15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57.12%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202,689,091.83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177,953,398.88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13.90%</w:t>
            </w:r>
          </w:p>
        </w:tc>
      </w:tr>
    </w:tbl>
    <w:p>
      <w:pPr>
        <w:pStyle w:val="BodyText"/>
        <w:spacing w:line="240" w:lineRule="auto" w:before="49"/>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加密键盘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54,220,120.24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49,869,379.84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自助服务终端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268,938,450.65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558,919,798.76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40.92%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-51.88%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96,645,592.23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147,317,600.96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-34.40%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及相关贸易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287,792,435.65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23.12%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182,221,340.85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57.94%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照明工程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156,891,818.32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130,217,333.64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20.48%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业务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170,743,308.08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13.72%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108,673,082.15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57.12%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电子产品贸易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86,422,369.34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112,680,154.00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-23.30%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123,098,564.34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72,078,692.95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5.28%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70.78%</w:t>
            </w:r>
          </w:p>
        </w:tc>
      </w:tr>
    </w:tbl>
    <w:p>
      <w:pPr>
        <w:pStyle w:val="BodyText"/>
        <w:spacing w:line="240" w:lineRule="auto" w:before="49"/>
        <w:ind w:right="0"/>
        <w:jc w:val="left"/>
      </w:pPr>
      <w:r>
        <w:rPr/>
        <w:t>说明</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46"/>
        <w:gridCol w:w="2120"/>
        <w:gridCol w:w="1868"/>
        <w:gridCol w:w="2091"/>
      </w:tblGrid>
      <w:tr>
        <w:trPr>
          <w:trHeight w:val="422"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行业分类</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p>
        </w:tc>
      </w:tr>
      <w:tr>
        <w:trPr>
          <w:trHeight w:val="422" w:hRule="exact"/>
        </w:trPr>
        <w:tc>
          <w:tcPr>
            <w:tcW w:w="24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金融电子</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材料</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80.5%</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63" w:right="0"/>
              <w:jc w:val="left"/>
              <w:rPr>
                <w:rFonts w:ascii="Times New Roman" w:hAnsi="Times New Roman" w:cs="Times New Roman" w:eastAsia="Times New Roman" w:hint="default"/>
                <w:sz w:val="18"/>
                <w:szCs w:val="18"/>
              </w:rPr>
            </w:pPr>
            <w:r>
              <w:rPr>
                <w:rFonts w:ascii="Times New Roman"/>
                <w:sz w:val="18"/>
              </w:rPr>
              <w:t>83.38%</w:t>
            </w:r>
          </w:p>
        </w:tc>
      </w:tr>
      <w:tr>
        <w:trPr>
          <w:trHeight w:val="422" w:hRule="exact"/>
        </w:trPr>
        <w:tc>
          <w:tcPr>
            <w:tcW w:w="2446" w:type="dxa"/>
            <w:vMerge/>
            <w:tcBorders>
              <w:left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直接人工</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6.4%</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06" w:right="0"/>
              <w:jc w:val="left"/>
              <w:rPr>
                <w:rFonts w:ascii="Times New Roman" w:hAnsi="Times New Roman" w:cs="Times New Roman" w:eastAsia="Times New Roman" w:hint="default"/>
                <w:sz w:val="18"/>
                <w:szCs w:val="18"/>
              </w:rPr>
            </w:pPr>
            <w:r>
              <w:rPr>
                <w:rFonts w:ascii="Times New Roman"/>
                <w:sz w:val="18"/>
              </w:rPr>
              <w:t>5.19%</w:t>
            </w:r>
          </w:p>
        </w:tc>
      </w:tr>
      <w:tr>
        <w:trPr>
          <w:trHeight w:val="422" w:hRule="exact"/>
        </w:trPr>
        <w:tc>
          <w:tcPr>
            <w:tcW w:w="2446" w:type="dxa"/>
            <w:vMerge/>
            <w:tcBorders>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13.1%</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63" w:right="0"/>
              <w:jc w:val="left"/>
              <w:rPr>
                <w:rFonts w:ascii="Times New Roman" w:hAnsi="Times New Roman" w:cs="Times New Roman" w:eastAsia="Times New Roman" w:hint="default"/>
                <w:sz w:val="18"/>
                <w:szCs w:val="18"/>
              </w:rPr>
            </w:pPr>
            <w:r>
              <w:rPr>
                <w:rFonts w:ascii="Times New Roman"/>
                <w:sz w:val="18"/>
              </w:rPr>
              <w:t>11.43%</w:t>
            </w:r>
          </w:p>
        </w:tc>
      </w:tr>
      <w:tr>
        <w:trPr>
          <w:trHeight w:val="423" w:hRule="exact"/>
        </w:trPr>
        <w:tc>
          <w:tcPr>
            <w:tcW w:w="24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路灯</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材料</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66.1%</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63" w:right="0"/>
              <w:jc w:val="left"/>
              <w:rPr>
                <w:rFonts w:ascii="Times New Roman" w:hAnsi="Times New Roman" w:cs="Times New Roman" w:eastAsia="Times New Roman" w:hint="default"/>
                <w:sz w:val="18"/>
                <w:szCs w:val="18"/>
              </w:rPr>
            </w:pPr>
            <w:r>
              <w:rPr>
                <w:rFonts w:ascii="Times New Roman"/>
                <w:sz w:val="18"/>
              </w:rPr>
              <w:t>85.05%</w:t>
            </w:r>
          </w:p>
        </w:tc>
      </w:tr>
      <w:tr>
        <w:trPr>
          <w:trHeight w:val="420" w:hRule="exact"/>
        </w:trPr>
        <w:tc>
          <w:tcPr>
            <w:tcW w:w="2446" w:type="dxa"/>
            <w:vMerge/>
            <w:tcBorders>
              <w:left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直接人工</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Times New Roman" w:hAnsi="Times New Roman" w:cs="Times New Roman" w:eastAsia="Times New Roman" w:hint="default"/>
                <w:sz w:val="18"/>
                <w:szCs w:val="18"/>
              </w:rPr>
            </w:pPr>
            <w:r>
              <w:rPr>
                <w:rFonts w:ascii="Times New Roman"/>
                <w:sz w:val="18"/>
              </w:rPr>
              <w:t>1.0%</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06" w:right="0"/>
              <w:jc w:val="left"/>
              <w:rPr>
                <w:rFonts w:ascii="Times New Roman" w:hAnsi="Times New Roman" w:cs="Times New Roman" w:eastAsia="Times New Roman" w:hint="default"/>
                <w:sz w:val="18"/>
                <w:szCs w:val="18"/>
              </w:rPr>
            </w:pPr>
            <w:r>
              <w:rPr>
                <w:rFonts w:ascii="Times New Roman"/>
                <w:sz w:val="18"/>
              </w:rPr>
              <w:t>1.53%</w:t>
            </w:r>
          </w:p>
        </w:tc>
      </w:tr>
      <w:tr>
        <w:trPr>
          <w:trHeight w:val="422" w:hRule="exact"/>
        </w:trPr>
        <w:tc>
          <w:tcPr>
            <w:tcW w:w="2446" w:type="dxa"/>
            <w:vMerge/>
            <w:tcBorders>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制造费用</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32.9%</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63" w:right="0"/>
              <w:jc w:val="left"/>
              <w:rPr>
                <w:rFonts w:ascii="Times New Roman" w:hAnsi="Times New Roman" w:cs="Times New Roman" w:eastAsia="Times New Roman" w:hint="default"/>
                <w:sz w:val="18"/>
                <w:szCs w:val="18"/>
              </w:rPr>
            </w:pPr>
            <w:r>
              <w:rPr>
                <w:rFonts w:ascii="Times New Roman"/>
                <w:sz w:val="18"/>
              </w:rPr>
              <w:t>13.43%</w:t>
            </w:r>
          </w:p>
        </w:tc>
      </w:tr>
      <w:tr>
        <w:trPr>
          <w:trHeight w:val="422" w:hRule="exact"/>
        </w:trPr>
        <w:tc>
          <w:tcPr>
            <w:tcW w:w="2446" w:type="dxa"/>
            <w:vMerge w:val="restart"/>
            <w:tcBorders>
              <w:top w:val="single" w:sz="4" w:space="0" w:color="000000"/>
              <w:left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折旧及摊销</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33.3%</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763" w:right="0"/>
              <w:jc w:val="left"/>
              <w:rPr>
                <w:rFonts w:ascii="Times New Roman" w:hAnsi="Times New Roman" w:cs="Times New Roman" w:eastAsia="Times New Roman" w:hint="default"/>
                <w:sz w:val="18"/>
                <w:szCs w:val="18"/>
              </w:rPr>
            </w:pPr>
            <w:r>
              <w:rPr>
                <w:rFonts w:ascii="Times New Roman"/>
                <w:sz w:val="18"/>
              </w:rPr>
              <w:t>32.93%</w:t>
            </w:r>
          </w:p>
        </w:tc>
      </w:tr>
      <w:tr>
        <w:trPr>
          <w:trHeight w:val="422" w:hRule="exact"/>
        </w:trPr>
        <w:tc>
          <w:tcPr>
            <w:tcW w:w="2446" w:type="dxa"/>
            <w:vMerge/>
            <w:tcBorders>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水电燃费</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26.0%</w:t>
            </w:r>
          </w:p>
        </w:tc>
        <w:tc>
          <w:tcPr>
            <w:tcW w:w="20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63" w:right="0"/>
              <w:jc w:val="left"/>
              <w:rPr>
                <w:rFonts w:ascii="Times New Roman" w:hAnsi="Times New Roman" w:cs="Times New Roman" w:eastAsia="Times New Roman" w:hint="default"/>
                <w:sz w:val="18"/>
                <w:szCs w:val="18"/>
              </w:rPr>
            </w:pPr>
            <w:r>
              <w:rPr>
                <w:rFonts w:ascii="Times New Roman"/>
                <w:sz w:val="18"/>
              </w:rPr>
              <w:t>30.59%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46"/>
        <w:gridCol w:w="2120"/>
        <w:gridCol w:w="1868"/>
        <w:gridCol w:w="2093"/>
      </w:tblGrid>
      <w:tr>
        <w:trPr>
          <w:trHeight w:val="422" w:hRule="exact"/>
        </w:trPr>
        <w:tc>
          <w:tcPr>
            <w:tcW w:w="244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IDC</w:t>
            </w: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人工费</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736"/>
              <w:jc w:val="right"/>
              <w:rPr>
                <w:rFonts w:ascii="Times New Roman" w:hAnsi="Times New Roman" w:cs="Times New Roman" w:eastAsia="Times New Roman" w:hint="default"/>
                <w:sz w:val="18"/>
                <w:szCs w:val="18"/>
              </w:rPr>
            </w:pPr>
            <w:r>
              <w:rPr>
                <w:rFonts w:ascii="Times New Roman"/>
                <w:sz w:val="18"/>
              </w:rPr>
              <w:t>0.3%</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806" w:right="0"/>
              <w:jc w:val="left"/>
              <w:rPr>
                <w:rFonts w:ascii="Times New Roman" w:hAnsi="Times New Roman" w:cs="Times New Roman" w:eastAsia="Times New Roman" w:hint="default"/>
                <w:sz w:val="18"/>
                <w:szCs w:val="18"/>
              </w:rPr>
            </w:pPr>
            <w:r>
              <w:rPr>
                <w:rFonts w:ascii="Times New Roman"/>
                <w:sz w:val="18"/>
              </w:rPr>
              <w:t>0.66%</w:t>
            </w:r>
          </w:p>
        </w:tc>
      </w:tr>
      <w:tr>
        <w:trPr>
          <w:trHeight w:val="423" w:hRule="exact"/>
        </w:trPr>
        <w:tc>
          <w:tcPr>
            <w:tcW w:w="2446" w:type="dxa"/>
            <w:vMerge/>
            <w:tcBorders>
              <w:left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5" w:right="0"/>
              <w:jc w:val="center"/>
              <w:rPr>
                <w:rFonts w:ascii="宋体" w:hAnsi="宋体" w:cs="宋体" w:eastAsia="宋体" w:hint="default"/>
                <w:sz w:val="18"/>
                <w:szCs w:val="18"/>
              </w:rPr>
            </w:pPr>
            <w:r>
              <w:rPr>
                <w:rFonts w:ascii="宋体" w:hAnsi="宋体" w:cs="宋体" w:eastAsia="宋体" w:hint="default"/>
                <w:sz w:val="18"/>
                <w:szCs w:val="18"/>
              </w:rPr>
              <w:t>运维费</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693"/>
              <w:jc w:val="right"/>
              <w:rPr>
                <w:rFonts w:ascii="Times New Roman" w:hAnsi="Times New Roman" w:cs="Times New Roman" w:eastAsia="Times New Roman" w:hint="default"/>
                <w:sz w:val="18"/>
                <w:szCs w:val="18"/>
              </w:rPr>
            </w:pPr>
            <w:r>
              <w:rPr>
                <w:rFonts w:ascii="Times New Roman"/>
                <w:sz w:val="18"/>
              </w:rPr>
              <w:t>12.2%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763" w:right="0"/>
              <w:jc w:val="left"/>
              <w:rPr>
                <w:rFonts w:ascii="Times New Roman" w:hAnsi="Times New Roman" w:cs="Times New Roman" w:eastAsia="Times New Roman" w:hint="default"/>
                <w:sz w:val="18"/>
                <w:szCs w:val="18"/>
              </w:rPr>
            </w:pPr>
            <w:r>
              <w:rPr>
                <w:rFonts w:ascii="Times New Roman"/>
                <w:sz w:val="18"/>
              </w:rPr>
              <w:t>13.71%</w:t>
            </w:r>
          </w:p>
        </w:tc>
      </w:tr>
      <w:tr>
        <w:trPr>
          <w:trHeight w:val="420" w:hRule="exact"/>
        </w:trPr>
        <w:tc>
          <w:tcPr>
            <w:tcW w:w="2446" w:type="dxa"/>
            <w:vMerge/>
            <w:tcBorders>
              <w:left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 w:right="0"/>
              <w:jc w:val="center"/>
              <w:rPr>
                <w:rFonts w:ascii="宋体" w:hAnsi="宋体" w:cs="宋体" w:eastAsia="宋体" w:hint="default"/>
                <w:sz w:val="18"/>
                <w:szCs w:val="18"/>
              </w:rPr>
            </w:pPr>
            <w:r>
              <w:rPr>
                <w:rFonts w:ascii="宋体" w:hAnsi="宋体" w:cs="宋体" w:eastAsia="宋体" w:hint="default"/>
                <w:sz w:val="18"/>
                <w:szCs w:val="18"/>
              </w:rPr>
              <w:t>服务费</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93"/>
              <w:jc w:val="right"/>
              <w:rPr>
                <w:rFonts w:ascii="Times New Roman" w:hAnsi="Times New Roman" w:cs="Times New Roman" w:eastAsia="Times New Roman" w:hint="default"/>
                <w:sz w:val="18"/>
                <w:szCs w:val="18"/>
              </w:rPr>
            </w:pPr>
            <w:r>
              <w:rPr>
                <w:rFonts w:ascii="Times New Roman"/>
                <w:sz w:val="18"/>
              </w:rPr>
              <w:t>19.5%</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63" w:right="0"/>
              <w:jc w:val="left"/>
              <w:rPr>
                <w:rFonts w:ascii="Times New Roman" w:hAnsi="Times New Roman" w:cs="Times New Roman" w:eastAsia="Times New Roman" w:hint="default"/>
                <w:sz w:val="18"/>
                <w:szCs w:val="18"/>
              </w:rPr>
            </w:pPr>
            <w:r>
              <w:rPr>
                <w:rFonts w:ascii="Times New Roman"/>
                <w:sz w:val="18"/>
              </w:rPr>
              <w:t>14.28%</w:t>
            </w:r>
          </w:p>
        </w:tc>
      </w:tr>
      <w:tr>
        <w:trPr>
          <w:trHeight w:val="422" w:hRule="exact"/>
        </w:trPr>
        <w:tc>
          <w:tcPr>
            <w:tcW w:w="2446" w:type="dxa"/>
            <w:vMerge/>
            <w:tcBorders>
              <w:left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租金及管理费</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36"/>
              <w:jc w:val="right"/>
              <w:rPr>
                <w:rFonts w:ascii="Times New Roman" w:hAnsi="Times New Roman" w:cs="Times New Roman" w:eastAsia="Times New Roman" w:hint="default"/>
                <w:sz w:val="18"/>
                <w:szCs w:val="18"/>
              </w:rPr>
            </w:pPr>
            <w:r>
              <w:rPr>
                <w:rFonts w:ascii="Times New Roman"/>
                <w:sz w:val="18"/>
              </w:rPr>
              <w:t>5.4%</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06" w:right="0"/>
              <w:jc w:val="left"/>
              <w:rPr>
                <w:rFonts w:ascii="Times New Roman" w:hAnsi="Times New Roman" w:cs="Times New Roman" w:eastAsia="Times New Roman" w:hint="default"/>
                <w:sz w:val="18"/>
                <w:szCs w:val="18"/>
              </w:rPr>
            </w:pPr>
            <w:r>
              <w:rPr>
                <w:rFonts w:ascii="Times New Roman"/>
                <w:sz w:val="18"/>
              </w:rPr>
              <w:t>7.55%</w:t>
            </w:r>
          </w:p>
        </w:tc>
      </w:tr>
      <w:tr>
        <w:trPr>
          <w:trHeight w:val="422" w:hRule="exact"/>
        </w:trPr>
        <w:tc>
          <w:tcPr>
            <w:tcW w:w="2446" w:type="dxa"/>
            <w:vMerge/>
            <w:tcBorders>
              <w:left w:val="single" w:sz="4" w:space="0" w:color="000000"/>
              <w:bottom w:val="single" w:sz="4" w:space="0" w:color="000000"/>
              <w:right w:val="single" w:sz="4" w:space="0" w:color="000000"/>
            </w:tcBorders>
          </w:tcPr>
          <w:p>
            <w:pPr/>
          </w:p>
        </w:tc>
        <w:tc>
          <w:tcPr>
            <w:tcW w:w="2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736"/>
              <w:jc w:val="right"/>
              <w:rPr>
                <w:rFonts w:ascii="Times New Roman" w:hAnsi="Times New Roman" w:cs="Times New Roman" w:eastAsia="Times New Roman" w:hint="default"/>
                <w:sz w:val="18"/>
                <w:szCs w:val="18"/>
              </w:rPr>
            </w:pPr>
            <w:r>
              <w:rPr>
                <w:rFonts w:ascii="Times New Roman"/>
                <w:sz w:val="18"/>
              </w:rPr>
              <w:t>3.2%</w:t>
            </w:r>
          </w:p>
        </w:tc>
        <w:tc>
          <w:tcPr>
            <w:tcW w:w="2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806" w:right="0"/>
              <w:jc w:val="left"/>
              <w:rPr>
                <w:rFonts w:ascii="Times New Roman" w:hAnsi="Times New Roman" w:cs="Times New Roman" w:eastAsia="Times New Roman" w:hint="default"/>
                <w:sz w:val="18"/>
                <w:szCs w:val="18"/>
              </w:rPr>
            </w:pPr>
            <w:r>
              <w:rPr>
                <w:rFonts w:ascii="Times New Roman"/>
                <w:sz w:val="18"/>
              </w:rPr>
              <w:t>0.27%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1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本报告期内，公司因设立，合并报表范围增加全资子公司贵州证通光电有限公司，持股比例为</w:t>
      </w:r>
      <w:r>
        <w:rPr>
          <w:rFonts w:ascii="Times New Roman" w:hAnsi="Times New Roman" w:cs="Times New Roman" w:eastAsia="Times New Roman" w:hint="default"/>
        </w:rPr>
        <w:t>100%</w:t>
      </w:r>
      <w:r>
        <w:rPr/>
        <w:t>。</w:t>
      </w:r>
    </w:p>
    <w:p>
      <w:pPr>
        <w:pStyle w:val="BodyText"/>
        <w:spacing w:line="228" w:lineRule="exact"/>
        <w:ind w:right="0"/>
        <w:jc w:val="left"/>
      </w:pPr>
      <w:r>
        <w:rPr/>
        <w:t>本报告期内，公司因出资参股设立，合并范围增加控股子公司证通邦客</w:t>
      </w:r>
      <w:r>
        <w:rPr>
          <w:rFonts w:ascii="Times New Roman" w:hAnsi="Times New Roman" w:cs="Times New Roman" w:eastAsia="Times New Roman" w:hint="default"/>
        </w:rPr>
        <w:t>(</w:t>
      </w:r>
      <w:r>
        <w:rPr/>
        <w:t>广州</w:t>
      </w:r>
      <w:r>
        <w:rPr>
          <w:rFonts w:ascii="Times New Roman" w:hAnsi="Times New Roman" w:cs="Times New Roman" w:eastAsia="Times New Roman" w:hint="default"/>
        </w:rPr>
        <w:t>)</w:t>
      </w:r>
      <w:r>
        <w:rPr/>
        <w:t>信息科技有限公司，持股比例为</w:t>
      </w:r>
      <w:r>
        <w:rPr>
          <w:rFonts w:ascii="Times New Roman" w:hAnsi="Times New Roman" w:cs="Times New Roman" w:eastAsia="Times New Roman" w:hint="default"/>
        </w:rPr>
        <w:t>60%</w:t>
      </w:r>
      <w:r>
        <w:rPr/>
        <w:t>。</w:t>
      </w:r>
    </w:p>
    <w:p>
      <w:pPr>
        <w:spacing w:line="240" w:lineRule="auto" w:before="3"/>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570,140,994.70</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33.88%</w:t>
            </w:r>
          </w:p>
        </w:tc>
      </w:tr>
      <w:tr>
        <w:trPr>
          <w:trHeight w:val="716"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185,860,924.26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11.05%</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138,715,634.77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8.24%</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109,078,828.83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6.48%</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68,964,239.32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4.10%</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67,521,367.52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4.01%</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570,140,994.70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33.88%</w:t>
            </w:r>
          </w:p>
        </w:tc>
      </w:tr>
    </w:tbl>
    <w:p>
      <w:pPr>
        <w:pStyle w:val="BodyText"/>
        <w:spacing w:line="240" w:lineRule="auto" w:before="49"/>
        <w:ind w:right="0"/>
        <w:jc w:val="left"/>
      </w:pPr>
      <w:r>
        <w:rPr/>
        <w:t>主要客户其他情况说明</w:t>
      </w:r>
    </w:p>
    <w:p>
      <w:pPr>
        <w:pStyle w:val="BodyText"/>
        <w:spacing w:line="340" w:lineRule="auto" w:before="115"/>
        <w:ind w:right="8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299,440,195.10</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19.25%</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11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105,897,435.89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6.81%</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68,400,024.18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65,213,675.21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36,168,376.06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2.32%</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left"/>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23,760,683.76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1.53%</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299,440,195.10</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19.25%</w:t>
            </w:r>
          </w:p>
        </w:tc>
      </w:tr>
    </w:tbl>
    <w:p>
      <w:pPr>
        <w:pStyle w:val="BodyText"/>
        <w:spacing w:line="240" w:lineRule="auto" w:before="49"/>
        <w:ind w:right="113"/>
        <w:jc w:val="left"/>
      </w:pPr>
      <w:r>
        <w:rPr/>
        <w:t>主要供应商其他情况说明</w:t>
      </w:r>
    </w:p>
    <w:p>
      <w:pPr>
        <w:pStyle w:val="BodyText"/>
        <w:spacing w:line="240" w:lineRule="auto" w:before="117"/>
        <w:ind w:right="11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11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21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137,795,980.69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9" w:right="0"/>
              <w:jc w:val="left"/>
              <w:rPr>
                <w:rFonts w:ascii="Times New Roman" w:hAnsi="Times New Roman" w:cs="Times New Roman" w:eastAsia="Times New Roman" w:hint="default"/>
                <w:sz w:val="18"/>
                <w:szCs w:val="18"/>
              </w:rPr>
            </w:pPr>
            <w:r>
              <w:rPr>
                <w:rFonts w:ascii="Times New Roman"/>
                <w:sz w:val="18"/>
              </w:rPr>
              <w:t>135,807,317.82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1.46%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3" w:right="0"/>
              <w:jc w:val="left"/>
              <w:rPr>
                <w:rFonts w:ascii="Times New Roman" w:hAnsi="Times New Roman" w:cs="Times New Roman" w:eastAsia="Times New Roman" w:hint="default"/>
                <w:sz w:val="18"/>
                <w:szCs w:val="18"/>
              </w:rPr>
            </w:pPr>
            <w:r>
              <w:rPr>
                <w:rFonts w:ascii="Times New Roman"/>
                <w:sz w:val="18"/>
              </w:rPr>
              <w:t>157,691,239.90</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143,921,900.01</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62" w:right="0"/>
              <w:jc w:val="left"/>
              <w:rPr>
                <w:rFonts w:ascii="Times New Roman" w:hAnsi="Times New Roman" w:cs="Times New Roman" w:eastAsia="Times New Roman" w:hint="default"/>
                <w:sz w:val="18"/>
                <w:szCs w:val="18"/>
              </w:rPr>
            </w:pPr>
            <w:r>
              <w:rPr>
                <w:rFonts w:ascii="Times New Roman"/>
                <w:sz w:val="18"/>
              </w:rPr>
              <w:t>9.57%</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主要系人员工资和奖金增加及研发 投入增加所致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161"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36,478,668.95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1" w:right="0"/>
              <w:jc w:val="left"/>
              <w:rPr>
                <w:rFonts w:ascii="Times New Roman" w:hAnsi="Times New Roman" w:cs="Times New Roman" w:eastAsia="Times New Roman" w:hint="default"/>
                <w:sz w:val="18"/>
                <w:szCs w:val="18"/>
              </w:rPr>
            </w:pPr>
            <w:r>
              <w:rPr>
                <w:rFonts w:ascii="Times New Roman"/>
                <w:sz w:val="18"/>
              </w:rPr>
              <w:t>40,037,270.47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-8.89%</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5"/>
        <w:rPr>
          <w:rFonts w:ascii="宋体" w:hAnsi="宋体" w:cs="宋体" w:eastAsia="宋体" w:hint="default"/>
          <w:b/>
          <w:bCs/>
          <w:sz w:val="26"/>
          <w:szCs w:val="26"/>
        </w:rPr>
      </w:pPr>
    </w:p>
    <w:p>
      <w:pPr>
        <w:pStyle w:val="BodyText"/>
        <w:spacing w:line="338" w:lineRule="auto"/>
        <w:ind w:left="513" w:right="113"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公司一贯重视技术研发与创新能力建设，</w:t>
      </w:r>
      <w:r>
        <w:rPr>
          <w:rFonts w:ascii="宋体" w:hAnsi="宋体" w:cs="宋体" w:eastAsia="宋体" w:hint="default"/>
        </w:rPr>
        <w:t>2017</w:t>
      </w:r>
      <w:r>
        <w:rPr/>
        <w:t>年度公司继续加大技术研发投入力度，推进技术创新、升级和产品优化，</w:t>
      </w:r>
    </w:p>
    <w:p>
      <w:pPr>
        <w:pStyle w:val="BodyText"/>
        <w:spacing w:line="316" w:lineRule="auto" w:before="2"/>
        <w:ind w:left="513" w:right="203" w:hanging="361"/>
        <w:jc w:val="left"/>
      </w:pPr>
      <w:r>
        <w:rPr/>
        <w:t>全面提升公司综合竞争力。</w:t>
      </w:r>
      <w:r>
        <w:rPr>
          <w:rFonts w:ascii="宋体" w:hAnsi="宋体" w:cs="宋体" w:eastAsia="宋体" w:hint="default"/>
        </w:rPr>
        <w:t> </w:t>
      </w:r>
      <w:r>
        <w:rPr/>
        <w:t>在金融电子业务领域</w:t>
      </w:r>
      <w:r>
        <w:rPr>
          <w:rFonts w:ascii="宋体" w:hAnsi="宋体" w:cs="宋体" w:eastAsia="宋体" w:hint="default"/>
        </w:rPr>
        <w:t>2017</w:t>
      </w:r>
      <w:r>
        <w:rPr/>
        <w:t>年度公司在自助终端、机电传动部件、智能</w:t>
      </w:r>
      <w:r>
        <w:rPr>
          <w:rFonts w:ascii="宋体" w:hAnsi="宋体" w:cs="宋体" w:eastAsia="宋体" w:hint="default"/>
        </w:rPr>
        <w:t>POS</w:t>
      </w:r>
      <w:r>
        <w:rPr/>
        <w:t>、服务性机器人等系列新产品开发及产品升级</w:t>
      </w:r>
    </w:p>
    <w:p>
      <w:pPr>
        <w:pStyle w:val="BodyText"/>
        <w:spacing w:line="316" w:lineRule="auto" w:before="19"/>
        <w:ind w:right="114"/>
        <w:jc w:val="left"/>
        <w:rPr>
          <w:rFonts w:ascii="宋体" w:hAnsi="宋体" w:cs="宋体" w:eastAsia="宋体" w:hint="default"/>
        </w:rPr>
      </w:pPr>
      <w:r>
        <w:rPr/>
        <w:t>优化取得成效。在中国银行、邮政储蓄银行智能柜台研发项目中实现主板自有定制化；结合海内外市场及客户个性化需求，</w:t>
      </w:r>
      <w:r>
        <w:rPr>
          <w:spacing w:val="-86"/>
        </w:rPr>
        <w:t> </w:t>
      </w:r>
      <w:r>
        <w:rPr>
          <w:spacing w:val="-86"/>
        </w:rPr>
      </w:r>
      <w:r>
        <w:rPr/>
        <w:t>对智能</w:t>
      </w:r>
      <w:r>
        <w:rPr>
          <w:rFonts w:ascii="宋体" w:hAnsi="宋体" w:cs="宋体" w:eastAsia="宋体" w:hint="default"/>
        </w:rPr>
        <w:t>POS</w:t>
      </w:r>
      <w:r>
        <w:rPr/>
        <w:t>产品进行差异化功能延展及战略布局；完成智能</w:t>
      </w:r>
      <w:r>
        <w:rPr>
          <w:rFonts w:ascii="宋体" w:hAnsi="宋体" w:cs="宋体" w:eastAsia="宋体" w:hint="default"/>
        </w:rPr>
        <w:t>POS</w:t>
      </w:r>
      <w:r>
        <w:rPr/>
        <w:t>及</w:t>
      </w:r>
      <w:r>
        <w:rPr>
          <w:rFonts w:ascii="宋体" w:hAnsi="宋体" w:cs="宋体" w:eastAsia="宋体" w:hint="default"/>
        </w:rPr>
        <w:t>EPP</w:t>
      </w:r>
      <w:r>
        <w:rPr/>
        <w:t>系列产品、服务型机器人</w:t>
      </w:r>
      <w:r>
        <w:rPr>
          <w:rFonts w:ascii="宋体" w:hAnsi="宋体" w:cs="宋体" w:eastAsia="宋体" w:hint="default"/>
        </w:rPr>
        <w:t>3C</w:t>
      </w:r>
      <w:r>
        <w:rPr/>
        <w:t>和</w:t>
      </w:r>
      <w:r>
        <w:rPr>
          <w:rFonts w:ascii="宋体" w:hAnsi="宋体" w:cs="宋体" w:eastAsia="宋体" w:hint="default"/>
        </w:rPr>
        <w:t>CR</w:t>
      </w:r>
      <w:r>
        <w:rPr/>
        <w:t>的认证；并实现了自主 研发服务型机器人在特定场景下的深度应用及机器互联云平台研发支持及创新。</w:t>
      </w:r>
      <w:r>
        <w:rPr>
          <w:rFonts w:ascii="宋体" w:hAnsi="宋体" w:cs="宋体" w:eastAsia="宋体" w:hint="default"/>
        </w:rPr>
        <w:t> </w:t>
      </w:r>
    </w:p>
    <w:p>
      <w:pPr>
        <w:pStyle w:val="BodyText"/>
        <w:spacing w:line="316" w:lineRule="auto" w:before="19"/>
        <w:ind w:right="204" w:firstLine="360"/>
        <w:jc w:val="left"/>
        <w:rPr>
          <w:rFonts w:ascii="宋体" w:hAnsi="宋体" w:cs="宋体" w:eastAsia="宋体" w:hint="default"/>
        </w:rPr>
      </w:pPr>
      <w:r>
        <w:rPr/>
        <w:t>在</w:t>
      </w:r>
      <w:r>
        <w:rPr>
          <w:rFonts w:ascii="宋体" w:hAnsi="宋体" w:cs="宋体" w:eastAsia="宋体" w:hint="default"/>
        </w:rPr>
        <w:t>IDC</w:t>
      </w:r>
      <w:r>
        <w:rPr/>
        <w:t>及云计算业务领域</w:t>
      </w:r>
      <w:r>
        <w:rPr>
          <w:rFonts w:ascii="宋体" w:hAnsi="宋体" w:cs="宋体" w:eastAsia="宋体" w:hint="default"/>
        </w:rPr>
        <w:t>2017</w:t>
      </w:r>
      <w:r>
        <w:rPr/>
        <w:t>年度公司除了在业务布局及市场开拓之外还开发了云资源管理平台和云应用支撑平台，完 成了</w:t>
      </w:r>
      <w:r>
        <w:rPr>
          <w:rFonts w:ascii="宋体" w:hAnsi="宋体" w:cs="宋体" w:eastAsia="宋体" w:hint="default"/>
        </w:rPr>
        <w:t>16</w:t>
      </w:r>
      <w:r>
        <w:rPr/>
        <w:t>个业务系统的建设并已在智慧园区项目中投入使用，根据客户需求提供定制化服务，实现多元化增值业务发展；</w:t>
      </w:r>
      <w:r>
        <w:rPr>
          <w:rFonts w:ascii="宋体" w:hAnsi="宋体" w:cs="宋体" w:eastAsia="宋体" w:hint="default"/>
        </w:rPr>
        <w:t> </w:t>
      </w:r>
    </w:p>
    <w:p>
      <w:pPr>
        <w:pStyle w:val="BodyText"/>
        <w:spacing w:line="316" w:lineRule="auto" w:before="19"/>
        <w:ind w:right="204" w:firstLine="360"/>
        <w:jc w:val="left"/>
        <w:rPr>
          <w:rFonts w:ascii="宋体" w:hAnsi="宋体" w:cs="宋体" w:eastAsia="宋体" w:hint="default"/>
        </w:rPr>
      </w:pPr>
      <w:r>
        <w:rPr/>
        <w:t>在</w:t>
      </w:r>
      <w:r>
        <w:rPr>
          <w:rFonts w:ascii="宋体" w:hAnsi="宋体" w:cs="宋体" w:eastAsia="宋体" w:hint="default"/>
        </w:rPr>
        <w:t>LED</w:t>
      </w:r>
      <w:r>
        <w:rPr/>
        <w:t>景观照明业务领域</w:t>
      </w:r>
      <w:r>
        <w:rPr>
          <w:rFonts w:ascii="宋体" w:hAnsi="宋体" w:cs="宋体" w:eastAsia="宋体" w:hint="default"/>
        </w:rPr>
        <w:t>2017</w:t>
      </w:r>
      <w:r>
        <w:rPr/>
        <w:t>年度公司在促进转型升级的驱动下，对户外大功率产品进行结构、光效、功能作了大幅改 造提升；还完成了景观智能化控制系统的研发，进一步提升数据中心运维服务能力。</w:t>
      </w:r>
      <w:r>
        <w:rPr>
          <w:rFonts w:ascii="宋体" w:hAnsi="宋体" w:cs="宋体" w:eastAsia="宋体" w:hint="default"/>
          <w:spacing w:val="1"/>
        </w:rPr>
        <w:t> </w:t>
      </w:r>
      <w:r>
        <w:rPr>
          <w:rFonts w:ascii="宋体" w:hAnsi="宋体" w:cs="宋体" w:eastAsia="宋体" w:hint="default"/>
        </w:rPr>
        <w:t> </w:t>
      </w:r>
    </w:p>
    <w:p>
      <w:pPr>
        <w:pStyle w:val="BodyText"/>
        <w:spacing w:line="319" w:lineRule="auto" w:before="19"/>
        <w:ind w:right="113" w:firstLine="360"/>
        <w:jc w:val="left"/>
        <w:rPr>
          <w:rFonts w:ascii="宋体" w:hAnsi="宋体" w:cs="宋体" w:eastAsia="宋体" w:hint="default"/>
        </w:rPr>
      </w:pPr>
      <w:r>
        <w:rPr>
          <w:spacing w:val="-2"/>
        </w:rPr>
        <w:t>在报告期内，证通电子实验中心顺利通过中国合格评定国家认可委员会（</w:t>
      </w:r>
      <w:r>
        <w:rPr>
          <w:rFonts w:ascii="宋体" w:hAnsi="宋体" w:cs="宋体" w:eastAsia="宋体" w:hint="default"/>
          <w:spacing w:val="-2"/>
        </w:rPr>
        <w:t>CNAS</w:t>
      </w:r>
      <w:r>
        <w:rPr>
          <w:spacing w:val="-2"/>
        </w:rPr>
        <w:t>）的注册认证，具备了国家认可的检测或</w:t>
      </w:r>
      <w:r>
        <w:rPr/>
        <w:t> 校淮技术能力，出具的实验数据具有权威性和公信力。</w:t>
      </w:r>
      <w:r>
        <w:rPr>
          <w:rFonts w:ascii="宋体" w:hAnsi="宋体" w:cs="宋体" w:eastAsia="宋体" w:hint="default"/>
        </w:rPr>
        <w:t> </w:t>
      </w:r>
    </w:p>
    <w:p>
      <w:pPr>
        <w:pStyle w:val="BodyText"/>
        <w:spacing w:line="316" w:lineRule="auto" w:before="17"/>
        <w:ind w:right="114" w:firstLine="360"/>
        <w:jc w:val="left"/>
        <w:rPr>
          <w:rFonts w:ascii="宋体" w:hAnsi="宋体" w:cs="宋体" w:eastAsia="宋体" w:hint="default"/>
        </w:rPr>
      </w:pPr>
      <w:r>
        <w:rPr/>
        <w:t>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日，公司共取得有效专利</w:t>
      </w:r>
      <w:r>
        <w:rPr>
          <w:rFonts w:ascii="宋体" w:hAnsi="宋体" w:cs="宋体" w:eastAsia="宋体" w:hint="default"/>
        </w:rPr>
        <w:t>203 </w:t>
      </w:r>
      <w:r>
        <w:rPr/>
        <w:t>件，其中发明</w:t>
      </w:r>
      <w:r>
        <w:rPr>
          <w:rFonts w:ascii="宋体" w:hAnsi="宋体" w:cs="宋体" w:eastAsia="宋体" w:hint="default"/>
        </w:rPr>
        <w:t>31</w:t>
      </w:r>
      <w:r>
        <w:rPr/>
        <w:t>件，国外授权专利</w:t>
      </w:r>
      <w:r>
        <w:rPr>
          <w:rFonts w:ascii="宋体" w:hAnsi="宋体" w:cs="宋体" w:eastAsia="宋体" w:hint="default"/>
        </w:rPr>
        <w:t>3</w:t>
      </w:r>
      <w:r>
        <w:rPr/>
        <w:t>件、实用新型</w:t>
      </w:r>
      <w:r>
        <w:rPr>
          <w:rFonts w:ascii="宋体" w:hAnsi="宋体" w:cs="宋体" w:eastAsia="宋体" w:hint="default"/>
        </w:rPr>
        <w:t>131 </w:t>
      </w:r>
      <w:r>
        <w:rPr/>
        <w:t>件、外观 </w:t>
      </w:r>
      <w:r>
        <w:rPr>
          <w:rFonts w:ascii="宋体" w:hAnsi="宋体" w:cs="宋体" w:eastAsia="宋体" w:hint="default"/>
        </w:rPr>
        <w:t>38</w:t>
      </w:r>
      <w:r>
        <w:rPr/>
        <w:t>件；</w:t>
      </w:r>
      <w:r>
        <w:rPr>
          <w:spacing w:val="2"/>
        </w:rPr>
        <w:t> </w:t>
      </w:r>
      <w:r>
        <w:rPr/>
        <w:t>计算机软件著作权登记</w:t>
      </w:r>
      <w:r>
        <w:rPr>
          <w:rFonts w:ascii="宋体" w:hAnsi="宋体" w:cs="宋体" w:eastAsia="宋体" w:hint="default"/>
        </w:rPr>
        <w:t>147</w:t>
      </w:r>
      <w:r>
        <w:rPr>
          <w:rFonts w:ascii="宋体" w:hAnsi="宋体" w:cs="宋体" w:eastAsia="宋体" w:hint="default"/>
          <w:spacing w:val="-2"/>
        </w:rPr>
        <w:t> </w:t>
      </w:r>
      <w:r>
        <w:rPr/>
        <w:t>件；在审专利共</w:t>
      </w:r>
      <w:r>
        <w:rPr>
          <w:rFonts w:ascii="宋体" w:hAnsi="宋体" w:cs="宋体" w:eastAsia="宋体" w:hint="default"/>
        </w:rPr>
        <w:t>66</w:t>
      </w:r>
      <w:r>
        <w:rPr/>
        <w:t>件，其中发明</w:t>
      </w:r>
      <w:r>
        <w:rPr>
          <w:rFonts w:ascii="宋体" w:hAnsi="宋体" w:cs="宋体" w:eastAsia="宋体" w:hint="default"/>
        </w:rPr>
        <w:t>44</w:t>
      </w:r>
      <w:r>
        <w:rPr/>
        <w:t>件、实用新型</w:t>
      </w:r>
      <w:r>
        <w:rPr>
          <w:rFonts w:ascii="宋体" w:hAnsi="宋体" w:cs="宋体" w:eastAsia="宋体" w:hint="default"/>
        </w:rPr>
        <w:t>22</w:t>
      </w:r>
      <w:r>
        <w:rPr/>
        <w:t>件。</w:t>
      </w:r>
      <w:r>
        <w:rPr>
          <w:rFonts w:ascii="宋体" w:hAnsi="宋体" w:cs="宋体" w:eastAsia="宋体" w:hint="default"/>
        </w:rPr>
        <w:t> </w:t>
      </w:r>
    </w:p>
    <w:p>
      <w:pPr>
        <w:pStyle w:val="BodyText"/>
        <w:spacing w:line="316" w:lineRule="auto" w:before="19"/>
        <w:ind w:right="207" w:firstLine="360"/>
        <w:jc w:val="left"/>
        <w:rPr>
          <w:rFonts w:ascii="宋体" w:hAnsi="宋体" w:cs="宋体" w:eastAsia="宋体" w:hint="default"/>
        </w:rPr>
      </w:pPr>
      <w:r>
        <w:rPr>
          <w:rFonts w:ascii="宋体" w:hAnsi="宋体" w:cs="宋体" w:eastAsia="宋体" w:hint="default"/>
        </w:rPr>
        <w:t>2017</w:t>
      </w:r>
      <w:r>
        <w:rPr/>
        <w:t>年公司新申请专利受理总数</w:t>
      </w:r>
      <w:r>
        <w:rPr>
          <w:rFonts w:ascii="宋体" w:hAnsi="宋体" w:cs="宋体" w:eastAsia="宋体" w:hint="default"/>
        </w:rPr>
        <w:t>29</w:t>
      </w:r>
      <w:r>
        <w:rPr/>
        <w:t>件，其中发明专利</w:t>
      </w:r>
      <w:r>
        <w:rPr>
          <w:rFonts w:ascii="宋体" w:hAnsi="宋体" w:cs="宋体" w:eastAsia="宋体" w:hint="default"/>
        </w:rPr>
        <w:t>8 </w:t>
      </w:r>
      <w:r>
        <w:rPr/>
        <w:t>件，实用新型专利 </w:t>
      </w:r>
      <w:r>
        <w:rPr>
          <w:rFonts w:ascii="宋体" w:hAnsi="宋体" w:cs="宋体" w:eastAsia="宋体" w:hint="default"/>
        </w:rPr>
        <w:t>7 </w:t>
      </w:r>
      <w:r>
        <w:rPr/>
        <w:t>项，外观专利 </w:t>
      </w:r>
      <w:r>
        <w:rPr>
          <w:rFonts w:ascii="宋体" w:hAnsi="宋体" w:cs="宋体" w:eastAsia="宋体" w:hint="default"/>
        </w:rPr>
        <w:t>14</w:t>
      </w:r>
      <w:r>
        <w:rPr>
          <w:rFonts w:ascii="宋体" w:hAnsi="宋体" w:cs="宋体" w:eastAsia="宋体" w:hint="default"/>
          <w:spacing w:val="-3"/>
        </w:rPr>
        <w:t> </w:t>
      </w:r>
      <w:r>
        <w:rPr/>
        <w:t>项，受理计算机软件著 作权</w:t>
      </w:r>
      <w:r>
        <w:rPr>
          <w:rFonts w:ascii="宋体" w:hAnsi="宋体" w:cs="宋体" w:eastAsia="宋体" w:hint="default"/>
        </w:rPr>
        <w:t>16 </w:t>
      </w:r>
      <w:r>
        <w:rPr/>
        <w:t>件。</w:t>
      </w:r>
      <w:r>
        <w:rPr>
          <w:rFonts w:ascii="宋体" w:hAnsi="宋体" w:cs="宋体" w:eastAsia="宋体" w:hint="default"/>
        </w:rPr>
        <w:t> </w:t>
      </w:r>
    </w:p>
    <w:p>
      <w:pPr>
        <w:pStyle w:val="BodyText"/>
        <w:spacing w:line="316" w:lineRule="auto" w:before="18"/>
        <w:ind w:right="204" w:firstLine="360"/>
        <w:jc w:val="left"/>
        <w:rPr>
          <w:rFonts w:ascii="宋体" w:hAnsi="宋体" w:cs="宋体" w:eastAsia="宋体" w:hint="default"/>
        </w:rPr>
      </w:pPr>
      <w:r>
        <w:rPr>
          <w:rFonts w:ascii="宋体" w:hAnsi="宋体" w:cs="宋体" w:eastAsia="宋体" w:hint="default"/>
        </w:rPr>
        <w:t>2017</w:t>
      </w:r>
      <w:r>
        <w:rPr/>
        <w:t>年公司取得专利证书总数</w:t>
      </w:r>
      <w:r>
        <w:rPr>
          <w:rFonts w:ascii="宋体" w:hAnsi="宋体" w:cs="宋体" w:eastAsia="宋体" w:hint="default"/>
        </w:rPr>
        <w:t>19</w:t>
      </w:r>
      <w:r>
        <w:rPr/>
        <w:t>件，其中发明专利</w:t>
      </w:r>
      <w:r>
        <w:rPr>
          <w:rFonts w:ascii="宋体" w:hAnsi="宋体" w:cs="宋体" w:eastAsia="宋体" w:hint="default"/>
        </w:rPr>
        <w:t>5</w:t>
      </w:r>
      <w:r>
        <w:rPr/>
        <w:t>件，实用新型专利</w:t>
      </w:r>
      <w:r>
        <w:rPr>
          <w:rFonts w:ascii="宋体" w:hAnsi="宋体" w:cs="宋体" w:eastAsia="宋体" w:hint="default"/>
        </w:rPr>
        <w:t>11</w:t>
      </w:r>
      <w:r>
        <w:rPr/>
        <w:t>件，外观专利</w:t>
      </w:r>
      <w:r>
        <w:rPr>
          <w:rFonts w:ascii="宋体" w:hAnsi="宋体" w:cs="宋体" w:eastAsia="宋体" w:hint="default"/>
        </w:rPr>
        <w:t>16</w:t>
      </w:r>
      <w:r>
        <w:rPr/>
        <w:t>件；取得计算机软件著作权证 书</w:t>
      </w:r>
      <w:r>
        <w:rPr>
          <w:rFonts w:ascii="宋体" w:hAnsi="宋体" w:cs="宋体" w:eastAsia="宋体" w:hint="default"/>
        </w:rPr>
        <w:t>16 </w:t>
      </w:r>
      <w:r>
        <w:rPr/>
        <w:t>件。</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5" w:footer="980" w:top="1060" w:bottom="1160" w:left="980" w:right="920"/>
        </w:sectPr>
      </w:pPr>
    </w:p>
    <w:p>
      <w:pPr>
        <w:spacing w:line="240" w:lineRule="auto" w:before="9"/>
        <w:rPr>
          <w:rFonts w:ascii="宋体" w:hAnsi="宋体" w:cs="宋体" w:eastAsia="宋体" w:hint="default"/>
          <w:sz w:val="25"/>
          <w:szCs w:val="25"/>
        </w:rPr>
      </w:pPr>
    </w:p>
    <w:p>
      <w:pPr>
        <w:pStyle w:val="BodyText"/>
        <w:spacing w:line="319" w:lineRule="auto" w:before="44"/>
        <w:ind w:right="0" w:firstLine="360"/>
        <w:jc w:val="left"/>
        <w:rPr>
          <w:rFonts w:ascii="宋体" w:hAnsi="宋体" w:cs="宋体" w:eastAsia="宋体" w:hint="default"/>
        </w:rPr>
      </w:pPr>
      <w:r>
        <w:rPr>
          <w:spacing w:val="-2"/>
        </w:rPr>
        <w:t>截止</w:t>
      </w:r>
      <w:r>
        <w:rPr>
          <w:rFonts w:ascii="宋体" w:hAnsi="宋体" w:cs="宋体" w:eastAsia="宋体" w:hint="default"/>
          <w:spacing w:val="-2"/>
        </w:rPr>
        <w:t>2017</w:t>
      </w:r>
      <w:r>
        <w:rPr>
          <w:spacing w:val="-2"/>
        </w:rPr>
        <w:t>年度公司累计共计有</w:t>
      </w:r>
      <w:r>
        <w:rPr>
          <w:rFonts w:ascii="宋体" w:hAnsi="宋体" w:cs="宋体" w:eastAsia="宋体" w:hint="default"/>
          <w:spacing w:val="-2"/>
        </w:rPr>
        <w:t>6</w:t>
      </w:r>
      <w:r>
        <w:rPr>
          <w:spacing w:val="-2"/>
        </w:rPr>
        <w:t>款产品取得</w:t>
      </w:r>
      <w:r>
        <w:rPr>
          <w:rFonts w:ascii="宋体" w:hAnsi="宋体" w:cs="宋体" w:eastAsia="宋体" w:hint="default"/>
          <w:spacing w:val="-2"/>
        </w:rPr>
        <w:t>PCI4.X</w:t>
      </w:r>
      <w:r>
        <w:rPr>
          <w:spacing w:val="-2"/>
        </w:rPr>
        <w:t>认证，</w:t>
      </w:r>
      <w:r>
        <w:rPr>
          <w:rFonts w:ascii="宋体" w:hAnsi="宋体" w:cs="宋体" w:eastAsia="宋体" w:hint="default"/>
          <w:spacing w:val="-2"/>
        </w:rPr>
        <w:t>1</w:t>
      </w:r>
      <w:r>
        <w:rPr>
          <w:spacing w:val="-2"/>
        </w:rPr>
        <w:t>款产品取得</w:t>
      </w:r>
      <w:r>
        <w:rPr>
          <w:rFonts w:ascii="宋体" w:hAnsi="宋体" w:cs="宋体" w:eastAsia="宋体" w:hint="default"/>
          <w:spacing w:val="-2"/>
        </w:rPr>
        <w:t>PCI5.X</w:t>
      </w:r>
      <w:r>
        <w:rPr>
          <w:spacing w:val="-2"/>
        </w:rPr>
        <w:t>认证，</w:t>
      </w:r>
      <w:r>
        <w:rPr>
          <w:rFonts w:ascii="宋体" w:hAnsi="宋体" w:cs="宋体" w:eastAsia="宋体" w:hint="default"/>
          <w:spacing w:val="-2"/>
        </w:rPr>
        <w:t>17</w:t>
      </w:r>
      <w:r>
        <w:rPr>
          <w:spacing w:val="-2"/>
        </w:rPr>
        <w:t>款产品获得国密认证，</w:t>
      </w:r>
      <w:r>
        <w:rPr>
          <w:rFonts w:ascii="宋体" w:hAnsi="宋体" w:cs="宋体" w:eastAsia="宋体" w:hint="default"/>
          <w:spacing w:val="-2"/>
        </w:rPr>
        <w:t>18</w:t>
      </w:r>
      <w:r>
        <w:rPr>
          <w:spacing w:val="-2"/>
        </w:rPr>
        <w:t>款产品获</w:t>
      </w:r>
      <w:r>
        <w:rPr/>
        <w:t> 得银联终端安全认证，</w:t>
      </w:r>
      <w:r>
        <w:rPr>
          <w:rFonts w:ascii="宋体" w:hAnsi="宋体" w:cs="宋体" w:eastAsia="宋体" w:hint="default"/>
        </w:rPr>
        <w:t>3</w:t>
      </w:r>
      <w:r>
        <w:rPr/>
        <w:t>款产品获得银联入网认证。</w:t>
      </w:r>
      <w:r>
        <w:rPr>
          <w:rFonts w:ascii="宋体" w:hAnsi="宋体" w:cs="宋体" w:eastAsia="宋体" w:hint="default"/>
        </w:rPr>
        <w:t> </w:t>
      </w:r>
    </w:p>
    <w:p>
      <w:pPr>
        <w:pStyle w:val="BodyText"/>
        <w:spacing w:line="316" w:lineRule="auto" w:before="17"/>
        <w:ind w:right="0" w:firstLine="360"/>
        <w:jc w:val="left"/>
        <w:rPr>
          <w:rFonts w:ascii="宋体" w:hAnsi="宋体" w:cs="宋体" w:eastAsia="宋体" w:hint="default"/>
        </w:rPr>
      </w:pPr>
      <w:r>
        <w:rPr>
          <w:rFonts w:ascii="宋体" w:hAnsi="宋体" w:cs="宋体" w:eastAsia="宋体" w:hint="default"/>
          <w:spacing w:val="-2"/>
        </w:rPr>
        <w:t>2017</w:t>
      </w:r>
      <w:r>
        <w:rPr>
          <w:spacing w:val="-2"/>
        </w:rPr>
        <w:t>年度公司共计有</w:t>
      </w:r>
      <w:r>
        <w:rPr>
          <w:rFonts w:ascii="宋体" w:hAnsi="宋体" w:cs="宋体" w:eastAsia="宋体" w:hint="default"/>
          <w:spacing w:val="-2"/>
        </w:rPr>
        <w:t>4</w:t>
      </w:r>
      <w:r>
        <w:rPr>
          <w:spacing w:val="-2"/>
        </w:rPr>
        <w:t>款产品取得</w:t>
      </w:r>
      <w:r>
        <w:rPr>
          <w:rFonts w:ascii="宋体" w:hAnsi="宋体" w:cs="宋体" w:eastAsia="宋体" w:hint="default"/>
          <w:spacing w:val="-2"/>
        </w:rPr>
        <w:t>PCI4.X</w:t>
      </w:r>
      <w:r>
        <w:rPr>
          <w:spacing w:val="-2"/>
        </w:rPr>
        <w:t>认证，</w:t>
      </w:r>
      <w:r>
        <w:rPr>
          <w:rFonts w:ascii="宋体" w:hAnsi="宋体" w:cs="宋体" w:eastAsia="宋体" w:hint="default"/>
          <w:spacing w:val="-2"/>
        </w:rPr>
        <w:t>1</w:t>
      </w:r>
      <w:r>
        <w:rPr>
          <w:spacing w:val="-2"/>
        </w:rPr>
        <w:t>款产品获</w:t>
      </w:r>
      <w:r>
        <w:rPr>
          <w:rFonts w:ascii="宋体" w:hAnsi="宋体" w:cs="宋体" w:eastAsia="宋体" w:hint="default"/>
          <w:spacing w:val="-2"/>
        </w:rPr>
        <w:t>PCI5.X</w:t>
      </w:r>
      <w:r>
        <w:rPr>
          <w:spacing w:val="-2"/>
        </w:rPr>
        <w:t>认证，</w:t>
      </w:r>
      <w:r>
        <w:rPr>
          <w:rFonts w:ascii="宋体" w:hAnsi="宋体" w:cs="宋体" w:eastAsia="宋体" w:hint="default"/>
          <w:spacing w:val="-2"/>
        </w:rPr>
        <w:t>1</w:t>
      </w:r>
      <w:r>
        <w:rPr>
          <w:spacing w:val="-2"/>
        </w:rPr>
        <w:t>款产品获得国密认证，</w:t>
      </w:r>
      <w:r>
        <w:rPr>
          <w:rFonts w:ascii="宋体" w:hAnsi="宋体" w:cs="宋体" w:eastAsia="宋体" w:hint="default"/>
          <w:spacing w:val="-2"/>
        </w:rPr>
        <w:t>1</w:t>
      </w:r>
      <w:r>
        <w:rPr>
          <w:spacing w:val="-2"/>
        </w:rPr>
        <w:t>款产品获机器人产品认</w:t>
      </w:r>
      <w:r>
        <w:rPr/>
        <w:t> 证，证通云主机服务获可信云云主机服务认证。</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BodyText"/>
        <w:spacing w:line="240" w:lineRule="auto" w:before="136"/>
        <w:ind w:right="0"/>
        <w:jc w:val="left"/>
      </w:pPr>
      <w:r>
        <w:rPr/>
        <w:t>公司研发投入情况</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10.32%</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15.16%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100,221,574.75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89,661,139.01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11.78%</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25,666,883.78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22,040,243.63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16.45%</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w:t>
            </w:r>
          </w:p>
        </w:tc>
      </w:tr>
    </w:tbl>
    <w:p>
      <w:pPr>
        <w:pStyle w:val="BodyText"/>
        <w:spacing w:line="240" w:lineRule="auto" w:before="49"/>
        <w:ind w:right="0"/>
        <w:jc w:val="left"/>
      </w:pPr>
      <w:r>
        <w:rPr/>
        <w:t>研发投入总额占营业收入的比重较上年发生显著变化的原因</w:t>
      </w:r>
    </w:p>
    <w:p>
      <w:pPr>
        <w:pStyle w:val="BodyText"/>
        <w:spacing w:line="340"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1,292,063,345.62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1,752,932,085.28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-26.29%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2,016,736,737.09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1,606,124,944.63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25.57%</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-724,673,391.47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146,807,140.65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-593.62%</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9,527,235.16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21,936,650.84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-56.57%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937,310,247.96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469,289,855.82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99.73%</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-927,783,012.80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-447,353,204.98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107.39%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1,691,260,753.80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2,727,412,037.56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-37.99%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885,985,690.41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1,643,202,827.93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-46.08%</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805,275,063.39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1,084,209,209.63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-25.73%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-856,240,733.06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787,457,186.19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-208.73%</w:t>
            </w:r>
          </w:p>
        </w:tc>
      </w:tr>
    </w:tbl>
    <w:p>
      <w:pPr>
        <w:pStyle w:val="BodyText"/>
        <w:spacing w:line="240" w:lineRule="auto" w:before="49"/>
        <w:ind w:right="0"/>
        <w:jc w:val="left"/>
      </w:pPr>
      <w:r>
        <w:rPr/>
        <w:t>相关数据同比发生重大变动的主要影响因素说明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footerReference w:type="default" r:id="rId14"/>
          <w:pgSz w:w="11910" w:h="16840"/>
          <w:pgMar w:footer="980" w:header="745" w:top="1060" w:bottom="1160" w:left="980" w:right="980"/>
          <w:pgNumType w:start="22"/>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49" w:firstLine="269"/>
        <w:jc w:val="both"/>
        <w:rPr>
          <w:rFonts w:ascii="宋体" w:hAnsi="宋体" w:cs="宋体" w:eastAsia="宋体" w:hint="default"/>
        </w:rPr>
      </w:pPr>
      <w:r>
        <w:rPr>
          <w:spacing w:val="-3"/>
        </w:rPr>
        <w:t>（</w:t>
      </w:r>
      <w:r>
        <w:rPr>
          <w:rFonts w:ascii="宋体" w:hAnsi="宋体" w:cs="宋体" w:eastAsia="宋体" w:hint="default"/>
          <w:spacing w:val="-3"/>
        </w:rPr>
        <w:t>1</w:t>
      </w:r>
      <w:r>
        <w:rPr>
          <w:spacing w:val="-3"/>
        </w:rPr>
        <w:t>）报告期内公司经营活动产生的现金流量净额为</w:t>
      </w:r>
      <w:r>
        <w:rPr>
          <w:rFonts w:ascii="宋体" w:hAnsi="宋体" w:cs="宋体" w:eastAsia="宋体" w:hint="default"/>
          <w:spacing w:val="-3"/>
        </w:rPr>
        <w:t>-72,467.34</w:t>
      </w:r>
      <w:r>
        <w:rPr>
          <w:spacing w:val="-3"/>
        </w:rPr>
        <w:t>万元</w:t>
      </w:r>
      <w:r>
        <w:rPr>
          <w:rFonts w:ascii="宋体" w:hAnsi="宋体" w:cs="宋体" w:eastAsia="宋体" w:hint="default"/>
          <w:spacing w:val="-3"/>
        </w:rPr>
        <w:t>,</w:t>
      </w:r>
      <w:r>
        <w:rPr>
          <w:rFonts w:ascii="宋体" w:hAnsi="宋体" w:cs="宋体" w:eastAsia="宋体" w:hint="default"/>
          <w:spacing w:val="39"/>
        </w:rPr>
        <w:t> </w:t>
      </w:r>
      <w:r>
        <w:rPr>
          <w:spacing w:val="-1"/>
        </w:rPr>
        <w:t>较上年同期下降</w:t>
      </w:r>
      <w:r>
        <w:rPr>
          <w:rFonts w:ascii="宋体" w:hAnsi="宋体" w:cs="宋体" w:eastAsia="宋体" w:hint="default"/>
          <w:spacing w:val="-1"/>
        </w:rPr>
        <w:t>593.62%,</w:t>
      </w:r>
      <w:r>
        <w:rPr>
          <w:spacing w:val="-1"/>
        </w:rPr>
        <w:t>主要原因是报告期内公司</w:t>
      </w:r>
      <w:r>
        <w:rPr/>
        <w:t> </w:t>
      </w:r>
      <w:r>
        <w:rPr>
          <w:rFonts w:ascii="宋体" w:hAnsi="宋体" w:cs="宋体" w:eastAsia="宋体" w:hint="default"/>
          <w:spacing w:val="-2"/>
        </w:rPr>
        <w:t>LED</w:t>
      </w:r>
      <w:r>
        <w:rPr>
          <w:spacing w:val="-2"/>
        </w:rPr>
        <w:t>照明工程及</w:t>
      </w:r>
      <w:r>
        <w:rPr>
          <w:rFonts w:ascii="宋体" w:hAnsi="宋体" w:cs="宋体" w:eastAsia="宋体" w:hint="default"/>
          <w:spacing w:val="-2"/>
        </w:rPr>
        <w:t>IDC</w:t>
      </w:r>
      <w:r>
        <w:rPr>
          <w:spacing w:val="-2"/>
        </w:rPr>
        <w:t>云计算项目工程大幅增加，金融电子业务收入减少，公司资金回款周期延长，加之公司四季度收入实现较</w:t>
      </w:r>
      <w:r>
        <w:rPr>
          <w:spacing w:val="-60"/>
        </w:rPr>
        <w:t> </w:t>
      </w:r>
      <w:r>
        <w:rPr>
          <w:spacing w:val="-60"/>
        </w:rPr>
      </w:r>
      <w:r>
        <w:rPr/>
        <w:t>大，期末部分业务未实现销售回款所致；</w:t>
      </w:r>
      <w:r>
        <w:rPr>
          <w:rFonts w:ascii="宋体" w:hAnsi="宋体" w:cs="宋体" w:eastAsia="宋体" w:hint="default"/>
        </w:rPr>
        <w:t> </w:t>
      </w:r>
    </w:p>
    <w:p>
      <w:pPr>
        <w:pStyle w:val="BodyText"/>
        <w:spacing w:line="477" w:lineRule="auto" w:before="54"/>
        <w:ind w:right="156" w:firstLine="269"/>
        <w:jc w:val="both"/>
        <w:rPr>
          <w:rFonts w:ascii="宋体" w:hAnsi="宋体" w:cs="宋体" w:eastAsia="宋体" w:hint="default"/>
        </w:rPr>
      </w:pPr>
      <w:r>
        <w:rPr/>
        <w:t>（</w:t>
      </w:r>
      <w:r>
        <w:rPr>
          <w:rFonts w:ascii="宋体" w:hAnsi="宋体" w:cs="宋体" w:eastAsia="宋体" w:hint="default"/>
        </w:rPr>
        <w:t>2</w:t>
      </w:r>
      <w:r>
        <w:rPr/>
        <w:t>）报告期内公司投资活动产生的现金流量净额为</w:t>
      </w:r>
      <w:r>
        <w:rPr>
          <w:rFonts w:ascii="宋体" w:hAnsi="宋体" w:cs="宋体" w:eastAsia="宋体" w:hint="default"/>
        </w:rPr>
        <w:t>-92,778.30</w:t>
      </w:r>
      <w:r>
        <w:rPr/>
        <w:t>万元，较上年同期下降</w:t>
      </w:r>
      <w:r>
        <w:rPr>
          <w:rFonts w:ascii="宋体" w:hAnsi="宋体" w:cs="宋体" w:eastAsia="宋体" w:hint="default"/>
        </w:rPr>
        <w:t>107.39%</w:t>
      </w:r>
      <w:r>
        <w:rPr/>
        <w:t>，主要原因是报告期内公 司持续加大深圳、长沙、东莞的</w:t>
      </w:r>
      <w:r>
        <w:rPr>
          <w:rFonts w:ascii="宋体" w:hAnsi="宋体" w:cs="宋体" w:eastAsia="宋体" w:hint="default"/>
        </w:rPr>
        <w:t>IDC</w:t>
      </w:r>
      <w:r>
        <w:rPr/>
        <w:t>数据中心建设投入，以及使用部分货币资金购买银行结构性存款所致；</w:t>
      </w:r>
      <w:r>
        <w:rPr>
          <w:rFonts w:ascii="宋体" w:hAnsi="宋体" w:cs="宋体" w:eastAsia="宋体" w:hint="default"/>
        </w:rPr>
        <w:t> </w:t>
      </w:r>
    </w:p>
    <w:p>
      <w:pPr>
        <w:pStyle w:val="BodyText"/>
        <w:spacing w:line="477" w:lineRule="auto" w:before="54"/>
        <w:ind w:right="159" w:firstLine="269"/>
        <w:jc w:val="both"/>
        <w:rPr>
          <w:rFonts w:ascii="宋体" w:hAnsi="宋体" w:cs="宋体" w:eastAsia="宋体" w:hint="default"/>
        </w:rPr>
      </w:pPr>
      <w:r>
        <w:rPr/>
        <w:t>（</w:t>
      </w:r>
      <w:r>
        <w:rPr>
          <w:rFonts w:ascii="宋体" w:hAnsi="宋体" w:cs="宋体" w:eastAsia="宋体" w:hint="default"/>
        </w:rPr>
        <w:t>3</w:t>
      </w:r>
      <w:r>
        <w:rPr/>
        <w:t>）报告期内公司筹资活动产生的现金流量净额为</w:t>
      </w:r>
      <w:r>
        <w:rPr>
          <w:rFonts w:ascii="宋体" w:hAnsi="宋体" w:cs="宋体" w:eastAsia="宋体" w:hint="default"/>
        </w:rPr>
        <w:t>80,527.51</w:t>
      </w:r>
      <w:r>
        <w:rPr/>
        <w:t>万元，较上年同期减少</w:t>
      </w:r>
      <w:r>
        <w:rPr>
          <w:rFonts w:ascii="宋体" w:hAnsi="宋体" w:cs="宋体" w:eastAsia="宋体" w:hint="default"/>
        </w:rPr>
        <w:t>25.73%</w:t>
      </w:r>
      <w:r>
        <w:rPr/>
        <w:t>，主要原因是上年同期公司 非公开发行股票上市募集资金，以及公司银行短期借款增加所致。</w:t>
      </w:r>
      <w:r>
        <w:rPr>
          <w:rFonts w:ascii="宋体" w:hAnsi="宋体" w:cs="宋体" w:eastAsia="宋体" w:hint="default"/>
        </w:rPr>
        <w:t> </w:t>
      </w:r>
    </w:p>
    <w:p>
      <w:pPr>
        <w:pStyle w:val="BodyText"/>
        <w:spacing w:line="211" w:lineRule="exact"/>
        <w:ind w:left="513" w:right="0"/>
        <w:jc w:val="left"/>
        <w:rPr>
          <w:rFonts w:ascii="宋体" w:hAnsi="宋体" w:cs="宋体" w:eastAsia="宋体" w:hint="default"/>
        </w:rPr>
      </w:pPr>
      <w:r>
        <w:rPr/>
        <w:t>报告期内公司经营活动产生的现金净流量与本年度净利润存在重大差异的原因说明</w:t>
      </w:r>
      <w:r>
        <w:rPr>
          <w:rFonts w:ascii="宋体" w:hAnsi="宋体" w:cs="宋体" w:eastAsia="宋体" w:hint="default"/>
        </w:rPr>
        <w:t> </w:t>
      </w:r>
    </w:p>
    <w:p>
      <w:pPr>
        <w:pStyle w:val="BodyText"/>
        <w:spacing w:line="240" w:lineRule="auto" w:before="76"/>
        <w:ind w:left="513" w:right="0"/>
        <w:jc w:val="left"/>
        <w:rPr>
          <w:rFonts w:ascii="宋体" w:hAnsi="宋体" w:cs="宋体" w:eastAsia="宋体" w:hint="default"/>
        </w:rPr>
      </w:pPr>
      <w:r>
        <w:rPr/>
        <w:t>√ </w:t>
      </w:r>
      <w:r>
        <w:rPr>
          <w:rFonts w:ascii="宋体" w:hAnsi="宋体" w:cs="宋体" w:eastAsia="宋体" w:hint="default"/>
        </w:rPr>
      </w:r>
      <w:r>
        <w:rPr/>
        <w:t>适用 </w:t>
      </w:r>
      <w:r>
        <w:rPr>
          <w:rFonts w:ascii="宋体" w:hAnsi="宋体" w:cs="宋体" w:eastAsia="宋体" w:hint="default"/>
        </w:rPr>
      </w:r>
      <w:r>
        <w:rPr/>
        <w:t>□</w:t>
      </w:r>
      <w:r>
        <w:rPr>
          <w:spacing w:val="-1"/>
        </w:rPr>
        <w:t> </w:t>
      </w:r>
      <w:r>
        <w:rPr>
          <w:rFonts w:ascii="宋体" w:hAnsi="宋体" w:cs="宋体" w:eastAsia="宋体" w:hint="default"/>
          <w:spacing w:val="-1"/>
        </w:rPr>
      </w:r>
      <w:r>
        <w:rPr/>
        <w:t>不适用</w:t>
      </w:r>
      <w:r>
        <w:rPr>
          <w:rFonts w:ascii="宋体" w:hAnsi="宋体" w:cs="宋体" w:eastAsia="宋体" w:hint="default"/>
          <w:spacing w:val="-2"/>
        </w:rPr>
        <w:t> </w:t>
      </w:r>
      <w:r>
        <w:rPr>
          <w:rFonts w:ascii="宋体" w:hAnsi="宋体" w:cs="宋体" w:eastAsia="宋体" w:hint="default"/>
        </w:rPr>
        <w:t> </w:t>
      </w:r>
    </w:p>
    <w:p>
      <w:pPr>
        <w:pStyle w:val="BodyText"/>
        <w:spacing w:line="477" w:lineRule="auto" w:before="155"/>
        <w:ind w:right="149" w:firstLine="360"/>
        <w:jc w:val="both"/>
        <w:rPr>
          <w:rFonts w:ascii="宋体" w:hAnsi="宋体" w:cs="宋体" w:eastAsia="宋体" w:hint="default"/>
        </w:rPr>
      </w:pPr>
      <w:r>
        <w:rPr/>
        <w:t>报告期内公司经营活动产生的现金流量净额为</w:t>
      </w:r>
      <w:r>
        <w:rPr>
          <w:rFonts w:ascii="宋体" w:hAnsi="宋体" w:cs="宋体" w:eastAsia="宋体" w:hint="default"/>
        </w:rPr>
        <w:t>-72,467.34</w:t>
      </w:r>
      <w:r>
        <w:rPr/>
        <w:t>万元</w:t>
      </w:r>
      <w:r>
        <w:rPr>
          <w:rFonts w:ascii="宋体" w:hAnsi="宋体" w:cs="宋体" w:eastAsia="宋体" w:hint="default"/>
        </w:rPr>
        <w:t>,</w:t>
      </w:r>
      <w:r>
        <w:rPr>
          <w:rFonts w:ascii="宋体" w:hAnsi="宋体" w:cs="宋体" w:eastAsia="宋体" w:hint="default"/>
          <w:spacing w:val="-4"/>
        </w:rPr>
        <w:t> </w:t>
      </w:r>
      <w:r>
        <w:rPr/>
        <w:t>与本年度净利润存在差异的主要原因是：（</w:t>
      </w:r>
      <w:r>
        <w:rPr>
          <w:rFonts w:ascii="宋体" w:hAnsi="宋体" w:cs="宋体" w:eastAsia="宋体" w:hint="default"/>
        </w:rPr>
        <w:t>1</w:t>
      </w:r>
      <w:r>
        <w:rPr/>
        <w:t>）报告期 </w:t>
      </w:r>
      <w:r>
        <w:rPr>
          <w:spacing w:val="-3"/>
        </w:rPr>
        <w:t>内金融电子业务收入减少，回款周期较长公司</w:t>
      </w:r>
      <w:r>
        <w:rPr>
          <w:rFonts w:ascii="宋体" w:hAnsi="宋体" w:cs="宋体" w:eastAsia="宋体" w:hint="default"/>
          <w:spacing w:val="-3"/>
        </w:rPr>
        <w:t>LED</w:t>
      </w:r>
      <w:r>
        <w:rPr>
          <w:spacing w:val="-3"/>
        </w:rPr>
        <w:t>照明工程及</w:t>
      </w:r>
      <w:r>
        <w:rPr>
          <w:rFonts w:ascii="宋体" w:hAnsi="宋体" w:cs="宋体" w:eastAsia="宋体" w:hint="default"/>
          <w:spacing w:val="-3"/>
        </w:rPr>
        <w:t>IDC</w:t>
      </w:r>
      <w:r>
        <w:rPr>
          <w:spacing w:val="-3"/>
        </w:rPr>
        <w:t>云计算项目工程大幅增加；（</w:t>
      </w:r>
      <w:r>
        <w:rPr>
          <w:rFonts w:ascii="宋体" w:hAnsi="宋体" w:cs="宋体" w:eastAsia="宋体" w:hint="default"/>
          <w:spacing w:val="-3"/>
        </w:rPr>
        <w:t>2</w:t>
      </w:r>
      <w:r>
        <w:rPr>
          <w:spacing w:val="-3"/>
        </w:rPr>
        <w:t>）公司四季度收入实现较大，</w:t>
      </w:r>
      <w:r>
        <w:rPr>
          <w:spacing w:val="-88"/>
        </w:rPr>
        <w:t> </w:t>
      </w:r>
      <w:r>
        <w:rPr>
          <w:spacing w:val="-88"/>
        </w:rPr>
      </w:r>
      <w:r>
        <w:rPr/>
        <w:t>期末部分业务未实现销售回款。</w:t>
      </w:r>
      <w:r>
        <w:rPr>
          <w:rFonts w:ascii="宋体" w:hAnsi="宋体" w:cs="宋体" w:eastAsia="宋体" w:hint="default"/>
        </w:rPr>
        <w:t> </w:t>
      </w:r>
    </w:p>
    <w:p>
      <w:pPr>
        <w:spacing w:line="240" w:lineRule="auto" w:before="7"/>
        <w:rPr>
          <w:rFonts w:ascii="宋体" w:hAnsi="宋体" w:cs="宋体" w:eastAsia="宋体" w:hint="default"/>
          <w:sz w:val="17"/>
          <w:szCs w:val="17"/>
        </w:rPr>
      </w:pPr>
    </w:p>
    <w:p>
      <w:pPr>
        <w:pStyle w:val="Heading2"/>
        <w:spacing w:line="240" w:lineRule="auto"/>
        <w:ind w:right="0"/>
        <w:jc w:val="left"/>
        <w:rPr>
          <w:b w:val="0"/>
          <w:bCs w:val="0"/>
        </w:rPr>
      </w:pPr>
      <w:r>
        <w:rPr/>
        <w:t>三、非主营业务分析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622"/>
        <w:gridCol w:w="2254"/>
        <w:gridCol w:w="2254"/>
      </w:tblGrid>
      <w:tr>
        <w:trPr>
          <w:trHeight w:val="401"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3"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319"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065" w:right="0"/>
              <w:jc w:val="left"/>
              <w:rPr>
                <w:rFonts w:ascii="Times New Roman" w:hAnsi="Times New Roman" w:cs="Times New Roman" w:eastAsia="Times New Roman" w:hint="default"/>
                <w:sz w:val="18"/>
                <w:szCs w:val="18"/>
              </w:rPr>
            </w:pPr>
            <w:r>
              <w:rPr>
                <w:rFonts w:ascii="Times New Roman"/>
                <w:sz w:val="18"/>
              </w:rPr>
              <w:t>315,296.77</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0.86%</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4" w:right="58"/>
              <w:jc w:val="both"/>
              <w:rPr>
                <w:rFonts w:ascii="宋体" w:hAnsi="宋体" w:cs="宋体" w:eastAsia="宋体" w:hint="default"/>
                <w:sz w:val="18"/>
                <w:szCs w:val="18"/>
              </w:rPr>
            </w:pPr>
            <w:r>
              <w:rPr>
                <w:rFonts w:ascii="宋体" w:hAnsi="宋体" w:cs="宋体" w:eastAsia="宋体" w:hint="default"/>
                <w:sz w:val="18"/>
                <w:szCs w:val="18"/>
              </w:rPr>
              <w:t>主要系公司参股投资的江苏 中茂基金剩余未投资部分资 金分配所致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2"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317"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68,496,363.50</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5" w:right="0"/>
              <w:jc w:val="left"/>
              <w:rPr>
                <w:rFonts w:ascii="Times New Roman" w:hAnsi="Times New Roman" w:cs="Times New Roman" w:eastAsia="Times New Roman" w:hint="default"/>
                <w:sz w:val="18"/>
                <w:szCs w:val="18"/>
              </w:rPr>
            </w:pPr>
            <w:r>
              <w:rPr>
                <w:rFonts w:ascii="Times New Roman"/>
                <w:sz w:val="18"/>
              </w:rPr>
              <w:t>185.89%</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主要系公司应收款项及存货 计提减值所致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16,346,297.21</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44.36%</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主要系公司收到政府补助增 加所致。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4"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2" w:right="0"/>
              <w:jc w:val="left"/>
              <w:rPr>
                <w:rFonts w:ascii="Times New Roman" w:hAnsi="Times New Roman" w:cs="Times New Roman" w:eastAsia="Times New Roman" w:hint="default"/>
                <w:sz w:val="18"/>
                <w:szCs w:val="18"/>
              </w:rPr>
            </w:pPr>
            <w:r>
              <w:rPr>
                <w:rFonts w:ascii="Times New Roman"/>
                <w:sz w:val="18"/>
              </w:rPr>
              <w:t>12,803,035.47</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34.75%</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主要系公司支付部分诉讼费 及工程款利息所致</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vMerge/>
            <w:tcBorders>
              <w:left w:val="single" w:sz="10" w:space="0" w:color="D2D2D2"/>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10" w:space="0" w:color="D2D2D2"/>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四、资产及负债状况分析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70"/>
        <w:gridCol w:w="1175"/>
        <w:gridCol w:w="1053"/>
        <w:gridCol w:w="1195"/>
        <w:gridCol w:w="1052"/>
        <w:gridCol w:w="808"/>
        <w:gridCol w:w="2919"/>
      </w:tblGrid>
      <w:tr>
        <w:trPr>
          <w:trHeight w:val="380" w:hRule="exact"/>
        </w:trPr>
        <w:tc>
          <w:tcPr>
            <w:tcW w:w="1370"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4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49"/>
              <w:ind w:left="7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80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9"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70" w:type="dxa"/>
            <w:vMerge w:val="restart"/>
            <w:tcBorders>
              <w:top w:val="single" w:sz="14" w:space="0" w:color="FFFFFF"/>
              <w:left w:val="single" w:sz="4" w:space="0" w:color="000000"/>
              <w:right w:val="single" w:sz="4" w:space="0" w:color="000000"/>
            </w:tcBorders>
            <w:shd w:val="clear" w:color="auto" w:fill="D2D2D2"/>
          </w:tcPr>
          <w:p>
            <w:pPr/>
          </w:p>
        </w:tc>
        <w:tc>
          <w:tcPr>
            <w:tcW w:w="117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5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25" w:right="76"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52"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58"/>
              <w:ind w:left="436" w:right="64"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80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44"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3"/>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70" w:type="dxa"/>
            <w:vMerge/>
            <w:tcBorders>
              <w:left w:val="single" w:sz="4" w:space="0" w:color="000000"/>
              <w:bottom w:val="nil" w:sz="6" w:space="0" w:color="auto"/>
              <w:right w:val="single" w:sz="4" w:space="0" w:color="000000"/>
            </w:tcBorders>
            <w:shd w:val="clear" w:color="auto" w:fill="D2D2D2"/>
          </w:tcPr>
          <w:p>
            <w:pPr/>
          </w:p>
        </w:tc>
        <w:tc>
          <w:tcPr>
            <w:tcW w:w="11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8"/>
              <w:jc w:val="center"/>
              <w:rPr>
                <w:rFonts w:ascii="宋体" w:hAnsi="宋体" w:cs="宋体" w:eastAsia="宋体" w:hint="default"/>
                <w:sz w:val="18"/>
                <w:szCs w:val="18"/>
              </w:rPr>
            </w:pPr>
            <w:r>
              <w:rPr>
                <w:rFonts w:ascii="宋体" w:hAnsi="宋体" w:cs="宋体" w:eastAsia="宋体" w:hint="default"/>
                <w:sz w:val="18"/>
                <w:szCs w:val="18"/>
              </w:rPr>
              <w:t>金额</w:t>
            </w:r>
          </w:p>
        </w:tc>
        <w:tc>
          <w:tcPr>
            <w:tcW w:w="1053"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2" w:type="dxa"/>
            <w:vMerge/>
            <w:tcBorders>
              <w:left w:val="single" w:sz="4" w:space="0" w:color="000000"/>
              <w:right w:val="single" w:sz="4" w:space="0" w:color="000000"/>
            </w:tcBorders>
            <w:shd w:val="clear" w:color="auto" w:fill="D2D2D2"/>
          </w:tcPr>
          <w:p>
            <w:pPr/>
          </w:p>
        </w:tc>
        <w:tc>
          <w:tcPr>
            <w:tcW w:w="808" w:type="dxa"/>
            <w:vMerge/>
            <w:tcBorders>
              <w:left w:val="single" w:sz="4" w:space="0" w:color="000000"/>
              <w:bottom w:val="nil" w:sz="6" w:space="0" w:color="auto"/>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370" w:type="dxa"/>
            <w:vMerge w:val="restart"/>
            <w:tcBorders>
              <w:top w:val="nil" w:sz="6" w:space="0" w:color="auto"/>
              <w:left w:val="single" w:sz="4" w:space="0" w:color="000000"/>
              <w:right w:val="single" w:sz="4" w:space="0" w:color="000000"/>
            </w:tcBorders>
            <w:shd w:val="clear" w:color="auto" w:fill="D2D2D2"/>
          </w:tcPr>
          <w:p>
            <w:pPr/>
          </w:p>
        </w:tc>
        <w:tc>
          <w:tcPr>
            <w:tcW w:w="1175" w:type="dxa"/>
            <w:vMerge/>
            <w:tcBorders>
              <w:left w:val="single" w:sz="4" w:space="0" w:color="000000"/>
              <w:bottom w:val="nil" w:sz="6" w:space="0" w:color="auto"/>
              <w:right w:val="single" w:sz="4" w:space="0" w:color="000000"/>
            </w:tcBorders>
            <w:shd w:val="clear" w:color="auto" w:fill="D2D2D2"/>
          </w:tcPr>
          <w:p>
            <w:pPr/>
          </w:p>
        </w:tc>
        <w:tc>
          <w:tcPr>
            <w:tcW w:w="1053"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808" w:type="dxa"/>
            <w:vMerge w:val="restart"/>
            <w:tcBorders>
              <w:top w:val="nil" w:sz="6" w:space="0" w:color="auto"/>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1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3"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12"/>
              <w:ind w:left="86" w:right="0"/>
              <w:jc w:val="left"/>
              <w:rPr>
                <w:rFonts w:ascii="Times New Roman" w:hAnsi="Times New Roman" w:cs="Times New Roman" w:eastAsia="Times New Roman" w:hint="default"/>
                <w:sz w:val="18"/>
                <w:szCs w:val="18"/>
              </w:rPr>
            </w:pPr>
            <w:r>
              <w:rPr>
                <w:rFonts w:ascii="Times New Roman"/>
                <w:sz w:val="18"/>
              </w:rPr>
              <w:t>420,947,286.7</w:t>
            </w:r>
          </w:p>
        </w:tc>
        <w:tc>
          <w:tcPr>
            <w:tcW w:w="1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4" w:right="0"/>
              <w:jc w:val="left"/>
              <w:rPr>
                <w:rFonts w:ascii="Times New Roman" w:hAnsi="Times New Roman" w:cs="Times New Roman" w:eastAsia="Times New Roman" w:hint="default"/>
                <w:sz w:val="18"/>
                <w:szCs w:val="18"/>
              </w:rPr>
            </w:pPr>
            <w:r>
              <w:rPr>
                <w:rFonts w:ascii="Times New Roman"/>
                <w:sz w:val="18"/>
              </w:rPr>
              <w:t>7.91%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2" w:right="0"/>
              <w:jc w:val="left"/>
              <w:rPr>
                <w:rFonts w:ascii="Times New Roman" w:hAnsi="Times New Roman" w:cs="Times New Roman" w:eastAsia="Times New Roman" w:hint="default"/>
                <w:sz w:val="18"/>
                <w:szCs w:val="18"/>
              </w:rPr>
            </w:pPr>
            <w:r>
              <w:rPr>
                <w:rFonts w:ascii="Times New Roman"/>
                <w:sz w:val="18"/>
              </w:rPr>
              <w:t>1,407,723,705.</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6" w:right="0"/>
              <w:jc w:val="left"/>
              <w:rPr>
                <w:rFonts w:ascii="Times New Roman" w:hAnsi="Times New Roman" w:cs="Times New Roman" w:eastAsia="Times New Roman" w:hint="default"/>
                <w:sz w:val="18"/>
                <w:szCs w:val="18"/>
              </w:rPr>
            </w:pPr>
            <w:r>
              <w:rPr>
                <w:rFonts w:ascii="Times New Roman"/>
                <w:sz w:val="18"/>
              </w:rPr>
              <w:t>29.64%</w:t>
            </w:r>
          </w:p>
        </w:tc>
        <w:tc>
          <w:tcPr>
            <w:tcW w:w="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2" w:right="0"/>
              <w:jc w:val="left"/>
              <w:rPr>
                <w:rFonts w:ascii="Times New Roman" w:hAnsi="Times New Roman" w:cs="Times New Roman" w:eastAsia="Times New Roman" w:hint="default"/>
                <w:sz w:val="18"/>
                <w:szCs w:val="18"/>
              </w:rPr>
            </w:pPr>
            <w:r>
              <w:rPr>
                <w:rFonts w:ascii="Times New Roman"/>
                <w:sz w:val="18"/>
              </w:rPr>
              <w:t>-21.73%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主要系公司募集资金陆续投入，以及</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59</w:t>
            </w: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当期现金采购支出导致</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1,148,233,852.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21.58%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795,863,173.01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16.76%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主要系公司四季度形成收入较大，相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关业务尚未到约定回款期导致期末 应收账款余额较大</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313,907,328.3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303,060,612.04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43,991,918.76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45,359,323.72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24,661,070.83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25,209,459.89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851,226,705.9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16.00%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807,148,099.43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619,163,657.5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11.64%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306,776,614.59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3"/>
              <w:jc w:val="both"/>
              <w:rPr>
                <w:rFonts w:ascii="宋体" w:hAnsi="宋体" w:cs="宋体" w:eastAsia="宋体" w:hint="default"/>
                <w:sz w:val="18"/>
                <w:szCs w:val="18"/>
              </w:rPr>
            </w:pPr>
            <w:r>
              <w:rPr>
                <w:rFonts w:ascii="宋体" w:hAnsi="宋体" w:cs="宋体" w:eastAsia="宋体" w:hint="default"/>
                <w:sz w:val="18"/>
                <w:szCs w:val="18"/>
              </w:rPr>
              <w:t>主要原因是报告期内公司位于深圳、 </w:t>
            </w:r>
            <w:r>
              <w:rPr>
                <w:rFonts w:ascii="宋体" w:hAnsi="宋体" w:cs="宋体" w:eastAsia="宋体" w:hint="default"/>
                <w:spacing w:val="-9"/>
                <w:sz w:val="18"/>
                <w:szCs w:val="18"/>
              </w:rPr>
              <w:t>长沙、及东莞的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数据中心在建工 程增加所致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961,233,510.4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18.06%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354,327,244.00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10.60%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主要系公司银行借款增加所致。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161,600,000.0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主要系公司新增长期贷款所致。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100,543,282.2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24,241,488.53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主要系报告期内预付原材料采购款 及预付工程款增加所致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157,761,683.5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30,563,483.43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主要系公司工程项目履约保证金增 加所致。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一年内到期的非 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96,635,064.72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58,394,350.38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03"/>
              <w:jc w:val="left"/>
              <w:rPr>
                <w:rFonts w:ascii="宋体" w:hAnsi="宋体" w:cs="宋体" w:eastAsia="宋体" w:hint="default"/>
                <w:sz w:val="18"/>
                <w:szCs w:val="18"/>
              </w:rPr>
            </w:pPr>
            <w:r>
              <w:rPr>
                <w:rFonts w:ascii="宋体" w:hAnsi="宋体" w:cs="宋体" w:eastAsia="宋体" w:hint="default"/>
                <w:sz w:val="18"/>
                <w:szCs w:val="18"/>
              </w:rPr>
              <w:t>主要系公司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 </w:t>
            </w:r>
            <w:r>
              <w:rPr>
                <w:rFonts w:ascii="宋体" w:hAnsi="宋体" w:cs="宋体" w:eastAsia="宋体" w:hint="default"/>
                <w:sz w:val="18"/>
                <w:szCs w:val="18"/>
              </w:rPr>
              <w:t>照明工程项目的长 期应收账款转入所致。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467,168,728.1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59,691,523.42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主要系公司使用部分货币资金购买 银行结构性存款所致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498,009,380.2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334,887,982.21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主要系公司分期收款业务增加所致。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249,978,203.7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186,351,883.57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主要系内部开发项目形成无形资产 以及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EMC </w:t>
            </w:r>
            <w:r>
              <w:rPr>
                <w:rFonts w:ascii="宋体" w:hAnsi="宋体" w:cs="宋体" w:eastAsia="宋体" w:hint="default"/>
                <w:sz w:val="18"/>
                <w:szCs w:val="18"/>
              </w:rPr>
              <w:t>项目完工形成</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27,628,748.91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1,752,790.31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主要系系控股子公司云硕科技买断 </w:t>
            </w:r>
            <w:r>
              <w:rPr>
                <w:rFonts w:ascii="宋体" w:hAnsi="宋体" w:cs="宋体" w:eastAsia="宋体" w:hint="default"/>
                <w:spacing w:val="-2"/>
                <w:sz w:val="18"/>
                <w:szCs w:val="18"/>
              </w:rPr>
              <w:t>长期业务维护合同，相关费用计入及</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云硕办公室装修所致。</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18,457,095.76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28,610,329.11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3"/>
              <w:jc w:val="left"/>
              <w:rPr>
                <w:rFonts w:ascii="宋体" w:hAnsi="宋体" w:cs="宋体" w:eastAsia="宋体" w:hint="default"/>
                <w:sz w:val="18"/>
                <w:szCs w:val="18"/>
              </w:rPr>
            </w:pPr>
            <w:r>
              <w:rPr>
                <w:rFonts w:ascii="宋体" w:hAnsi="宋体" w:cs="宋体" w:eastAsia="宋体" w:hint="default"/>
                <w:sz w:val="18"/>
                <w:szCs w:val="18"/>
              </w:rPr>
              <w:t>主要系公司金融电子业务收入减少， 相应预收款项减少。</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52,560,737.28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0.99%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38,095,923.80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0"/>
              <w:jc w:val="left"/>
              <w:rPr>
                <w:rFonts w:ascii="宋体" w:hAnsi="宋体" w:cs="宋体" w:eastAsia="宋体" w:hint="default"/>
                <w:sz w:val="18"/>
                <w:szCs w:val="18"/>
              </w:rPr>
            </w:pPr>
            <w:r>
              <w:rPr>
                <w:rFonts w:ascii="宋体" w:hAnsi="宋体" w:cs="宋体" w:eastAsia="宋体" w:hint="default"/>
                <w:spacing w:val="-2"/>
                <w:sz w:val="18"/>
                <w:szCs w:val="18"/>
              </w:rPr>
              <w:t>主要系公司业务规模扩大，相应税费</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增长所致。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317,036.41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主要原因系公司股权激励部分解除 限售的股份股利支付所致。</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11,873,874.04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34,298,269.89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主要系公司股权激励部分股份完成</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2"/>
          <w:szCs w:val="22"/>
        </w:rPr>
      </w:pPr>
    </w:p>
    <w:p>
      <w:pPr>
        <w:pStyle w:val="BodyText"/>
        <w:spacing w:line="240" w:lineRule="auto" w:before="44"/>
        <w:ind w:left="0" w:right="158"/>
        <w:jc w:val="right"/>
      </w:pPr>
      <w:r>
        <w:rPr/>
        <w:pict>
          <v:shape style="position:absolute;margin-left:56.400002pt;margin-top:-74.668304pt;width:479.3pt;height:268.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回购注销，冲销员工认购款所致。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0.72%</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主要系公司报告期内新增长期融资 贷款，期末转入所致。</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887,094.42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42,082,930.48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主要系公司增值税缴纳所致</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22,912,236.79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5,334,800.00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主要系公司</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照明工程项目增加 相应的后期工程维护费用预计增加 所致。</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24,005,666.67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61,603,333.34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主要系公司部分政府补助项目验收 转出所致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5,394,130.04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17,518,690.50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03"/>
                          <w:jc w:val="left"/>
                          <w:rPr>
                            <w:rFonts w:ascii="宋体" w:hAnsi="宋体" w:cs="宋体" w:eastAsia="宋体" w:hint="default"/>
                            <w:sz w:val="18"/>
                            <w:szCs w:val="18"/>
                          </w:rPr>
                        </w:pPr>
                        <w:r>
                          <w:rPr>
                            <w:rFonts w:ascii="宋体" w:hAnsi="宋体" w:cs="宋体" w:eastAsia="宋体" w:hint="default"/>
                            <w:sz w:val="18"/>
                            <w:szCs w:val="18"/>
                          </w:rPr>
                          <w:t>主要系报告期内公司缴纳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照明 相关项目销项税所致</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23,016,198.33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主要系本报告期内公司回购股权激 励限制性股票，减少库存股所致</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-302,715.44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2,128,830.84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3"/>
                          <w:jc w:val="left"/>
                          <w:rPr>
                            <w:rFonts w:ascii="宋体" w:hAnsi="宋体" w:cs="宋体" w:eastAsia="宋体" w:hint="default"/>
                            <w:sz w:val="18"/>
                            <w:szCs w:val="18"/>
                          </w:rPr>
                        </w:pPr>
                        <w:r>
                          <w:rPr>
                            <w:rFonts w:ascii="宋体" w:hAnsi="宋体" w:cs="宋体" w:eastAsia="宋体" w:hint="default"/>
                            <w:sz w:val="18"/>
                            <w:szCs w:val="18"/>
                          </w:rPr>
                          <w:t>主要系南非孙公司合并外币财务报 表折算差额减少所致。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9"/>
          <w:szCs w:val="29"/>
        </w:rPr>
      </w:pPr>
    </w:p>
    <w:tbl>
      <w:tblPr>
        <w:tblW w:w="0" w:type="auto"/>
        <w:jc w:val="left"/>
        <w:tblInd w:w="145" w:type="dxa"/>
        <w:tblLayout w:type="fixed"/>
        <w:tblCellMar>
          <w:top w:w="0" w:type="dxa"/>
          <w:left w:w="0" w:type="dxa"/>
          <w:bottom w:w="0" w:type="dxa"/>
          <w:right w:w="0" w:type="dxa"/>
        </w:tblCellMar>
        <w:tblLook w:val="01E0"/>
      </w:tblPr>
      <w:tblGrid>
        <w:gridCol w:w="2684"/>
        <w:gridCol w:w="2876"/>
        <w:gridCol w:w="2809"/>
      </w:tblGrid>
      <w:tr>
        <w:trPr>
          <w:trHeight w:val="346" w:hRule="exact"/>
        </w:trPr>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148"/>
              <w:jc w:val="right"/>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sz w:val="18"/>
                <w:szCs w:val="18"/>
              </w:rPr>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887" w:right="0"/>
              <w:jc w:val="left"/>
              <w:rPr>
                <w:rFonts w:ascii="宋体" w:hAnsi="宋体" w:cs="宋体" w:eastAsia="宋体" w:hint="default"/>
                <w:sz w:val="18"/>
                <w:szCs w:val="18"/>
              </w:rPr>
            </w:pPr>
            <w:r>
              <w:rPr>
                <w:rFonts w:ascii="宋体" w:hAnsi="宋体" w:cs="宋体" w:eastAsia="宋体" w:hint="default"/>
                <w:b/>
                <w:bCs/>
                <w:sz w:val="18"/>
                <w:szCs w:val="18"/>
              </w:rPr>
              <w:t>期末账面价值</w:t>
            </w:r>
            <w:r>
              <w:rPr>
                <w:rFonts w:ascii="宋体" w:hAnsi="宋体" w:cs="宋体" w:eastAsia="宋体" w:hint="default"/>
                <w:sz w:val="18"/>
                <w:szCs w:val="18"/>
              </w:rPr>
            </w:r>
          </w:p>
        </w:tc>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b/>
                <w:bCs/>
                <w:sz w:val="18"/>
                <w:szCs w:val="18"/>
              </w:rPr>
              <w:t>受限原因</w:t>
            </w:r>
            <w:r>
              <w:rPr>
                <w:rFonts w:ascii="宋体" w:hAnsi="宋体" w:cs="宋体" w:eastAsia="宋体" w:hint="default"/>
                <w:sz w:val="18"/>
                <w:szCs w:val="18"/>
              </w:rPr>
            </w:r>
          </w:p>
        </w:tc>
      </w:tr>
      <w:tr>
        <w:trPr>
          <w:trHeight w:val="348" w:hRule="exact"/>
        </w:trPr>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11,924,314.26</w:t>
            </w:r>
          </w:p>
        </w:tc>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348" w:hRule="exact"/>
        </w:trPr>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369,500,000.00</w:t>
            </w:r>
          </w:p>
        </w:tc>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结构性存款</w:t>
            </w:r>
          </w:p>
        </w:tc>
      </w:tr>
      <w:tr>
        <w:trPr>
          <w:trHeight w:val="346" w:hRule="exact"/>
        </w:trPr>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123,450,887.46</w:t>
            </w:r>
          </w:p>
        </w:tc>
        <w:tc>
          <w:tcPr>
            <w:tcW w:w="28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宋体" w:hAnsi="宋体" w:cs="宋体" w:eastAsia="宋体" w:hint="default"/>
                <w:sz w:val="18"/>
                <w:szCs w:val="18"/>
              </w:rPr>
              <w:t>售后回购</w:t>
            </w:r>
          </w:p>
        </w:tc>
      </w:tr>
      <w:tr>
        <w:trPr>
          <w:trHeight w:val="348" w:hRule="exact"/>
        </w:trPr>
        <w:tc>
          <w:tcPr>
            <w:tcW w:w="2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54"/>
              <w:jc w:val="right"/>
              <w:rPr>
                <w:rFonts w:ascii="宋体" w:hAnsi="宋体" w:cs="宋体" w:eastAsia="宋体" w:hint="default"/>
                <w:sz w:val="18"/>
                <w:szCs w:val="18"/>
              </w:rPr>
            </w:pPr>
            <w:r>
              <w:rPr>
                <w:rFonts w:ascii="宋体" w:hAnsi="宋体" w:cs="宋体" w:eastAsia="宋体" w:hint="default"/>
                <w:sz w:val="18"/>
                <w:szCs w:val="18"/>
              </w:rPr>
              <w:t>合计</w:t>
            </w:r>
          </w:p>
        </w:tc>
        <w:tc>
          <w:tcPr>
            <w:tcW w:w="2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504,875,201.72</w:t>
            </w:r>
          </w:p>
        </w:tc>
        <w:tc>
          <w:tcPr>
            <w:tcW w:w="280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8"/>
        <w:ind w:left="422" w:right="0"/>
        <w:jc w:val="left"/>
        <w:rPr>
          <w:rFonts w:ascii="宋体" w:hAnsi="宋体" w:cs="宋体" w:eastAsia="宋体" w:hint="default"/>
        </w:rPr>
      </w:pPr>
      <w:r>
        <w:rPr/>
        <w:t>（</w:t>
      </w:r>
      <w:r>
        <w:rPr>
          <w:rFonts w:ascii="宋体" w:hAnsi="宋体" w:cs="宋体" w:eastAsia="宋体" w:hint="default"/>
        </w:rPr>
        <w:t>1</w:t>
      </w:r>
      <w:r>
        <w:rPr/>
        <w:t>）公司因开具银行承兑汇票及保函的保证金，导致货币资金受限。</w:t>
      </w:r>
      <w:r>
        <w:rPr>
          <w:rFonts w:ascii="宋体" w:hAnsi="宋体" w:cs="宋体" w:eastAsia="宋体" w:hint="default"/>
        </w:rPr>
        <w:t> </w:t>
      </w:r>
    </w:p>
    <w:p>
      <w:pPr>
        <w:pStyle w:val="BodyText"/>
        <w:spacing w:line="240" w:lineRule="auto" w:before="76"/>
        <w:ind w:left="422" w:right="0"/>
        <w:jc w:val="left"/>
        <w:rPr>
          <w:rFonts w:ascii="宋体" w:hAnsi="宋体" w:cs="宋体" w:eastAsia="宋体" w:hint="default"/>
        </w:rPr>
      </w:pPr>
      <w:r>
        <w:rPr/>
        <w:t>（</w:t>
      </w:r>
      <w:r>
        <w:rPr>
          <w:rFonts w:ascii="宋体" w:hAnsi="宋体" w:cs="宋体" w:eastAsia="宋体" w:hint="default"/>
        </w:rPr>
        <w:t>2</w:t>
      </w:r>
      <w:r>
        <w:rPr/>
        <w:t>）公司因使用货币资金办理结构性存款，转入其他流动资产，导致货币资金受限。</w:t>
      </w:r>
      <w:r>
        <w:rPr>
          <w:rFonts w:ascii="宋体" w:hAnsi="宋体" w:cs="宋体" w:eastAsia="宋体" w:hint="default"/>
        </w:rPr>
        <w:t> </w:t>
      </w:r>
    </w:p>
    <w:p>
      <w:pPr>
        <w:pStyle w:val="BodyText"/>
        <w:spacing w:line="319" w:lineRule="auto" w:before="76"/>
        <w:ind w:right="153" w:firstLine="269"/>
        <w:jc w:val="both"/>
        <w:rPr>
          <w:rFonts w:ascii="宋体" w:hAnsi="宋体" w:cs="宋体" w:eastAsia="宋体" w:hint="default"/>
        </w:rPr>
      </w:pPr>
      <w:r>
        <w:rPr/>
        <w:t>（</w:t>
      </w:r>
      <w:r>
        <w:rPr>
          <w:rFonts w:ascii="宋体" w:hAnsi="宋体" w:cs="宋体" w:eastAsia="宋体" w:hint="default"/>
        </w:rPr>
        <w:t>3</w:t>
      </w:r>
      <w:r>
        <w:rPr/>
        <w:t>）公司控股子公司云硕科技以其账面价值为</w:t>
      </w:r>
      <w:r>
        <w:rPr>
          <w:rFonts w:ascii="宋体" w:hAnsi="宋体" w:cs="宋体" w:eastAsia="宋体" w:hint="default"/>
        </w:rPr>
        <w:t>14,462.46</w:t>
      </w:r>
      <w:r>
        <w:rPr/>
        <w:t>万元的部分设备作为标的物，与远东国际租赁有限公司开展售 </w:t>
      </w:r>
      <w:r>
        <w:rPr>
          <w:spacing w:val="-2"/>
        </w:rPr>
        <w:t>后回租融资租赁业务，租赁期间为</w:t>
      </w:r>
      <w:r>
        <w:rPr>
          <w:rFonts w:ascii="宋体" w:hAnsi="宋体" w:cs="宋体" w:eastAsia="宋体" w:hint="default"/>
          <w:spacing w:val="-2"/>
        </w:rPr>
        <w:t>48</w:t>
      </w:r>
      <w:r>
        <w:rPr>
          <w:spacing w:val="-2"/>
        </w:rPr>
        <w:t>个月。相关事项详见公司于</w:t>
      </w:r>
      <w:r>
        <w:rPr>
          <w:rFonts w:ascii="宋体" w:hAnsi="宋体" w:cs="宋体" w:eastAsia="宋体" w:hint="default"/>
          <w:spacing w:val="-2"/>
        </w:rPr>
        <w:t>2016</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5</w:t>
      </w:r>
      <w:r>
        <w:rPr>
          <w:spacing w:val="-2"/>
        </w:rPr>
        <w:t>日披露于《证券时报》及巨潮资讯网上的《公司</w:t>
      </w:r>
      <w:r>
        <w:rPr>
          <w:spacing w:val="-64"/>
        </w:rPr>
        <w:t> </w:t>
      </w:r>
      <w:r>
        <w:rPr>
          <w:spacing w:val="-64"/>
        </w:rPr>
      </w:r>
      <w:r>
        <w:rPr/>
        <w:t>关于控股子公司开展售后回租融资租赁业务的公告》（公告编号：</w:t>
      </w:r>
      <w:r>
        <w:rPr>
          <w:rFonts w:ascii="宋体" w:hAnsi="宋体" w:cs="宋体" w:eastAsia="宋体" w:hint="default"/>
        </w:rPr>
        <w:t>2016-066</w:t>
      </w:r>
      <w:r>
        <w:rPr/>
        <w:t>号）。</w:t>
      </w:r>
      <w:r>
        <w:rPr>
          <w:rFonts w:ascii="宋体" w:hAnsi="宋体" w:cs="宋体" w:eastAsia="宋体" w:hint="default"/>
        </w:rPr>
        <w:t> </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五、投资状况分析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0" w:right="0"/>
              <w:jc w:val="left"/>
              <w:rPr>
                <w:rFonts w:ascii="Times New Roman" w:hAnsi="Times New Roman" w:cs="Times New Roman" w:eastAsia="Times New Roman" w:hint="default"/>
                <w:sz w:val="18"/>
                <w:szCs w:val="18"/>
              </w:rPr>
            </w:pPr>
            <w:r>
              <w:rPr>
                <w:rFonts w:ascii="Times New Roman"/>
                <w:sz w:val="18"/>
              </w:rPr>
              <w:t>198,100,000.00</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148,790,000.00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33.14%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56"/>
        <w:gridCol w:w="650"/>
        <w:gridCol w:w="622"/>
        <w:gridCol w:w="624"/>
        <w:gridCol w:w="622"/>
        <w:gridCol w:w="622"/>
        <w:gridCol w:w="617"/>
        <w:gridCol w:w="617"/>
        <w:gridCol w:w="620"/>
        <w:gridCol w:w="590"/>
        <w:gridCol w:w="593"/>
        <w:gridCol w:w="694"/>
        <w:gridCol w:w="689"/>
        <w:gridCol w:w="691"/>
        <w:gridCol w:w="667"/>
      </w:tblGrid>
      <w:tr>
        <w:trPr>
          <w:trHeight w:val="2273" w:hRule="exact"/>
        </w:trPr>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52" w:right="51"/>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30" w:right="48"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6"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6" w:right="34" w:hanging="181"/>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5" w:right="3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3"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13" w:right="34" w:hanging="181"/>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08"/>
              <w:jc w:val="both"/>
              <w:rPr>
                <w:rFonts w:ascii="宋体" w:hAnsi="宋体" w:cs="宋体" w:eastAsia="宋体" w:hint="default"/>
                <w:sz w:val="18"/>
                <w:szCs w:val="18"/>
              </w:rPr>
            </w:pPr>
            <w:r>
              <w:rPr>
                <w:rFonts w:ascii="宋体" w:hAnsi="宋体" w:cs="宋体" w:eastAsia="宋体" w:hint="default"/>
                <w:sz w:val="18"/>
                <w:szCs w:val="18"/>
              </w:rPr>
              <w:t>截至 资产 负债 表日 的进 展情 况</w:t>
            </w:r>
          </w:p>
        </w:tc>
        <w:tc>
          <w:tcPr>
            <w:tcW w:w="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10" w:right="110"/>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71" w:right="7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250" w:right="68" w:hanging="181"/>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60" w:right="55"/>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2859"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24" w:right="80"/>
              <w:jc w:val="left"/>
              <w:rPr>
                <w:rFonts w:ascii="宋体" w:hAnsi="宋体" w:cs="宋体" w:eastAsia="宋体" w:hint="default"/>
                <w:sz w:val="18"/>
                <w:szCs w:val="18"/>
              </w:rPr>
            </w:pPr>
            <w:r>
              <w:rPr>
                <w:rFonts w:ascii="宋体" w:hAnsi="宋体" w:cs="宋体" w:eastAsia="宋体" w:hint="default"/>
                <w:sz w:val="18"/>
                <w:szCs w:val="18"/>
              </w:rPr>
              <w:t>贵州证 通光电</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6" w:lineRule="auto"/>
              <w:ind w:left="23" w:right="74"/>
              <w:jc w:val="both"/>
              <w:rPr>
                <w:rFonts w:ascii="宋体" w:hAnsi="宋体" w:cs="宋体" w:eastAsia="宋体" w:hint="default"/>
                <w:sz w:val="18"/>
                <w:szCs w:val="18"/>
              </w:rPr>
            </w:pPr>
            <w:r>
              <w:rPr>
                <w:rFonts w:ascii="宋体" w:hAnsi="宋体" w:cs="宋体" w:eastAsia="宋体" w:hint="default"/>
                <w:sz w:val="18"/>
                <w:szCs w:val="18"/>
              </w:rPr>
              <w:t>照明亮 化工程 业务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252" w:right="0"/>
              <w:jc w:val="center"/>
              <w:rPr>
                <w:rFonts w:ascii="Times New Roman" w:hAnsi="Times New Roman" w:cs="Times New Roman" w:eastAsia="Times New Roman" w:hint="default"/>
                <w:sz w:val="18"/>
                <w:szCs w:val="18"/>
              </w:rPr>
            </w:pPr>
            <w:r>
              <w:rPr>
                <w:rFonts w:ascii="Times New Roman"/>
                <w:sz w:val="18"/>
              </w:rPr>
              <w:t>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316" w:lineRule="auto"/>
              <w:ind w:left="23" w:right="45"/>
              <w:jc w:val="both"/>
              <w:rPr>
                <w:rFonts w:ascii="宋体" w:hAnsi="宋体" w:cs="宋体" w:eastAsia="宋体" w:hint="default"/>
                <w:sz w:val="18"/>
                <w:szCs w:val="18"/>
              </w:rPr>
            </w:pPr>
            <w:r>
              <w:rPr>
                <w:rFonts w:ascii="宋体" w:hAnsi="宋体" w:cs="宋体" w:eastAsia="宋体" w:hint="default"/>
                <w:sz w:val="18"/>
                <w:szCs w:val="18"/>
              </w:rPr>
              <w:t>照明亮 化工程 业务</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49"/>
              <w:ind w:left="23" w:right="193"/>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 于 </w:t>
            </w:r>
            <w:r>
              <w:rPr>
                <w:rFonts w:ascii="Times New Roman" w:hAnsi="Times New Roman" w:cs="Times New Roman" w:eastAsia="Times New Roman" w:hint="default"/>
                <w:sz w:val="18"/>
                <w:szCs w:val="18"/>
              </w:rPr>
              <w:t>2017</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exact" w:before="23"/>
              <w:ind w:left="23" w:right="1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完成 工商 登记， </w:t>
            </w:r>
            <w:r>
              <w:rPr>
                <w:rFonts w:ascii="Times New Roman" w:hAnsi="Times New Roman" w:cs="Times New Roman" w:eastAsia="Times New Roman" w:hint="default"/>
                <w:sz w:val="18"/>
                <w:szCs w:val="18"/>
              </w:rPr>
              <w:t>2017</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-2,221,7</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85.29</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49"/>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公告编 号</w:t>
            </w:r>
            <w:r>
              <w:rPr>
                <w:rFonts w:ascii="Times New Roman" w:hAnsi="Times New Roman" w:cs="Times New Roman" w:eastAsia="Times New Roman" w:hint="default"/>
                <w:sz w:val="18"/>
                <w:szCs w:val="18"/>
              </w:rPr>
              <w:t>: 2017-02</w:t>
            </w:r>
          </w:p>
          <w:p>
            <w:pPr>
              <w:pStyle w:val="TableParagraph"/>
              <w:spacing w:line="312" w:lineRule="auto"/>
              <w:ind w:left="24"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公告 名称： 公司关 于新设</w:t>
            </w:r>
          </w:p>
        </w:tc>
      </w:tr>
    </w:tbl>
    <w:p>
      <w:pPr>
        <w:spacing w:after="0" w:line="312"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56"/>
        <w:gridCol w:w="650"/>
        <w:gridCol w:w="622"/>
        <w:gridCol w:w="624"/>
        <w:gridCol w:w="622"/>
        <w:gridCol w:w="622"/>
        <w:gridCol w:w="617"/>
        <w:gridCol w:w="617"/>
        <w:gridCol w:w="620"/>
        <w:gridCol w:w="590"/>
        <w:gridCol w:w="593"/>
        <w:gridCol w:w="694"/>
        <w:gridCol w:w="689"/>
        <w:gridCol w:w="691"/>
        <w:gridCol w:w="667"/>
      </w:tblGrid>
      <w:tr>
        <w:trPr>
          <w:trHeight w:val="1923" w:hRule="exact"/>
        </w:trPr>
        <w:tc>
          <w:tcPr>
            <w:tcW w:w="65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before="63"/>
              <w:ind w:left="23" w:right="146"/>
              <w:jc w:val="both"/>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完成 注册 资本 缴款</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91"/>
              <w:jc w:val="both"/>
              <w:rPr>
                <w:rFonts w:ascii="宋体" w:hAnsi="宋体" w:cs="宋体" w:eastAsia="宋体" w:hint="default"/>
                <w:sz w:val="18"/>
                <w:szCs w:val="18"/>
              </w:rPr>
            </w:pPr>
            <w:r>
              <w:rPr>
                <w:rFonts w:ascii="宋体" w:hAnsi="宋体" w:cs="宋体" w:eastAsia="宋体" w:hint="default"/>
                <w:sz w:val="18"/>
                <w:szCs w:val="18"/>
              </w:rPr>
              <w:t>立全资 子公司 的对外 投资公 告</w:t>
            </w:r>
          </w:p>
        </w:tc>
      </w:tr>
      <w:tr>
        <w:trPr>
          <w:trHeight w:val="6017"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4" w:right="80"/>
              <w:jc w:val="left"/>
              <w:rPr>
                <w:rFonts w:ascii="宋体" w:hAnsi="宋体" w:cs="宋体" w:eastAsia="宋体" w:hint="default"/>
                <w:sz w:val="18"/>
                <w:szCs w:val="18"/>
              </w:rPr>
            </w:pPr>
            <w:r>
              <w:rPr>
                <w:rFonts w:ascii="宋体" w:hAnsi="宋体" w:cs="宋体" w:eastAsia="宋体" w:hint="default"/>
                <w:sz w:val="18"/>
                <w:szCs w:val="18"/>
              </w:rPr>
              <w:t>四川蜀 信易</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社区</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金</w:t>
            </w:r>
          </w:p>
          <w:p>
            <w:pPr>
              <w:pStyle w:val="TableParagraph"/>
              <w:spacing w:line="316" w:lineRule="auto" w:before="63"/>
              <w:ind w:left="23" w:right="74"/>
              <w:jc w:val="left"/>
              <w:rPr>
                <w:rFonts w:ascii="宋体" w:hAnsi="宋体" w:cs="宋体" w:eastAsia="宋体" w:hint="default"/>
                <w:sz w:val="18"/>
                <w:szCs w:val="18"/>
              </w:rPr>
            </w:pPr>
            <w:r>
              <w:rPr>
                <w:rFonts w:ascii="宋体" w:hAnsi="宋体" w:cs="宋体" w:eastAsia="宋体" w:hint="default"/>
                <w:sz w:val="18"/>
                <w:szCs w:val="18"/>
              </w:rPr>
              <w:t>融服务 业务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20,000,</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000.00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41"/>
              <w:jc w:val="both"/>
              <w:rPr>
                <w:rFonts w:ascii="宋体" w:hAnsi="宋体" w:cs="宋体" w:eastAsia="宋体" w:hint="default"/>
                <w:sz w:val="18"/>
                <w:szCs w:val="18"/>
              </w:rPr>
            </w:pPr>
            <w:r>
              <w:rPr>
                <w:rFonts w:ascii="宋体" w:hAnsi="宋体" w:cs="宋体" w:eastAsia="宋体" w:hint="default"/>
                <w:sz w:val="18"/>
                <w:szCs w:val="18"/>
              </w:rPr>
              <w:t>深圳前 海纳鑫 控股集 团有限 公司</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社区</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金</w:t>
            </w:r>
          </w:p>
          <w:p>
            <w:pPr>
              <w:pStyle w:val="TableParagraph"/>
              <w:spacing w:line="316" w:lineRule="auto" w:before="63"/>
              <w:ind w:left="23" w:right="45"/>
              <w:jc w:val="left"/>
              <w:rPr>
                <w:rFonts w:ascii="宋体" w:hAnsi="宋体" w:cs="宋体" w:eastAsia="宋体" w:hint="default"/>
                <w:sz w:val="18"/>
                <w:szCs w:val="18"/>
              </w:rPr>
            </w:pPr>
            <w:r>
              <w:rPr>
                <w:rFonts w:ascii="宋体" w:hAnsi="宋体" w:cs="宋体" w:eastAsia="宋体" w:hint="default"/>
                <w:sz w:val="18"/>
                <w:szCs w:val="18"/>
              </w:rPr>
              <w:t>融服务 业务</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193"/>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 已于 </w:t>
            </w:r>
            <w:r>
              <w:rPr>
                <w:rFonts w:ascii="Times New Roman" w:hAnsi="Times New Roman" w:cs="Times New Roman" w:eastAsia="Times New Roman" w:hint="default"/>
                <w:sz w:val="18"/>
                <w:szCs w:val="18"/>
              </w:rPr>
              <w:t>2017</w:t>
            </w:r>
          </w:p>
          <w:p>
            <w:pPr>
              <w:pStyle w:val="TableParagraph"/>
              <w:spacing w:line="230" w:lineRule="exact"/>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before="63"/>
              <w:ind w:left="23" w:right="155"/>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完成 股权 受让 及注 册资 本缴 纳，</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before="63"/>
              <w:ind w:left="23"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完成 相关 工商 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-9,218,3</w:t>
            </w:r>
          </w:p>
          <w:p>
            <w:pPr>
              <w:pStyle w:val="TableParagraph"/>
              <w:spacing w:line="240" w:lineRule="auto" w:before="105"/>
              <w:ind w:left="231" w:right="0"/>
              <w:jc w:val="center"/>
              <w:rPr>
                <w:rFonts w:ascii="Times New Roman" w:hAnsi="Times New Roman" w:cs="Times New Roman" w:eastAsia="Times New Roman" w:hint="default"/>
                <w:sz w:val="18"/>
                <w:szCs w:val="18"/>
              </w:rPr>
            </w:pPr>
            <w:r>
              <w:rPr>
                <w:rFonts w:ascii="Times New Roman"/>
                <w:sz w:val="18"/>
              </w:rPr>
              <w:t>92.38</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4" w:lineRule="auto" w:before="157"/>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公告编 号</w:t>
            </w:r>
            <w:r>
              <w:rPr>
                <w:rFonts w:ascii="Times New Roman" w:hAnsi="Times New Roman" w:cs="Times New Roman" w:eastAsia="Times New Roman" w:hint="default"/>
                <w:sz w:val="18"/>
                <w:szCs w:val="18"/>
              </w:rPr>
              <w:t>: 2017-07</w:t>
            </w:r>
          </w:p>
          <w:p>
            <w:pPr>
              <w:pStyle w:val="TableParagraph"/>
              <w:spacing w:line="314" w:lineRule="auto"/>
              <w:ind w:left="24" w:right="89"/>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公告 名称： 公司关 于受让 全资孙 公司股 权的公 告</w:t>
            </w:r>
          </w:p>
        </w:tc>
      </w:tr>
      <w:tr>
        <w:trPr>
          <w:trHeight w:val="5667"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24" w:right="80"/>
              <w:jc w:val="left"/>
              <w:rPr>
                <w:rFonts w:ascii="宋体" w:hAnsi="宋体" w:cs="宋体" w:eastAsia="宋体" w:hint="default"/>
                <w:sz w:val="18"/>
                <w:szCs w:val="18"/>
              </w:rPr>
            </w:pPr>
            <w:r>
              <w:rPr>
                <w:rFonts w:ascii="宋体" w:hAnsi="宋体" w:cs="宋体" w:eastAsia="宋体" w:hint="default"/>
                <w:sz w:val="18"/>
                <w:szCs w:val="18"/>
              </w:rPr>
              <w:t>证通邦 客</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23" w:right="74"/>
              <w:jc w:val="both"/>
              <w:rPr>
                <w:rFonts w:ascii="宋体" w:hAnsi="宋体" w:cs="宋体" w:eastAsia="宋体" w:hint="default"/>
                <w:sz w:val="18"/>
                <w:szCs w:val="18"/>
              </w:rPr>
            </w:pPr>
            <w:r>
              <w:rPr>
                <w:rFonts w:ascii="宋体" w:hAnsi="宋体" w:cs="宋体" w:eastAsia="宋体" w:hint="default"/>
                <w:sz w:val="18"/>
                <w:szCs w:val="18"/>
              </w:rPr>
              <w:t>商业银 行咨询 业务及 智能化 金融服 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5"/>
              <w:ind w:left="161" w:right="0"/>
              <w:jc w:val="center"/>
              <w:rPr>
                <w:rFonts w:ascii="Times New Roman" w:hAnsi="Times New Roman" w:cs="Times New Roman" w:eastAsia="Times New Roman" w:hint="default"/>
                <w:sz w:val="18"/>
                <w:szCs w:val="18"/>
              </w:rPr>
            </w:pPr>
            <w:r>
              <w:rPr>
                <w:rFonts w:ascii="Times New Roman"/>
                <w:sz w:val="18"/>
              </w:rPr>
              <w:t>00.00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23" w:right="47"/>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于谦</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23" w:right="45"/>
              <w:jc w:val="both"/>
              <w:rPr>
                <w:rFonts w:ascii="宋体" w:hAnsi="宋体" w:cs="宋体" w:eastAsia="宋体" w:hint="default"/>
                <w:sz w:val="18"/>
                <w:szCs w:val="18"/>
              </w:rPr>
            </w:pPr>
            <w:r>
              <w:rPr>
                <w:rFonts w:ascii="宋体" w:hAnsi="宋体" w:cs="宋体" w:eastAsia="宋体" w:hint="default"/>
                <w:sz w:val="18"/>
                <w:szCs w:val="18"/>
              </w:rPr>
              <w:t>商业银 行咨询 业务及 智能化 金融服 务</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38" w:lineRule="auto"/>
              <w:ind w:left="23" w:right="193"/>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 已于 </w:t>
            </w:r>
            <w:r>
              <w:rPr>
                <w:rFonts w:ascii="Times New Roman" w:hAnsi="Times New Roman" w:cs="Times New Roman" w:eastAsia="Times New Roman" w:hint="default"/>
                <w:sz w:val="18"/>
                <w:szCs w:val="18"/>
              </w:rPr>
              <w:t>2017</w:t>
            </w:r>
          </w:p>
          <w:p>
            <w:pPr>
              <w:pStyle w:val="TableParagraph"/>
              <w:spacing w:line="230"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314" w:lineRule="auto" w:before="63"/>
              <w:ind w:left="23" w:right="19"/>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 成部 分注 册资 金缴 款，并</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3"/>
              <w:ind w:left="23"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完成 工商 登记。</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-48,713.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49"/>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公告编 号</w:t>
            </w:r>
            <w:r>
              <w:rPr>
                <w:rFonts w:ascii="Times New Roman" w:hAnsi="Times New Roman" w:cs="Times New Roman" w:eastAsia="Times New Roman" w:hint="default"/>
                <w:sz w:val="18"/>
                <w:szCs w:val="18"/>
              </w:rPr>
              <w:t>: 2017-08</w:t>
            </w:r>
          </w:p>
          <w:p>
            <w:pPr>
              <w:pStyle w:val="TableParagraph"/>
              <w:spacing w:line="314" w:lineRule="auto"/>
              <w:ind w:left="24" w:right="91"/>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 名称： 公司关 于出资 参股成 立证通 邦客</w:t>
            </w:r>
          </w:p>
          <w:p>
            <w:pPr>
              <w:pStyle w:val="TableParagraph"/>
              <w:spacing w:line="316" w:lineRule="auto" w:before="21"/>
              <w:ind w:left="24" w:right="91"/>
              <w:jc w:val="left"/>
              <w:rPr>
                <w:rFonts w:ascii="宋体" w:hAnsi="宋体" w:cs="宋体" w:eastAsia="宋体" w:hint="default"/>
                <w:sz w:val="18"/>
                <w:szCs w:val="18"/>
              </w:rPr>
            </w:pPr>
            <w:r>
              <w:rPr>
                <w:rFonts w:ascii="宋体" w:hAnsi="宋体" w:cs="宋体" w:eastAsia="宋体" w:hint="default"/>
                <w:sz w:val="18"/>
                <w:szCs w:val="18"/>
              </w:rPr>
              <w:t>（广 州）信 息科技 有限公 司的对 外投资</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56"/>
        <w:gridCol w:w="650"/>
        <w:gridCol w:w="622"/>
        <w:gridCol w:w="624"/>
        <w:gridCol w:w="622"/>
        <w:gridCol w:w="622"/>
        <w:gridCol w:w="617"/>
        <w:gridCol w:w="617"/>
        <w:gridCol w:w="620"/>
        <w:gridCol w:w="590"/>
        <w:gridCol w:w="593"/>
        <w:gridCol w:w="694"/>
        <w:gridCol w:w="689"/>
        <w:gridCol w:w="691"/>
        <w:gridCol w:w="667"/>
      </w:tblGrid>
      <w:tr>
        <w:trPr>
          <w:trHeight w:val="362" w:hRule="exact"/>
        </w:trPr>
        <w:tc>
          <w:tcPr>
            <w:tcW w:w="656"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17" w:type="dxa"/>
            <w:tcBorders>
              <w:top w:val="single" w:sz="4" w:space="0" w:color="000000"/>
              <w:left w:val="single" w:sz="4" w:space="0" w:color="000000"/>
              <w:bottom w:val="single" w:sz="4" w:space="0" w:color="000000"/>
              <w:right w:val="single" w:sz="4" w:space="0" w:color="000000"/>
            </w:tcBorders>
          </w:tcPr>
          <w:p>
            <w:pPr/>
          </w:p>
        </w:tc>
        <w:tc>
          <w:tcPr>
            <w:tcW w:w="620"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71"/>
              <w:jc w:val="right"/>
              <w:rPr>
                <w:rFonts w:ascii="宋体" w:hAnsi="宋体" w:cs="宋体" w:eastAsia="宋体" w:hint="default"/>
                <w:sz w:val="18"/>
                <w:szCs w:val="18"/>
              </w:rPr>
            </w:pPr>
            <w:r>
              <w:rPr>
                <w:rFonts w:ascii="宋体" w:hAnsi="宋体" w:cs="宋体" w:eastAsia="宋体" w:hint="default"/>
                <w:sz w:val="18"/>
                <w:szCs w:val="18"/>
              </w:rPr>
              <w:t>公告</w:t>
            </w:r>
          </w:p>
        </w:tc>
      </w:tr>
      <w:tr>
        <w:trPr>
          <w:trHeight w:val="5394" w:hRule="exact"/>
        </w:trPr>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4" w:right="80"/>
              <w:jc w:val="both"/>
              <w:rPr>
                <w:rFonts w:ascii="宋体" w:hAnsi="宋体" w:cs="宋体" w:eastAsia="宋体" w:hint="default"/>
                <w:sz w:val="18"/>
                <w:szCs w:val="18"/>
              </w:rPr>
            </w:pPr>
            <w:r>
              <w:rPr>
                <w:rFonts w:ascii="宋体" w:hAnsi="宋体" w:cs="宋体" w:eastAsia="宋体" w:hint="default"/>
                <w:sz w:val="18"/>
                <w:szCs w:val="18"/>
              </w:rPr>
              <w:t>长沙证 通云计 算</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w:t>
            </w:r>
          </w:p>
          <w:p>
            <w:pPr>
              <w:pStyle w:val="TableParagraph"/>
              <w:spacing w:line="316" w:lineRule="auto" w:before="63"/>
              <w:ind w:left="23" w:right="74"/>
              <w:jc w:val="left"/>
              <w:rPr>
                <w:rFonts w:ascii="宋体" w:hAnsi="宋体" w:cs="宋体" w:eastAsia="宋体" w:hint="default"/>
                <w:sz w:val="18"/>
                <w:szCs w:val="18"/>
              </w:rPr>
            </w:pPr>
            <w:r>
              <w:rPr>
                <w:rFonts w:ascii="宋体" w:hAnsi="宋体" w:cs="宋体" w:eastAsia="宋体" w:hint="default"/>
                <w:sz w:val="18"/>
                <w:szCs w:val="18"/>
              </w:rPr>
              <w:t>计算业 务</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27"/>
              <w:jc w:val="right"/>
              <w:rPr>
                <w:rFonts w:ascii="宋体" w:hAnsi="宋体" w:cs="宋体" w:eastAsia="宋体" w:hint="default"/>
                <w:sz w:val="18"/>
                <w:szCs w:val="18"/>
              </w:rPr>
            </w:pPr>
            <w:r>
              <w:rPr>
                <w:rFonts w:ascii="宋体" w:hAnsi="宋体" w:cs="宋体" w:eastAsia="宋体" w:hint="default"/>
                <w:sz w:val="18"/>
                <w:szCs w:val="18"/>
              </w:rPr>
              <w:t>增资</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2"/>
              <w:ind w:left="23" w:right="47"/>
              <w:jc w:val="left"/>
              <w:rPr>
                <w:rFonts w:ascii="宋体" w:hAnsi="宋体" w:cs="宋体" w:eastAsia="宋体" w:hint="default"/>
                <w:sz w:val="18"/>
                <w:szCs w:val="18"/>
              </w:rPr>
            </w:pPr>
            <w:r>
              <w:rPr>
                <w:rFonts w:ascii="宋体" w:hAnsi="宋体" w:cs="宋体" w:eastAsia="宋体" w:hint="default"/>
                <w:sz w:val="18"/>
                <w:szCs w:val="18"/>
              </w:rPr>
              <w:t>募集资 金</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right="221"/>
              <w:jc w:val="right"/>
              <w:rPr>
                <w:rFonts w:ascii="宋体" w:hAnsi="宋体" w:cs="宋体" w:eastAsia="宋体" w:hint="default"/>
                <w:sz w:val="18"/>
                <w:szCs w:val="18"/>
              </w:rPr>
            </w:pPr>
            <w:r>
              <w:rPr>
                <w:rFonts w:ascii="宋体" w:hAnsi="宋体" w:cs="宋体" w:eastAsia="宋体" w:hint="default"/>
                <w:sz w:val="18"/>
                <w:szCs w:val="18"/>
              </w:rPr>
              <w:t>长期</w:t>
            </w:r>
          </w:p>
        </w:tc>
        <w:tc>
          <w:tcPr>
            <w:tcW w:w="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云</w:t>
            </w:r>
          </w:p>
          <w:p>
            <w:pPr>
              <w:pStyle w:val="TableParagraph"/>
              <w:spacing w:line="316" w:lineRule="auto" w:before="63"/>
              <w:ind w:left="23" w:right="45"/>
              <w:jc w:val="left"/>
              <w:rPr>
                <w:rFonts w:ascii="宋体" w:hAnsi="宋体" w:cs="宋体" w:eastAsia="宋体" w:hint="default"/>
                <w:sz w:val="18"/>
                <w:szCs w:val="18"/>
              </w:rPr>
            </w:pPr>
            <w:r>
              <w:rPr>
                <w:rFonts w:ascii="宋体" w:hAnsi="宋体" w:cs="宋体" w:eastAsia="宋体" w:hint="default"/>
                <w:sz w:val="18"/>
                <w:szCs w:val="18"/>
              </w:rPr>
              <w:t>计算业 务</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3" w:right="193"/>
              <w:jc w:val="both"/>
              <w:rPr>
                <w:rFonts w:ascii="Times New Roman" w:hAnsi="Times New Roman" w:cs="Times New Roman" w:eastAsia="Times New Roman" w:hint="default"/>
                <w:sz w:val="18"/>
                <w:szCs w:val="18"/>
              </w:rPr>
            </w:pPr>
            <w:r>
              <w:rPr>
                <w:rFonts w:ascii="宋体" w:hAnsi="宋体" w:cs="宋体" w:eastAsia="宋体" w:hint="default"/>
                <w:sz w:val="18"/>
                <w:szCs w:val="18"/>
              </w:rPr>
              <w:t>公司 已于 </w:t>
            </w:r>
            <w:r>
              <w:rPr>
                <w:rFonts w:ascii="Times New Roman" w:hAnsi="Times New Roman" w:cs="Times New Roman" w:eastAsia="Times New Roman" w:hint="default"/>
                <w:sz w:val="18"/>
                <w:szCs w:val="18"/>
              </w:rPr>
              <w:t>2017</w:t>
            </w:r>
          </w:p>
          <w:p>
            <w:pPr>
              <w:pStyle w:val="TableParagraph"/>
              <w:spacing w:line="230" w:lineRule="exact"/>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exact" w:before="23"/>
              <w:ind w:left="23" w:right="14"/>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完成 缴款， 长沙 证通 云计 算于 </w:t>
            </w:r>
            <w:r>
              <w:rPr>
                <w:rFonts w:ascii="Times New Roman" w:hAnsi="Times New Roman" w:cs="Times New Roman" w:eastAsia="Times New Roman" w:hint="default"/>
                <w:sz w:val="18"/>
                <w:szCs w:val="18"/>
              </w:rPr>
              <w:t>2017</w:t>
            </w:r>
          </w:p>
          <w:p>
            <w:pPr>
              <w:pStyle w:val="TableParagraph"/>
              <w:spacing w:line="240" w:lineRule="auto" w:before="40"/>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2" w:lineRule="auto" w:before="63"/>
              <w:ind w:left="23"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完成 工商 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8" w:right="0"/>
              <w:jc w:val="left"/>
              <w:rPr>
                <w:rFonts w:ascii="Times New Roman" w:hAnsi="Times New Roman" w:cs="Times New Roman" w:eastAsia="Times New Roman" w:hint="default"/>
                <w:sz w:val="18"/>
                <w:szCs w:val="18"/>
              </w:rPr>
            </w:pPr>
            <w:r>
              <w:rPr>
                <w:rFonts w:ascii="Times New Roman"/>
                <w:sz w:val="18"/>
              </w:rPr>
              <w:t>13,872,7</w:t>
            </w:r>
          </w:p>
          <w:p>
            <w:pPr>
              <w:pStyle w:val="TableParagraph"/>
              <w:spacing w:line="240" w:lineRule="auto" w:before="105"/>
              <w:ind w:left="254" w:right="0"/>
              <w:jc w:val="left"/>
              <w:rPr>
                <w:rFonts w:ascii="Times New Roman" w:hAnsi="Times New Roman" w:cs="Times New Roman" w:eastAsia="Times New Roman" w:hint="default"/>
                <w:sz w:val="18"/>
                <w:szCs w:val="18"/>
              </w:rPr>
            </w:pPr>
            <w:r>
              <w:rPr>
                <w:rFonts w:ascii="Times New Roman"/>
                <w:sz w:val="18"/>
              </w:rPr>
              <w:t>25.64</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24" w:lineRule="auto"/>
              <w:ind w:left="24" w:right="29"/>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 讯网 公告编 号</w:t>
            </w:r>
            <w:r>
              <w:rPr>
                <w:rFonts w:ascii="Times New Roman" w:hAnsi="Times New Roman" w:cs="Times New Roman" w:eastAsia="Times New Roman" w:hint="default"/>
                <w:sz w:val="18"/>
                <w:szCs w:val="18"/>
              </w:rPr>
              <w:t>: 2017-00</w:t>
            </w:r>
          </w:p>
          <w:p>
            <w:pPr>
              <w:pStyle w:val="TableParagraph"/>
              <w:spacing w:line="316" w:lineRule="auto"/>
              <w:ind w:left="24" w:right="91"/>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公告 名称： 公司关 于使用 募集资 金对子 公司增 资的公 告</w:t>
            </w:r>
          </w:p>
        </w:tc>
      </w:tr>
      <w:tr>
        <w:trPr>
          <w:trHeight w:val="1027" w:hRule="exact"/>
        </w:trPr>
        <w:tc>
          <w:tcPr>
            <w:tcW w:w="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42"/>
              <w:jc w:val="right"/>
              <w:rPr>
                <w:rFonts w:ascii="Times New Roman" w:hAnsi="Times New Roman" w:cs="Times New Roman" w:eastAsia="Times New Roman" w:hint="default"/>
                <w:sz w:val="18"/>
                <w:szCs w:val="18"/>
              </w:rPr>
            </w:pPr>
            <w:r>
              <w:rPr>
                <w:rFonts w:ascii="Times New Roman"/>
                <w:sz w:val="18"/>
              </w:rPr>
              <w:t>--</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4" w:right="0"/>
              <w:jc w:val="left"/>
              <w:rPr>
                <w:rFonts w:ascii="Times New Roman" w:hAnsi="Times New Roman" w:cs="Times New Roman" w:eastAsia="Times New Roman" w:hint="default"/>
                <w:sz w:val="18"/>
                <w:szCs w:val="18"/>
              </w:rPr>
            </w:pPr>
            <w:r>
              <w:rPr>
                <w:rFonts w:ascii="Times New Roman"/>
                <w:sz w:val="18"/>
              </w:rPr>
              <w:t>0.00</w:t>
            </w:r>
          </w:p>
        </w:tc>
        <w:tc>
          <w:tcPr>
            <w:tcW w:w="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2,383,83</w:t>
            </w:r>
          </w:p>
          <w:p>
            <w:pPr>
              <w:pStyle w:val="TableParagraph"/>
              <w:spacing w:line="240" w:lineRule="auto" w:before="105"/>
              <w:ind w:left="345" w:right="0"/>
              <w:jc w:val="left"/>
              <w:rPr>
                <w:rFonts w:ascii="Times New Roman" w:hAnsi="Times New Roman" w:cs="Times New Roman" w:eastAsia="Times New Roman" w:hint="default"/>
                <w:sz w:val="18"/>
                <w:szCs w:val="18"/>
              </w:rPr>
            </w:pPr>
            <w:r>
              <w:rPr>
                <w:rFonts w:ascii="Times New Roman"/>
                <w:sz w:val="18"/>
              </w:rPr>
              <w:t>4.67</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66"/>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649"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both"/>
              <w:rPr>
                <w:rFonts w:ascii="宋体" w:hAnsi="宋体" w:cs="宋体" w:eastAsia="宋体" w:hint="default"/>
                <w:sz w:val="18"/>
                <w:szCs w:val="18"/>
              </w:rPr>
            </w:pPr>
            <w:r>
              <w:rPr>
                <w:rFonts w:ascii="宋体" w:hAnsi="宋体" w:cs="宋体" w:eastAsia="宋体" w:hint="default"/>
                <w:sz w:val="18"/>
                <w:szCs w:val="18"/>
              </w:rPr>
              <w:t>是否为 固定资 产投资</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both"/>
              <w:rPr>
                <w:rFonts w:ascii="宋体" w:hAnsi="宋体" w:cs="宋体" w:eastAsia="宋体" w:hint="default"/>
                <w:sz w:val="18"/>
                <w:szCs w:val="18"/>
              </w:rPr>
            </w:pPr>
            <w:r>
              <w:rPr>
                <w:rFonts w:ascii="宋体" w:hAnsi="宋体" w:cs="宋体" w:eastAsia="宋体" w:hint="default"/>
                <w:sz w:val="18"/>
                <w:szCs w:val="18"/>
              </w:rPr>
              <w:t>投资项 目涉及 行业</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截至报 告期末 累计实 际投入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3" w:right="91" w:hanging="180"/>
              <w:jc w:val="left"/>
              <w:rPr>
                <w:rFonts w:ascii="宋体" w:hAnsi="宋体" w:cs="宋体" w:eastAsia="宋体" w:hint="default"/>
                <w:sz w:val="18"/>
                <w:szCs w:val="18"/>
              </w:rPr>
            </w:pPr>
            <w:r>
              <w:rPr>
                <w:rFonts w:ascii="宋体" w:hAnsi="宋体" w:cs="宋体" w:eastAsia="宋体" w:hint="default"/>
                <w:sz w:val="18"/>
                <w:szCs w:val="18"/>
              </w:rPr>
              <w:t>项目进 度</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73" w:right="89" w:hanging="180"/>
              <w:jc w:val="left"/>
              <w:rPr>
                <w:rFonts w:ascii="宋体" w:hAnsi="宋体" w:cs="宋体" w:eastAsia="宋体" w:hint="default"/>
                <w:sz w:val="18"/>
                <w:szCs w:val="18"/>
              </w:rPr>
            </w:pPr>
            <w:r>
              <w:rPr>
                <w:rFonts w:ascii="宋体" w:hAnsi="宋体" w:cs="宋体" w:eastAsia="宋体" w:hint="default"/>
                <w:sz w:val="18"/>
                <w:szCs w:val="18"/>
              </w:rPr>
              <w:t>预计收 益</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截止报 告期末 累计实 现的收 益</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2"/>
              <w:jc w:val="both"/>
              <w:rPr>
                <w:rFonts w:ascii="宋体" w:hAnsi="宋体" w:cs="宋体" w:eastAsia="宋体" w:hint="default"/>
                <w:sz w:val="18"/>
                <w:szCs w:val="18"/>
              </w:rPr>
            </w:pPr>
            <w:r>
              <w:rPr>
                <w:rFonts w:ascii="宋体" w:hAnsi="宋体" w:cs="宋体" w:eastAsia="宋体" w:hint="default"/>
                <w:sz w:val="18"/>
                <w:szCs w:val="18"/>
              </w:rPr>
              <w:t>未达到 计划进 度和预 计收益 的原因</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89"/>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1"/>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东莞</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据中心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自建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IDC</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42,288,2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88.32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87,724,3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97.02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161"/>
              <w:jc w:val="left"/>
              <w:rPr>
                <w:rFonts w:ascii="宋体" w:hAnsi="宋体" w:cs="宋体" w:eastAsia="宋体" w:hint="default"/>
                <w:sz w:val="18"/>
                <w:szCs w:val="18"/>
              </w:rPr>
            </w:pPr>
            <w:r>
              <w:rPr>
                <w:rFonts w:ascii="宋体" w:hAnsi="宋体" w:cs="宋体" w:eastAsia="宋体" w:hint="default"/>
                <w:sz w:val="18"/>
                <w:szCs w:val="18"/>
              </w:rPr>
              <w:t>自有资 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51.21%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42,000,0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42,288,2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88.32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87,724,3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97.02</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42,000,0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before="44"/>
        <w:ind w:left="0" w:right="163"/>
        <w:jc w:val="right"/>
      </w:pPr>
      <w:r>
        <w:rPr/>
        <w:pict>
          <v:shape style="position:absolute;margin-left:56.400002pt;margin-top:-544.58429pt;width:479.05pt;height:562.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7"/>
                    <w:gridCol w:w="862"/>
                    <w:gridCol w:w="878"/>
                    <w:gridCol w:w="869"/>
                    <w:gridCol w:w="871"/>
                    <w:gridCol w:w="869"/>
                    <w:gridCol w:w="869"/>
                    <w:gridCol w:w="871"/>
                    <w:gridCol w:w="869"/>
                    <w:gridCol w:w="871"/>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56" w:right="71"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70" w:right="67"/>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71"/>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67"/>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1" w:right="67"/>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2" w:right="67"/>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69" w:right="67"/>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5"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2013</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52,390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9,682.98</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48,488.3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24,337.95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46.46%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2,427.6</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13"/>
                          <w:jc w:val="both"/>
                          <w:rPr>
                            <w:rFonts w:ascii="宋体" w:hAnsi="宋体" w:cs="宋体" w:eastAsia="宋体" w:hint="default"/>
                            <w:sz w:val="18"/>
                            <w:szCs w:val="18"/>
                          </w:rPr>
                        </w:pPr>
                        <w:r>
                          <w:rPr>
                            <w:rFonts w:ascii="宋体" w:hAnsi="宋体" w:cs="宋体" w:eastAsia="宋体" w:hint="default"/>
                            <w:sz w:val="18"/>
                            <w:szCs w:val="18"/>
                          </w:rPr>
                          <w:t>存放于募 集资金专 户银行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公司债</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9.25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39,749.02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0.19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13"/>
                          <w:jc w:val="both"/>
                          <w:rPr>
                            <w:rFonts w:ascii="宋体" w:hAnsi="宋体" w:cs="宋体" w:eastAsia="宋体" w:hint="default"/>
                            <w:sz w:val="18"/>
                            <w:szCs w:val="18"/>
                          </w:rPr>
                        </w:pPr>
                        <w:r>
                          <w:rPr>
                            <w:rFonts w:ascii="宋体" w:hAnsi="宋体" w:cs="宋体" w:eastAsia="宋体" w:hint="default"/>
                            <w:sz w:val="18"/>
                            <w:szCs w:val="18"/>
                          </w:rPr>
                          <w:t>存放于募 集资金专 户银行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961"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2015</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非公开发 行股票</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151,160.19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17,545.32</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68,897.13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44,985.25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9"/>
                          <w:jc w:val="left"/>
                          <w:rPr>
                            <w:rFonts w:ascii="宋体" w:hAnsi="宋体" w:cs="宋体" w:eastAsia="宋体" w:hint="default"/>
                            <w:sz w:val="18"/>
                            <w:szCs w:val="18"/>
                          </w:rPr>
                        </w:pPr>
                        <w:r>
                          <w:rPr>
                            <w:rFonts w:ascii="宋体" w:hAnsi="宋体" w:cs="宋体" w:eastAsia="宋体" w:hint="default"/>
                            <w:sz w:val="18"/>
                            <w:szCs w:val="18"/>
                          </w:rPr>
                          <w:t>存放于募 集资金专 </w:t>
                        </w:r>
                        <w:r>
                          <w:rPr>
                            <w:rFonts w:ascii="宋体" w:hAnsi="宋体" w:cs="宋体" w:eastAsia="宋体" w:hint="default"/>
                            <w:spacing w:val="-18"/>
                            <w:sz w:val="18"/>
                            <w:szCs w:val="18"/>
                          </w:rPr>
                          <w:t>户银行、暂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时用于补 充流动资 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87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243,550.19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27,237.55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157,134.45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24,337.95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9.99%</w:t>
                        </w:r>
                      </w:p>
                    </w:tc>
                    <w:tc>
                      <w:tcPr>
                        <w:tcW w:w="86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4"/>
                          <w:ind w:right="6"/>
                          <w:jc w:val="right"/>
                          <w:rPr>
                            <w:rFonts w:ascii="Times New Roman" w:hAnsi="Times New Roman" w:cs="Times New Roman" w:eastAsia="Times New Roman" w:hint="default"/>
                            <w:sz w:val="18"/>
                            <w:szCs w:val="18"/>
                          </w:rPr>
                        </w:pPr>
                        <w:r>
                          <w:rPr>
                            <w:rFonts w:ascii="Times New Roman"/>
                            <w:spacing w:val="-1"/>
                            <w:sz w:val="18"/>
                          </w:rPr>
                          <w:t>47,413.04</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5084"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7"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年度非公开发行股票经中国证券监督管理委员会</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2013</w:t>
                        </w:r>
                        <w:r>
                          <w:rPr>
                            <w:rFonts w:ascii="宋体" w:hAnsi="宋体" w:cs="宋体" w:eastAsia="宋体" w:hint="default"/>
                            <w:sz w:val="18"/>
                            <w:szCs w:val="18"/>
                          </w:rPr>
                          <w:t>〕</w:t>
                        </w:r>
                        <w:r>
                          <w:rPr>
                            <w:rFonts w:ascii="Times New Roman" w:hAnsi="Times New Roman" w:cs="Times New Roman" w:eastAsia="Times New Roman" w:hint="default"/>
                            <w:sz w:val="18"/>
                            <w:szCs w:val="18"/>
                          </w:rPr>
                          <w:t>1195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文件许可，公司于</w:t>
                        </w:r>
                        <w:r>
                          <w:rPr>
                            <w:rFonts w:ascii="宋体" w:hAnsi="宋体" w:cs="宋体" w:eastAsia="宋体" w:hint="default"/>
                            <w:spacing w:val="-13"/>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 向特定投资者非公开发行</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51,362,745</w:t>
                        </w:r>
                        <w:r>
                          <w:rPr>
                            <w:rFonts w:ascii="Times New Roman" w:hAnsi="Times New Roman" w:cs="Times New Roman" w:eastAsia="Times New Roman" w:hint="default"/>
                            <w:spacing w:val="8"/>
                            <w:sz w:val="18"/>
                            <w:szCs w:val="18"/>
                          </w:rPr>
                          <w:t> </w:t>
                        </w:r>
                        <w:r>
                          <w:rPr>
                            <w:rFonts w:ascii="宋体" w:hAnsi="宋体" w:cs="宋体" w:eastAsia="宋体" w:hint="default"/>
                            <w:spacing w:val="-3"/>
                            <w:w w:val="99"/>
                            <w:sz w:val="18"/>
                            <w:szCs w:val="18"/>
                          </w:rPr>
                          <w:t>股人民币普通股（</w:t>
                        </w:r>
                        <w:r>
                          <w:rPr>
                            <w:rFonts w:ascii="Times New Roman" w:hAnsi="Times New Roman" w:cs="Times New Roman" w:eastAsia="Times New Roman" w:hint="default"/>
                            <w:spacing w:val="-3"/>
                            <w:w w:val="99"/>
                            <w:sz w:val="18"/>
                            <w:szCs w:val="18"/>
                          </w:rPr>
                          <w:t>A</w:t>
                        </w:r>
                        <w:r>
                          <w:rPr>
                            <w:rFonts w:ascii="Times New Roman" w:hAnsi="Times New Roman" w:cs="Times New Roman" w:eastAsia="Times New Roman" w:hint="default"/>
                            <w:spacing w:val="1"/>
                            <w:w w:val="99"/>
                            <w:sz w:val="18"/>
                            <w:szCs w:val="18"/>
                          </w:rPr>
                          <w:t> </w:t>
                        </w:r>
                        <w:r>
                          <w:rPr>
                            <w:rFonts w:ascii="宋体" w:hAnsi="宋体" w:cs="宋体" w:eastAsia="宋体" w:hint="default"/>
                            <w:spacing w:val="-8"/>
                            <w:sz w:val="18"/>
                            <w:szCs w:val="18"/>
                          </w:rPr>
                          <w:t>股），每股发行认购价格为人民币</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10.20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元，本次发行募集资金总</w:t>
                        </w:r>
                      </w:p>
                      <w:p>
                        <w:pPr>
                          <w:pStyle w:val="TableParagraph"/>
                          <w:spacing w:line="240" w:lineRule="auto" w:before="15"/>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523,899,999.00</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元，扣除发行费用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29,046,120.59</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元后，实际募集资金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494,853,878.41</w:t>
                        </w:r>
                        <w:r>
                          <w:rPr>
                            <w:rFonts w:ascii="Times New Roman" w:hAnsi="Times New Roman" w:cs="Times New Roman" w:eastAsia="Times New Roman" w:hint="default"/>
                            <w:spacing w:val="3"/>
                            <w:sz w:val="18"/>
                            <w:szCs w:val="18"/>
                          </w:rPr>
                          <w:t> </w:t>
                        </w:r>
                        <w:r>
                          <w:rPr>
                            <w:rFonts w:ascii="宋体" w:hAnsi="宋体" w:cs="宋体" w:eastAsia="宋体" w:hint="default"/>
                            <w:spacing w:val="-6"/>
                            <w:sz w:val="18"/>
                            <w:szCs w:val="18"/>
                          </w:rPr>
                          <w:t>元。以上募集资金到位情况于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2013</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日业经立信会计师事务所（特殊普通合伙）出具的信会师报字</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310518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号《验资报告》验证确认。截止</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日，公司累计投入募集资金投资项目总额人民币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48,488.30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其中</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年度募集资金投入项目金额为</w:t>
                        </w:r>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9,682.98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万元。扣除上述已使用资金后，公司募集资金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日应存余额为人民币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997.09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万元，公司的募集资</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金存储专户实际余额为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2,427.60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万元，实际余额比应存余额多人民币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1,430.51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万元，系银行存款利息收入</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1,431.20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万元扣</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除银行手续费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万元后的净额。</w:t>
                        </w:r>
                      </w:p>
                      <w:p>
                        <w:pPr>
                          <w:pStyle w:val="TableParagraph"/>
                          <w:spacing w:line="300" w:lineRule="auto" w:before="103"/>
                          <w:ind w:left="24" w:right="3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年面向合格投资者公开发行公司债经中国证券监督管理委员会《关于核准深圳市证通电子股份有限公司向合 </w:t>
                        </w:r>
                        <w:r>
                          <w:rPr>
                            <w:rFonts w:ascii="宋体" w:hAnsi="宋体" w:cs="宋体" w:eastAsia="宋体" w:hint="default"/>
                            <w:spacing w:val="-4"/>
                            <w:sz w:val="18"/>
                            <w:szCs w:val="18"/>
                          </w:rPr>
                          <w:t>格投资者公开发行公司债券的批复》（证监许可</w:t>
                        </w:r>
                        <w:r>
                          <w:rPr>
                            <w:rFonts w:ascii="Times New Roman" w:hAnsi="Times New Roman" w:cs="Times New Roman" w:eastAsia="Times New Roman" w:hint="default"/>
                            <w:spacing w:val="-4"/>
                            <w:sz w:val="18"/>
                            <w:szCs w:val="18"/>
                          </w:rPr>
                          <w:t>[2015]2035</w:t>
                        </w:r>
                        <w:r>
                          <w:rPr>
                            <w:rFonts w:ascii="Times New Roman" w:hAnsi="Times New Roman" w:cs="Times New Roman" w:eastAsia="Times New Roman" w:hint="default"/>
                            <w:spacing w:val="11"/>
                            <w:sz w:val="18"/>
                            <w:szCs w:val="18"/>
                          </w:rPr>
                          <w:t> </w:t>
                        </w:r>
                        <w:r>
                          <w:rPr>
                            <w:rFonts w:ascii="宋体" w:hAnsi="宋体" w:cs="宋体" w:eastAsia="宋体" w:hint="default"/>
                            <w:spacing w:val="-1"/>
                            <w:sz w:val="18"/>
                            <w:szCs w:val="18"/>
                          </w:rPr>
                          <w:t>号）核准，公司于</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36"/>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pacing w:val="-1"/>
                            <w:sz w:val="18"/>
                            <w:szCs w:val="18"/>
                          </w:rPr>
                          <w:t>月向合格投资者分两期公开发行</w:t>
                        </w:r>
                      </w:p>
                      <w:p>
                        <w:pPr>
                          <w:pStyle w:val="TableParagraph"/>
                          <w:spacing w:line="240" w:lineRule="auto" w:before="13"/>
                          <w:ind w:left="24" w:right="0"/>
                          <w:jc w:val="both"/>
                          <w:rPr>
                            <w:rFonts w:ascii="宋体" w:hAnsi="宋体" w:cs="宋体" w:eastAsia="宋体" w:hint="default"/>
                            <w:sz w:val="18"/>
                            <w:szCs w:val="18"/>
                          </w:rPr>
                        </w:pPr>
                        <w:r>
                          <w:rPr>
                            <w:rFonts w:ascii="宋体" w:hAnsi="宋体" w:cs="宋体" w:eastAsia="宋体" w:hint="default"/>
                            <w:sz w:val="18"/>
                            <w:szCs w:val="18"/>
                          </w:rPr>
                          <w:t>公司债，债券面值为人民币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元，债券期限为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年。本次发行公司债共募集资金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万元，扣除承销、律师和评</w:t>
                        </w:r>
                      </w:p>
                      <w:p>
                        <w:pPr>
                          <w:pStyle w:val="TableParagraph"/>
                          <w:spacing w:line="240" w:lineRule="auto" w:before="63"/>
                          <w:ind w:left="24" w:right="0"/>
                          <w:jc w:val="both"/>
                          <w:rPr>
                            <w:rFonts w:ascii="宋体" w:hAnsi="宋体" w:cs="宋体" w:eastAsia="宋体" w:hint="default"/>
                            <w:sz w:val="18"/>
                            <w:szCs w:val="18"/>
                          </w:rPr>
                        </w:pPr>
                        <w:r>
                          <w:rPr>
                            <w:rFonts w:ascii="宋体" w:hAnsi="宋体" w:cs="宋体" w:eastAsia="宋体" w:hint="default"/>
                            <w:sz w:val="18"/>
                            <w:szCs w:val="18"/>
                          </w:rPr>
                          <w:t>估费用后募集资金净额为人民币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39,663.00</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万元。公司</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年面向合格投资者公开发行公司债券（第一期）的募集资金到</w:t>
                        </w:r>
                      </w:p>
                      <w:p>
                        <w:pPr>
                          <w:pStyle w:val="TableParagraph"/>
                          <w:spacing w:line="309" w:lineRule="auto" w:before="63"/>
                          <w:ind w:left="24" w:right="20"/>
                          <w:jc w:val="both"/>
                          <w:rPr>
                            <w:rFonts w:ascii="宋体" w:hAnsi="宋体" w:cs="宋体" w:eastAsia="宋体" w:hint="default"/>
                            <w:sz w:val="18"/>
                            <w:szCs w:val="18"/>
                          </w:rPr>
                        </w:pPr>
                        <w:r>
                          <w:rPr>
                            <w:rFonts w:ascii="宋体" w:hAnsi="宋体" w:cs="宋体" w:eastAsia="宋体" w:hint="default"/>
                            <w:sz w:val="18"/>
                            <w:szCs w:val="18"/>
                          </w:rPr>
                          <w:t>位情况业经中勤万信会计师事务所（特殊普通合伙）验证，并出具了勤信验字【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52"/>
                            <w:sz w:val="18"/>
                            <w:szCs w:val="18"/>
                          </w:rPr>
                          <w:t> </w:t>
                        </w:r>
                        <w:r>
                          <w:rPr>
                            <w:rFonts w:ascii="Times New Roman" w:hAnsi="Times New Roman" w:cs="Times New Roman" w:eastAsia="Times New Roman" w:hint="default"/>
                            <w:spacing w:val="-4"/>
                            <w:sz w:val="18"/>
                            <w:szCs w:val="18"/>
                          </w:rPr>
                          <w:t>1118 </w:t>
                        </w:r>
                        <w:r>
                          <w:rPr>
                            <w:rFonts w:ascii="宋体" w:hAnsi="宋体" w:cs="宋体" w:eastAsia="宋体" w:hint="default"/>
                            <w:sz w:val="18"/>
                            <w:szCs w:val="18"/>
                          </w:rPr>
                          <w:t>号验资报告；公司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 </w:t>
                        </w:r>
                        <w:r>
                          <w:rPr>
                            <w:rFonts w:ascii="宋体" w:hAnsi="宋体" w:cs="宋体" w:eastAsia="宋体" w:hint="default"/>
                            <w:spacing w:val="-1"/>
                            <w:sz w:val="18"/>
                            <w:szCs w:val="18"/>
                          </w:rPr>
                          <w:t>面向合格投资者公开发行公司债券（第二期）的募集资金到位情况业经中勤万信会计师事务所（特殊普通合伙）验证，并</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出具了勤信验字【</w:t>
                        </w:r>
                        <w:r>
                          <w:rPr>
                            <w:rFonts w:ascii="Times New Roman" w:hAnsi="Times New Roman" w:cs="Times New Roman" w:eastAsia="Times New Roman" w:hint="default"/>
                            <w:sz w:val="18"/>
                            <w:szCs w:val="18"/>
                          </w:rPr>
                          <w:t>2015</w:t>
                        </w:r>
                        <w:r>
                          <w:rPr>
                            <w:rFonts w:ascii="宋体" w:hAnsi="宋体" w:cs="宋体" w:eastAsia="宋体" w:hint="default"/>
                            <w:sz w:val="18"/>
                            <w:szCs w:val="18"/>
                          </w:rPr>
                          <w:t>】第</w:t>
                        </w:r>
                        <w:r>
                          <w:rPr>
                            <w:rFonts w:ascii="宋体" w:hAnsi="宋体" w:cs="宋体" w:eastAsia="宋体" w:hint="default"/>
                            <w:spacing w:val="-53"/>
                            <w:sz w:val="18"/>
                            <w:szCs w:val="18"/>
                          </w:rPr>
                          <w:t> </w:t>
                        </w:r>
                        <w:r>
                          <w:rPr>
                            <w:rFonts w:ascii="Times New Roman" w:hAnsi="Times New Roman" w:cs="Times New Roman" w:eastAsia="Times New Roman" w:hint="default"/>
                            <w:spacing w:val="-3"/>
                            <w:sz w:val="18"/>
                            <w:szCs w:val="18"/>
                          </w:rPr>
                          <w:t>1122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号验资报告。根据本公司公开发行</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年公司债券募集说明书，本次发行公司债券的募</w:t>
                        </w:r>
                      </w:p>
                      <w:p>
                        <w:pPr>
                          <w:pStyle w:val="TableParagraph"/>
                          <w:spacing w:line="240" w:lineRule="auto" w:before="5"/>
                          <w:ind w:left="24" w:right="0"/>
                          <w:jc w:val="both"/>
                          <w:rPr>
                            <w:rFonts w:ascii="宋体" w:hAnsi="宋体" w:cs="宋体" w:eastAsia="宋体" w:hint="default"/>
                            <w:sz w:val="18"/>
                            <w:szCs w:val="18"/>
                          </w:rPr>
                        </w:pPr>
                        <w:r>
                          <w:rPr>
                            <w:rFonts w:ascii="宋体" w:hAnsi="宋体" w:cs="宋体" w:eastAsia="宋体" w:hint="default"/>
                            <w:sz w:val="18"/>
                            <w:szCs w:val="18"/>
                          </w:rPr>
                          <w:t>集资金全部用于偿还银行借款、补充流动资金等用途。截止</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日，公司已使用募集资金用于偿还银行借款</w:t>
                        </w:r>
                      </w:p>
                    </w:tc>
                  </w:tr>
                </w:tbl>
                <w:p>
                  <w:pPr/>
                </w:p>
              </w:txbxContent>
            </v:textbox>
            <w10:wrap type="none"/>
          </v:shape>
        </w:pict>
      </w:r>
      <w:r>
        <w:rPr/>
        <w:t>、</w:t>
      </w:r>
    </w:p>
    <w:p>
      <w:pPr>
        <w:spacing w:after="0" w:line="240" w:lineRule="auto"/>
        <w:jc w:val="right"/>
        <w:sectPr>
          <w:pgSz w:w="11910" w:h="16840"/>
          <w:pgMar w:header="745" w:footer="980" w:top="1060" w:bottom="1160" w:left="980" w:right="980"/>
        </w:sectPr>
      </w:pPr>
    </w:p>
    <w:p>
      <w:pPr>
        <w:spacing w:line="240" w:lineRule="auto" w:before="11"/>
        <w:rPr>
          <w:rFonts w:ascii="宋体" w:hAnsi="宋体" w:cs="宋体" w:eastAsia="宋体" w:hint="default"/>
          <w:sz w:val="28"/>
          <w:szCs w:val="28"/>
        </w:rPr>
      </w:pPr>
    </w:p>
    <w:p>
      <w:pPr>
        <w:spacing w:line="4498" w:lineRule="exact"/>
        <w:ind w:left="152" w:right="0" w:firstLine="0"/>
        <w:rPr>
          <w:rFonts w:ascii="宋体" w:hAnsi="宋体" w:cs="宋体" w:eastAsia="宋体" w:hint="default"/>
          <w:sz w:val="20"/>
          <w:szCs w:val="20"/>
        </w:rPr>
      </w:pPr>
      <w:r>
        <w:rPr>
          <w:rFonts w:ascii="宋体" w:hAnsi="宋体" w:cs="宋体" w:eastAsia="宋体" w:hint="default"/>
          <w:position w:val="-89"/>
          <w:sz w:val="20"/>
          <w:szCs w:val="20"/>
        </w:rPr>
        <w:pict>
          <v:shape style="width:478.3pt;height:224.95pt;mso-position-horizontal-relative:char;mso-position-vertical-relative:line" type="#_x0000_t202" filled="false" stroked="true" strokeweight=".48004pt" strokecolor="#000000">
            <w10:anchorlock/>
            <v:textbox inset="0,0,0,0">
              <w:txbxContent>
                <w:p>
                  <w:pPr>
                    <w:pStyle w:val="BodyText"/>
                    <w:spacing w:line="240" w:lineRule="auto" w:before="8"/>
                    <w:ind w:left="23" w:right="0"/>
                    <w:jc w:val="left"/>
                  </w:pPr>
                  <w:r>
                    <w:rPr/>
                    <w:t>补充公司流动资金</w:t>
                  </w:r>
                  <w:r>
                    <w:rPr>
                      <w:spacing w:val="-45"/>
                    </w:rPr>
                    <w:t> </w:t>
                  </w:r>
                  <w:r>
                    <w:rPr>
                      <w:rFonts w:ascii="Times New Roman" w:hAnsi="Times New Roman" w:cs="Times New Roman" w:eastAsia="Times New Roman" w:hint="default"/>
                    </w:rPr>
                    <w:t>39,749.02 </w:t>
                  </w:r>
                  <w:r>
                    <w:rPr/>
                    <w:t>万元。扣除上述已使用资金后，公司募集资金</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日应存余额为人民币</w:t>
                  </w:r>
                  <w:r>
                    <w:rPr>
                      <w:rFonts w:ascii="Times New Roman" w:hAnsi="Times New Roman" w:cs="Times New Roman" w:eastAsia="Times New Roman" w:hint="default"/>
                    </w:rPr>
                    <w:t>-86.02</w:t>
                  </w:r>
                  <w:r>
                    <w:rPr>
                      <w:rFonts w:ascii="Times New Roman" w:hAnsi="Times New Roman" w:cs="Times New Roman" w:eastAsia="Times New Roman" w:hint="default"/>
                      <w:spacing w:val="1"/>
                    </w:rPr>
                    <w:t> </w:t>
                  </w:r>
                  <w:r>
                    <w:rPr/>
                    <w:t>万</w:t>
                  </w:r>
                </w:p>
                <w:p>
                  <w:pPr>
                    <w:pStyle w:val="BodyText"/>
                    <w:spacing w:line="240" w:lineRule="auto" w:before="63"/>
                    <w:ind w:left="23" w:right="0"/>
                    <w:jc w:val="left"/>
                  </w:pPr>
                  <w:r>
                    <w:rPr/>
                    <w:t>元，公司的募集资金存储专户实际余额为</w:t>
                  </w:r>
                  <w:r>
                    <w:rPr>
                      <w:spacing w:val="-54"/>
                    </w:rPr>
                    <w:t> </w:t>
                  </w:r>
                  <w:r>
                    <w:rPr>
                      <w:rFonts w:ascii="Times New Roman" w:hAnsi="Times New Roman" w:cs="Times New Roman" w:eastAsia="Times New Roman" w:hint="default"/>
                    </w:rPr>
                    <w:t>0.19</w:t>
                  </w:r>
                  <w:r>
                    <w:rPr>
                      <w:rFonts w:ascii="Times New Roman" w:hAnsi="Times New Roman" w:cs="Times New Roman" w:eastAsia="Times New Roman" w:hint="default"/>
                      <w:spacing w:val="-9"/>
                    </w:rPr>
                    <w:t> </w:t>
                  </w:r>
                  <w:r>
                    <w:rPr/>
                    <w:t>万元，实际余额比应存余额多人民币</w:t>
                  </w:r>
                  <w:r>
                    <w:rPr>
                      <w:spacing w:val="-55"/>
                    </w:rPr>
                    <w:t> </w:t>
                  </w:r>
                  <w:r>
                    <w:rPr>
                      <w:rFonts w:ascii="Times New Roman" w:hAnsi="Times New Roman" w:cs="Times New Roman" w:eastAsia="Times New Roman" w:hint="default"/>
                    </w:rPr>
                    <w:t>86.21</w:t>
                  </w:r>
                  <w:r>
                    <w:rPr>
                      <w:rFonts w:ascii="Times New Roman" w:hAnsi="Times New Roman" w:cs="Times New Roman" w:eastAsia="Times New Roman" w:hint="default"/>
                      <w:spacing w:val="-11"/>
                    </w:rPr>
                    <w:t> </w:t>
                  </w:r>
                  <w:r>
                    <w:rPr/>
                    <w:t>万元，主要系银行存款利息收入</w:t>
                  </w:r>
                </w:p>
                <w:p>
                  <w:pPr>
                    <w:pStyle w:val="BodyText"/>
                    <w:spacing w:line="240" w:lineRule="auto" w:before="63"/>
                    <w:ind w:left="23" w:right="0"/>
                    <w:jc w:val="left"/>
                  </w:pPr>
                  <w:r>
                    <w:rPr/>
                    <w:t>扣除银行手续费后的净额为</w:t>
                  </w:r>
                  <w:r>
                    <w:rPr>
                      <w:spacing w:val="-45"/>
                    </w:rPr>
                    <w:t> </w:t>
                  </w:r>
                  <w:r>
                    <w:rPr>
                      <w:rFonts w:ascii="Times New Roman" w:hAnsi="Times New Roman" w:cs="Times New Roman" w:eastAsia="Times New Roman" w:hint="default"/>
                    </w:rPr>
                    <w:t>29.21</w:t>
                  </w:r>
                  <w:r>
                    <w:rPr>
                      <w:rFonts w:ascii="Times New Roman" w:hAnsi="Times New Roman" w:cs="Times New Roman" w:eastAsia="Times New Roman" w:hint="default"/>
                      <w:spacing w:val="1"/>
                    </w:rPr>
                    <w:t> </w:t>
                  </w:r>
                  <w:r>
                    <w:rPr/>
                    <w:t>万元，及公司尚未从募集资金账户中将律师费和评估师费转出，金额为</w:t>
                  </w:r>
                  <w:r>
                    <w:rPr>
                      <w:spacing w:val="-45"/>
                    </w:rPr>
                    <w:t> </w:t>
                  </w:r>
                  <w:r>
                    <w:rPr>
                      <w:rFonts w:ascii="Times New Roman" w:hAnsi="Times New Roman" w:cs="Times New Roman" w:eastAsia="Times New Roman" w:hint="default"/>
                    </w:rPr>
                    <w:t>57.00</w:t>
                  </w:r>
                  <w:r>
                    <w:rPr>
                      <w:rFonts w:ascii="Times New Roman" w:hAnsi="Times New Roman" w:cs="Times New Roman" w:eastAsia="Times New Roman" w:hint="default"/>
                      <w:spacing w:val="1"/>
                    </w:rPr>
                    <w:t> </w:t>
                  </w:r>
                  <w:r>
                    <w:rPr/>
                    <w:t>万元。</w:t>
                  </w:r>
                </w:p>
                <w:p>
                  <w:pPr>
                    <w:pStyle w:val="BodyText"/>
                    <w:spacing w:line="300" w:lineRule="auto" w:before="103"/>
                    <w:ind w:left="23" w:right="17" w:firstLine="360"/>
                    <w:jc w:val="left"/>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7"/>
                    </w:rPr>
                    <w:t> </w:t>
                  </w:r>
                  <w:r>
                    <w:rPr/>
                    <w:t>年度非公开发行股票经中国证券监督管理委员会</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1348</w:t>
                  </w:r>
                  <w:r>
                    <w:rPr>
                      <w:rFonts w:ascii="Times New Roman" w:hAnsi="Times New Roman" w:cs="Times New Roman" w:eastAsia="Times New Roman" w:hint="default"/>
                      <w:spacing w:val="-6"/>
                    </w:rPr>
                    <w:t> </w:t>
                  </w:r>
                  <w:r>
                    <w:rPr/>
                    <w:t>号</w:t>
                  </w:r>
                  <w:r>
                    <w:rPr>
                      <w:rFonts w:ascii="Times New Roman" w:hAnsi="Times New Roman" w:cs="Times New Roman" w:eastAsia="Times New Roman" w:hint="default"/>
                    </w:rPr>
                    <w:t>”</w:t>
                  </w:r>
                  <w:r>
                    <w:rPr/>
                    <w:t>文件许可，公司于</w:t>
                  </w:r>
                  <w:r>
                    <w:rPr>
                      <w:spacing w:val="-1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6"/>
                    </w:rPr>
                    <w:t> </w:t>
                  </w:r>
                  <w:r>
                    <w:rPr/>
                    <w:t>年</w:t>
                  </w:r>
                  <w:r>
                    <w:rPr>
                      <w:spacing w:val="-53"/>
                    </w:rPr>
                    <w:t> </w:t>
                  </w:r>
                  <w:r>
                    <w:rPr>
                      <w:rFonts w:ascii="Times New Roman" w:hAnsi="Times New Roman" w:cs="Times New Roman" w:eastAsia="Times New Roman" w:hint="default"/>
                    </w:rPr>
                    <w:t>09</w:t>
                  </w:r>
                  <w:r>
                    <w:rPr>
                      <w:rFonts w:ascii="Times New Roman" w:hAnsi="Times New Roman" w:cs="Times New Roman" w:eastAsia="Times New Roman" w:hint="default"/>
                      <w:spacing w:val="-7"/>
                    </w:rPr>
                    <w:t> </w:t>
                  </w:r>
                  <w:r>
                    <w:rPr/>
                    <w:t>月 向特定投资者非公开发行</w:t>
                  </w:r>
                  <w:r>
                    <w:rPr>
                      <w:spacing w:val="-42"/>
                    </w:rPr>
                    <w:t> </w:t>
                  </w:r>
                  <w:r>
                    <w:rPr>
                      <w:rFonts w:ascii="Times New Roman" w:hAnsi="Times New Roman" w:cs="Times New Roman" w:eastAsia="Times New Roman" w:hint="default"/>
                    </w:rPr>
                    <w:t>93,888,316</w:t>
                  </w:r>
                  <w:r>
                    <w:rPr>
                      <w:rFonts w:ascii="Times New Roman" w:hAnsi="Times New Roman" w:cs="Times New Roman" w:eastAsia="Times New Roman" w:hint="default"/>
                      <w:spacing w:val="4"/>
                    </w:rPr>
                    <w:t> </w:t>
                  </w:r>
                  <w:r>
                    <w:rPr>
                      <w:spacing w:val="-3"/>
                    </w:rPr>
                    <w:t>股人民币普通股（</w:t>
                  </w:r>
                  <w:r>
                    <w:rPr>
                      <w:rFonts w:ascii="Times New Roman" w:hAnsi="Times New Roman" w:cs="Times New Roman" w:eastAsia="Times New Roman" w:hint="default"/>
                      <w:spacing w:val="-3"/>
                    </w:rPr>
                    <w:t>A</w:t>
                  </w:r>
                  <w:r>
                    <w:rPr>
                      <w:rFonts w:ascii="Times New Roman" w:hAnsi="Times New Roman" w:cs="Times New Roman" w:eastAsia="Times New Roman" w:hint="default"/>
                      <w:spacing w:val="-2"/>
                    </w:rPr>
                    <w:t> </w:t>
                  </w:r>
                  <w:r>
                    <w:rPr>
                      <w:spacing w:val="-8"/>
                    </w:rPr>
                    <w:t>股），每股发行认购价格为人民币</w:t>
                  </w:r>
                  <w:r>
                    <w:rPr>
                      <w:spacing w:val="-42"/>
                    </w:rPr>
                    <w:t> </w:t>
                  </w:r>
                  <w:r>
                    <w:rPr>
                      <w:rFonts w:ascii="Times New Roman" w:hAnsi="Times New Roman" w:cs="Times New Roman" w:eastAsia="Times New Roman" w:hint="default"/>
                    </w:rPr>
                    <w:t>16.10</w:t>
                  </w:r>
                  <w:r>
                    <w:rPr>
                      <w:rFonts w:ascii="Times New Roman" w:hAnsi="Times New Roman" w:cs="Times New Roman" w:eastAsia="Times New Roman" w:hint="default"/>
                      <w:spacing w:val="4"/>
                    </w:rPr>
                    <w:t> </w:t>
                  </w:r>
                  <w:r>
                    <w:rPr>
                      <w:spacing w:val="-3"/>
                    </w:rPr>
                    <w:t>元，本次发行募集资金总</w:t>
                  </w:r>
                </w:p>
                <w:p>
                  <w:pPr>
                    <w:pStyle w:val="BodyText"/>
                    <w:spacing w:line="240" w:lineRule="auto" w:before="13"/>
                    <w:ind w:left="23" w:right="0"/>
                    <w:jc w:val="left"/>
                  </w:pPr>
                  <w:r>
                    <w:rPr/>
                    <w:t>额为</w:t>
                  </w:r>
                  <w:r>
                    <w:rPr>
                      <w:spacing w:val="-49"/>
                    </w:rPr>
                    <w:t> </w:t>
                  </w:r>
                  <w:r>
                    <w:rPr>
                      <w:rFonts w:ascii="Times New Roman" w:hAnsi="Times New Roman" w:cs="Times New Roman" w:eastAsia="Times New Roman" w:hint="default"/>
                    </w:rPr>
                    <w:t>1,511,601,887.60</w:t>
                  </w:r>
                  <w:r>
                    <w:rPr>
                      <w:rFonts w:ascii="Times New Roman" w:hAnsi="Times New Roman" w:cs="Times New Roman" w:eastAsia="Times New Roman" w:hint="default"/>
                      <w:spacing w:val="-2"/>
                    </w:rPr>
                    <w:t> </w:t>
                  </w:r>
                  <w:r>
                    <w:rPr/>
                    <w:t>元，扣除发行费用</w:t>
                  </w:r>
                  <w:r>
                    <w:rPr>
                      <w:spacing w:val="-49"/>
                    </w:rPr>
                    <w:t> </w:t>
                  </w:r>
                  <w:r>
                    <w:rPr>
                      <w:rFonts w:ascii="Times New Roman" w:hAnsi="Times New Roman" w:cs="Times New Roman" w:eastAsia="Times New Roman" w:hint="default"/>
                    </w:rPr>
                    <w:t>34,351,175.42</w:t>
                  </w:r>
                  <w:r>
                    <w:rPr>
                      <w:rFonts w:ascii="Times New Roman" w:hAnsi="Times New Roman" w:cs="Times New Roman" w:eastAsia="Times New Roman" w:hint="default"/>
                      <w:spacing w:val="-3"/>
                    </w:rPr>
                    <w:t> </w:t>
                  </w:r>
                  <w:r>
                    <w:rPr/>
                    <w:t>元（含可抵扣增值税进项税额</w:t>
                  </w:r>
                  <w:r>
                    <w:rPr>
                      <w:spacing w:val="-50"/>
                    </w:rPr>
                    <w:t> </w:t>
                  </w:r>
                  <w:r>
                    <w:rPr>
                      <w:rFonts w:ascii="Times New Roman" w:hAnsi="Times New Roman" w:cs="Times New Roman" w:eastAsia="Times New Roman" w:hint="default"/>
                    </w:rPr>
                    <w:t>1,943,737.76</w:t>
                  </w:r>
                  <w:r>
                    <w:rPr>
                      <w:rFonts w:ascii="Times New Roman" w:hAnsi="Times New Roman" w:cs="Times New Roman" w:eastAsia="Times New Roman" w:hint="default"/>
                      <w:spacing w:val="-2"/>
                    </w:rPr>
                    <w:t> </w:t>
                  </w:r>
                  <w:r>
                    <w:rPr/>
                    <w:t>元）后，募集资金净额</w:t>
                  </w:r>
                </w:p>
                <w:p>
                  <w:pPr>
                    <w:pStyle w:val="BodyText"/>
                    <w:spacing w:line="240" w:lineRule="auto" w:before="63"/>
                    <w:ind w:left="23" w:right="0"/>
                    <w:jc w:val="left"/>
                  </w:pPr>
                  <w:r>
                    <w:rPr/>
                    <w:t>为</w:t>
                  </w:r>
                  <w:r>
                    <w:rPr>
                      <w:spacing w:val="-57"/>
                    </w:rPr>
                    <w:t> </w:t>
                  </w:r>
                  <w:r>
                    <w:rPr>
                      <w:rFonts w:ascii="Times New Roman" w:hAnsi="Times New Roman" w:cs="Times New Roman" w:eastAsia="Times New Roman" w:hint="default"/>
                    </w:rPr>
                    <w:t>1,477,250,712.18</w:t>
                  </w:r>
                  <w:r>
                    <w:rPr>
                      <w:rFonts w:ascii="Times New Roman" w:hAnsi="Times New Roman" w:cs="Times New Roman" w:eastAsia="Times New Roman" w:hint="default"/>
                      <w:spacing w:val="-11"/>
                    </w:rPr>
                    <w:t> </w:t>
                  </w:r>
                  <w:r>
                    <w:rPr/>
                    <w:t>元。募集资金净额加上本次非公开发行股票发行费用可抵扣的增值税进项税额</w:t>
                  </w:r>
                  <w:r>
                    <w:rPr>
                      <w:spacing w:val="-57"/>
                    </w:rPr>
                    <w:t> </w:t>
                  </w:r>
                  <w:r>
                    <w:rPr>
                      <w:rFonts w:ascii="Times New Roman" w:hAnsi="Times New Roman" w:cs="Times New Roman" w:eastAsia="Times New Roman" w:hint="default"/>
                    </w:rPr>
                    <w:t>1,943,737.76</w:t>
                  </w:r>
                  <w:r>
                    <w:rPr>
                      <w:rFonts w:ascii="Times New Roman" w:hAnsi="Times New Roman" w:cs="Times New Roman" w:eastAsia="Times New Roman" w:hint="default"/>
                      <w:spacing w:val="-11"/>
                    </w:rPr>
                    <w:t> </w:t>
                  </w:r>
                  <w:r>
                    <w:rPr>
                      <w:spacing w:val="-8"/>
                    </w:rPr>
                    <w:t>元，实际总</w:t>
                  </w:r>
                </w:p>
                <w:p>
                  <w:pPr>
                    <w:pStyle w:val="BodyText"/>
                    <w:spacing w:line="240" w:lineRule="auto" w:before="63"/>
                    <w:ind w:left="23" w:right="0"/>
                    <w:jc w:val="left"/>
                  </w:pPr>
                  <w:r>
                    <w:rPr/>
                    <w:t>募集资金净额为人民币</w:t>
                  </w:r>
                  <w:r>
                    <w:rPr>
                      <w:spacing w:val="-50"/>
                    </w:rPr>
                    <w:t> </w:t>
                  </w:r>
                  <w:r>
                    <w:rPr>
                      <w:rFonts w:ascii="Times New Roman" w:hAnsi="Times New Roman" w:cs="Times New Roman" w:eastAsia="Times New Roman" w:hint="default"/>
                    </w:rPr>
                    <w:t>1,479,194,449.94</w:t>
                  </w:r>
                  <w:r>
                    <w:rPr>
                      <w:rFonts w:ascii="Times New Roman" w:hAnsi="Times New Roman" w:cs="Times New Roman" w:eastAsia="Times New Roman" w:hint="default"/>
                      <w:spacing w:val="-3"/>
                    </w:rPr>
                    <w:t> </w:t>
                  </w:r>
                  <w:r>
                    <w:rPr/>
                    <w:t>元。以上募集资金到位情况于</w:t>
                  </w:r>
                  <w:r>
                    <w:rPr>
                      <w:spacing w:val="-51"/>
                    </w:rPr>
                    <w:t> </w:t>
                  </w:r>
                  <w:r>
                    <w:rPr>
                      <w:rFonts w:ascii="Times New Roman" w:hAnsi="Times New Roman" w:cs="Times New Roman" w:eastAsia="Times New Roman" w:hint="default"/>
                    </w:rPr>
                    <w:t>2016</w:t>
                  </w:r>
                  <w:r>
                    <w:rPr>
                      <w:rFonts w:ascii="Times New Roman" w:hAnsi="Times New Roman" w:cs="Times New Roman" w:eastAsia="Times New Roman" w:hint="default"/>
                      <w:spacing w:val="-7"/>
                    </w:rPr>
                    <w:t> </w:t>
                  </w:r>
                  <w:r>
                    <w:rPr/>
                    <w:t>年</w:t>
                  </w:r>
                  <w:r>
                    <w:rPr>
                      <w:spacing w:val="-51"/>
                    </w:rPr>
                    <w:t> </w:t>
                  </w:r>
                  <w:r>
                    <w:rPr>
                      <w:rFonts w:ascii="Times New Roman" w:hAnsi="Times New Roman" w:cs="Times New Roman" w:eastAsia="Times New Roman" w:hint="default"/>
                    </w:rPr>
                    <w:t>08</w:t>
                  </w:r>
                  <w:r>
                    <w:rPr>
                      <w:rFonts w:ascii="Times New Roman" w:hAnsi="Times New Roman" w:cs="Times New Roman" w:eastAsia="Times New Roman" w:hint="default"/>
                      <w:spacing w:val="-5"/>
                    </w:rPr>
                    <w:t> </w:t>
                  </w:r>
                  <w:r>
                    <w:rPr/>
                    <w:t>月</w:t>
                  </w:r>
                  <w:r>
                    <w:rPr>
                      <w:spacing w:val="-53"/>
                    </w:rPr>
                    <w:t> </w:t>
                  </w:r>
                  <w:r>
                    <w:rPr>
                      <w:rFonts w:ascii="Times New Roman" w:hAnsi="Times New Roman" w:cs="Times New Roman" w:eastAsia="Times New Roman" w:hint="default"/>
                    </w:rPr>
                    <w:t>19</w:t>
                  </w:r>
                  <w:r>
                    <w:rPr>
                      <w:rFonts w:ascii="Times New Roman" w:hAnsi="Times New Roman" w:cs="Times New Roman" w:eastAsia="Times New Roman" w:hint="default"/>
                      <w:spacing w:val="-5"/>
                    </w:rPr>
                    <w:t> </w:t>
                  </w:r>
                  <w:r>
                    <w:rPr/>
                    <w:t>日业经中勤万信会计师事务所（特</w:t>
                  </w:r>
                </w:p>
                <w:p>
                  <w:pPr>
                    <w:pStyle w:val="BodyText"/>
                    <w:spacing w:line="240" w:lineRule="auto" w:before="63"/>
                    <w:ind w:left="23" w:right="0"/>
                    <w:jc w:val="left"/>
                  </w:pPr>
                  <w:r>
                    <w:rPr/>
                    <w:t>殊普通合伙）验证，并出具了勤信验字【</w:t>
                  </w:r>
                  <w:r>
                    <w:rPr>
                      <w:rFonts w:ascii="Times New Roman" w:hAnsi="Times New Roman" w:cs="Times New Roman" w:eastAsia="Times New Roman" w:hint="default"/>
                    </w:rPr>
                    <w:t>2016</w:t>
                  </w:r>
                  <w:r>
                    <w:rPr/>
                    <w:t>】第</w:t>
                  </w:r>
                  <w:r>
                    <w:rPr>
                      <w:spacing w:val="-44"/>
                    </w:rPr>
                    <w:t> </w:t>
                  </w:r>
                  <w:r>
                    <w:rPr>
                      <w:rFonts w:ascii="Times New Roman" w:hAnsi="Times New Roman" w:cs="Times New Roman" w:eastAsia="Times New Roman" w:hint="default"/>
                      <w:spacing w:val="-5"/>
                    </w:rPr>
                    <w:t>1116</w:t>
                  </w:r>
                  <w:r>
                    <w:rPr>
                      <w:rFonts w:ascii="Times New Roman" w:hAnsi="Times New Roman" w:cs="Times New Roman" w:eastAsia="Times New Roman" w:hint="default"/>
                      <w:spacing w:val="2"/>
                    </w:rPr>
                    <w:t> </w:t>
                  </w:r>
                  <w:r>
                    <w:rPr/>
                    <w:t>号验资报告。</w:t>
                  </w:r>
                </w:p>
                <w:p>
                  <w:pPr>
                    <w:pStyle w:val="BodyText"/>
                    <w:spacing w:line="240" w:lineRule="auto" w:before="101"/>
                    <w:ind w:left="384" w:right="0"/>
                    <w:jc w:val="left"/>
                  </w:pPr>
                  <w:r>
                    <w:rPr/>
                    <w:t>截止</w:t>
                  </w:r>
                  <w:r>
                    <w:rPr>
                      <w:spacing w:val="-49"/>
                    </w:rPr>
                    <w:t> </w:t>
                  </w:r>
                  <w:r>
                    <w:rPr>
                      <w:rFonts w:ascii="Times New Roman" w:hAnsi="Times New Roman" w:cs="Times New Roman" w:eastAsia="Times New Roman" w:hint="default"/>
                    </w:rPr>
                    <w:t>2017</w:t>
                  </w:r>
                  <w:r>
                    <w:rPr>
                      <w:rFonts w:ascii="Times New Roman" w:hAnsi="Times New Roman" w:cs="Times New Roman" w:eastAsia="Times New Roman" w:hint="default"/>
                      <w:spacing w:val="-4"/>
                    </w:rPr>
                    <w:t>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日，公司累计投入募集资金投资项目总额为人民币</w:t>
                  </w:r>
                  <w:r>
                    <w:rPr>
                      <w:spacing w:val="-48"/>
                    </w:rPr>
                    <w:t> </w:t>
                  </w:r>
                  <w:r>
                    <w:rPr>
                      <w:rFonts w:ascii="Times New Roman" w:hAnsi="Times New Roman" w:cs="Times New Roman" w:eastAsia="Times New Roman" w:hint="default"/>
                    </w:rPr>
                    <w:t>68,897.13</w:t>
                  </w:r>
                  <w:r>
                    <w:rPr>
                      <w:rFonts w:ascii="Times New Roman" w:hAnsi="Times New Roman" w:cs="Times New Roman" w:eastAsia="Times New Roman" w:hint="default"/>
                      <w:spacing w:val="-2"/>
                    </w:rPr>
                    <w:t> </w:t>
                  </w:r>
                  <w:r>
                    <w:rPr>
                      <w:spacing w:val="-6"/>
                    </w:rPr>
                    <w:t>万元。其中：</w:t>
                  </w:r>
                  <w:r>
                    <w:rPr>
                      <w:rFonts w:ascii="Times New Roman" w:hAnsi="Times New Roman" w:cs="Times New Roman" w:eastAsia="Times New Roman" w:hint="default"/>
                      <w:spacing w:val="-6"/>
                    </w:rPr>
                    <w:t>2017</w:t>
                  </w:r>
                  <w:r>
                    <w:rPr>
                      <w:rFonts w:ascii="Times New Roman" w:hAnsi="Times New Roman" w:cs="Times New Roman" w:eastAsia="Times New Roman" w:hint="default"/>
                      <w:spacing w:val="-2"/>
                    </w:rPr>
                    <w:t> </w:t>
                  </w:r>
                  <w:r>
                    <w:rPr/>
                    <w:t>年度募集资金投</w:t>
                  </w:r>
                </w:p>
                <w:p>
                  <w:pPr>
                    <w:pStyle w:val="BodyText"/>
                    <w:spacing w:line="240" w:lineRule="auto" w:before="63"/>
                    <w:ind w:left="23" w:right="0"/>
                    <w:jc w:val="left"/>
                    <w:rPr>
                      <w:rFonts w:ascii="Times New Roman" w:hAnsi="Times New Roman" w:cs="Times New Roman" w:eastAsia="Times New Roman" w:hint="default"/>
                    </w:rPr>
                  </w:pPr>
                  <w:r>
                    <w:rPr/>
                    <w:t>入项目金额为</w:t>
                  </w:r>
                  <w:r>
                    <w:rPr>
                      <w:spacing w:val="-45"/>
                    </w:rPr>
                    <w:t> </w:t>
                  </w:r>
                  <w:r>
                    <w:rPr>
                      <w:rFonts w:ascii="Times New Roman" w:hAnsi="Times New Roman" w:cs="Times New Roman" w:eastAsia="Times New Roman" w:hint="default"/>
                    </w:rPr>
                    <w:t>17,545.32</w:t>
                  </w:r>
                  <w:r>
                    <w:rPr>
                      <w:rFonts w:ascii="Times New Roman" w:hAnsi="Times New Roman" w:cs="Times New Roman" w:eastAsia="Times New Roman" w:hint="default"/>
                      <w:spacing w:val="1"/>
                    </w:rPr>
                    <w:t> </w:t>
                  </w:r>
                  <w:r>
                    <w:rPr>
                      <w:spacing w:val="-3"/>
                    </w:rPr>
                    <w:t>万元，</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1"/>
                    </w:rPr>
                    <w:t> </w:t>
                  </w:r>
                  <w:r>
                    <w:rPr/>
                    <w:t>年度总计使用闲置募集资金暂时补充流动资金</w:t>
                  </w:r>
                  <w:r>
                    <w:rPr>
                      <w:spacing w:val="-46"/>
                    </w:rPr>
                    <w:t> </w:t>
                  </w:r>
                  <w:r>
                    <w:rPr>
                      <w:rFonts w:ascii="Times New Roman" w:hAnsi="Times New Roman" w:cs="Times New Roman" w:eastAsia="Times New Roman" w:hint="default"/>
                    </w:rPr>
                    <w:t>92,300.00</w:t>
                  </w:r>
                  <w:r>
                    <w:rPr>
                      <w:rFonts w:ascii="Times New Roman" w:hAnsi="Times New Roman" w:cs="Times New Roman" w:eastAsia="Times New Roman" w:hint="default"/>
                      <w:spacing w:val="-1"/>
                    </w:rPr>
                    <w:t> </w:t>
                  </w:r>
                  <w:r>
                    <w:rPr>
                      <w:spacing w:val="-3"/>
                    </w:rPr>
                    <w:t>万元，扣减于</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9 </w:t>
                  </w:r>
                  <w:r>
                    <w:rPr/>
                    <w:t>月</w:t>
                  </w:r>
                  <w:r>
                    <w:rPr>
                      <w:spacing w:val="-48"/>
                    </w:rPr>
                    <w:t> </w:t>
                  </w:r>
                  <w:r>
                    <w:rPr>
                      <w:rFonts w:ascii="Times New Roman" w:hAnsi="Times New Roman" w:cs="Times New Roman" w:eastAsia="Times New Roman" w:hint="default"/>
                    </w:rPr>
                    <w:t>20</w:t>
                  </w:r>
                </w:p>
                <w:p>
                  <w:pPr>
                    <w:pStyle w:val="BodyText"/>
                    <w:spacing w:line="240" w:lineRule="auto" w:before="63"/>
                    <w:ind w:left="23" w:right="0"/>
                    <w:jc w:val="left"/>
                    <w:rPr>
                      <w:rFonts w:ascii="Times New Roman" w:hAnsi="Times New Roman" w:cs="Times New Roman" w:eastAsia="Times New Roman" w:hint="default"/>
                    </w:rPr>
                  </w:pPr>
                  <w:r>
                    <w:rPr/>
                    <w:t>日已归还的补流资金</w:t>
                  </w:r>
                  <w:r>
                    <w:rPr>
                      <w:spacing w:val="-54"/>
                    </w:rPr>
                    <w:t> </w:t>
                  </w:r>
                  <w:r>
                    <w:rPr>
                      <w:rFonts w:ascii="Times New Roman" w:hAnsi="Times New Roman" w:cs="Times New Roman" w:eastAsia="Times New Roman" w:hint="default"/>
                      <w:spacing w:val="1"/>
                    </w:rPr>
                    <w:t>57</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30</w:t>
                  </w:r>
                  <w:r>
                    <w:rPr>
                      <w:rFonts w:ascii="Times New Roman" w:hAnsi="Times New Roman" w:cs="Times New Roman" w:eastAsia="Times New Roman" w:hint="default"/>
                      <w:spacing w:val="-2"/>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10"/>
                    </w:rPr>
                    <w:t> </w:t>
                  </w:r>
                  <w:r>
                    <w:rPr/>
                    <w:t>万元</w:t>
                  </w:r>
                  <w:r>
                    <w:rPr>
                      <w:spacing w:val="-92"/>
                    </w:rPr>
                    <w:t>。</w:t>
                  </w:r>
                  <w:r>
                    <w:rPr/>
                    <w:t>扣除上述已使用资金后</w:t>
                  </w:r>
                  <w:r>
                    <w:rPr>
                      <w:spacing w:val="-89"/>
                    </w:rPr>
                    <w:t>，</w:t>
                  </w:r>
                  <w:r>
                    <w:rPr/>
                    <w:t>公司募集资金</w:t>
                  </w:r>
                  <w:r>
                    <w:rPr>
                      <w:spacing w:val="-53"/>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8"/>
                    </w:rPr>
                    <w:t> </w:t>
                  </w:r>
                  <w:r>
                    <w:rPr/>
                    <w:t>年</w:t>
                  </w:r>
                  <w:r>
                    <w:rPr>
                      <w:spacing w:val="-54"/>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月</w:t>
                  </w:r>
                  <w:r>
                    <w:rPr>
                      <w:spacing w:val="-54"/>
                    </w:rPr>
                    <w:t> </w:t>
                  </w:r>
                  <w:r>
                    <w:rPr>
                      <w:rFonts w:ascii="Times New Roman" w:hAnsi="Times New Roman" w:cs="Times New Roman" w:eastAsia="Times New Roman" w:hint="default"/>
                      <w:spacing w:val="-2"/>
                    </w:rPr>
                    <w:t>3</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日应存余额为人民币</w:t>
                  </w:r>
                  <w:r>
                    <w:rPr>
                      <w:spacing w:val="-54"/>
                    </w:rPr>
                    <w:t> </w:t>
                  </w:r>
                  <w:r>
                    <w:rPr>
                      <w:rFonts w:ascii="Times New Roman" w:hAnsi="Times New Roman" w:cs="Times New Roman" w:eastAsia="Times New Roman" w:hint="default"/>
                      <w:spacing w:val="1"/>
                    </w:rPr>
                    <w:t>44</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02</w:t>
                  </w:r>
                  <w:r>
                    <w:rPr>
                      <w:rFonts w:ascii="Times New Roman" w:hAnsi="Times New Roman" w:cs="Times New Roman" w:eastAsia="Times New Roman" w:hint="default"/>
                      <w:spacing w:val="-2"/>
                    </w:rPr>
                    <w:t>2</w:t>
                  </w:r>
                  <w:r>
                    <w:rPr>
                      <w:rFonts w:ascii="Times New Roman" w:hAnsi="Times New Roman" w:cs="Times New Roman" w:eastAsia="Times New Roman" w:hint="default"/>
                    </w:rPr>
                    <w:t>.</w:t>
                  </w:r>
                  <w:r>
                    <w:rPr>
                      <w:rFonts w:ascii="Times New Roman" w:hAnsi="Times New Roman" w:cs="Times New Roman" w:eastAsia="Times New Roman" w:hint="default"/>
                      <w:spacing w:val="-2"/>
                    </w:rPr>
                    <w:t>3</w:t>
                  </w:r>
                  <w:r>
                    <w:rPr>
                      <w:rFonts w:ascii="Times New Roman" w:hAnsi="Times New Roman" w:cs="Times New Roman" w:eastAsia="Times New Roman" w:hint="default"/>
                    </w:rPr>
                    <w:t>1</w:t>
                  </w:r>
                </w:p>
                <w:p>
                  <w:pPr>
                    <w:pStyle w:val="BodyText"/>
                    <w:spacing w:line="240" w:lineRule="auto" w:before="63"/>
                    <w:ind w:left="23" w:right="0"/>
                    <w:jc w:val="left"/>
                  </w:pPr>
                  <w:r>
                    <w:rPr/>
                    <w:t>万元，公司的募集资金存储专户实际余额为</w:t>
                  </w:r>
                  <w:r>
                    <w:rPr>
                      <w:spacing w:val="-56"/>
                    </w:rPr>
                    <w:t> </w:t>
                  </w:r>
                  <w:r>
                    <w:rPr>
                      <w:rFonts w:ascii="Times New Roman" w:hAnsi="Times New Roman" w:cs="Times New Roman" w:eastAsia="Times New Roman" w:hint="default"/>
                    </w:rPr>
                    <w:t>44,985.25</w:t>
                  </w:r>
                  <w:r>
                    <w:rPr>
                      <w:rFonts w:ascii="Times New Roman" w:hAnsi="Times New Roman" w:cs="Times New Roman" w:eastAsia="Times New Roman" w:hint="default"/>
                      <w:spacing w:val="-10"/>
                    </w:rPr>
                    <w:t> </w:t>
                  </w:r>
                  <w:r>
                    <w:rPr/>
                    <w:t>万元</w:t>
                  </w:r>
                  <w:r>
                    <w:rPr>
                      <w:rFonts w:ascii="Times New Roman" w:hAnsi="Times New Roman" w:cs="Times New Roman" w:eastAsia="Times New Roman" w:hint="default"/>
                    </w:rPr>
                    <w:t>,</w:t>
                  </w:r>
                  <w:r>
                    <w:rPr/>
                    <w:t>实际余额比应存余额多人民币</w:t>
                  </w:r>
                  <w:r>
                    <w:rPr>
                      <w:spacing w:val="-56"/>
                    </w:rPr>
                    <w:t> </w:t>
                  </w:r>
                  <w:r>
                    <w:rPr>
                      <w:rFonts w:ascii="Times New Roman" w:hAnsi="Times New Roman" w:cs="Times New Roman" w:eastAsia="Times New Roman" w:hint="default"/>
                    </w:rPr>
                    <w:t>962.94</w:t>
                  </w:r>
                  <w:r>
                    <w:rPr>
                      <w:rFonts w:ascii="Times New Roman" w:hAnsi="Times New Roman" w:cs="Times New Roman" w:eastAsia="Times New Roman" w:hint="default"/>
                      <w:spacing w:val="-10"/>
                    </w:rPr>
                    <w:t> </w:t>
                  </w:r>
                  <w:r>
                    <w:rPr/>
                    <w:t>万元，系银行存款利息收</w:t>
                  </w:r>
                </w:p>
                <w:p>
                  <w:pPr>
                    <w:pStyle w:val="BodyText"/>
                    <w:spacing w:line="240" w:lineRule="auto" w:before="63"/>
                    <w:ind w:left="23" w:right="0"/>
                    <w:jc w:val="left"/>
                  </w:pPr>
                  <w:r>
                    <w:rPr/>
                    <w:t>入</w:t>
                  </w:r>
                  <w:r>
                    <w:rPr>
                      <w:spacing w:val="-45"/>
                    </w:rPr>
                    <w:t> </w:t>
                  </w:r>
                  <w:r>
                    <w:rPr>
                      <w:rFonts w:ascii="Times New Roman" w:hAnsi="Times New Roman" w:cs="Times New Roman" w:eastAsia="Times New Roman" w:hint="default"/>
                    </w:rPr>
                    <w:t>990.58</w:t>
                  </w:r>
                  <w:r>
                    <w:rPr>
                      <w:rFonts w:ascii="Times New Roman" w:hAnsi="Times New Roman" w:cs="Times New Roman" w:eastAsia="Times New Roman" w:hint="default"/>
                      <w:spacing w:val="1"/>
                    </w:rPr>
                    <w:t> </w:t>
                  </w:r>
                  <w:r>
                    <w:rPr/>
                    <w:t>万元扣除银行手续费</w:t>
                  </w:r>
                  <w:r>
                    <w:rPr>
                      <w:spacing w:val="-48"/>
                    </w:rPr>
                    <w:t> </w:t>
                  </w:r>
                  <w:r>
                    <w:rPr>
                      <w:rFonts w:ascii="Times New Roman" w:hAnsi="Times New Roman" w:cs="Times New Roman" w:eastAsia="Times New Roman" w:hint="default"/>
                    </w:rPr>
                    <w:t>27.65</w:t>
                  </w:r>
                  <w:r>
                    <w:rPr>
                      <w:rFonts w:ascii="Times New Roman" w:hAnsi="Times New Roman" w:cs="Times New Roman" w:eastAsia="Times New Roman" w:hint="default"/>
                      <w:spacing w:val="1"/>
                    </w:rPr>
                    <w:t> </w:t>
                  </w:r>
                  <w:r>
                    <w:rPr/>
                    <w:t>万元后的净额。</w:t>
                  </w:r>
                </w:p>
              </w:txbxContent>
            </v:textbox>
          </v:shape>
        </w:pict>
      </w:r>
      <w:r>
        <w:rPr>
          <w:rFonts w:ascii="宋体" w:hAnsi="宋体" w:cs="宋体" w:eastAsia="宋体" w:hint="default"/>
          <w:position w:val="-89"/>
          <w:sz w:val="20"/>
          <w:szCs w:val="20"/>
        </w:rPr>
      </w:r>
    </w:p>
    <w:p>
      <w:pPr>
        <w:spacing w:line="240" w:lineRule="auto" w:before="8"/>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6" w:lineRule="auto" w:before="49"/>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964"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1</w:t>
            </w:r>
            <w:r>
              <w:rPr>
                <w:rFonts w:ascii="宋体" w:hAnsi="宋体" w:cs="宋体" w:eastAsia="宋体" w:hint="default"/>
                <w:spacing w:val="-22"/>
                <w:sz w:val="18"/>
                <w:szCs w:val="18"/>
              </w:rPr>
              <w:t>）年产</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万台符合中 国人民银行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PBOC2.0</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新标准的金融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卡</w:t>
            </w:r>
            <w:r>
              <w:rPr>
                <w:rFonts w:ascii="宋体" w:hAnsi="宋体" w:cs="宋体" w:eastAsia="宋体" w:hint="default"/>
                <w:w w:val="99"/>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终端产能建设项 目（</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年度非公开 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9,589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万台惠农通 农村电子商务专用终 </w:t>
            </w:r>
            <w:r>
              <w:rPr>
                <w:rFonts w:ascii="宋体" w:hAnsi="宋体" w:cs="宋体" w:eastAsia="宋体" w:hint="default"/>
                <w:spacing w:val="-8"/>
                <w:sz w:val="18"/>
                <w:szCs w:val="18"/>
              </w:rPr>
              <w:t>端产能建设项目（</w:t>
            </w:r>
            <w:r>
              <w:rPr>
                <w:rFonts w:ascii="Times New Roman" w:hAnsi="Times New Roman" w:cs="Times New Roman" w:eastAsia="Times New Roman" w:hint="default"/>
                <w:spacing w:val="-8"/>
                <w:sz w:val="18"/>
                <w:szCs w:val="18"/>
              </w:rPr>
              <w:t>2013</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36"/>
                <w:sz w:val="18"/>
                <w:szCs w:val="18"/>
              </w:rPr>
            </w:r>
            <w:r>
              <w:rPr>
                <w:rFonts w:ascii="宋体" w:hAnsi="宋体" w:cs="宋体" w:eastAsia="宋体" w:hint="default"/>
                <w:sz w:val="18"/>
                <w:szCs w:val="18"/>
              </w:rPr>
              <w:t>年度非公开发行）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7,656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40"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）证通电子大数据云 计算产业园（光明云 谷）项目（</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非公开发行）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17,245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8,289.6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16,261.52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94.30%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万台自助服 务终端产能扩建项目</w:t>
            </w:r>
          </w:p>
          <w:p>
            <w:pPr>
              <w:pStyle w:val="TableParagraph"/>
              <w:spacing w:line="300" w:lineRule="auto" w:before="33"/>
              <w:ind w:left="24" w:right="6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年度非公开发 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7,119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5,209.61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5,209.61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-1,563.64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shape style="position:absolute;margin-left:56.400002pt;margin-top:71.999985pt;width:479.3pt;height:683.15pt;mso-position-horizontal-relative:page;mso-position-vertical-relative:page;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）研发中心扩建项目</w:t>
                        </w:r>
                      </w:p>
                      <w:p>
                        <w:pPr>
                          <w:pStyle w:val="TableParagraph"/>
                          <w:spacing w:line="300" w:lineRule="auto" w:before="63"/>
                          <w:ind w:left="24" w:right="6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年度非公开发 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7,516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1,393.38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7,223.13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96.10%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）支付卡行业安全芯 片项目（</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年度非 公开发行）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326.44</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）偿还银行贷款及补 </w:t>
                        </w:r>
                        <w:r>
                          <w:rPr>
                            <w:rFonts w:ascii="宋体" w:hAnsi="宋体" w:cs="宋体" w:eastAsia="宋体" w:hint="default"/>
                            <w:spacing w:val="-8"/>
                            <w:sz w:val="18"/>
                            <w:szCs w:val="18"/>
                          </w:rPr>
                          <w:t>充流动资金项目（</w:t>
                        </w:r>
                        <w:r>
                          <w:rPr>
                            <w:rFonts w:ascii="Times New Roman" w:hAnsi="Times New Roman" w:cs="Times New Roman" w:eastAsia="Times New Roman" w:hint="default"/>
                            <w:spacing w:val="-8"/>
                            <w:sz w:val="18"/>
                            <w:szCs w:val="18"/>
                          </w:rPr>
                          <w:t>2013</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36"/>
                            <w:sz w:val="18"/>
                            <w:szCs w:val="18"/>
                          </w:rPr>
                        </w:r>
                        <w:r>
                          <w:rPr>
                            <w:rFonts w:ascii="宋体" w:hAnsi="宋体" w:cs="宋体" w:eastAsia="宋体" w:hint="default"/>
                            <w:sz w:val="18"/>
                            <w:szCs w:val="18"/>
                          </w:rPr>
                          <w:t>年度非公开发行）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12,095.39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12,095.39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）偿还银行贷款及补 充流动资金（公司债</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195" w:lineRule="exact"/>
                          <w:ind w:left="24" w:right="0"/>
                          <w:jc w:val="lef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195" w:lineRule="exact"/>
                          <w:ind w:left="-128" w:right="0"/>
                          <w:jc w:val="left"/>
                          <w:rPr>
                            <w:rFonts w:ascii="宋体" w:hAnsi="宋体" w:cs="宋体" w:eastAsia="宋体" w:hint="default"/>
                            <w:sz w:val="18"/>
                            <w:szCs w:val="18"/>
                          </w:rPr>
                        </w:pPr>
                        <w:r>
                          <w:rPr>
                            <w:rFonts w:ascii="宋体" w:hAnsi="宋体" w:cs="宋体" w:eastAsia="宋体"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39,749.02</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4"/>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）长沙云谷数据中心 项目（</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年度非公 开发行）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72,802.55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72,802.55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16,363.74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25,254.1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34.69%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10</w:t>
                        </w:r>
                        <w:r>
                          <w:rPr>
                            <w:rFonts w:ascii="宋体" w:hAnsi="宋体" w:cs="宋体" w:eastAsia="宋体" w:hint="default"/>
                            <w:spacing w:val="-8"/>
                            <w:sz w:val="18"/>
                            <w:szCs w:val="18"/>
                          </w:rPr>
                          <w:t>）证通长沙软件研发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中心项目（</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 非公开发行）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33,357.64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33,357.64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1,181.58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1,785.76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11</w:t>
                        </w:r>
                        <w:r>
                          <w:rPr>
                            <w:rFonts w:ascii="宋体" w:hAnsi="宋体" w:cs="宋体" w:eastAsia="宋体" w:hint="default"/>
                            <w:spacing w:val="-8"/>
                            <w:sz w:val="18"/>
                            <w:szCs w:val="18"/>
                          </w:rPr>
                          <w:t>）偿还银行贷款及补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8"/>
                            <w:sz w:val="18"/>
                            <w:szCs w:val="18"/>
                          </w:rPr>
                          <w:t>充流动资金项目（</w:t>
                        </w:r>
                        <w:r>
                          <w:rPr>
                            <w:rFonts w:ascii="Times New Roman" w:hAnsi="Times New Roman" w:cs="Times New Roman" w:eastAsia="Times New Roman" w:hint="default"/>
                            <w:spacing w:val="-8"/>
                            <w:sz w:val="18"/>
                            <w:szCs w:val="18"/>
                          </w:rPr>
                          <w:t>2015</w:t>
                        </w:r>
                        <w:r>
                          <w:rPr>
                            <w:rFonts w:ascii="Times New Roman" w:hAnsi="Times New Roman" w:cs="Times New Roman" w:eastAsia="Times New Roman" w:hint="default"/>
                            <w:spacing w:val="-36"/>
                            <w:sz w:val="18"/>
                            <w:szCs w:val="18"/>
                          </w:rPr>
                          <w:t> </w:t>
                        </w:r>
                        <w:r>
                          <w:rPr>
                            <w:rFonts w:ascii="Times New Roman" w:hAnsi="Times New Roman" w:cs="Times New Roman" w:eastAsia="Times New Roman" w:hint="default"/>
                            <w:spacing w:val="-36"/>
                            <w:sz w:val="18"/>
                            <w:szCs w:val="18"/>
                          </w:rPr>
                        </w:r>
                        <w:r>
                          <w:rPr>
                            <w:rFonts w:ascii="宋体" w:hAnsi="宋体" w:cs="宋体" w:eastAsia="宋体" w:hint="default"/>
                            <w:sz w:val="18"/>
                            <w:szCs w:val="18"/>
                          </w:rPr>
                          <w:t>年度非公开发行）</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41,759.25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41,857.27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100.23%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3"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243,550.1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230,311.8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27,237.55</w:t>
                        </w:r>
                      </w:p>
                    </w:tc>
                    <w:tc>
                      <w:tcPr>
                        <w:tcW w:w="780" w:type="dxa"/>
                        <w:vMerge w:val="restart"/>
                        <w:tcBorders>
                          <w:top w:val="single" w:sz="4" w:space="0" w:color="000000"/>
                          <w:left w:val="single" w:sz="4" w:space="0" w:color="000000"/>
                          <w:right w:val="single" w:sz="10" w:space="0" w:color="D2D2D2"/>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149,762.2</w:t>
                        </w:r>
                      </w:p>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10" w:space="0" w:color="D2D2D2"/>
                          <w:right w:val="single" w:sz="10"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-1,563.64</w:t>
                        </w: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8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10" w:space="0" w:color="D2D2D2"/>
                          <w:right w:val="single" w:sz="10" w:space="0" w:color="D2D2D2"/>
                        </w:tcBorders>
                      </w:tcPr>
                      <w:p>
                        <w:pP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10" w:space="0" w:color="D2D2D2"/>
                          <w:bottom w:val="single" w:sz="4" w:space="0" w:color="000000"/>
                          <w:right w:val="single" w:sz="10" w:space="0" w:color="D2D2D2"/>
                        </w:tcBorders>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8" w:type="dxa"/>
                        <w:tcBorders>
                          <w:top w:val="single" w:sz="4" w:space="0" w:color="000000"/>
                          <w:left w:val="single" w:sz="4" w:space="0" w:color="000000"/>
                          <w:bottom w:val="nil" w:sz="6" w:space="0" w:color="auto"/>
                          <w:right w:val="single" w:sz="4" w:space="0" w:color="000000"/>
                        </w:tcBorders>
                        <w:shd w:val="clear" w:color="auto" w:fill="D2D2D2"/>
                      </w:tcPr>
                      <w:p>
                        <w:pPr/>
                      </w:p>
                    </w:tc>
                    <w:tc>
                      <w:tcPr>
                        <w:tcW w:w="781" w:type="dxa"/>
                        <w:vMerge w:val="restart"/>
                        <w:tcBorders>
                          <w:top w:val="single" w:sz="4" w:space="0" w:color="000000"/>
                          <w:left w:val="single" w:sz="9"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243,550.1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230,311.8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27,237.55</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149,762.2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-1,563.64</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vMerge/>
                        <w:tcBorders>
                          <w:left w:val="single" w:sz="9" w:space="0" w:color="D2D2D2"/>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16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8" w:type="dxa"/>
                        <w:tcBorders>
                          <w:top w:val="nil" w:sz="6" w:space="0" w:color="auto"/>
                          <w:left w:val="single" w:sz="4" w:space="0" w:color="000000"/>
                          <w:bottom w:val="single" w:sz="4" w:space="0" w:color="000000"/>
                          <w:right w:val="single" w:sz="4" w:space="0" w:color="000000"/>
                        </w:tcBorders>
                        <w:shd w:val="clear" w:color="auto" w:fill="D2D2D2"/>
                      </w:tcPr>
                      <w:p>
                        <w:pPr/>
                      </w:p>
                    </w:tc>
                    <w:tc>
                      <w:tcPr>
                        <w:tcW w:w="781" w:type="dxa"/>
                        <w:vMerge/>
                        <w:tcBorders>
                          <w:left w:val="single" w:sz="9" w:space="0" w:color="D2D2D2"/>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586"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97" w:lineRule="auto" w:before="51"/>
                          <w:ind w:left="16" w:right="22" w:firstLine="36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、研发中心扩建项目因公司优化建设方案和设备采购方案，给项目的实施进度带来一定的影响</w:t>
                        </w:r>
                        <w:r>
                          <w:rPr>
                            <w:rFonts w:ascii="宋体" w:hAnsi="宋体" w:cs="宋体" w:eastAsia="宋体" w:hint="default"/>
                            <w:sz w:val="18"/>
                            <w:szCs w:val="18"/>
                          </w:rPr>
                          <w:t> 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日召开的第三届董事会第三十四次会议审议通过将该项目预计达到可使用状</w:t>
                        </w:r>
                      </w:p>
                      <w:p>
                        <w:pPr>
                          <w:pStyle w:val="TableParagraph"/>
                          <w:spacing w:line="314" w:lineRule="auto" w:before="15"/>
                          <w:ind w:left="16" w:right="16"/>
                          <w:jc w:val="both"/>
                          <w:rPr>
                            <w:rFonts w:ascii="Times New Roman" w:hAnsi="Times New Roman" w:cs="Times New Roman" w:eastAsia="Times New Roman" w:hint="default"/>
                            <w:sz w:val="18"/>
                            <w:szCs w:val="18"/>
                          </w:rPr>
                        </w:pPr>
                        <w:r>
                          <w:rPr>
                            <w:rFonts w:ascii="宋体" w:hAnsi="宋体" w:cs="宋体" w:eastAsia="宋体" w:hint="default"/>
                            <w:sz w:val="18"/>
                            <w:szCs w:val="18"/>
                          </w:rPr>
                          <w:t>态的时间计划延期至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日。因公司对研发中心扩建项目涉及的研发办公楼层、研发中 心及实验室的装修设计方案进行了多次修改完善；同时因公司所处的金融电子支付设备行业技术变 革迅速、产品更新换代加快，为了使募集资金效率最大化地使用，公司对项目相关设备的采购方案 不断优化调整，给项目的实施进度带来一定的影响，所以该项目建设进度晚于预定计划。对于募集 </w:t>
                        </w:r>
                        <w:r>
                          <w:rPr>
                            <w:rFonts w:ascii="宋体" w:hAnsi="宋体" w:cs="宋体" w:eastAsia="宋体" w:hint="default"/>
                            <w:spacing w:val="-4"/>
                            <w:sz w:val="18"/>
                            <w:szCs w:val="18"/>
                          </w:rPr>
                          <w:t>资金列支的项目间接研发支出不规范的投入金额，公司已于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日以自有资金总计</w:t>
                        </w:r>
                        <w:r>
                          <w:rPr>
                            <w:rFonts w:ascii="宋体" w:hAnsi="宋体" w:cs="宋体" w:eastAsia="宋体" w:hint="default"/>
                            <w:spacing w:val="-53"/>
                            <w:sz w:val="18"/>
                            <w:szCs w:val="18"/>
                          </w:rPr>
                          <w:t> </w:t>
                        </w:r>
                        <w:r>
                          <w:rPr>
                            <w:rFonts w:ascii="Times New Roman" w:hAnsi="Times New Roman" w:cs="Times New Roman" w:eastAsia="Times New Roman" w:hint="default"/>
                            <w:spacing w:val="-1"/>
                            <w:sz w:val="18"/>
                            <w:szCs w:val="18"/>
                          </w:rPr>
                          <w:t>169.09</w:t>
                        </w:r>
                      </w:p>
                      <w:p>
                        <w:pPr>
                          <w:pStyle w:val="TableParagraph"/>
                          <w:spacing w:line="240" w:lineRule="auto" w:before="1"/>
                          <w:ind w:left="16" w:right="0"/>
                          <w:jc w:val="both"/>
                          <w:rPr>
                            <w:rFonts w:ascii="宋体" w:hAnsi="宋体" w:cs="宋体" w:eastAsia="宋体" w:hint="default"/>
                            <w:sz w:val="18"/>
                            <w:szCs w:val="18"/>
                          </w:rPr>
                        </w:pPr>
                        <w:r>
                          <w:rPr>
                            <w:rFonts w:ascii="宋体" w:hAnsi="宋体" w:cs="宋体" w:eastAsia="宋体" w:hint="default"/>
                            <w:sz w:val="18"/>
                            <w:szCs w:val="18"/>
                          </w:rPr>
                          <w:t>万元进行置换。截至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日，研发中心扩建项目建设进度达成</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96.10%</w:t>
                        </w:r>
                        <w:r>
                          <w:rPr>
                            <w:rFonts w:ascii="宋体" w:hAnsi="宋体" w:cs="宋体" w:eastAsia="宋体" w:hint="default"/>
                            <w:sz w:val="18"/>
                            <w:szCs w:val="18"/>
                          </w:rPr>
                          <w:t>，尚有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292.87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元募集资金及利息</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298.26</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万元尚未使用完毕，暂未达到预定计划，公司将继续加快项目实施，计划</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年上半年完成该项目。</w:t>
                        </w:r>
                      </w:p>
                      <w:p>
                        <w:pPr>
                          <w:pStyle w:val="TableParagraph"/>
                          <w:spacing w:line="300" w:lineRule="auto" w:before="103"/>
                          <w:ind w:left="16" w:right="20"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、由于电网迁入、施工难度较大，引起设备变更和设备到货有延迟，截至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2"/>
                            <w:sz w:val="18"/>
                            <w:szCs w:val="18"/>
                          </w:rPr>
                          <w:t>证通电子大数据云计算产业园（光明云谷）项目建设进度达成</w:t>
                        </w:r>
                        <w:r>
                          <w:rPr>
                            <w:rFonts w:ascii="宋体" w:hAnsi="宋体" w:cs="宋体" w:eastAsia="宋体" w:hint="default"/>
                            <w:spacing w:val="-25"/>
                            <w:sz w:val="18"/>
                            <w:szCs w:val="18"/>
                          </w:rPr>
                          <w:t> </w:t>
                        </w:r>
                        <w:r>
                          <w:rPr>
                            <w:rFonts w:ascii="Times New Roman" w:hAnsi="Times New Roman" w:cs="Times New Roman" w:eastAsia="Times New Roman" w:hint="default"/>
                            <w:spacing w:val="-2"/>
                            <w:sz w:val="18"/>
                            <w:szCs w:val="18"/>
                          </w:rPr>
                          <w:t>94.30%</w:t>
                        </w:r>
                        <w:r>
                          <w:rPr>
                            <w:rFonts w:ascii="宋体" w:hAnsi="宋体" w:cs="宋体" w:eastAsia="宋体" w:hint="default"/>
                            <w:spacing w:val="-2"/>
                            <w:sz w:val="18"/>
                            <w:szCs w:val="18"/>
                          </w:rPr>
                          <w:t>，暂未达到预定计划。截止报</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告披露日，公司已基本解决前述问题，计划于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年上半年完成该项目的建设。</w:t>
                        </w:r>
                      </w:p>
                    </w:tc>
                  </w:tr>
                  <w:tr>
                    <w:trPr>
                      <w:trHeight w:val="1015"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vMerge/>
                        <w:tcBorders>
                          <w:left w:val="single" w:sz="10" w:space="0" w:color="D2D2D2"/>
                          <w:right w:val="single" w:sz="4" w:space="0" w:color="000000"/>
                        </w:tcBorders>
                      </w:tcPr>
                      <w:p>
                        <w:pPr/>
                      </w:p>
                    </w:tc>
                  </w:tr>
                  <w:tr>
                    <w:trPr>
                      <w:trHeight w:val="1587"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362"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项目可行性发生重大</w:t>
                        </w:r>
                      </w:p>
                    </w:tc>
                    <w:tc>
                      <w:tcPr>
                        <w:tcW w:w="779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支付卡行业安全芯片项目因为公司结合市场环境需求的变化及支付卡行业安全芯片项目的实际运作</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spacing w:line="559" w:lineRule="exact"/>
        <w:ind w:left="1929" w:right="0" w:firstLine="0"/>
        <w:rPr>
          <w:rFonts w:ascii="宋体" w:hAnsi="宋体" w:cs="宋体" w:eastAsia="宋体" w:hint="default"/>
          <w:sz w:val="20"/>
          <w:szCs w:val="20"/>
        </w:rPr>
      </w:pPr>
      <w:r>
        <w:rPr>
          <w:rFonts w:ascii="宋体" w:hAnsi="宋体" w:cs="宋体" w:eastAsia="宋体" w:hint="default"/>
          <w:position w:val="-10"/>
          <w:sz w:val="20"/>
          <w:szCs w:val="20"/>
        </w:rPr>
        <w:pict>
          <v:group style="width:38.4pt;height:28pt;mso-position-horizontal-relative:char;mso-position-vertical-relative:line" coordorigin="0,0" coordsize="768,560">
            <v:group style="position:absolute;left:12;top:12;width:2;height:392" coordorigin="12,12" coordsize="2,392">
              <v:shape style="position:absolute;left:12;top:12;width:2;height:392" coordorigin="12,12" coordsize="0,392" path="m12,12l12,403e" filled="false" stroked="true" strokeweight="1.2pt" strokecolor="#ffffff">
                <v:path arrowok="t"/>
              </v:shape>
            </v:group>
            <v:group style="position:absolute;left:0;top:403;width:768;height:156" coordorigin="0,403" coordsize="768,156">
              <v:shape style="position:absolute;left:0;top:403;width:768;height:156" coordorigin="0,403" coordsize="768,156" path="m0,559l768,559,768,403,0,403,0,559xe" filled="true" fillcolor="#ffffff" stroked="false">
                <v:path arrowok="t"/>
                <v:fill type="solid"/>
              </v:shape>
            </v:group>
            <v:group style="position:absolute;left:24;top:12;width:723;height:392" coordorigin="24,12" coordsize="723,392">
              <v:shape style="position:absolute;left:24;top:12;width:723;height:392" coordorigin="24,12" coordsize="723,392" path="m24,403l746,403,746,12,24,12,24,403xe" filled="true" fillcolor="#ffffff" stroked="false">
                <v:path arrowok="t"/>
                <v:fill type="solid"/>
              </v:shape>
            </v:group>
          </v:group>
        </w:pict>
      </w:r>
      <w:r>
        <w:rPr>
          <w:rFonts w:ascii="宋体" w:hAnsi="宋体" w:cs="宋体" w:eastAsia="宋体" w:hint="default"/>
          <w:position w:val="-10"/>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7"/>
          <w:szCs w:val="27"/>
        </w:rPr>
      </w:pPr>
    </w:p>
    <w:p>
      <w:pPr>
        <w:pStyle w:val="BodyText"/>
        <w:spacing w:line="240" w:lineRule="auto" w:before="44"/>
        <w:ind w:left="0" w:right="15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44"/>
        <w:ind w:left="0" w:right="158"/>
        <w:jc w:val="right"/>
      </w:pPr>
      <w:r>
        <w:rPr/>
        <w:t>，</w:t>
      </w:r>
    </w:p>
    <w:p>
      <w:pPr>
        <w:spacing w:after="0" w:line="240" w:lineRule="auto"/>
        <w:jc w:val="right"/>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1611" w:hRule="exact"/>
        </w:trPr>
        <w:tc>
          <w:tcPr>
            <w:tcW w:w="1770" w:type="dxa"/>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变化的情况说明</w:t>
            </w:r>
          </w:p>
        </w:tc>
        <w:tc>
          <w:tcPr>
            <w:tcW w:w="7799" w:type="dxa"/>
            <w:tcBorders>
              <w:top w:val="single" w:sz="4" w:space="0" w:color="000000"/>
              <w:left w:val="single" w:sz="4" w:space="0" w:color="000000"/>
              <w:bottom w:val="single" w:sz="4" w:space="0" w:color="FFFFFF"/>
              <w:right w:val="single" w:sz="4" w:space="0" w:color="000000"/>
            </w:tcBorders>
          </w:tcPr>
          <w:p>
            <w:pPr>
              <w:pStyle w:val="TableParagraph"/>
              <w:spacing w:line="319" w:lineRule="auto" w:before="8"/>
              <w:ind w:left="24" w:right="21"/>
              <w:jc w:val="both"/>
              <w:rPr>
                <w:rFonts w:ascii="宋体" w:hAnsi="宋体" w:cs="宋体" w:eastAsia="宋体" w:hint="default"/>
                <w:sz w:val="18"/>
                <w:szCs w:val="18"/>
              </w:rPr>
            </w:pPr>
            <w:r>
              <w:rPr>
                <w:rFonts w:ascii="宋体" w:hAnsi="宋体" w:cs="宋体" w:eastAsia="宋体" w:hint="default"/>
                <w:sz w:val="18"/>
                <w:szCs w:val="18"/>
              </w:rPr>
              <w:t>情况，本着节约成本和经济效益最大化原则，在项目实际运营过程中，为充分利用内外部资源改变 了运作模式，由前期完全自购研发相关设备改成部分租用。经公司于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日召开的第三</w:t>
            </w:r>
          </w:p>
          <w:p>
            <w:pPr>
              <w:pStyle w:val="TableParagraph"/>
              <w:spacing w:line="309" w:lineRule="auto"/>
              <w:ind w:left="24" w:right="22"/>
              <w:jc w:val="both"/>
              <w:rPr>
                <w:rFonts w:ascii="宋体" w:hAnsi="宋体" w:cs="宋体" w:eastAsia="宋体" w:hint="default"/>
                <w:sz w:val="18"/>
                <w:szCs w:val="18"/>
              </w:rPr>
            </w:pPr>
            <w:r>
              <w:rPr>
                <w:rFonts w:ascii="宋体" w:hAnsi="宋体" w:cs="宋体" w:eastAsia="宋体" w:hint="default"/>
                <w:sz w:val="18"/>
                <w:szCs w:val="18"/>
              </w:rPr>
              <w:t>届董事会第二十六次会议和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年第四次临时股东大会审议通过，将项 目终止并将该募投项目节余的募集资金及利息用于永久补充流动资金。截至本公司将该项目募集资 金专户注销时，实际未使用募集资金及利息收入补充流动资金的金额为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5,258.91 </w:t>
            </w:r>
            <w:r>
              <w:rPr>
                <w:rFonts w:ascii="宋体" w:hAnsi="宋体" w:cs="宋体" w:eastAsia="宋体" w:hint="default"/>
                <w:sz w:val="18"/>
                <w:szCs w:val="18"/>
              </w:rPr>
              <w:t>万元。</w:t>
            </w:r>
          </w:p>
        </w:tc>
      </w:tr>
      <w:tr>
        <w:trPr>
          <w:trHeight w:val="401" w:hRule="exact"/>
        </w:trPr>
        <w:tc>
          <w:tcPr>
            <w:tcW w:w="1770"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4"/>
              <w:ind w:left="22"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tcBorders>
              <w:top w:val="single" w:sz="4" w:space="0" w:color="FFFFFF"/>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96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日召开的第四届董事会第八次会议和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0" w:lineRule="auto" w:before="63"/>
              <w:ind w:left="24" w:right="44"/>
              <w:jc w:val="both"/>
              <w:rPr>
                <w:rFonts w:ascii="宋体" w:hAnsi="宋体" w:cs="宋体" w:eastAsia="宋体" w:hint="default"/>
                <w:sz w:val="18"/>
                <w:szCs w:val="18"/>
              </w:rPr>
            </w:pPr>
            <w:r>
              <w:rPr>
                <w:rFonts w:ascii="宋体" w:hAnsi="宋体" w:cs="宋体" w:eastAsia="宋体" w:hint="default"/>
                <w:spacing w:val="-3"/>
                <w:sz w:val="18"/>
                <w:szCs w:val="18"/>
              </w:rPr>
              <w:t>第五次临时股东大会审议通过《关于公司变更部分募集资金用途暨投资新项目的议案》，将年产</w:t>
            </w:r>
            <w:r>
              <w:rPr>
                <w:rFonts w:ascii="宋体" w:hAnsi="宋体" w:cs="宋体" w:eastAsia="宋体" w:hint="default"/>
                <w:spacing w:val="-22"/>
                <w:sz w:val="18"/>
                <w:szCs w:val="18"/>
              </w:rPr>
              <w:t> </w:t>
            </w:r>
            <w:r>
              <w:rPr>
                <w:rFonts w:ascii="Times New Roman" w:hAnsi="Times New Roman" w:cs="Times New Roman" w:eastAsia="Times New Roman" w:hint="default"/>
                <w:spacing w:val="1"/>
                <w:sz w:val="18"/>
                <w:szCs w:val="18"/>
              </w:rPr>
              <w:t>50</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万台金融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终端产能建设项目和年产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万台惠农通农村电子商务专用终端产能建设项目募 集资金共</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17,245.00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万元及其募集资金账户利息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642.41 </w:t>
            </w:r>
            <w:r>
              <w:rPr>
                <w:rFonts w:ascii="宋体" w:hAnsi="宋体" w:cs="宋体" w:eastAsia="宋体" w:hint="default"/>
                <w:sz w:val="18"/>
                <w:szCs w:val="18"/>
              </w:rPr>
              <w:t>万元全部用于新项目证通电子大数据云计算 产业园（光明云谷）项目建设，原有项目全部变更为</w:t>
            </w:r>
            <w:r>
              <w:rPr>
                <w:rFonts w:ascii="Times New Roman" w:hAnsi="Times New Roman" w:cs="Times New Roman" w:eastAsia="Times New Roman" w:hint="default"/>
                <w:sz w:val="18"/>
                <w:szCs w:val="18"/>
              </w:rPr>
              <w:t>“</w:t>
            </w:r>
            <w:r>
              <w:rPr>
                <w:rFonts w:ascii="宋体" w:hAnsi="宋体" w:cs="宋体" w:eastAsia="宋体" w:hint="default"/>
                <w:sz w:val="18"/>
                <w:szCs w:val="18"/>
              </w:rPr>
              <w:t>以公司自有资金投入</w:t>
            </w:r>
            <w:r>
              <w:rPr>
                <w:rFonts w:ascii="Times New Roman" w:hAnsi="Times New Roman" w:cs="Times New Roman" w:eastAsia="Times New Roman" w:hint="default"/>
                <w:sz w:val="18"/>
                <w:szCs w:val="18"/>
              </w:rPr>
              <w:t>”</w:t>
            </w:r>
            <w:r>
              <w:rPr>
                <w:rFonts w:ascii="宋体" w:hAnsi="宋体" w:cs="宋体" w:eastAsia="宋体" w:hint="default"/>
                <w:sz w:val="18"/>
                <w:szCs w:val="18"/>
              </w:rPr>
              <w:t>，暨将两个项目变为非 募集资金项目。</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年非公开发行项目：截至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日，公司以自有资金先期投入募集资金项目</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4,179.53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万元，募集资金到位后根据专项审核报告及第三届董事会第六次会议董事会决议，并经保</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4"/>
                <w:sz w:val="18"/>
                <w:szCs w:val="18"/>
              </w:rPr>
              <w:t>荐人同意，使用募集资金对先期投入自有资金进行置换，另</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12,095.39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万元是先期投入自用流动资金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直接用于归还银行贷款。</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年非公开发行项目：截至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日，公司以自有资金先</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期投入募集资金项目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4,051.43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万元，募集资金到位后根据专项审核报告及第四届董事会第九次会议</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决议，并经保荐人同意，使用募集资金对先期投入自有资金进行置换。公司分别于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日，置换先期投入总计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4,051.43 </w:t>
            </w:r>
            <w:r>
              <w:rPr>
                <w:rFonts w:ascii="宋体" w:hAnsi="宋体" w:cs="宋体" w:eastAsia="宋体" w:hint="default"/>
                <w:sz w:val="18"/>
                <w:szCs w:val="18"/>
              </w:rPr>
              <w:t>万元，先期投入全部置换完毕。</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2"/>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227"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年非公开发行项目：</w:t>
            </w:r>
          </w:p>
          <w:p>
            <w:pPr>
              <w:pStyle w:val="TableParagraph"/>
              <w:spacing w:line="240" w:lineRule="auto" w:before="10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日召开的第四届董事会第六次会议审议通过了《关于公司使用部分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闲置募集资金暂时补充流动资金的议案</w:t>
            </w:r>
            <w:r>
              <w:rPr>
                <w:rFonts w:ascii="宋体" w:hAnsi="宋体" w:cs="宋体" w:eastAsia="宋体" w:hint="default"/>
                <w:spacing w:val="-92"/>
                <w:sz w:val="18"/>
                <w:szCs w:val="18"/>
              </w:rPr>
              <w:t>》</w:t>
            </w:r>
            <w:r>
              <w:rPr>
                <w:rFonts w:ascii="宋体" w:hAnsi="宋体" w:cs="宋体" w:eastAsia="宋体" w:hint="default"/>
                <w:spacing w:val="-44"/>
                <w:sz w:val="18"/>
                <w:szCs w:val="18"/>
              </w:rPr>
              <w:t>，</w:t>
            </w:r>
            <w:r>
              <w:rPr>
                <w:rFonts w:ascii="宋体" w:hAnsi="宋体" w:cs="宋体" w:eastAsia="宋体" w:hint="default"/>
                <w:sz w:val="18"/>
                <w:szCs w:val="18"/>
              </w:rPr>
              <w:t>同意公司使用不</w:t>
            </w:r>
            <w:r>
              <w:rPr>
                <w:rFonts w:ascii="宋体" w:hAnsi="宋体" w:cs="宋体" w:eastAsia="宋体" w:hint="default"/>
                <w:spacing w:val="2"/>
                <w:sz w:val="18"/>
                <w:szCs w:val="18"/>
              </w:rPr>
              <w:t>超</w:t>
            </w:r>
            <w:r>
              <w:rPr>
                <w:rFonts w:ascii="宋体" w:hAnsi="宋体" w:cs="宋体" w:eastAsia="宋体" w:hint="default"/>
                <w:sz w:val="18"/>
                <w:szCs w:val="18"/>
              </w:rPr>
              <w:t>过</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79</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  </w:t>
            </w:r>
            <w:r>
              <w:rPr>
                <w:rFonts w:ascii="宋体" w:hAnsi="宋体" w:cs="宋体" w:eastAsia="宋体" w:hint="default"/>
                <w:sz w:val="18"/>
                <w:szCs w:val="18"/>
              </w:rPr>
              <w:t>万元的闲置募</w:t>
            </w:r>
            <w:r>
              <w:rPr>
                <w:rFonts w:ascii="宋体" w:hAnsi="宋体" w:cs="宋体" w:eastAsia="宋体" w:hint="default"/>
                <w:spacing w:val="-3"/>
                <w:sz w:val="18"/>
                <w:szCs w:val="18"/>
              </w:rPr>
              <w:t>集</w:t>
            </w:r>
            <w:r>
              <w:rPr>
                <w:rFonts w:ascii="宋体" w:hAnsi="宋体" w:cs="宋体" w:eastAsia="宋体" w:hint="default"/>
                <w:sz w:val="18"/>
                <w:szCs w:val="18"/>
              </w:rPr>
              <w:t>资金暂时</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补充流动资金，使用期限自董事会通过之日起不超过</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pacing w:val="-6"/>
                <w:sz w:val="18"/>
                <w:szCs w:val="18"/>
              </w:rPr>
              <w:t>个月。公司共使用</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79,600.00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万元闲置募集资</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金暂时补充流动资金</w:t>
            </w:r>
            <w:r>
              <w:rPr>
                <w:rFonts w:ascii="宋体" w:hAnsi="宋体" w:cs="宋体" w:eastAsia="宋体" w:hint="default"/>
                <w:spacing w:val="-92"/>
                <w:sz w:val="18"/>
                <w:szCs w:val="18"/>
              </w:rPr>
              <w:t>。</w:t>
            </w:r>
            <w:r>
              <w:rPr>
                <w:rFonts w:ascii="宋体" w:hAnsi="宋体" w:cs="宋体" w:eastAsia="宋体" w:hint="default"/>
                <w:sz w:val="18"/>
                <w:szCs w:val="18"/>
              </w:rPr>
              <w:t>截止</w:t>
            </w:r>
            <w:r>
              <w:rPr>
                <w:rFonts w:ascii="宋体" w:hAnsi="宋体" w:cs="宋体" w:eastAsia="宋体" w:hint="default"/>
                <w:spacing w:val="-63"/>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日</w:t>
            </w:r>
            <w:r>
              <w:rPr>
                <w:rFonts w:ascii="宋体" w:hAnsi="宋体" w:cs="宋体" w:eastAsia="宋体" w:hint="default"/>
                <w:spacing w:val="-92"/>
                <w:sz w:val="18"/>
                <w:szCs w:val="18"/>
              </w:rPr>
              <w:t>，</w:t>
            </w:r>
            <w:r>
              <w:rPr>
                <w:rFonts w:ascii="宋体" w:hAnsi="宋体" w:cs="宋体" w:eastAsia="宋体" w:hint="default"/>
                <w:sz w:val="18"/>
                <w:szCs w:val="18"/>
              </w:rPr>
              <w:t>公司已将暂</w:t>
            </w:r>
            <w:r>
              <w:rPr>
                <w:rFonts w:ascii="宋体" w:hAnsi="宋体" w:cs="宋体" w:eastAsia="宋体" w:hint="default"/>
                <w:spacing w:val="-3"/>
                <w:sz w:val="18"/>
                <w:szCs w:val="18"/>
              </w:rPr>
              <w:t>时</w:t>
            </w:r>
            <w:r>
              <w:rPr>
                <w:rFonts w:ascii="宋体" w:hAnsi="宋体" w:cs="宋体" w:eastAsia="宋体" w:hint="default"/>
                <w:sz w:val="18"/>
                <w:szCs w:val="18"/>
              </w:rPr>
              <w:t>补充流动资金的闲置募集资金</w:t>
            </w:r>
            <w:r>
              <w:rPr>
                <w:rFonts w:ascii="宋体" w:hAnsi="宋体" w:cs="宋体" w:eastAsia="宋体" w:hint="default"/>
                <w:spacing w:val="-63"/>
                <w:sz w:val="18"/>
                <w:szCs w:val="18"/>
              </w:rPr>
              <w:t> </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万元全部按时归还至募集资金专用账户。</w:t>
            </w:r>
          </w:p>
          <w:p>
            <w:pPr>
              <w:pStyle w:val="TableParagraph"/>
              <w:spacing w:line="240" w:lineRule="auto" w:before="115"/>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日召开的第四届董事会第十二次会议审议通过了《关于公司使用部</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分闲置募集资金暂时补充流动资金的议案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，同意公司使用</w:t>
            </w:r>
            <w:r>
              <w:rPr>
                <w:rFonts w:ascii="宋体" w:hAnsi="宋体" w:cs="宋体" w:eastAsia="宋体" w:hint="default"/>
                <w:spacing w:val="2"/>
                <w:sz w:val="18"/>
                <w:szCs w:val="18"/>
              </w:rPr>
              <w:t>不</w:t>
            </w:r>
            <w:r>
              <w:rPr>
                <w:rFonts w:ascii="宋体" w:hAnsi="宋体" w:cs="宋体" w:eastAsia="宋体" w:hint="default"/>
                <w:sz w:val="18"/>
                <w:szCs w:val="18"/>
              </w:rPr>
              <w:t>超过</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57</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万元的闲置募</w:t>
            </w:r>
            <w:r>
              <w:rPr>
                <w:rFonts w:ascii="宋体" w:hAnsi="宋体" w:cs="宋体" w:eastAsia="宋体" w:hint="default"/>
                <w:spacing w:val="-3"/>
                <w:sz w:val="18"/>
                <w:szCs w:val="18"/>
              </w:rPr>
              <w:t>集</w:t>
            </w:r>
            <w:r>
              <w:rPr>
                <w:rFonts w:ascii="宋体" w:hAnsi="宋体" w:cs="宋体" w:eastAsia="宋体" w:hint="default"/>
                <w:sz w:val="18"/>
                <w:szCs w:val="18"/>
              </w:rPr>
              <w:t>资金暂</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时补充流动资金，使用期限自董事会通过之日起不超过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日，公司已将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暂时补充流动资金的闲置募集资金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57,300.00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万元全部按时归还至募集资金专用账户。</w:t>
            </w:r>
          </w:p>
          <w:p>
            <w:pPr>
              <w:pStyle w:val="TableParagraph"/>
              <w:spacing w:line="240" w:lineRule="auto" w:before="103"/>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日召开的第四届董事会第十七次会议审议通过了《关于公司使用部分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闲置募集资金暂时补充流动资金的议案</w:t>
            </w:r>
            <w:r>
              <w:rPr>
                <w:rFonts w:ascii="宋体" w:hAnsi="宋体" w:cs="宋体" w:eastAsia="宋体" w:hint="default"/>
                <w:spacing w:val="-92"/>
                <w:sz w:val="18"/>
                <w:szCs w:val="18"/>
              </w:rPr>
              <w:t>》</w:t>
            </w:r>
            <w:r>
              <w:rPr>
                <w:rFonts w:ascii="宋体" w:hAnsi="宋体" w:cs="宋体" w:eastAsia="宋体" w:hint="default"/>
                <w:sz w:val="18"/>
                <w:szCs w:val="18"/>
              </w:rPr>
              <w:t>，同意公司使用不</w:t>
            </w:r>
            <w:r>
              <w:rPr>
                <w:rFonts w:ascii="宋体" w:hAnsi="宋体" w:cs="宋体" w:eastAsia="宋体" w:hint="default"/>
                <w:spacing w:val="2"/>
                <w:sz w:val="18"/>
                <w:szCs w:val="18"/>
              </w:rPr>
              <w:t>超</w:t>
            </w:r>
            <w:r>
              <w:rPr>
                <w:rFonts w:ascii="宋体" w:hAnsi="宋体" w:cs="宋体" w:eastAsia="宋体" w:hint="default"/>
                <w:sz w:val="18"/>
                <w:szCs w:val="18"/>
              </w:rPr>
              <w:t>过</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万元闲置资金用</w:t>
            </w:r>
            <w:r>
              <w:rPr>
                <w:rFonts w:ascii="宋体" w:hAnsi="宋体" w:cs="宋体" w:eastAsia="宋体" w:hint="default"/>
                <w:spacing w:val="-3"/>
                <w:sz w:val="18"/>
                <w:szCs w:val="18"/>
              </w:rPr>
              <w:t>于</w:t>
            </w:r>
            <w:r>
              <w:rPr>
                <w:rFonts w:ascii="宋体" w:hAnsi="宋体" w:cs="宋体" w:eastAsia="宋体" w:hint="default"/>
                <w:sz w:val="18"/>
                <w:szCs w:val="18"/>
              </w:rPr>
              <w:t>暂时补</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充流动资金，使用期限自董事会通过之日起不超过</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9"/>
                <w:sz w:val="18"/>
                <w:szCs w:val="18"/>
              </w:rPr>
              <w:t> </w:t>
            </w:r>
            <w:r>
              <w:rPr>
                <w:rFonts w:ascii="宋体" w:hAnsi="宋体" w:cs="宋体" w:eastAsia="宋体" w:hint="default"/>
                <w:spacing w:val="-6"/>
                <w:sz w:val="18"/>
                <w:szCs w:val="18"/>
              </w:rPr>
              <w:t>个月。本期内共使用</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35,000.00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万元闲置募集资</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987"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pacing w:val="-4"/>
                <w:sz w:val="18"/>
                <w:szCs w:val="18"/>
              </w:rPr>
              <w:t>金暂时补充流动资金。截至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日，前述暂时补充流动资金的闲置募集资金尚未归还至</w:t>
            </w:r>
          </w:p>
          <w:p>
            <w:pPr>
              <w:pStyle w:val="TableParagraph"/>
              <w:spacing w:line="300" w:lineRule="auto" w:before="63"/>
              <w:ind w:left="24" w:right="19"/>
              <w:jc w:val="left"/>
              <w:rPr>
                <w:rFonts w:ascii="宋体" w:hAnsi="宋体" w:cs="宋体" w:eastAsia="宋体" w:hint="default"/>
                <w:sz w:val="18"/>
                <w:szCs w:val="18"/>
              </w:rPr>
            </w:pPr>
            <w:r>
              <w:rPr>
                <w:rFonts w:ascii="宋体" w:hAnsi="宋体" w:cs="宋体" w:eastAsia="宋体" w:hint="default"/>
                <w:sz w:val="18"/>
                <w:szCs w:val="18"/>
              </w:rPr>
              <w:t>募集资金专用账户。</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日，公司已于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日将</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35,000.00 </w:t>
            </w:r>
            <w:r>
              <w:rPr>
                <w:rFonts w:ascii="宋体" w:hAnsi="宋体" w:cs="宋体" w:eastAsia="宋体" w:hint="default"/>
                <w:sz w:val="18"/>
                <w:szCs w:val="18"/>
              </w:rPr>
              <w:t>万元暂时补充流动 资金的闲置募集资金全部归还至募集资金专用账户。</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0"/>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938"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年非公开发行项目：鉴于公司</w:t>
            </w:r>
            <w:r>
              <w:rPr>
                <w:rFonts w:ascii="Times New Roman" w:hAnsi="Times New Roman" w:cs="Times New Roman" w:eastAsia="Times New Roman" w:hint="default"/>
                <w:sz w:val="18"/>
                <w:szCs w:val="18"/>
              </w:rPr>
              <w:t>“</w:t>
            </w: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万台自助服务终端产能扩建项目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已经于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p>
          <w:p>
            <w:pPr>
              <w:pStyle w:val="TableParagraph"/>
              <w:spacing w:line="300" w:lineRule="auto" w:before="63"/>
              <w:ind w:left="24" w:right="21"/>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3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日达到预定可使用状态，达到预期建设目标。公司本着谨慎节约的原则，在充分考虑建设方案</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的合理性、实用性的基础上，尽量减少募投成本，经济、合理地使用募集资金。</w:t>
            </w:r>
          </w:p>
          <w:p>
            <w:pPr>
              <w:pStyle w:val="TableParagraph"/>
              <w:spacing w:line="309" w:lineRule="auto" w:before="72"/>
              <w:ind w:left="24" w:right="23" w:firstLine="36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日召开的第三届董事会第三十四次会议和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年年度股东大会审议通过了《公司关于部分募集资金投资项目建设完成并将该项目结余募集资金用 </w:t>
            </w:r>
            <w:r>
              <w:rPr>
                <w:rFonts w:ascii="宋体" w:hAnsi="宋体" w:cs="宋体" w:eastAsia="宋体" w:hint="default"/>
                <w:spacing w:val="-4"/>
                <w:w w:val="100"/>
                <w:sz w:val="18"/>
                <w:szCs w:val="18"/>
              </w:rPr>
              <w:t>于永久补充流动资金的议案》，经审慎研究，公司决定将</w:t>
            </w:r>
            <w:r>
              <w:rPr>
                <w:rFonts w:ascii="Times New Roman" w:hAnsi="Times New Roman" w:cs="Times New Roman" w:eastAsia="Times New Roman" w:hint="default"/>
                <w:spacing w:val="-4"/>
                <w:w w:val="100"/>
                <w:sz w:val="18"/>
                <w:szCs w:val="18"/>
              </w:rPr>
              <w:t>“</w:t>
            </w:r>
            <w:r>
              <w:rPr>
                <w:rFonts w:ascii="宋体" w:hAnsi="宋体" w:cs="宋体" w:eastAsia="宋体" w:hint="default"/>
                <w:spacing w:val="-4"/>
                <w:w w:val="100"/>
                <w:sz w:val="18"/>
                <w:szCs w:val="18"/>
              </w:rPr>
              <w:t>年产</w:t>
            </w:r>
            <w:r>
              <w:rPr>
                <w:rFonts w:ascii="宋体" w:hAnsi="宋体" w:cs="宋体" w:eastAsia="宋体" w:hint="default"/>
                <w:w w:val="10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1"/>
                <w:sz w:val="18"/>
                <w:szCs w:val="18"/>
              </w:rPr>
              <w:t> </w:t>
            </w:r>
            <w:r>
              <w:rPr>
                <w:rFonts w:ascii="宋体" w:hAnsi="宋体" w:cs="宋体" w:eastAsia="宋体" w:hint="default"/>
                <w:spacing w:val="-1"/>
                <w:w w:val="100"/>
                <w:sz w:val="18"/>
                <w:szCs w:val="18"/>
              </w:rPr>
              <w:t>万台自助服务终端产能扩建项目</w:t>
            </w:r>
            <w:r>
              <w:rPr>
                <w:rFonts w:ascii="Times New Roman" w:hAnsi="Times New Roman" w:cs="Times New Roman" w:eastAsia="Times New Roman" w:hint="default"/>
                <w:spacing w:val="-1"/>
                <w:w w:val="100"/>
                <w:sz w:val="18"/>
                <w:szCs w:val="18"/>
              </w:rPr>
              <w:t>”</w:t>
            </w:r>
          </w:p>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达到预期建设目标后的结余募集资金结余金额为</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2,095.96</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万元（含利息收入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186.59</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万元）用于永久</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补充流动资金。截至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日，公司已将该项目全部结余资金永久补充流动资金，共计</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pacing w:val="1"/>
                <w:sz w:val="18"/>
                <w:szCs w:val="18"/>
              </w:rPr>
              <w:t>13</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万元（含利息收入</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92"/>
                <w:sz w:val="18"/>
                <w:szCs w:val="18"/>
              </w:rPr>
              <w:t>）</w:t>
            </w:r>
            <w:r>
              <w:rPr>
                <w:rFonts w:ascii="宋体" w:hAnsi="宋体" w:cs="宋体" w:eastAsia="宋体" w:hint="default"/>
                <w:sz w:val="18"/>
                <w:szCs w:val="18"/>
              </w:rPr>
              <w:t>，账户已注销。</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存放于募集资金专户及暂时用于补充流动资金。</w:t>
            </w:r>
          </w:p>
        </w:tc>
      </w:tr>
      <w:tr>
        <w:trPr>
          <w:trHeight w:val="3291"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7"/>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年非公开发行项目：实际收到募集资金</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50,082.45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万元与公告应收到募集资金净额</w:t>
            </w:r>
          </w:p>
          <w:p>
            <w:pPr>
              <w:pStyle w:val="TableParagraph"/>
              <w:spacing w:line="300" w:lineRule="auto" w:before="63"/>
              <w:ind w:left="24" w:right="18"/>
              <w:jc w:val="left"/>
              <w:rPr>
                <w:rFonts w:ascii="宋体" w:hAnsi="宋体" w:cs="宋体" w:eastAsia="宋体" w:hint="default"/>
                <w:sz w:val="18"/>
                <w:szCs w:val="18"/>
              </w:rPr>
            </w:pPr>
            <w:r>
              <w:rPr>
                <w:rFonts w:ascii="Times New Roman" w:hAnsi="Times New Roman" w:cs="Times New Roman" w:eastAsia="Times New Roman" w:hint="default"/>
                <w:sz w:val="18"/>
                <w:szCs w:val="18"/>
              </w:rPr>
              <w:t>49,485.39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万元的差异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597.06</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万元系发行费用，前期以自有资金支付，未对其进行置换至一般户，直</w:t>
            </w:r>
            <w:r>
              <w:rPr>
                <w:rFonts w:ascii="宋体" w:hAnsi="宋体" w:cs="宋体" w:eastAsia="宋体" w:hint="default"/>
                <w:sz w:val="18"/>
                <w:szCs w:val="18"/>
              </w:rPr>
              <w:t> 接用于归还贷款。</w:t>
            </w:r>
          </w:p>
          <w:p>
            <w:pPr>
              <w:pStyle w:val="TableParagraph"/>
              <w:spacing w:line="240" w:lineRule="auto" w:before="70"/>
              <w:ind w:left="38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w:t>
            </w:r>
            <w:r>
              <w:rPr>
                <w:rFonts w:ascii="Times New Roman" w:hAnsi="Times New Roman" w:cs="Times New Roman" w:eastAsia="Times New Roman" w:hint="default"/>
                <w:spacing w:val="-12"/>
                <w:sz w:val="18"/>
                <w:szCs w:val="18"/>
              </w:rPr>
              <w:t>2015 </w:t>
            </w:r>
            <w:r>
              <w:rPr>
                <w:rFonts w:ascii="宋体" w:hAnsi="宋体" w:cs="宋体" w:eastAsia="宋体" w:hint="default"/>
                <w:spacing w:val="-5"/>
                <w:sz w:val="18"/>
                <w:szCs w:val="18"/>
              </w:rPr>
              <w:t>年公司债项目：实际收到募集资金 </w:t>
            </w:r>
            <w:r>
              <w:rPr>
                <w:rFonts w:ascii="Times New Roman" w:hAnsi="Times New Roman" w:cs="Times New Roman" w:eastAsia="Times New Roman" w:hint="default"/>
                <w:sz w:val="18"/>
                <w:szCs w:val="18"/>
              </w:rPr>
              <w:t>39,720.00  </w:t>
            </w:r>
            <w:r>
              <w:rPr>
                <w:rFonts w:ascii="宋体" w:hAnsi="宋体" w:cs="宋体" w:eastAsia="宋体" w:hint="default"/>
                <w:sz w:val="18"/>
                <w:szCs w:val="18"/>
              </w:rPr>
              <w:t>万元与公告应收到募集资金净额</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39,663.00</w:t>
            </w:r>
          </w:p>
          <w:p>
            <w:pPr>
              <w:pStyle w:val="TableParagraph"/>
              <w:spacing w:line="300" w:lineRule="auto" w:before="63"/>
              <w:ind w:left="24" w:right="68"/>
              <w:jc w:val="left"/>
              <w:rPr>
                <w:rFonts w:ascii="宋体" w:hAnsi="宋体" w:cs="宋体" w:eastAsia="宋体" w:hint="default"/>
                <w:sz w:val="18"/>
                <w:szCs w:val="18"/>
              </w:rPr>
            </w:pPr>
            <w:r>
              <w:rPr>
                <w:rFonts w:ascii="宋体" w:hAnsi="宋体" w:cs="宋体" w:eastAsia="宋体" w:hint="default"/>
                <w:sz w:val="18"/>
                <w:szCs w:val="18"/>
              </w:rPr>
              <w:t>万元的差异</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万元系发行费用中的律师费用及评估费用，前期以自有资金支付，未对其进行置 换至一般户，直接用于归还贷款。</w:t>
            </w:r>
          </w:p>
          <w:p>
            <w:pPr>
              <w:pStyle w:val="TableParagraph"/>
              <w:spacing w:line="300" w:lineRule="auto" w:before="72"/>
              <w:ind w:left="24" w:right="6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年非公开发行项目：募集资金总额为人民币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151,160.19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万元，扣除保荐承销费及其他 发行费用总计人民币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3,435.12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r>
              <w:rPr>
                <w:rFonts w:ascii="宋体" w:hAnsi="宋体" w:cs="宋体" w:eastAsia="宋体" w:hint="default"/>
                <w:sz w:val="18"/>
                <w:szCs w:val="18"/>
              </w:rPr>
              <w:t>，募集资金净额为人民币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147,725.07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万元。募集资金净额</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加上本次非公开发行股票发行费用可抵扣增值税进项税额</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194.37</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万元，实际总募集资金净额为人民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147,919.44 </w:t>
            </w:r>
            <w:r>
              <w:rPr>
                <w:rFonts w:ascii="宋体" w:hAnsi="宋体" w:cs="宋体" w:eastAsia="宋体" w:hint="default"/>
                <w:sz w:val="18"/>
                <w:szCs w:val="18"/>
              </w:rPr>
              <w:t>万元。</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37"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2" w:hanging="181"/>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254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316" w:lineRule="auto"/>
              <w:ind w:left="24" w:right="22"/>
              <w:jc w:val="both"/>
              <w:rPr>
                <w:rFonts w:ascii="宋体" w:hAnsi="宋体" w:cs="宋体" w:eastAsia="宋体" w:hint="default"/>
                <w:sz w:val="18"/>
                <w:szCs w:val="18"/>
              </w:rPr>
            </w:pPr>
            <w:r>
              <w:rPr>
                <w:rFonts w:ascii="宋体" w:hAnsi="宋体" w:cs="宋体" w:eastAsia="宋体" w:hint="default"/>
                <w:sz w:val="18"/>
                <w:szCs w:val="18"/>
              </w:rPr>
              <w:t>证通电子大 数据云计算 产业园（光 明云谷）项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万台符合中 国人民银行 </w:t>
            </w:r>
            <w:r>
              <w:rPr>
                <w:rFonts w:ascii="Times New Roman" w:hAnsi="Times New Roman" w:cs="Times New Roman" w:eastAsia="Times New Roman" w:hint="default"/>
                <w:sz w:val="18"/>
                <w:szCs w:val="18"/>
              </w:rPr>
              <w:t>PBOC2.0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新</w:t>
            </w:r>
          </w:p>
          <w:p>
            <w:pPr>
              <w:pStyle w:val="TableParagraph"/>
              <w:spacing w:line="240" w:lineRule="auto" w:before="3"/>
              <w:ind w:left="24" w:right="0"/>
              <w:jc w:val="both"/>
              <w:rPr>
                <w:rFonts w:ascii="宋体" w:hAnsi="宋体" w:cs="宋体" w:eastAsia="宋体" w:hint="default"/>
                <w:sz w:val="18"/>
                <w:szCs w:val="18"/>
              </w:rPr>
            </w:pPr>
            <w:r>
              <w:rPr>
                <w:rFonts w:ascii="宋体" w:hAnsi="宋体" w:cs="宋体" w:eastAsia="宋体" w:hint="default"/>
                <w:sz w:val="18"/>
                <w:szCs w:val="18"/>
              </w:rPr>
              <w:t>标准的金融</w:t>
            </w:r>
          </w:p>
          <w:p>
            <w:pPr>
              <w:pStyle w:val="TableParagraph"/>
              <w:spacing w:line="240" w:lineRule="auto" w:before="76"/>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IC </w:t>
            </w:r>
            <w:r>
              <w:rPr>
                <w:rFonts w:ascii="宋体" w:hAnsi="宋体" w:cs="宋体" w:eastAsia="宋体" w:hint="default"/>
                <w:sz w:val="18"/>
                <w:szCs w:val="18"/>
              </w:rPr>
              <w:t>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POS</w:t>
            </w:r>
          </w:p>
          <w:p>
            <w:pPr>
              <w:pStyle w:val="TableParagraph"/>
              <w:spacing w:line="316" w:lineRule="auto" w:before="62"/>
              <w:ind w:left="24" w:right="23"/>
              <w:jc w:val="both"/>
              <w:rPr>
                <w:rFonts w:ascii="宋体" w:hAnsi="宋体" w:cs="宋体" w:eastAsia="宋体" w:hint="default"/>
                <w:sz w:val="18"/>
                <w:szCs w:val="18"/>
              </w:rPr>
            </w:pPr>
            <w:r>
              <w:rPr>
                <w:rFonts w:ascii="宋体" w:hAnsi="宋体" w:cs="宋体" w:eastAsia="宋体" w:hint="default"/>
                <w:sz w:val="18"/>
                <w:szCs w:val="18"/>
              </w:rPr>
              <w:t>终端产能建 设项目</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429" w:right="0"/>
              <w:jc w:val="left"/>
              <w:rPr>
                <w:rFonts w:ascii="Times New Roman" w:hAnsi="Times New Roman" w:cs="Times New Roman" w:eastAsia="Times New Roman" w:hint="default"/>
                <w:sz w:val="18"/>
                <w:szCs w:val="18"/>
              </w:rPr>
            </w:pPr>
            <w:r>
              <w:rPr>
                <w:rFonts w:ascii="Times New Roman"/>
                <w:sz w:val="18"/>
              </w:rPr>
              <w:t>17,245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8,289.6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03" w:right="0"/>
              <w:jc w:val="left"/>
              <w:rPr>
                <w:rFonts w:ascii="Times New Roman" w:hAnsi="Times New Roman" w:cs="Times New Roman" w:eastAsia="Times New Roman" w:hint="default"/>
                <w:sz w:val="18"/>
                <w:szCs w:val="18"/>
              </w:rPr>
            </w:pPr>
            <w:r>
              <w:rPr>
                <w:rFonts w:ascii="Times New Roman"/>
                <w:sz w:val="18"/>
              </w:rPr>
              <w:t>16,261.52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94.30%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958"/>
        <w:gridCol w:w="958"/>
      </w:tblGrid>
      <w:tr>
        <w:trPr>
          <w:trHeight w:val="1611" w:hRule="exact"/>
        </w:trPr>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24" w:right="19"/>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 惠农通农村 电子商务专 用终端产能 建设项目</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22"/>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both"/>
              <w:rPr>
                <w:rFonts w:ascii="宋体" w:hAnsi="宋体" w:cs="宋体" w:eastAsia="宋体" w:hint="default"/>
                <w:sz w:val="18"/>
                <w:szCs w:val="18"/>
              </w:rPr>
            </w:pPr>
            <w:r>
              <w:rPr>
                <w:rFonts w:ascii="宋体" w:hAnsi="宋体" w:cs="宋体" w:eastAsia="宋体" w:hint="default"/>
                <w:sz w:val="18"/>
                <w:szCs w:val="18"/>
              </w:rPr>
              <w:t>支付卡行业 安全芯片项 目（非公开 发行）</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w w:val="95"/>
                <w:sz w:val="18"/>
              </w:rPr>
              <w:t>5,183.56</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w w:val="95"/>
                <w:sz w:val="18"/>
              </w:rPr>
              <w:t>5,258.91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101.45%</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40"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2" w:right="22"/>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年产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 台自助服务 终端产能扩 建项目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w w:val="95"/>
                <w:sz w:val="18"/>
              </w:rPr>
              <w:t>1,909.39</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2,113.29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2"/>
                <w:sz w:val="18"/>
              </w:rPr>
              <w:t>110.68%</w:t>
            </w: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24,337.95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6" w:right="0"/>
              <w:jc w:val="left"/>
              <w:rPr>
                <w:rFonts w:ascii="Times New Roman" w:hAnsi="Times New Roman" w:cs="Times New Roman" w:eastAsia="Times New Roman" w:hint="default"/>
                <w:sz w:val="18"/>
                <w:szCs w:val="18"/>
              </w:rPr>
            </w:pPr>
            <w:r>
              <w:rPr>
                <w:rFonts w:ascii="Times New Roman"/>
                <w:sz w:val="18"/>
              </w:rPr>
              <w:t>8,289.6</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23,633.72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9181"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3"/>
              <w:ind w:left="22"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1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、年产</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万台符合中国人民银行</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PBOC2.0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新标准的金融</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卡</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终端产能建 设项目和年产</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万台惠农通农村电子商务专用终端产能建设项目拟全部变更为以公司 </w:t>
            </w:r>
            <w:r>
              <w:rPr>
                <w:rFonts w:ascii="宋体" w:hAnsi="宋体" w:cs="宋体" w:eastAsia="宋体" w:hint="default"/>
                <w:spacing w:val="-1"/>
                <w:sz w:val="18"/>
                <w:szCs w:val="18"/>
              </w:rPr>
              <w:t>自有资金投入，两个项目的实施地点由在公司二期产业园建设用地规划新建全部变更</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为在公司产业园一期生产厂房内与现有生产线进行整合改造的方式建设。原年产</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万台符合中国人民银行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PBOC2.0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新标准的金融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终端产能建设项目和年产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万台惠农通农村电子商务专用终端产能建设项目募集资金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17,245.00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万元及利息</w:t>
            </w:r>
          </w:p>
          <w:p>
            <w:pPr>
              <w:pStyle w:val="TableParagraph"/>
              <w:spacing w:line="300" w:lineRule="auto" w:before="9"/>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642.41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万元全部投入新项目</w:t>
            </w:r>
            <w:r>
              <w:rPr>
                <w:rFonts w:ascii="Times New Roman" w:hAnsi="Times New Roman" w:cs="Times New Roman" w:eastAsia="Times New Roman" w:hint="default"/>
                <w:sz w:val="18"/>
                <w:szCs w:val="18"/>
              </w:rPr>
              <w:t>“</w:t>
            </w:r>
            <w:r>
              <w:rPr>
                <w:rFonts w:ascii="宋体" w:hAnsi="宋体" w:cs="宋体" w:eastAsia="宋体" w:hint="default"/>
                <w:sz w:val="18"/>
                <w:szCs w:val="18"/>
              </w:rPr>
              <w:t>证通电子大数据云计算产业园</w:t>
            </w:r>
            <w:r>
              <w:rPr>
                <w:rFonts w:ascii="Times New Roman" w:hAnsi="Times New Roman" w:cs="Times New Roman" w:eastAsia="Times New Roman" w:hint="default"/>
                <w:sz w:val="18"/>
                <w:szCs w:val="18"/>
              </w:rPr>
              <w:t>(</w:t>
            </w:r>
            <w:r>
              <w:rPr>
                <w:rFonts w:ascii="宋体" w:hAnsi="宋体" w:cs="宋体" w:eastAsia="宋体" w:hint="default"/>
                <w:sz w:val="18"/>
                <w:szCs w:val="18"/>
              </w:rPr>
              <w:t>光明云谷</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。项目变 更原因系公司预计大数据时代下</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业务强劲的发展势头及公司产业升级的需要，进</w:t>
            </w:r>
            <w:r>
              <w:rPr>
                <w:rFonts w:ascii="宋体" w:hAnsi="宋体" w:cs="宋体" w:eastAsia="宋体" w:hint="default"/>
                <w:sz w:val="18"/>
                <w:szCs w:val="18"/>
              </w:rPr>
              <w:t> 行多方位的合理化布局。该事项经公司于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日召开的第四届董事会第</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八次会议和于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年第五次临时股东大会审议通过。以上</w:t>
            </w:r>
          </w:p>
          <w:p>
            <w:pPr>
              <w:pStyle w:val="TableParagraph"/>
              <w:spacing w:line="300" w:lineRule="auto" w:before="63"/>
              <w:ind w:left="23" w:right="99"/>
              <w:jc w:val="left"/>
              <w:rPr>
                <w:rFonts w:ascii="宋体" w:hAnsi="宋体" w:cs="宋体" w:eastAsia="宋体" w:hint="default"/>
                <w:sz w:val="18"/>
                <w:szCs w:val="18"/>
              </w:rPr>
            </w:pPr>
            <w:r>
              <w:rPr>
                <w:rFonts w:ascii="宋体" w:hAnsi="宋体" w:cs="宋体" w:eastAsia="宋体" w:hint="default"/>
                <w:sz w:val="18"/>
                <w:szCs w:val="18"/>
              </w:rPr>
              <w:t>事项详见公司于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日刊登于《证券时报》和巨潮资讯网上的《关于公 </w:t>
            </w:r>
            <w:r>
              <w:rPr>
                <w:rFonts w:ascii="宋体" w:hAnsi="宋体" w:cs="宋体" w:eastAsia="宋体" w:hint="default"/>
                <w:spacing w:val="-8"/>
                <w:sz w:val="18"/>
                <w:szCs w:val="18"/>
              </w:rPr>
              <w:t>司变更部分募集资金用途暨投资新项目的公告》（编号：</w:t>
            </w:r>
            <w:r>
              <w:rPr>
                <w:rFonts w:ascii="Times New Roman" w:hAnsi="Times New Roman" w:cs="Times New Roman" w:eastAsia="Times New Roman" w:hint="default"/>
                <w:spacing w:val="-8"/>
                <w:sz w:val="18"/>
                <w:szCs w:val="18"/>
              </w:rPr>
              <w:t>2016-105</w:t>
            </w:r>
            <w:r>
              <w:rPr>
                <w:rFonts w:ascii="宋体" w:hAnsi="宋体" w:cs="宋体" w:eastAsia="宋体" w:hint="default"/>
                <w:spacing w:val="-8"/>
                <w:sz w:val="18"/>
                <w:szCs w:val="18"/>
              </w:rPr>
              <w:t>）。</w:t>
            </w:r>
            <w:r>
              <w:rPr>
                <w:rFonts w:ascii="宋体" w:hAnsi="宋体" w:cs="宋体" w:eastAsia="宋体" w:hint="default"/>
                <w:sz w:val="18"/>
                <w:szCs w:val="18"/>
              </w:rPr>
            </w:r>
          </w:p>
          <w:p>
            <w:pPr>
              <w:pStyle w:val="TableParagraph"/>
              <w:spacing w:line="312" w:lineRule="auto" w:before="53"/>
              <w:ind w:left="23" w:right="22" w:firstLine="36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、支付卡行业安全芯片项目因为公司结合市场环境需求的变化及支付卡行业安 </w:t>
            </w:r>
            <w:r>
              <w:rPr>
                <w:rFonts w:ascii="宋体" w:hAnsi="宋体" w:cs="宋体" w:eastAsia="宋体" w:hint="default"/>
                <w:spacing w:val="-1"/>
                <w:sz w:val="18"/>
                <w:szCs w:val="18"/>
              </w:rPr>
              <w:t>全芯片项目的实际运作情况，本着节约成本和经济效益最大化原则，在项目实际运营</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过程中，为充分利用内外部资源改变了运作模式，由前期完全自购研发相关设备改成</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部分租用。经公司于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日召开的第三届董事会第二十六次会议和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p>
          <w:p>
            <w:pPr>
              <w:pStyle w:val="TableParagraph"/>
              <w:spacing w:line="240" w:lineRule="auto" w:before="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年第四次临时股东大会审议通过，将项目终止并将该募投</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项目截止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日的节余募集资金及利息</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5,202.69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万元用于永久补充流动资</w:t>
            </w:r>
          </w:p>
          <w:p>
            <w:pPr>
              <w:pStyle w:val="TableParagraph"/>
              <w:spacing w:line="300" w:lineRule="auto" w:before="63"/>
              <w:ind w:left="23" w:right="22"/>
              <w:jc w:val="left"/>
              <w:rPr>
                <w:rFonts w:ascii="宋体" w:hAnsi="宋体" w:cs="宋体" w:eastAsia="宋体" w:hint="default"/>
                <w:sz w:val="18"/>
                <w:szCs w:val="18"/>
              </w:rPr>
            </w:pPr>
            <w:r>
              <w:rPr>
                <w:rFonts w:ascii="宋体" w:hAnsi="宋体" w:cs="宋体" w:eastAsia="宋体" w:hint="default"/>
                <w:spacing w:val="-5"/>
                <w:sz w:val="18"/>
                <w:szCs w:val="18"/>
              </w:rPr>
              <w:t>金。以上事项详见公司于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日刊登于《证券时报》和巨潮资讯网上的《公</w:t>
            </w:r>
            <w:r>
              <w:rPr>
                <w:rFonts w:ascii="宋体" w:hAnsi="宋体" w:cs="宋体" w:eastAsia="宋体" w:hint="default"/>
                <w:sz w:val="18"/>
                <w:szCs w:val="18"/>
              </w:rPr>
              <w:t> </w:t>
            </w:r>
            <w:r>
              <w:rPr>
                <w:rFonts w:ascii="宋体" w:hAnsi="宋体" w:cs="宋体" w:eastAsia="宋体" w:hint="default"/>
                <w:spacing w:val="-3"/>
                <w:sz w:val="18"/>
                <w:szCs w:val="18"/>
              </w:rPr>
              <w:t>司关于终止部分募投项目并将相关募集资金永久补充流动资金的公告》（编号：</w:t>
            </w:r>
          </w:p>
          <w:p>
            <w:pPr>
              <w:pStyle w:val="TableParagraph"/>
              <w:spacing w:line="300" w:lineRule="auto" w:before="31"/>
              <w:ind w:left="23" w:right="19"/>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2015-069</w:t>
            </w:r>
            <w:r>
              <w:rPr>
                <w:rFonts w:ascii="宋体" w:hAnsi="宋体" w:cs="宋体" w:eastAsia="宋体" w:hint="default"/>
                <w:spacing w:val="-5"/>
                <w:sz w:val="18"/>
                <w:szCs w:val="18"/>
              </w:rPr>
              <w:t>）。截至本公司将该项目募集资金专户注销时，实际未使用募集资金及利息收</w:t>
            </w:r>
            <w:r>
              <w:rPr>
                <w:rFonts w:ascii="宋体" w:hAnsi="宋体" w:cs="宋体" w:eastAsia="宋体" w:hint="default"/>
                <w:spacing w:val="-52"/>
                <w:sz w:val="18"/>
                <w:szCs w:val="18"/>
              </w:rPr>
              <w:t> </w:t>
            </w:r>
            <w:r>
              <w:rPr>
                <w:rFonts w:ascii="宋体" w:hAnsi="宋体" w:cs="宋体" w:eastAsia="宋体" w:hint="default"/>
                <w:spacing w:val="-52"/>
                <w:sz w:val="18"/>
                <w:szCs w:val="18"/>
              </w:rPr>
            </w:r>
            <w:r>
              <w:rPr>
                <w:rFonts w:ascii="宋体" w:hAnsi="宋体" w:cs="宋体" w:eastAsia="宋体" w:hint="default"/>
                <w:sz w:val="18"/>
                <w:szCs w:val="18"/>
              </w:rPr>
              <w:t>入补充流动资金的金额为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5,258.91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52"/>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、年产</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万台自助服务终端产能扩建项目已于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日达到预定可使</w:t>
            </w:r>
          </w:p>
          <w:p>
            <w:pPr>
              <w:pStyle w:val="TableParagraph"/>
              <w:spacing w:line="300" w:lineRule="auto" w:before="63"/>
              <w:ind w:left="23" w:right="17"/>
              <w:jc w:val="both"/>
              <w:rPr>
                <w:rFonts w:ascii="宋体" w:hAnsi="宋体" w:cs="宋体" w:eastAsia="宋体" w:hint="default"/>
                <w:sz w:val="18"/>
                <w:szCs w:val="18"/>
              </w:rPr>
            </w:pPr>
            <w:r>
              <w:rPr>
                <w:rFonts w:ascii="宋体" w:hAnsi="宋体" w:cs="宋体" w:eastAsia="宋体" w:hint="default"/>
                <w:spacing w:val="-3"/>
                <w:sz w:val="18"/>
                <w:szCs w:val="18"/>
              </w:rPr>
              <w:t>用状态，达到预期建设目标。截至达到预定可使用状态结余募集资金</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2,095.96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r>
              <w:rPr>
                <w:rFonts w:ascii="宋体" w:hAnsi="宋体" w:cs="宋体" w:eastAsia="宋体" w:hint="default"/>
                <w:sz w:val="18"/>
                <w:szCs w:val="18"/>
              </w:rPr>
              <w:t>含 </w:t>
            </w:r>
            <w:r>
              <w:rPr>
                <w:rFonts w:ascii="宋体" w:hAnsi="宋体" w:cs="宋体" w:eastAsia="宋体" w:hint="default"/>
                <w:spacing w:val="-3"/>
                <w:sz w:val="18"/>
                <w:szCs w:val="18"/>
              </w:rPr>
              <w:t>利息收入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，结余原因为募集资金存放期间产生利息收入、以及公司在募投项目实施建</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设过程中节约的募集资金。公司拟将该项目结余募集资金</w:t>
            </w:r>
            <w:r>
              <w:rPr>
                <w:rFonts w:ascii="Times New Roman" w:hAnsi="Times New Roman" w:cs="Times New Roman" w:eastAsia="Times New Roman" w:hint="default"/>
                <w:sz w:val="18"/>
                <w:szCs w:val="18"/>
              </w:rPr>
              <w:t>(</w:t>
            </w:r>
            <w:r>
              <w:rPr>
                <w:rFonts w:ascii="宋体" w:hAnsi="宋体" w:cs="宋体" w:eastAsia="宋体" w:hint="default"/>
                <w:sz w:val="18"/>
                <w:szCs w:val="18"/>
              </w:rPr>
              <w:t>含利息收入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用于永久补充 流动资金，该事项经公司于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日召开的第三届董事会第三十四次会议和</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年年度股东大会审议通过。以上事项详见公司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日刊登于《证券时报》和巨潮资讯网上的《关于部分募集资金投资项目建设完</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7"/>
          <w:szCs w:val="17"/>
        </w:rPr>
      </w:pPr>
    </w:p>
    <w:p>
      <w:pPr>
        <w:pStyle w:val="BodyText"/>
        <w:spacing w:line="240" w:lineRule="auto" w:before="44"/>
        <w:ind w:left="0" w:right="456"/>
        <w:jc w:val="right"/>
      </w:pPr>
      <w:r>
        <w:rPr/>
        <w:pict>
          <v:shape style="position:absolute;margin-left:56.459999pt;margin-top:-163.708282pt;width:479.35pt;height:261.6500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73"/>
                    <w:gridCol w:w="6699"/>
                  </w:tblGrid>
                  <w:tr>
                    <w:trPr>
                      <w:trHeight w:val="987"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成并将该项目结余募集资金用于永久补充流动资金的公告</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编号</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32</w:t>
                        </w:r>
                        <w:r>
                          <w:rPr>
                            <w:rFonts w:ascii="宋体" w:hAnsi="宋体" w:cs="宋体" w:eastAsia="宋体" w:hint="default"/>
                            <w:spacing w:val="-92"/>
                            <w:sz w:val="18"/>
                            <w:szCs w:val="18"/>
                          </w:rPr>
                          <w:t>）</w:t>
                        </w:r>
                        <w:r>
                          <w:rPr>
                            <w:rFonts w:ascii="宋体" w:hAnsi="宋体" w:cs="宋体" w:eastAsia="宋体" w:hint="default"/>
                            <w:sz w:val="18"/>
                            <w:szCs w:val="18"/>
                          </w:rPr>
                          <w:t>。截止</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日，公司已将该项目全部结余资金永久补充流动资金，共计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2,113.29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万元（含利息收入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pacing w:val="-92"/>
                            <w:sz w:val="18"/>
                            <w:szCs w:val="18"/>
                          </w:rPr>
                          <w:t>）</w:t>
                        </w:r>
                        <w:r>
                          <w:rPr>
                            <w:rFonts w:ascii="宋体" w:hAnsi="宋体" w:cs="宋体" w:eastAsia="宋体" w:hint="default"/>
                            <w:sz w:val="18"/>
                            <w:szCs w:val="18"/>
                          </w:rPr>
                          <w:t>，账户已注销。</w:t>
                        </w:r>
                      </w:p>
                    </w:tc>
                  </w:tr>
                  <w:tr>
                    <w:trPr>
                      <w:trHeight w:val="1337"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由于电网迁入、施工难度较大，引起设备变更和设备到货有延迟，截至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日，证通电子大数据云计算产业园（光明云谷）项目建设进度达成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94.30%</w:t>
                        </w:r>
                        <w:r>
                          <w:rPr>
                            <w:rFonts w:ascii="宋体" w:hAnsi="宋体" w:cs="宋体" w:eastAsia="宋体" w:hint="default"/>
                            <w:sz w:val="18"/>
                            <w:szCs w:val="18"/>
                          </w:rPr>
                          <w:t>，</w:t>
                        </w:r>
                      </w:p>
                      <w:p>
                        <w:pPr>
                          <w:pStyle w:val="TableParagraph"/>
                          <w:spacing w:line="300" w:lineRule="auto" w:before="63"/>
                          <w:ind w:left="23" w:right="89"/>
                          <w:jc w:val="left"/>
                          <w:rPr>
                            <w:rFonts w:ascii="宋体" w:hAnsi="宋体" w:cs="宋体" w:eastAsia="宋体" w:hint="default"/>
                            <w:sz w:val="18"/>
                            <w:szCs w:val="18"/>
                          </w:rPr>
                        </w:pPr>
                        <w:r>
                          <w:rPr>
                            <w:rFonts w:ascii="宋体" w:hAnsi="宋体" w:cs="宋体" w:eastAsia="宋体" w:hint="default"/>
                            <w:sz w:val="18"/>
                            <w:szCs w:val="18"/>
                          </w:rPr>
                          <w:t>暂未达到预定计划。截止报告披露日，公司已基本解决前述问题，计划于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年上 半年完成该项目的建设。</w:t>
                        </w:r>
                      </w:p>
                    </w:tc>
                  </w:tr>
                  <w:tr>
                    <w:trPr>
                      <w:trHeight w:val="2900"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2"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3" w:right="20" w:firstLine="360"/>
                          <w:jc w:val="left"/>
                          <w:rPr>
                            <w:rFonts w:ascii="宋体" w:hAnsi="宋体" w:cs="宋体" w:eastAsia="宋体" w:hint="default"/>
                            <w:sz w:val="18"/>
                            <w:szCs w:val="18"/>
                          </w:rPr>
                        </w:pPr>
                        <w:r>
                          <w:rPr>
                            <w:rFonts w:ascii="宋体" w:hAnsi="宋体" w:cs="宋体" w:eastAsia="宋体" w:hint="default"/>
                            <w:sz w:val="18"/>
                            <w:szCs w:val="18"/>
                          </w:rPr>
                          <w:t>将年产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 </w:t>
                        </w:r>
                        <w:r>
                          <w:rPr>
                            <w:rFonts w:ascii="宋体" w:hAnsi="宋体" w:cs="宋体" w:eastAsia="宋体" w:hint="default"/>
                            <w:sz w:val="18"/>
                            <w:szCs w:val="18"/>
                          </w:rPr>
                          <w:t>万台符合中国人民银行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PBOC2.0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新标准的金融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POS </w:t>
                        </w:r>
                        <w:r>
                          <w:rPr>
                            <w:rFonts w:ascii="宋体" w:hAnsi="宋体" w:cs="宋体" w:eastAsia="宋体" w:hint="default"/>
                            <w:sz w:val="18"/>
                            <w:szCs w:val="18"/>
                          </w:rPr>
                          <w:t>终端产能建 设项目和年产</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万台惠农通农村电子商务专用终端产能建设项目变更为证通电子大数 据云计算产业园</w:t>
                        </w:r>
                        <w:r>
                          <w:rPr>
                            <w:rFonts w:ascii="Times New Roman" w:hAnsi="Times New Roman" w:cs="Times New Roman" w:eastAsia="Times New Roman" w:hint="default"/>
                            <w:sz w:val="18"/>
                            <w:szCs w:val="18"/>
                          </w:rPr>
                          <w:t>(</w:t>
                        </w:r>
                        <w:r>
                          <w:rPr>
                            <w:rFonts w:ascii="宋体" w:hAnsi="宋体" w:cs="宋体" w:eastAsia="宋体" w:hint="default"/>
                            <w:sz w:val="18"/>
                            <w:szCs w:val="18"/>
                          </w:rPr>
                          <w:t>光明云谷</w:t>
                        </w:r>
                        <w:r>
                          <w:rPr>
                            <w:rFonts w:ascii="Times New Roman" w:hAnsi="Times New Roman" w:cs="Times New Roman" w:eastAsia="Times New Roman" w:hint="default"/>
                            <w:sz w:val="18"/>
                            <w:szCs w:val="18"/>
                          </w:rPr>
                          <w:t>)</w:t>
                        </w:r>
                        <w:r>
                          <w:rPr>
                            <w:rFonts w:ascii="宋体" w:hAnsi="宋体" w:cs="宋体" w:eastAsia="宋体" w:hint="default"/>
                            <w:sz w:val="18"/>
                            <w:szCs w:val="18"/>
                          </w:rPr>
                          <w:t>项目是基于互联网尤其是移动互联网的快速发展，云计算 及大数据发展迅速，对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需求强劲，大规模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服务商预计将成为行业发展趋势 证通电子大数据云计算产业园</w:t>
                        </w:r>
                        <w:r>
                          <w:rPr>
                            <w:rFonts w:ascii="Times New Roman" w:hAnsi="Times New Roman" w:cs="Times New Roman" w:eastAsia="Times New Roman" w:hint="default"/>
                            <w:sz w:val="18"/>
                            <w:szCs w:val="18"/>
                          </w:rPr>
                          <w:t>(</w:t>
                        </w:r>
                        <w:r>
                          <w:rPr>
                            <w:rFonts w:ascii="宋体" w:hAnsi="宋体" w:cs="宋体" w:eastAsia="宋体" w:hint="default"/>
                            <w:sz w:val="18"/>
                            <w:szCs w:val="18"/>
                          </w:rPr>
                          <w:t>光明云谷</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项目将大力推动公司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IDC </w:t>
                        </w:r>
                        <w:r>
                          <w:rPr>
                            <w:rFonts w:ascii="宋体" w:hAnsi="宋体" w:cs="宋体" w:eastAsia="宋体" w:hint="default"/>
                            <w:sz w:val="18"/>
                            <w:szCs w:val="18"/>
                          </w:rPr>
                          <w:t>业务的发展，进一 </w:t>
                        </w:r>
                        <w:r>
                          <w:rPr>
                            <w:rFonts w:ascii="宋体" w:hAnsi="宋体" w:cs="宋体" w:eastAsia="宋体" w:hint="default"/>
                            <w:spacing w:val="-1"/>
                            <w:sz w:val="18"/>
                            <w:szCs w:val="18"/>
                          </w:rPr>
                          <w:t>步提高公司的盈利能力，并为公司产业升级提供多方位支撑。公司具备相应的技术基</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1"/>
                            <w:sz w:val="18"/>
                            <w:szCs w:val="18"/>
                          </w:rPr>
                          <w:t>础、行业经验、客户资源及人才储备，同时针对新项目可能存在的风险提出了应对措</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施，详细项目可行性分析可见公司于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日刊登于《证券时报》和巨潮 </w:t>
                        </w:r>
                        <w:r>
                          <w:rPr>
                            <w:rFonts w:ascii="宋体" w:hAnsi="宋体" w:cs="宋体" w:eastAsia="宋体" w:hint="default"/>
                            <w:spacing w:val="-13"/>
                            <w:sz w:val="18"/>
                            <w:szCs w:val="18"/>
                          </w:rPr>
                          <w:t>资讯网上的《关于公司变更部分募集资金用途暨投资新项目的公告》（编号：</w:t>
                        </w:r>
                        <w:r>
                          <w:rPr>
                            <w:rFonts w:ascii="Times New Roman" w:hAnsi="Times New Roman" w:cs="Times New Roman" w:eastAsia="Times New Roman" w:hint="default"/>
                            <w:spacing w:val="-13"/>
                            <w:sz w:val="18"/>
                            <w:szCs w:val="18"/>
                          </w:rPr>
                          <w:t>2016-105</w:t>
                        </w:r>
                        <w:r>
                          <w:rPr>
                            <w:rFonts w:ascii="宋体" w:hAnsi="宋体" w:cs="宋体" w:eastAsia="宋体" w:hint="default"/>
                            <w:spacing w:val="-13"/>
                            <w:sz w:val="18"/>
                            <w:szCs w:val="18"/>
                          </w:rPr>
                          <w:t>）。</w:t>
                        </w:r>
                        <w:r>
                          <w:rPr>
                            <w:rFonts w:ascii="宋体" w:hAnsi="宋体" w:cs="宋体" w:eastAsia="宋体" w:hint="default"/>
                            <w:sz w:val="18"/>
                            <w:szCs w:val="18"/>
                          </w:rPr>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Heading2"/>
        <w:spacing w:line="240" w:lineRule="auto" w:before="26"/>
        <w:ind w:right="0"/>
        <w:jc w:val="left"/>
        <w:rPr>
          <w:b w:val="0"/>
          <w:bCs w:val="0"/>
        </w:rPr>
      </w:pP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7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5" w:footer="980" w:top="1060" w:bottom="1160" w:left="980" w:right="68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680"/>
          <w:cols w:num="2" w:equalWidth="0">
            <w:col w:w="4851" w:space="4069"/>
            <w:col w:w="13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790"/>
        <w:gridCol w:w="1133"/>
        <w:gridCol w:w="1277"/>
        <w:gridCol w:w="1210"/>
        <w:gridCol w:w="1219"/>
        <w:gridCol w:w="1198"/>
        <w:gridCol w:w="1044"/>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2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40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证通金信</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支付产品</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100,000,000.00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473,603,431.68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297,200,444.76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149,414,677.53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center"/>
              <w:rPr>
                <w:rFonts w:ascii="Times New Roman" w:hAnsi="Times New Roman" w:cs="Times New Roman" w:eastAsia="Times New Roman" w:hint="default"/>
                <w:sz w:val="18"/>
                <w:szCs w:val="18"/>
              </w:rPr>
            </w:pPr>
            <w:r>
              <w:rPr>
                <w:rFonts w:ascii="Times New Roman"/>
                <w:sz w:val="18"/>
              </w:rPr>
              <w:t>6,805,952.76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6,755,402.99</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云硕科技</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IDC</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90,800,000.00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792,883,953.88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 w:right="0"/>
              <w:jc w:val="center"/>
              <w:rPr>
                <w:rFonts w:ascii="Times New Roman" w:hAnsi="Times New Roman" w:cs="Times New Roman" w:eastAsia="Times New Roman" w:hint="default"/>
                <w:sz w:val="18"/>
                <w:szCs w:val="18"/>
              </w:rPr>
            </w:pPr>
            <w:r>
              <w:rPr>
                <w:rFonts w:ascii="Times New Roman"/>
                <w:sz w:val="18"/>
              </w:rPr>
              <w:t>63,469,999.83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253,775,928.39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-16,381,521.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-23,288,376.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87</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宏达通信</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IDC</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26,570,000.00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224,644,944.35</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 w:right="0"/>
              <w:jc w:val="center"/>
              <w:rPr>
                <w:rFonts w:ascii="Times New Roman" w:hAnsi="Times New Roman" w:cs="Times New Roman" w:eastAsia="Times New Roman" w:hint="default"/>
                <w:sz w:val="18"/>
                <w:szCs w:val="18"/>
              </w:rPr>
            </w:pPr>
            <w:r>
              <w:rPr>
                <w:rFonts w:ascii="Times New Roman"/>
                <w:sz w:val="18"/>
              </w:rPr>
              <w:t>26,467,348.20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44,252,250.95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-9,393,789.4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-9,382,720.5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长沙证通云 计算</w:t>
            </w:r>
          </w:p>
        </w:tc>
        <w:tc>
          <w:tcPr>
            <w:tcW w:w="790"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及云计算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300,000,000.00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 w:right="0"/>
              <w:jc w:val="center"/>
              <w:rPr>
                <w:rFonts w:ascii="Times New Roman" w:hAnsi="Times New Roman" w:cs="Times New Roman" w:eastAsia="Times New Roman" w:hint="default"/>
                <w:sz w:val="18"/>
                <w:szCs w:val="18"/>
              </w:rPr>
            </w:pPr>
            <w:r>
              <w:rPr>
                <w:rFonts w:ascii="Times New Roman"/>
                <w:sz w:val="18"/>
              </w:rPr>
              <w:t>419,804,257.64</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302,663,918.52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11,648,028.33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4,646,586.38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13,872,725.6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6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54"/>
        <w:gridCol w:w="790"/>
        <w:gridCol w:w="1133"/>
        <w:gridCol w:w="1277"/>
        <w:gridCol w:w="1210"/>
        <w:gridCol w:w="1219"/>
        <w:gridCol w:w="1198"/>
        <w:gridCol w:w="1044"/>
        <w:gridCol w:w="1046"/>
      </w:tblGrid>
      <w:tr>
        <w:trPr>
          <w:trHeight w:val="71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证通网络</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15"/>
              <w:jc w:val="left"/>
              <w:rPr>
                <w:rFonts w:ascii="宋体" w:hAnsi="宋体" w:cs="宋体" w:eastAsia="宋体" w:hint="default"/>
                <w:sz w:val="18"/>
                <w:szCs w:val="18"/>
              </w:rPr>
            </w:pPr>
            <w:r>
              <w:rPr>
                <w:rFonts w:ascii="宋体" w:hAnsi="宋体" w:cs="宋体" w:eastAsia="宋体" w:hint="default"/>
                <w:sz w:val="18"/>
                <w:szCs w:val="18"/>
              </w:rPr>
              <w:t>社区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金 融服务业务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50,000,000.00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15,849,252.28</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15,468,531.10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6,525,261.24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-12,516,026.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-12,529,026.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63</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四川蜀信易</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115"/>
              <w:jc w:val="left"/>
              <w:rPr>
                <w:rFonts w:ascii="宋体" w:hAnsi="宋体" w:cs="宋体" w:eastAsia="宋体" w:hint="default"/>
                <w:sz w:val="18"/>
                <w:szCs w:val="18"/>
              </w:rPr>
            </w:pPr>
            <w:r>
              <w:rPr>
                <w:rFonts w:ascii="宋体" w:hAnsi="宋体" w:cs="宋体" w:eastAsia="宋体" w:hint="default"/>
                <w:sz w:val="18"/>
                <w:szCs w:val="18"/>
              </w:rPr>
              <w:t>社区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O2O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金 融服务业务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50,000,000.00</w:t>
            </w:r>
          </w:p>
        </w:tc>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42,570,609.89</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37,103,495.55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3,662,259.86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-9,955,102.4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-9,218,392.3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240" w:lineRule="auto" w:before="49"/>
        <w:ind w:right="0"/>
        <w:jc w:val="left"/>
      </w:pPr>
      <w:r>
        <w:rPr/>
        <w:t>报告期内取得和处置子公司的情况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0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贵州证通光电有限公司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出资设立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有利于公司在贵州省的照明节能改造、 亮化工程业务的拓展及相关业务后期的 运营</w:t>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证通邦客（广州）信息科技有限公司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出资参股设立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left"/>
              <w:rPr>
                <w:rFonts w:ascii="宋体" w:hAnsi="宋体" w:cs="宋体" w:eastAsia="宋体" w:hint="default"/>
                <w:sz w:val="18"/>
                <w:szCs w:val="18"/>
              </w:rPr>
            </w:pPr>
            <w:r>
              <w:rPr>
                <w:rFonts w:ascii="宋体" w:hAnsi="宋体" w:cs="宋体" w:eastAsia="宋体" w:hint="default"/>
                <w:sz w:val="18"/>
                <w:szCs w:val="18"/>
              </w:rPr>
              <w:t>有利于公司布局智慧金融和金融智能机 器人相关领域</w:t>
            </w:r>
          </w:p>
        </w:tc>
      </w:tr>
    </w:tbl>
    <w:p>
      <w:pPr>
        <w:pStyle w:val="BodyText"/>
        <w:spacing w:line="240" w:lineRule="auto" w:before="49"/>
        <w:ind w:left="513" w:right="0"/>
        <w:jc w:val="left"/>
      </w:pPr>
      <w:r>
        <w:rPr/>
        <w:t>主要控股参股公司情况说明</w:t>
      </w:r>
    </w:p>
    <w:p>
      <w:pPr>
        <w:spacing w:line="240" w:lineRule="auto" w:before="11"/>
        <w:rPr>
          <w:rFonts w:ascii="宋体" w:hAnsi="宋体" w:cs="宋体" w:eastAsia="宋体" w:hint="default"/>
          <w:sz w:val="14"/>
          <w:szCs w:val="14"/>
        </w:rPr>
      </w:pPr>
    </w:p>
    <w:p>
      <w:pPr>
        <w:pStyle w:val="BodyText"/>
        <w:spacing w:line="458" w:lineRule="auto"/>
        <w:ind w:right="449" w:firstLine="360"/>
        <w:jc w:val="both"/>
      </w:pPr>
      <w:r>
        <w:rPr>
          <w:rFonts w:ascii="Times New Roman" w:hAnsi="Times New Roman" w:cs="Times New Roman" w:eastAsia="Times New Roman" w:hint="default"/>
          <w:spacing w:val="-2"/>
        </w:rPr>
        <w:t>1</w:t>
      </w:r>
      <w:r>
        <w:rPr>
          <w:spacing w:val="-2"/>
        </w:rPr>
        <w:t>、证通金信主要业务为支付产品的研发、生产。报告期内实现营业收入</w:t>
      </w:r>
      <w:r>
        <w:rPr>
          <w:rFonts w:ascii="Times New Roman" w:hAnsi="Times New Roman" w:cs="Times New Roman" w:eastAsia="Times New Roman" w:hint="default"/>
          <w:spacing w:val="-2"/>
        </w:rPr>
        <w:t>1.49</w:t>
      </w:r>
      <w:r>
        <w:rPr>
          <w:spacing w:val="-2"/>
        </w:rPr>
        <w:t>亿元，实现净利润</w:t>
      </w:r>
      <w:r>
        <w:rPr>
          <w:rFonts w:ascii="Times New Roman" w:hAnsi="Times New Roman" w:cs="Times New Roman" w:eastAsia="Times New Roman" w:hint="default"/>
          <w:spacing w:val="-2"/>
        </w:rPr>
        <w:t>675.54</w:t>
      </w:r>
      <w:r>
        <w:rPr>
          <w:spacing w:val="-2"/>
        </w:rPr>
        <w:t>万元，较上年同期</w:t>
      </w:r>
      <w:r>
        <w:rPr/>
        <w:t> </w:t>
      </w:r>
      <w:r>
        <w:rPr>
          <w:spacing w:val="-1"/>
        </w:rPr>
        <w:t>下降</w:t>
      </w:r>
      <w:r>
        <w:rPr>
          <w:rFonts w:ascii="Times New Roman" w:hAnsi="Times New Roman" w:cs="Times New Roman" w:eastAsia="Times New Roman" w:hint="default"/>
          <w:spacing w:val="-1"/>
        </w:rPr>
        <w:t>20%</w:t>
      </w:r>
      <w:r>
        <w:rPr>
          <w:spacing w:val="-1"/>
        </w:rPr>
        <w:t>，主要原因系证通金信的金融</w:t>
      </w:r>
      <w:r>
        <w:rPr>
          <w:rFonts w:ascii="Times New Roman" w:hAnsi="Times New Roman" w:cs="Times New Roman" w:eastAsia="Times New Roman" w:hint="default"/>
          <w:spacing w:val="-1"/>
        </w:rPr>
        <w:t>POS</w:t>
      </w:r>
      <w:r>
        <w:rPr>
          <w:spacing w:val="-1"/>
        </w:rPr>
        <w:t>虽然在第三方支付市场和海外市场的销售较</w:t>
      </w:r>
      <w:r>
        <w:rPr>
          <w:rFonts w:ascii="Times New Roman" w:hAnsi="Times New Roman" w:cs="Times New Roman" w:eastAsia="Times New Roman" w:hint="default"/>
          <w:spacing w:val="-1"/>
        </w:rPr>
        <w:t>2016</w:t>
      </w:r>
      <w:r>
        <w:rPr>
          <w:spacing w:val="-1"/>
        </w:rPr>
        <w:t>年有所增长，但并未能在市场竞</w:t>
      </w:r>
      <w:r>
        <w:rPr>
          <w:spacing w:val="-59"/>
        </w:rPr>
        <w:t> </w:t>
      </w:r>
      <w:r>
        <w:rPr>
          <w:spacing w:val="-59"/>
        </w:rPr>
      </w:r>
      <w:r>
        <w:rPr>
          <w:spacing w:val="-2"/>
        </w:rPr>
        <w:t>争中取得优势地位；加之受新兴金融支付业态的快速发展及移动支付的迅猛发展对传统领域的冲击，银行传统支付产品市场</w:t>
      </w:r>
      <w:r>
        <w:rPr>
          <w:spacing w:val="-64"/>
        </w:rPr>
        <w:t> </w:t>
      </w:r>
      <w:r>
        <w:rPr>
          <w:spacing w:val="-64"/>
        </w:rPr>
      </w:r>
      <w:r>
        <w:rPr/>
        <w:t>需求减少，导致营业收入及利润下降。</w:t>
      </w:r>
    </w:p>
    <w:p>
      <w:pPr>
        <w:pStyle w:val="BodyText"/>
        <w:spacing w:line="451" w:lineRule="auto" w:before="68"/>
        <w:ind w:right="448" w:firstLine="360"/>
        <w:jc w:val="both"/>
      </w:pPr>
      <w:r>
        <w:rPr>
          <w:rFonts w:ascii="Times New Roman" w:hAnsi="Times New Roman" w:cs="Times New Roman" w:eastAsia="Times New Roman" w:hint="default"/>
          <w:spacing w:val="-4"/>
        </w:rPr>
        <w:t>2</w:t>
      </w:r>
      <w:r>
        <w:rPr>
          <w:spacing w:val="-4"/>
        </w:rPr>
        <w:t>、云硕科技主要业务为</w:t>
      </w:r>
      <w:r>
        <w:rPr>
          <w:rFonts w:ascii="Times New Roman" w:hAnsi="Times New Roman" w:cs="Times New Roman" w:eastAsia="Times New Roman" w:hint="default"/>
          <w:spacing w:val="-4"/>
        </w:rPr>
        <w:t>IDC</w:t>
      </w:r>
      <w:r>
        <w:rPr>
          <w:spacing w:val="-4"/>
        </w:rPr>
        <w:t>业务。报告期内实现营业收入</w:t>
      </w:r>
      <w:r>
        <w:rPr>
          <w:rFonts w:ascii="Times New Roman" w:hAnsi="Times New Roman" w:cs="Times New Roman" w:eastAsia="Times New Roman" w:hint="default"/>
          <w:spacing w:val="-4"/>
        </w:rPr>
        <w:t>2.54</w:t>
      </w:r>
      <w:r>
        <w:rPr>
          <w:spacing w:val="-4"/>
        </w:rPr>
        <w:t>亿元，实现净利润</w:t>
      </w:r>
      <w:r>
        <w:rPr>
          <w:rFonts w:ascii="Times New Roman" w:hAnsi="Times New Roman" w:cs="Times New Roman" w:eastAsia="Times New Roman" w:hint="default"/>
          <w:spacing w:val="-4"/>
        </w:rPr>
        <w:t>-2,328.84</w:t>
      </w:r>
      <w:r>
        <w:rPr>
          <w:spacing w:val="-4"/>
        </w:rPr>
        <w:t>万元，较上年同期下降</w:t>
      </w:r>
      <w:r>
        <w:rPr>
          <w:rFonts w:ascii="Times New Roman" w:hAnsi="Times New Roman" w:cs="Times New Roman" w:eastAsia="Times New Roman" w:hint="default"/>
          <w:spacing w:val="-4"/>
        </w:rPr>
        <w:t>1234%</w:t>
      </w:r>
      <w:r>
        <w:rPr>
          <w:spacing w:val="-4"/>
        </w:rPr>
        <w:t>，</w:t>
      </w:r>
      <w:r>
        <w:rPr/>
        <w:t> </w:t>
      </w:r>
      <w:r>
        <w:rPr>
          <w:spacing w:val="-1"/>
        </w:rPr>
        <w:t>主要原因系虽然云硕科技报告期内</w:t>
      </w:r>
      <w:r>
        <w:rPr>
          <w:rFonts w:ascii="Times New Roman" w:hAnsi="Times New Roman" w:cs="Times New Roman" w:eastAsia="Times New Roman" w:hint="default"/>
          <w:spacing w:val="-1"/>
        </w:rPr>
        <w:t>IDC</w:t>
      </w:r>
      <w:r>
        <w:rPr>
          <w:spacing w:val="-1"/>
        </w:rPr>
        <w:t>数据中心机柜出租上架率逐步提高，但由于数据中心前期固定资产折旧成本较高，加</w:t>
      </w:r>
      <w:r>
        <w:rPr>
          <w:spacing w:val="-69"/>
        </w:rPr>
        <w:t> </w:t>
      </w:r>
      <w:r>
        <w:rPr>
          <w:spacing w:val="-69"/>
        </w:rPr>
      </w:r>
      <w:r>
        <w:rPr/>
        <w:t>之计提部分诉讼费用，导致净利润同比下降。</w:t>
      </w:r>
    </w:p>
    <w:p>
      <w:pPr>
        <w:pStyle w:val="BodyText"/>
        <w:spacing w:line="451" w:lineRule="auto" w:before="74"/>
        <w:ind w:right="468" w:firstLine="360"/>
        <w:jc w:val="both"/>
      </w:pPr>
      <w:r>
        <w:rPr>
          <w:rFonts w:ascii="Times New Roman" w:hAnsi="Times New Roman" w:cs="Times New Roman" w:eastAsia="Times New Roman" w:hint="default"/>
        </w:rPr>
        <w:t>3</w:t>
      </w:r>
      <w:r>
        <w:rPr/>
        <w:t>、宏达通信主要业务为</w:t>
      </w:r>
      <w:r>
        <w:rPr>
          <w:rFonts w:ascii="Times New Roman" w:hAnsi="Times New Roman" w:cs="Times New Roman" w:eastAsia="Times New Roman" w:hint="default"/>
        </w:rPr>
        <w:t>IDC</w:t>
      </w:r>
      <w:r>
        <w:rPr/>
        <w:t>业务。报告期内实现营业收入</w:t>
      </w:r>
      <w:r>
        <w:rPr>
          <w:rFonts w:ascii="Times New Roman" w:hAnsi="Times New Roman" w:cs="Times New Roman" w:eastAsia="Times New Roman" w:hint="default"/>
        </w:rPr>
        <w:t>0.44</w:t>
      </w:r>
      <w:r>
        <w:rPr/>
        <w:t>亿元，实现净利润</w:t>
      </w:r>
      <w:r>
        <w:rPr>
          <w:rFonts w:ascii="Times New Roman" w:hAnsi="Times New Roman" w:cs="Times New Roman" w:eastAsia="Times New Roman" w:hint="default"/>
        </w:rPr>
        <w:t>-938.27</w:t>
      </w:r>
      <w:r>
        <w:rPr/>
        <w:t>万元，较上年同期下降</w:t>
      </w:r>
      <w:r>
        <w:rPr>
          <w:rFonts w:ascii="Times New Roman" w:hAnsi="Times New Roman" w:cs="Times New Roman" w:eastAsia="Times New Roman" w:hint="default"/>
        </w:rPr>
        <w:t>126%</w:t>
      </w:r>
      <w:r>
        <w:rPr/>
        <w:t>， 主要原因系公司主要原因系</w:t>
      </w:r>
      <w:r>
        <w:rPr>
          <w:rFonts w:ascii="Times New Roman" w:hAnsi="Times New Roman" w:cs="Times New Roman" w:eastAsia="Times New Roman" w:hint="default"/>
        </w:rPr>
        <w:t>2017</w:t>
      </w:r>
      <w:r>
        <w:rPr/>
        <w:t>年收入主要来源电子产品贸易及</w:t>
      </w:r>
      <w:r>
        <w:rPr>
          <w:rFonts w:ascii="Times New Roman" w:hAnsi="Times New Roman" w:cs="Times New Roman" w:eastAsia="Times New Roman" w:hint="default"/>
        </w:rPr>
        <w:t>IDC</w:t>
      </w:r>
      <w:r>
        <w:rPr/>
        <w:t>机架租赁，电子产品贸易毛利率较低，同时因</w:t>
      </w:r>
      <w:r>
        <w:rPr>
          <w:rFonts w:ascii="Times New Roman" w:hAnsi="Times New Roman" w:cs="Times New Roman" w:eastAsia="Times New Roman" w:hint="default"/>
        </w:rPr>
        <w:t>IDC</w:t>
      </w:r>
      <w:r>
        <w:rPr/>
        <w:t>等业 务开拓各项费用增加，导致本期亏损，毛利率下降。</w:t>
      </w:r>
    </w:p>
    <w:p>
      <w:pPr>
        <w:pStyle w:val="BodyText"/>
        <w:spacing w:line="451" w:lineRule="auto" w:before="74"/>
        <w:ind w:right="451" w:firstLine="360"/>
        <w:jc w:val="both"/>
      </w:pPr>
      <w:r>
        <w:rPr>
          <w:rFonts w:ascii="Times New Roman" w:hAnsi="Times New Roman" w:cs="Times New Roman" w:eastAsia="Times New Roman" w:hint="default"/>
        </w:rPr>
        <w:t>4</w:t>
      </w:r>
      <w:r>
        <w:rPr/>
        <w:t>、长沙证通云计算主要业务为</w:t>
      </w:r>
      <w:r>
        <w:rPr>
          <w:rFonts w:ascii="Times New Roman" w:hAnsi="Times New Roman" w:cs="Times New Roman" w:eastAsia="Times New Roman" w:hint="default"/>
        </w:rPr>
        <w:t>IDC</w:t>
      </w:r>
      <w:r>
        <w:rPr/>
        <w:t>及云计算业务。报告期内实现营业收入</w:t>
      </w:r>
      <w:r>
        <w:rPr>
          <w:rFonts w:ascii="Times New Roman" w:hAnsi="Times New Roman" w:cs="Times New Roman" w:eastAsia="Times New Roman" w:hint="default"/>
        </w:rPr>
        <w:t>0.12</w:t>
      </w:r>
      <w:r>
        <w:rPr/>
        <w:t>亿元，实现净利润</w:t>
      </w:r>
      <w:r>
        <w:rPr>
          <w:rFonts w:ascii="Times New Roman" w:hAnsi="Times New Roman" w:cs="Times New Roman" w:eastAsia="Times New Roman" w:hint="default"/>
        </w:rPr>
        <w:t>1,387.27</w:t>
      </w:r>
      <w:r>
        <w:rPr/>
        <w:t>万元，较上年 同期增加</w:t>
      </w:r>
      <w:r>
        <w:rPr>
          <w:rFonts w:ascii="Times New Roman" w:hAnsi="Times New Roman" w:cs="Times New Roman" w:eastAsia="Times New Roman" w:hint="default"/>
        </w:rPr>
        <w:t>1248%</w:t>
      </w:r>
      <w:r>
        <w:rPr/>
        <w:t>，主要原因系主要系公司中标长沙市望城经济开发区智慧园区建设项目，新增</w:t>
      </w:r>
      <w:r>
        <w:rPr>
          <w:rFonts w:ascii="Times New Roman" w:hAnsi="Times New Roman" w:cs="Times New Roman" w:eastAsia="Times New Roman" w:hint="default"/>
        </w:rPr>
        <w:t>IDC</w:t>
      </w:r>
      <w:r>
        <w:rPr/>
        <w:t>增值业务收入，及取得部 分政府园区建设奖励补助所致。</w:t>
      </w:r>
    </w:p>
    <w:p>
      <w:pPr>
        <w:pStyle w:val="BodyText"/>
        <w:spacing w:line="451" w:lineRule="auto" w:before="74"/>
        <w:ind w:right="451" w:firstLine="360"/>
        <w:jc w:val="both"/>
      </w:pPr>
      <w:r>
        <w:rPr>
          <w:rFonts w:ascii="Times New Roman" w:hAnsi="Times New Roman" w:cs="Times New Roman" w:eastAsia="Times New Roman" w:hint="default"/>
          <w:spacing w:val="-2"/>
        </w:rPr>
        <w:t>5</w:t>
      </w:r>
      <w:r>
        <w:rPr>
          <w:spacing w:val="-2"/>
        </w:rPr>
        <w:t>、证通网络主要业务为社区</w:t>
      </w:r>
      <w:r>
        <w:rPr>
          <w:rFonts w:ascii="Times New Roman" w:hAnsi="Times New Roman" w:cs="Times New Roman" w:eastAsia="Times New Roman" w:hint="default"/>
          <w:spacing w:val="-2"/>
        </w:rPr>
        <w:t>O2O</w:t>
      </w:r>
      <w:r>
        <w:rPr>
          <w:spacing w:val="-2"/>
        </w:rPr>
        <w:t>金融服务业务。报告期内实现营业收入</w:t>
      </w:r>
      <w:r>
        <w:rPr>
          <w:rFonts w:ascii="Times New Roman" w:hAnsi="Times New Roman" w:cs="Times New Roman" w:eastAsia="Times New Roman" w:hint="default"/>
          <w:spacing w:val="-2"/>
        </w:rPr>
        <w:t>0.07</w:t>
      </w:r>
      <w:r>
        <w:rPr>
          <w:spacing w:val="-2"/>
        </w:rPr>
        <w:t>亿元，实现净利润</w:t>
      </w:r>
      <w:r>
        <w:rPr>
          <w:rFonts w:ascii="Times New Roman" w:hAnsi="Times New Roman" w:cs="Times New Roman" w:eastAsia="Times New Roman" w:hint="default"/>
          <w:spacing w:val="-2"/>
        </w:rPr>
        <w:t>-1,252.90</w:t>
      </w:r>
      <w:r>
        <w:rPr>
          <w:spacing w:val="-2"/>
        </w:rPr>
        <w:t>万元，较上年同</w:t>
      </w:r>
      <w:r>
        <w:rPr/>
        <w:t> 期下降</w:t>
      </w:r>
      <w:r>
        <w:rPr>
          <w:rFonts w:ascii="Times New Roman" w:hAnsi="Times New Roman" w:cs="Times New Roman" w:eastAsia="Times New Roman" w:hint="default"/>
        </w:rPr>
        <w:t>40%</w:t>
      </w:r>
      <w:r>
        <w:rPr/>
        <w:t>，主要原因系公司持续投入惠生活平台运营费用增加所致。</w:t>
      </w:r>
    </w:p>
    <w:p>
      <w:pPr>
        <w:pStyle w:val="BodyText"/>
        <w:spacing w:line="451" w:lineRule="auto" w:before="44"/>
        <w:ind w:right="496" w:firstLine="360"/>
        <w:jc w:val="both"/>
      </w:pPr>
      <w:r>
        <w:rPr>
          <w:rFonts w:ascii="Times New Roman" w:hAnsi="Times New Roman" w:cs="Times New Roman" w:eastAsia="Times New Roman" w:hint="default"/>
        </w:rPr>
        <w:t>6</w:t>
      </w:r>
      <w:r>
        <w:rPr/>
        <w:t>、四川蜀信易：主要业务为社区</w:t>
      </w:r>
      <w:r>
        <w:rPr>
          <w:rFonts w:ascii="Times New Roman" w:hAnsi="Times New Roman" w:cs="Times New Roman" w:eastAsia="Times New Roman" w:hint="default"/>
        </w:rPr>
        <w:t>O2O</w:t>
      </w:r>
      <w:r>
        <w:rPr/>
        <w:t>金融服务业务。报告期内实现营业收入</w:t>
      </w:r>
      <w:r>
        <w:rPr>
          <w:rFonts w:ascii="Times New Roman" w:hAnsi="Times New Roman" w:cs="Times New Roman" w:eastAsia="Times New Roman" w:hint="default"/>
        </w:rPr>
        <w:t>0.04</w:t>
      </w:r>
      <w:r>
        <w:rPr/>
        <w:t>亿元，实现净利润</w:t>
      </w:r>
      <w:r>
        <w:rPr>
          <w:rFonts w:ascii="Times New Roman" w:hAnsi="Times New Roman" w:cs="Times New Roman" w:eastAsia="Times New Roman" w:hint="default"/>
        </w:rPr>
        <w:t>-921.84</w:t>
      </w:r>
      <w:r>
        <w:rPr/>
        <w:t>万元，较上 年同期下降</w:t>
      </w:r>
      <w:r>
        <w:rPr>
          <w:rFonts w:ascii="Times New Roman" w:hAnsi="Times New Roman" w:cs="Times New Roman" w:eastAsia="Times New Roman" w:hint="default"/>
        </w:rPr>
        <w:t>28%</w:t>
      </w:r>
      <w:r>
        <w:rPr/>
        <w:t>，主要原因系公司在惠生活平台及蜀信</w:t>
      </w:r>
      <w:r>
        <w:rPr>
          <w:rFonts w:ascii="Times New Roman" w:hAnsi="Times New Roman" w:cs="Times New Roman" w:eastAsia="Times New Roman" w:hint="default"/>
        </w:rPr>
        <w:t>e</w:t>
      </w:r>
      <w:r>
        <w:rPr/>
        <w:t>平台整合及研发持续升级投入，但受产品上线进度影响，业务推广 滞后所致。</w:t>
      </w:r>
    </w:p>
    <w:p>
      <w:pPr>
        <w:spacing w:after="0" w:line="451" w:lineRule="auto"/>
        <w:jc w:val="both"/>
        <w:sectPr>
          <w:pgSz w:w="11910" w:h="16840"/>
          <w:pgMar w:header="745" w:footer="980" w:top="1060" w:bottom="1160" w:left="980" w:right="680"/>
        </w:sectPr>
      </w:pPr>
    </w:p>
    <w:p>
      <w:pPr>
        <w:spacing w:line="240" w:lineRule="auto" w:before="8"/>
        <w:rPr>
          <w:rFonts w:ascii="宋体" w:hAnsi="宋体" w:cs="宋体" w:eastAsia="宋体" w:hint="default"/>
          <w:sz w:val="23"/>
          <w:szCs w:val="23"/>
        </w:rPr>
      </w:pPr>
    </w:p>
    <w:p>
      <w:pPr>
        <w:pStyle w:val="Heading2"/>
        <w:spacing w:line="240" w:lineRule="auto" w:before="26"/>
        <w:ind w:right="178"/>
        <w:jc w:val="left"/>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6754"/>
        <w:jc w:val="left"/>
        <w:rPr>
          <w:b w:val="0"/>
          <w:bCs w:val="0"/>
        </w:rPr>
      </w:pPr>
      <w:r>
        <w:rPr/>
        <w:t>九、公司未来发展的展望</w:t>
      </w:r>
      <w:r>
        <w:rPr>
          <w:b w:val="0"/>
          <w:bCs w:val="0"/>
        </w:rPr>
      </w:r>
    </w:p>
    <w:p>
      <w:pPr>
        <w:spacing w:line="240" w:lineRule="auto" w:before="7"/>
        <w:rPr>
          <w:rFonts w:ascii="宋体" w:hAnsi="宋体" w:cs="宋体" w:eastAsia="宋体" w:hint="default"/>
          <w:b/>
          <w:bCs/>
          <w:sz w:val="32"/>
          <w:szCs w:val="32"/>
        </w:rPr>
      </w:pPr>
    </w:p>
    <w:p>
      <w:pPr>
        <w:pStyle w:val="Heading5"/>
        <w:spacing w:line="240" w:lineRule="auto"/>
        <w:ind w:right="6754"/>
        <w:jc w:val="left"/>
        <w:rPr>
          <w:b w:val="0"/>
          <w:bCs w:val="0"/>
        </w:rPr>
      </w:pPr>
      <w:r>
        <w:rPr/>
        <w:t>（一）行业格局和发展趋势</w:t>
      </w:r>
      <w:r>
        <w:rPr>
          <w:b w:val="0"/>
          <w:bCs w:val="0"/>
        </w:rPr>
      </w:r>
    </w:p>
    <w:p>
      <w:pPr>
        <w:spacing w:line="240" w:lineRule="auto" w:before="10"/>
        <w:rPr>
          <w:rFonts w:ascii="宋体" w:hAnsi="宋体" w:cs="宋体" w:eastAsia="宋体" w:hint="default"/>
          <w:b/>
          <w:bCs/>
          <w:sz w:val="17"/>
          <w:szCs w:val="17"/>
        </w:rPr>
      </w:pPr>
    </w:p>
    <w:p>
      <w:pPr>
        <w:pStyle w:val="Heading5"/>
        <w:spacing w:line="240" w:lineRule="auto"/>
        <w:ind w:left="513" w:right="6754"/>
        <w:jc w:val="left"/>
        <w:rPr>
          <w:b w:val="0"/>
          <w:bCs w:val="0"/>
        </w:rPr>
      </w:pPr>
      <w:r>
        <w:rPr>
          <w:rFonts w:ascii="Times New Roman" w:hAnsi="Times New Roman" w:cs="Times New Roman" w:eastAsia="Times New Roman" w:hint="default"/>
        </w:rPr>
        <w:t>1</w:t>
      </w:r>
      <w:r>
        <w:rPr/>
        <w:t>、金融电子行业</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left="513" w:right="93" w:hanging="9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）自助产品细分行业</w:t>
      </w:r>
      <w:r>
        <w:rPr>
          <w:rFonts w:ascii="宋体" w:hAnsi="宋体" w:cs="宋体" w:eastAsia="宋体" w:hint="default"/>
          <w:b/>
          <w:bCs/>
          <w:w w:val="99"/>
        </w:rPr>
        <w:t> </w:t>
      </w:r>
      <w:r>
        <w:rPr/>
        <w:t>在国家大力发展普惠金融后，移动智能设备的普及使人们的金融消费模式发生巨大改变，消费金融逐渐成为市场热点。</w:t>
      </w:r>
    </w:p>
    <w:p>
      <w:pPr>
        <w:pStyle w:val="BodyText"/>
        <w:spacing w:line="240" w:lineRule="auto" w:before="74"/>
        <w:ind w:right="178"/>
        <w:jc w:val="left"/>
        <w:rPr>
          <w:rFonts w:ascii="Times New Roman" w:hAnsi="Times New Roman" w:cs="Times New Roman" w:eastAsia="Times New Roman" w:hint="default"/>
        </w:rPr>
      </w:pPr>
      <w:r>
        <w:rPr>
          <w:rFonts w:ascii="Times New Roman" w:hAnsi="Times New Roman" w:cs="Times New Roman" w:eastAsia="Times New Roman" w:hint="default"/>
          <w:spacing w:val="-3"/>
        </w:rPr>
        <w:t>2017</w:t>
      </w:r>
      <w:r>
        <w:rPr>
          <w:spacing w:val="-3"/>
        </w:rPr>
        <w:t>年《中国消费金融创新报告》显示，目前我国的消费金融市场规模近</w:t>
      </w:r>
      <w:r>
        <w:rPr>
          <w:rFonts w:ascii="Times New Roman" w:hAnsi="Times New Roman" w:cs="Times New Roman" w:eastAsia="Times New Roman" w:hint="default"/>
          <w:spacing w:val="-3"/>
        </w:rPr>
        <w:t>6</w:t>
      </w:r>
      <w:r>
        <w:rPr>
          <w:spacing w:val="-3"/>
        </w:rPr>
        <w:t>万亿元，其中互联网消费金融交易规模达到</w:t>
      </w:r>
      <w:r>
        <w:rPr>
          <w:rFonts w:ascii="Times New Roman" w:hAnsi="Times New Roman" w:cs="Times New Roman" w:eastAsia="Times New Roman" w:hint="default"/>
          <w:spacing w:val="-3"/>
        </w:rPr>
        <w:t>4367.1</w:t>
      </w:r>
    </w:p>
    <w:p>
      <w:pPr>
        <w:spacing w:line="240" w:lineRule="auto" w:before="1"/>
        <w:rPr>
          <w:rFonts w:ascii="Times New Roman" w:hAnsi="Times New Roman" w:cs="Times New Roman" w:eastAsia="Times New Roman" w:hint="default"/>
          <w:sz w:val="19"/>
          <w:szCs w:val="19"/>
        </w:rPr>
      </w:pPr>
    </w:p>
    <w:p>
      <w:pPr>
        <w:pStyle w:val="BodyText"/>
        <w:spacing w:line="451" w:lineRule="auto"/>
        <w:ind w:left="513" w:right="178" w:hanging="361"/>
        <w:jc w:val="left"/>
      </w:pPr>
      <w:r>
        <w:rPr/>
        <w:t>亿元，同比增长</w:t>
      </w:r>
      <w:r>
        <w:rPr>
          <w:rFonts w:ascii="Times New Roman" w:hAnsi="Times New Roman" w:cs="Times New Roman" w:eastAsia="Times New Roman" w:hint="default"/>
        </w:rPr>
        <w:t>269%</w:t>
      </w:r>
      <w:r>
        <w:rPr/>
        <w:t>。 </w:t>
      </w:r>
      <w:r>
        <w:rPr>
          <w:spacing w:val="-2"/>
        </w:rPr>
        <w:t>如此大的市场规模对传统银行业务带来更多发展空间和挑战，对传统支付方式造成了较大冲击。在此背景下，各大商业</w:t>
      </w:r>
    </w:p>
    <w:p>
      <w:pPr>
        <w:pStyle w:val="BodyText"/>
        <w:spacing w:line="477" w:lineRule="auto" w:before="74"/>
        <w:ind w:right="190"/>
        <w:jc w:val="both"/>
      </w:pPr>
      <w:r>
        <w:rPr>
          <w:spacing w:val="-2"/>
        </w:rPr>
        <w:t>银行业务在场景化上纷纷发力，让金融服务延伸到日常的生活消费场景，金融场景化已经拉开序幕。场景金融将是今后一段</w:t>
      </w:r>
      <w:r>
        <w:rPr>
          <w:spacing w:val="-63"/>
        </w:rPr>
        <w:t> </w:t>
      </w:r>
      <w:r>
        <w:rPr>
          <w:spacing w:val="-63"/>
        </w:rPr>
      </w:r>
      <w:r>
        <w:rPr>
          <w:spacing w:val="-2"/>
        </w:rPr>
        <w:t>时期内银行发展的主线，银行也在积极布局场景金融，将线上服务和线下场景结合起来，满足用户多样化需求，事实上线上</w:t>
      </w:r>
      <w:r>
        <w:rPr>
          <w:spacing w:val="-65"/>
        </w:rPr>
        <w:t> </w:t>
      </w:r>
      <w:r>
        <w:rPr>
          <w:spacing w:val="-65"/>
        </w:rPr>
      </w:r>
      <w:r>
        <w:rPr>
          <w:spacing w:val="-2"/>
        </w:rPr>
        <w:t>流量回归线下服务的趋势已经日益凸显。国内银行业开始加快打造智慧银行，对银行网点布局、业务流程、管理模式、系统</w:t>
      </w:r>
      <w:r>
        <w:rPr>
          <w:spacing w:val="-65"/>
        </w:rPr>
        <w:t> </w:t>
      </w:r>
      <w:r>
        <w:rPr>
          <w:spacing w:val="-65"/>
        </w:rPr>
      </w:r>
      <w:r>
        <w:rPr/>
        <w:t>平台进行全面变革，承载银行网点柜面完整业务的综合性智能化自助服务终端成为智慧银行建设的重要内容。</w:t>
      </w:r>
    </w:p>
    <w:p>
      <w:pPr>
        <w:pStyle w:val="BodyText"/>
        <w:spacing w:line="451" w:lineRule="auto" w:before="54"/>
        <w:ind w:right="176" w:firstLine="360"/>
        <w:jc w:val="left"/>
      </w:pPr>
      <w:r>
        <w:rPr/>
        <w:t>银行业协会</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日发布的《</w:t>
      </w:r>
      <w:r>
        <w:rPr>
          <w:rFonts w:ascii="Times New Roman" w:hAnsi="Times New Roman" w:cs="Times New Roman" w:eastAsia="Times New Roman" w:hint="default"/>
        </w:rPr>
        <w:t>2017</w:t>
      </w:r>
      <w:r>
        <w:rPr/>
        <w:t>年中国银行业服务报告》显示，</w:t>
      </w:r>
      <w:r>
        <w:rPr>
          <w:spacing w:val="-62"/>
        </w:rPr>
        <w:t> </w:t>
      </w:r>
      <w:r>
        <w:rPr>
          <w:rFonts w:ascii="Times New Roman" w:hAnsi="Times New Roman" w:cs="Times New Roman" w:eastAsia="Times New Roman" w:hint="default"/>
        </w:rPr>
        <w:t>“</w:t>
      </w:r>
      <w:r>
        <w:rPr/>
        <w:t>轻型化、智能化、特色化、社区化</w:t>
      </w:r>
      <w:r>
        <w:rPr>
          <w:rFonts w:ascii="Times New Roman" w:hAnsi="Times New Roman" w:cs="Times New Roman" w:eastAsia="Times New Roman" w:hint="default"/>
        </w:rPr>
        <w:t>”</w:t>
      </w:r>
      <w:r>
        <w:rPr/>
        <w:t>已成为各 </w:t>
      </w:r>
      <w:r>
        <w:rPr>
          <w:spacing w:val="-4"/>
        </w:rPr>
        <w:t>银行网点发展趋势。截至</w:t>
      </w:r>
      <w:r>
        <w:rPr>
          <w:rFonts w:ascii="Times New Roman" w:hAnsi="Times New Roman" w:cs="Times New Roman" w:eastAsia="Times New Roman" w:hint="default"/>
          <w:spacing w:val="-4"/>
        </w:rPr>
        <w:t>2017</w:t>
      </w:r>
      <w:r>
        <w:rPr>
          <w:spacing w:val="-4"/>
        </w:rPr>
        <w:t>年年末，全国银行业金融机构营业网点总数达到</w:t>
      </w:r>
      <w:r>
        <w:rPr>
          <w:rFonts w:ascii="Times New Roman" w:hAnsi="Times New Roman" w:cs="Times New Roman" w:eastAsia="Times New Roman" w:hint="default"/>
          <w:spacing w:val="-4"/>
        </w:rPr>
        <w:t>22.87</w:t>
      </w:r>
      <w:r>
        <w:rPr>
          <w:spacing w:val="-4"/>
        </w:rPr>
        <w:t>万个，其中新增营业网点</w:t>
      </w:r>
      <w:r>
        <w:rPr>
          <w:rFonts w:ascii="Times New Roman" w:hAnsi="Times New Roman" w:cs="Times New Roman" w:eastAsia="Times New Roman" w:hint="default"/>
          <w:spacing w:val="-4"/>
        </w:rPr>
        <w:t>800</w:t>
      </w:r>
      <w:r>
        <w:rPr>
          <w:spacing w:val="-4"/>
        </w:rPr>
        <w:t>多个，与</w:t>
      </w:r>
      <w:r>
        <w:rPr>
          <w:rFonts w:ascii="Times New Roman" w:hAnsi="Times New Roman" w:cs="Times New Roman" w:eastAsia="Times New Roman" w:hint="default"/>
          <w:spacing w:val="-4"/>
        </w:rPr>
        <w:t>2016</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7"/>
        </w:rPr>
      </w:r>
      <w:r>
        <w:rPr/>
        <w:t>年的</w:t>
      </w:r>
      <w:r>
        <w:rPr>
          <w:rFonts w:ascii="Times New Roman" w:hAnsi="Times New Roman" w:cs="Times New Roman" w:eastAsia="Times New Roman" w:hint="default"/>
        </w:rPr>
        <w:t>3800</w:t>
      </w:r>
      <w:r>
        <w:rPr/>
        <w:t>多个新增营业网点相比减少近</w:t>
      </w:r>
      <w:r>
        <w:rPr>
          <w:rFonts w:ascii="Times New Roman" w:hAnsi="Times New Roman" w:cs="Times New Roman" w:eastAsia="Times New Roman" w:hint="default"/>
        </w:rPr>
        <w:t>80%</w:t>
      </w:r>
      <w:r>
        <w:rPr/>
        <w:t>。</w:t>
      </w:r>
      <w:r>
        <w:rPr>
          <w:rFonts w:ascii="Times New Roman" w:hAnsi="Times New Roman" w:cs="Times New Roman" w:eastAsia="Times New Roman" w:hint="default"/>
        </w:rPr>
        <w:t>2017</w:t>
      </w:r>
      <w:r>
        <w:rPr/>
        <w:t>年，银行业布局建设自助银行</w:t>
      </w:r>
      <w:r>
        <w:rPr>
          <w:rFonts w:ascii="Times New Roman" w:hAnsi="Times New Roman" w:cs="Times New Roman" w:eastAsia="Times New Roman" w:hint="default"/>
        </w:rPr>
        <w:t>16.84</w:t>
      </w:r>
      <w:r>
        <w:rPr/>
        <w:t>万家，较上年增加</w:t>
      </w:r>
      <w:r>
        <w:rPr>
          <w:rFonts w:ascii="Times New Roman" w:hAnsi="Times New Roman" w:cs="Times New Roman" w:eastAsia="Times New Roman" w:hint="default"/>
        </w:rPr>
        <w:t>7300</w:t>
      </w:r>
      <w:r>
        <w:rPr/>
        <w:t>多家；布放自 助设备</w:t>
      </w:r>
      <w:r>
        <w:rPr>
          <w:rFonts w:ascii="Times New Roman" w:hAnsi="Times New Roman" w:cs="Times New Roman" w:eastAsia="Times New Roman" w:hint="default"/>
        </w:rPr>
        <w:t>80.26</w:t>
      </w:r>
      <w:r>
        <w:rPr/>
        <w:t>万台，其中创新自助设备</w:t>
      </w:r>
      <w:r>
        <w:rPr>
          <w:rFonts w:ascii="Times New Roman" w:hAnsi="Times New Roman" w:cs="Times New Roman" w:eastAsia="Times New Roman" w:hint="default"/>
        </w:rPr>
        <w:t>11.39</w:t>
      </w:r>
      <w:r>
        <w:rPr/>
        <w:t>万台；自助设备交易笔数达</w:t>
      </w:r>
      <w:r>
        <w:rPr>
          <w:rFonts w:ascii="Times New Roman" w:hAnsi="Times New Roman" w:cs="Times New Roman" w:eastAsia="Times New Roman" w:hint="default"/>
        </w:rPr>
        <w:t>400.06</w:t>
      </w:r>
      <w:r>
        <w:rPr/>
        <w:t>亿笔，交易总额</w:t>
      </w:r>
      <w:r>
        <w:rPr>
          <w:rFonts w:ascii="Times New Roman" w:hAnsi="Times New Roman" w:cs="Times New Roman" w:eastAsia="Times New Roman" w:hint="default"/>
        </w:rPr>
        <w:t>66.13</w:t>
      </w:r>
      <w:r>
        <w:rPr/>
        <w:t>万亿元。</w:t>
      </w:r>
    </w:p>
    <w:p>
      <w:pPr>
        <w:pStyle w:val="BodyText"/>
        <w:spacing w:line="477" w:lineRule="auto" w:before="43"/>
        <w:ind w:right="180" w:firstLine="360"/>
        <w:jc w:val="left"/>
        <w:rPr>
          <w:rFonts w:ascii="Times New Roman" w:hAnsi="Times New Roman" w:cs="Times New Roman" w:eastAsia="Times New Roman" w:hint="default"/>
        </w:rPr>
      </w:pPr>
      <w:r>
        <w:rPr>
          <w:spacing w:val="-2"/>
        </w:rPr>
        <w:t>当前我国五大国有银行、股份制银行正在逐步加快各项综合业务的数字化和智慧化改造，并进行智能化设备的全国性布</w:t>
      </w:r>
      <w:r>
        <w:rPr/>
        <w:t> </w:t>
      </w:r>
      <w:r>
        <w:rPr>
          <w:spacing w:val="-7"/>
        </w:rPr>
        <w:t>局，诸如智慧柜员机、超级柜台等非现金类自助类设备逐步布放至全国。根据各银行披露的</w:t>
      </w:r>
      <w:r>
        <w:rPr/>
        <w:t> </w:t>
      </w:r>
      <w:r>
        <w:rPr>
          <w:rFonts w:ascii="Times New Roman" w:hAnsi="Times New Roman" w:cs="Times New Roman" w:eastAsia="Times New Roman" w:hint="default"/>
        </w:rPr>
        <w:t>2016 </w:t>
      </w:r>
      <w:r>
        <w:rPr>
          <w:rFonts w:ascii="Times New Roman" w:hAnsi="Times New Roman" w:cs="Times New Roman" w:eastAsia="Times New Roman" w:hint="default"/>
          <w:spacing w:val="-7"/>
        </w:rPr>
        <w:t>-2017</w:t>
      </w:r>
      <w:r>
        <w:rPr>
          <w:spacing w:val="-7"/>
        </w:rPr>
        <w:t>年年报数据，截至</w:t>
      </w:r>
      <w:r>
        <w:rPr>
          <w:spacing w:val="4"/>
        </w:rPr>
        <w:t> </w:t>
      </w:r>
      <w:r>
        <w:rPr>
          <w:rFonts w:ascii="Times New Roman" w:hAnsi="Times New Roman" w:cs="Times New Roman" w:eastAsia="Times New Roman" w:hint="default"/>
          <w:spacing w:val="-1"/>
        </w:rPr>
        <w:t>2016</w:t>
      </w:r>
    </w:p>
    <w:p>
      <w:pPr>
        <w:pStyle w:val="BodyText"/>
        <w:spacing w:line="451" w:lineRule="auto" w:before="21"/>
        <w:ind w:right="178"/>
        <w:jc w:val="left"/>
      </w:pPr>
      <w:r>
        <w:rPr/>
        <w:t>年末，农业银行在全国布放自助服务终端 </w:t>
      </w:r>
      <w:r>
        <w:rPr>
          <w:rFonts w:ascii="Times New Roman" w:hAnsi="Times New Roman" w:cs="Times New Roman" w:eastAsia="Times New Roman" w:hint="default"/>
        </w:rPr>
        <w:t>5.24 </w:t>
      </w:r>
      <w:r>
        <w:rPr/>
        <w:t>万台，中国银行布放自助服务终端 </w:t>
      </w:r>
      <w:r>
        <w:rPr>
          <w:rFonts w:ascii="Times New Roman" w:hAnsi="Times New Roman" w:cs="Times New Roman" w:eastAsia="Times New Roman" w:hint="default"/>
        </w:rPr>
        <w:t>3.61</w:t>
      </w:r>
      <w:r>
        <w:rPr>
          <w:rFonts w:ascii="Times New Roman" w:hAnsi="Times New Roman" w:cs="Times New Roman" w:eastAsia="Times New Roman" w:hint="default"/>
          <w:spacing w:val="14"/>
        </w:rPr>
        <w:t> </w:t>
      </w:r>
      <w:r>
        <w:rPr/>
        <w:t>万台，建设银行布放自助服务终端 </w:t>
      </w:r>
      <w:r>
        <w:rPr>
          <w:rFonts w:ascii="Times New Roman" w:hAnsi="Times New Roman" w:cs="Times New Roman" w:eastAsia="Times New Roman" w:hint="default"/>
        </w:rPr>
        <w:t>2.79 </w:t>
      </w:r>
      <w:r>
        <w:rPr/>
        <w:t>万台，邮储银行布放自助服务终端 </w:t>
      </w:r>
      <w:r>
        <w:rPr>
          <w:rFonts w:ascii="Times New Roman" w:hAnsi="Times New Roman" w:cs="Times New Roman" w:eastAsia="Times New Roman" w:hint="default"/>
        </w:rPr>
        <w:t>2.90</w:t>
      </w:r>
      <w:r>
        <w:rPr/>
        <w:t>万台。截止</w:t>
      </w:r>
      <w:r>
        <w:rPr>
          <w:rFonts w:ascii="Times New Roman" w:hAnsi="Times New Roman" w:cs="Times New Roman" w:eastAsia="Times New Roman" w:hint="default"/>
        </w:rPr>
        <w:t>2017</w:t>
      </w:r>
      <w:r>
        <w:rPr>
          <w:rFonts w:ascii="Times New Roman" w:hAnsi="Times New Roman" w:cs="Times New Roman" w:eastAsia="Times New Roman" w:hint="default"/>
          <w:spacing w:val="-17"/>
        </w:rPr>
        <w:t> </w:t>
      </w:r>
      <w:r>
        <w:rPr/>
        <w:t>年末，农业银行在全国布放自助服务终端</w:t>
      </w:r>
      <w:r>
        <w:rPr>
          <w:rFonts w:ascii="Times New Roman" w:hAnsi="Times New Roman" w:cs="Times New Roman" w:eastAsia="Times New Roman" w:hint="default"/>
        </w:rPr>
        <w:t>4.26</w:t>
      </w:r>
      <w:r>
        <w:rPr/>
        <w:t>万台，中国银行 布放自助服务终端 </w:t>
      </w:r>
      <w:r>
        <w:rPr>
          <w:rFonts w:ascii="Times New Roman" w:hAnsi="Times New Roman" w:cs="Times New Roman" w:eastAsia="Times New Roman" w:hint="default"/>
        </w:rPr>
        <w:t>1.10</w:t>
      </w:r>
      <w:r>
        <w:rPr/>
        <w:t>万台，建设银行布放自助服务终端</w:t>
      </w:r>
      <w:r>
        <w:rPr>
          <w:rFonts w:ascii="Times New Roman" w:hAnsi="Times New Roman" w:cs="Times New Roman" w:eastAsia="Times New Roman" w:hint="default"/>
        </w:rPr>
        <w:t>0.30</w:t>
      </w:r>
      <w:r>
        <w:rPr/>
        <w:t>万台，邮储银行布放自助服务终端</w:t>
      </w:r>
      <w:r>
        <w:rPr>
          <w:spacing w:val="-38"/>
        </w:rPr>
        <w:t> </w:t>
      </w:r>
      <w:r>
        <w:rPr>
          <w:rFonts w:ascii="Times New Roman" w:hAnsi="Times New Roman" w:cs="Times New Roman" w:eastAsia="Times New Roman" w:hint="default"/>
        </w:rPr>
        <w:t>0.28</w:t>
      </w:r>
      <w:r>
        <w:rPr/>
        <w:t>万台。</w:t>
      </w:r>
    </w:p>
    <w:p>
      <w:pPr>
        <w:pStyle w:val="BodyText"/>
        <w:spacing w:line="472" w:lineRule="auto" w:before="43"/>
        <w:ind w:right="190" w:firstLine="360"/>
        <w:jc w:val="both"/>
      </w:pPr>
      <w:r>
        <w:rPr>
          <w:spacing w:val="-2"/>
        </w:rPr>
        <w:t>根据中国人民银行最新公布的《</w:t>
      </w:r>
      <w:r>
        <w:rPr>
          <w:rFonts w:ascii="Times New Roman" w:hAnsi="Times New Roman" w:cs="Times New Roman" w:eastAsia="Times New Roman" w:hint="default"/>
          <w:spacing w:val="-2"/>
        </w:rPr>
        <w:t>2017</w:t>
      </w:r>
      <w:r>
        <w:rPr>
          <w:spacing w:val="-2"/>
        </w:rPr>
        <w:t>年支付体系运行总体情况》来看，随着互联网等新型支付工具的快速普及，传统的</w:t>
      </w:r>
      <w:r>
        <w:rPr/>
        <w:t> </w:t>
      </w:r>
      <w:r>
        <w:rPr>
          <w:spacing w:val="-2"/>
        </w:rPr>
        <w:t>现金支付场景将不可避免地受到一定的冲击，导致现金交易频率降低。金融自助设备布放需求取决于多种因素，银行客户的</w:t>
      </w:r>
      <w:r>
        <w:rPr>
          <w:spacing w:val="-63"/>
        </w:rPr>
        <w:t> </w:t>
      </w:r>
      <w:r>
        <w:rPr>
          <w:spacing w:val="-63"/>
        </w:rPr>
      </w:r>
      <w:r>
        <w:rPr>
          <w:spacing w:val="-2"/>
        </w:rPr>
        <w:t>网点布局规划、已有设备的更新换代是决定金融自助设备需求的直接引导因素。现金使用频率的降低虽与金融自助设备布放</w:t>
      </w:r>
      <w:r>
        <w:rPr>
          <w:spacing w:val="-64"/>
        </w:rPr>
        <w:t> </w:t>
      </w:r>
      <w:r>
        <w:rPr>
          <w:spacing w:val="-64"/>
        </w:rPr>
      </w:r>
      <w:r>
        <w:rPr>
          <w:spacing w:val="-2"/>
        </w:rPr>
        <w:t>不直接相关，但长远看仍将对基于现金交易的金融自助设备市场产生较大的负面影响。面对互联网支付的冲击，银行客户已</w:t>
      </w:r>
      <w:r>
        <w:rPr>
          <w:spacing w:val="-63"/>
        </w:rPr>
        <w:t> </w:t>
      </w:r>
      <w:r>
        <w:rPr>
          <w:spacing w:val="-63"/>
        </w:rPr>
      </w:r>
      <w:r>
        <w:rPr>
          <w:spacing w:val="-2"/>
        </w:rPr>
        <w:t>经在纷纷探索传统物理渠道的智能化转型升级，如果公司不能根据市场形势进一步改善产品结构、优化盈利模式、探索新的</w:t>
      </w:r>
      <w:r>
        <w:rPr>
          <w:spacing w:val="-66"/>
        </w:rPr>
        <w:t> </w:t>
      </w:r>
      <w:r>
        <w:rPr>
          <w:spacing w:val="-66"/>
        </w:rPr>
      </w:r>
      <w:r>
        <w:rPr/>
        <w:t>利润增长点，向多渠道盈利方向转型，公司未来业务的发展仍将面临较大的受互联网等新型支付工具冲击的风险。</w:t>
      </w:r>
    </w:p>
    <w:p>
      <w:pPr>
        <w:spacing w:after="0" w:line="472" w:lineRule="auto"/>
        <w:jc w:val="both"/>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90" w:firstLine="360"/>
        <w:jc w:val="both"/>
      </w:pPr>
      <w:r>
        <w:rPr>
          <w:spacing w:val="-5"/>
        </w:rPr>
        <w:t>另外从全球来看，自助服务终端产品已开始大规模进入众多消费和社会服务领域，涉及公安、交通、零售、旅游、电信、</w:t>
      </w:r>
      <w:r>
        <w:rPr/>
        <w:t> </w:t>
      </w:r>
      <w:r>
        <w:rPr>
          <w:spacing w:val="-2"/>
        </w:rPr>
        <w:t>医疗、博彩、政务、快餐、邮政、会展、博物馆、保险、娱乐、教育等二十多个行业。自助服务终端发展将由单一转向多元</w:t>
      </w:r>
      <w:r>
        <w:rPr>
          <w:spacing w:val="-77"/>
        </w:rPr>
        <w:t> </w:t>
      </w:r>
      <w:r>
        <w:rPr>
          <w:spacing w:val="-77"/>
        </w:rPr>
      </w:r>
      <w:r>
        <w:rPr/>
        <w:t>化、市场更细化、功能不断扩大，自助服务终端市场将高速发展。</w:t>
      </w:r>
    </w:p>
    <w:p>
      <w:pPr>
        <w:pStyle w:val="BodyText"/>
        <w:spacing w:line="463" w:lineRule="auto" w:before="54"/>
        <w:ind w:right="94" w:firstLine="360"/>
        <w:jc w:val="left"/>
      </w:pPr>
      <w:r>
        <w:rPr>
          <w:spacing w:val="-2"/>
        </w:rPr>
        <w:t>通过对客单价和交易频次的分析，对比传统便利店、自动售货机、无人货柜货架的不同情况，长城证券研究所《支付终</w:t>
      </w:r>
      <w:r>
        <w:rPr/>
        <w:t> </w:t>
      </w:r>
      <w:r>
        <w:rPr>
          <w:spacing w:val="-2"/>
        </w:rPr>
        <w:t>端时代的无人零售行业报告》指出固定且离用户更近的场景更容易制造需求。伴随</w:t>
      </w:r>
      <w:r>
        <w:rPr>
          <w:rFonts w:ascii="Times New Roman" w:hAnsi="Times New Roman" w:cs="Times New Roman" w:eastAsia="Times New Roman" w:hint="default"/>
          <w:spacing w:val="-2"/>
        </w:rPr>
        <w:t>90</w:t>
      </w:r>
      <w:r>
        <w:rPr>
          <w:spacing w:val="-2"/>
        </w:rPr>
        <w:t>后消费能力的提升，自动售货机市场需</w:t>
      </w:r>
      <w:r>
        <w:rPr>
          <w:spacing w:val="-61"/>
        </w:rPr>
        <w:t> </w:t>
      </w:r>
      <w:r>
        <w:rPr>
          <w:spacing w:val="-61"/>
        </w:rPr>
      </w:r>
      <w:r>
        <w:rPr/>
        <w:t>求旺盛而存量极低。与日本对比，</w:t>
      </w:r>
      <w:r>
        <w:rPr>
          <w:rFonts w:ascii="Times New Roman" w:hAnsi="Times New Roman" w:cs="Times New Roman" w:eastAsia="Times New Roman" w:hint="default"/>
        </w:rPr>
        <w:t>2017</w:t>
      </w:r>
      <w:r>
        <w:rPr/>
        <w:t>年在日本共有</w:t>
      </w:r>
      <w:r>
        <w:rPr>
          <w:rFonts w:ascii="Times New Roman" w:hAnsi="Times New Roman" w:cs="Times New Roman" w:eastAsia="Times New Roman" w:hint="default"/>
        </w:rPr>
        <w:t>494</w:t>
      </w:r>
      <w:r>
        <w:rPr/>
        <w:t>万台自助售货机，大约每</w:t>
      </w:r>
      <w:r>
        <w:rPr>
          <w:rFonts w:ascii="Times New Roman" w:hAnsi="Times New Roman" w:cs="Times New Roman" w:eastAsia="Times New Roman" w:hint="default"/>
        </w:rPr>
        <w:t>24</w:t>
      </w:r>
      <w:r>
        <w:rPr/>
        <w:t>人就拥有一台，实现销售额折合人民币 约</w:t>
      </w:r>
      <w:r>
        <w:rPr>
          <w:rFonts w:ascii="Times New Roman" w:hAnsi="Times New Roman" w:cs="Times New Roman" w:eastAsia="Times New Roman" w:hint="default"/>
        </w:rPr>
        <w:t>3,016</w:t>
      </w:r>
      <w:r>
        <w:rPr/>
        <w:t>亿元。其中</w:t>
      </w:r>
      <w:r>
        <w:rPr>
          <w:rFonts w:ascii="Times New Roman" w:hAnsi="Times New Roman" w:cs="Times New Roman" w:eastAsia="Times New Roman" w:hint="default"/>
        </w:rPr>
        <w:t>90%</w:t>
      </w:r>
      <w:r>
        <w:rPr/>
        <w:t>的自助售货机来自于品牌商自营，例如可口可乐、三得利、麒麟等。而在中国，自助售货机数量仅 </w:t>
      </w:r>
      <w:r>
        <w:rPr>
          <w:spacing w:val="-2"/>
        </w:rPr>
        <w:t>约为</w:t>
      </w:r>
      <w:r>
        <w:rPr>
          <w:rFonts w:ascii="Times New Roman" w:hAnsi="Times New Roman" w:cs="Times New Roman" w:eastAsia="Times New Roman" w:hint="default"/>
          <w:spacing w:val="-2"/>
        </w:rPr>
        <w:t>23</w:t>
      </w:r>
      <w:r>
        <w:rPr>
          <w:spacing w:val="-2"/>
        </w:rPr>
        <w:t>万台，其中主要是友宝、上海米源等第三方运营商进行运营，品牌商自营的自助售货机数量较少。随着我国快消品食</w:t>
      </w:r>
      <w:r>
        <w:rPr>
          <w:spacing w:val="-61"/>
        </w:rPr>
        <w:t> </w:t>
      </w:r>
      <w:r>
        <w:rPr>
          <w:spacing w:val="-61"/>
        </w:rPr>
      </w:r>
      <w:r>
        <w:rPr>
          <w:spacing w:val="-2"/>
        </w:rPr>
        <w:t>品饮料行业竞争加剧，快消品牌和相关新产品层出不穷。未来品牌商或谋求转型，直接参与线下零售市场的竞争。品牌商自</w:t>
      </w:r>
      <w:r>
        <w:rPr>
          <w:spacing w:val="-65"/>
        </w:rPr>
        <w:t> </w:t>
      </w:r>
      <w:r>
        <w:rPr>
          <w:spacing w:val="-65"/>
        </w:rPr>
      </w:r>
      <w:r>
        <w:rPr/>
        <w:t>营自助售货机有望帮助品牌商实现广告投放、消费者数据收集和渠道经营，把握商品流通中的各个环节，提高市场占有率。</w:t>
      </w:r>
      <w:r>
        <w:rPr>
          <w:spacing w:val="-86"/>
        </w:rPr>
        <w:t> </w:t>
      </w:r>
      <w:r>
        <w:rPr>
          <w:spacing w:val="-86"/>
        </w:rPr>
      </w:r>
      <w:r>
        <w:rPr/>
        <w:t>农夫山泉、娃哈哈等品牌商已开始通过自动售货机布局线下，新零售背景下越来越多的品牌商将注重线下零售场景的争夺，</w:t>
      </w:r>
      <w:r>
        <w:rPr>
          <w:spacing w:val="-86"/>
        </w:rPr>
        <w:t> </w:t>
      </w:r>
      <w:r>
        <w:rPr>
          <w:spacing w:val="-86"/>
        </w:rPr>
      </w:r>
      <w:r>
        <w:rPr>
          <w:spacing w:val="-2"/>
        </w:rPr>
        <w:t>自动售货机市场迎来爆发期。若按照中国自动售货机市场两倍于日本计算，中国则可容纳</w:t>
      </w:r>
      <w:r>
        <w:rPr>
          <w:rFonts w:ascii="Times New Roman" w:hAnsi="Times New Roman" w:cs="Times New Roman" w:eastAsia="Times New Roman" w:hint="default"/>
          <w:spacing w:val="-2"/>
        </w:rPr>
        <w:t>1000</w:t>
      </w:r>
      <w:r>
        <w:rPr>
          <w:spacing w:val="-2"/>
        </w:rPr>
        <w:t>万台以上自动售货机，保守假</w:t>
      </w:r>
      <w:r>
        <w:rPr>
          <w:spacing w:val="-63"/>
        </w:rPr>
        <w:t> </w:t>
      </w:r>
      <w:r>
        <w:rPr>
          <w:spacing w:val="-63"/>
        </w:rPr>
      </w:r>
      <w:r>
        <w:rPr/>
        <w:t>设平均每台自动售货机售价为</w:t>
      </w:r>
      <w:r>
        <w:rPr>
          <w:rFonts w:ascii="Times New Roman" w:hAnsi="Times New Roman" w:cs="Times New Roman" w:eastAsia="Times New Roman" w:hint="default"/>
        </w:rPr>
        <w:t>2</w:t>
      </w:r>
      <w:r>
        <w:rPr/>
        <w:t>万元，对应</w:t>
      </w:r>
      <w:r>
        <w:rPr>
          <w:rFonts w:ascii="Times New Roman" w:hAnsi="Times New Roman" w:cs="Times New Roman" w:eastAsia="Times New Roman" w:hint="default"/>
        </w:rPr>
        <w:t>2000</w:t>
      </w:r>
      <w:r>
        <w:rPr/>
        <w:t>亿市场空间。</w:t>
      </w:r>
    </w:p>
    <w:p>
      <w:pPr>
        <w:pStyle w:val="BodyText"/>
        <w:spacing w:line="451" w:lineRule="auto" w:before="33"/>
        <w:ind w:left="513" w:right="183" w:hanging="9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）支付产品细分行业</w:t>
      </w:r>
      <w:r>
        <w:rPr>
          <w:rFonts w:ascii="宋体" w:hAnsi="宋体" w:cs="宋体" w:eastAsia="宋体" w:hint="default"/>
          <w:b/>
          <w:bCs/>
          <w:w w:val="99"/>
        </w:rPr>
        <w:t> </w:t>
      </w:r>
      <w:r>
        <w:rPr/>
        <w:t>根据中国人民银行于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15</w:t>
      </w:r>
      <w:r>
        <w:rPr/>
        <w:t>日发布的《</w:t>
      </w:r>
      <w:r>
        <w:rPr>
          <w:rFonts w:ascii="Times New Roman" w:hAnsi="Times New Roman" w:cs="Times New Roman" w:eastAsia="Times New Roman" w:hint="default"/>
        </w:rPr>
        <w:t>2017</w:t>
      </w:r>
      <w:r>
        <w:rPr/>
        <w:t>年支付体系运行总体情况》，截至</w:t>
      </w:r>
      <w:r>
        <w:rPr>
          <w:rFonts w:ascii="Times New Roman" w:hAnsi="Times New Roman" w:cs="Times New Roman" w:eastAsia="Times New Roman" w:hint="default"/>
        </w:rPr>
        <w:t>2017</w:t>
      </w:r>
      <w:r>
        <w:rPr/>
        <w:t>年末，全国银行卡在用发卡数</w:t>
      </w:r>
    </w:p>
    <w:p>
      <w:pPr>
        <w:pStyle w:val="BodyText"/>
        <w:spacing w:line="240" w:lineRule="auto" w:before="43"/>
        <w:ind w:right="178"/>
        <w:jc w:val="left"/>
      </w:pPr>
      <w:r>
        <w:rPr/>
        <w:t>量</w:t>
      </w:r>
      <w:r>
        <w:rPr>
          <w:rFonts w:ascii="Times New Roman" w:hAnsi="Times New Roman" w:cs="Times New Roman" w:eastAsia="Times New Roman" w:hint="default"/>
        </w:rPr>
        <w:t>66.93</w:t>
      </w:r>
      <w:r>
        <w:rPr/>
        <w:t>亿张，同比增长</w:t>
      </w:r>
      <w:r>
        <w:rPr>
          <w:rFonts w:ascii="Times New Roman" w:hAnsi="Times New Roman" w:cs="Times New Roman" w:eastAsia="Times New Roman" w:hint="default"/>
        </w:rPr>
        <w:t>9.27%,</w:t>
      </w:r>
      <w:r>
        <w:rPr/>
        <w:t>增速下降</w:t>
      </w:r>
      <w:r>
        <w:rPr>
          <w:rFonts w:ascii="Times New Roman" w:hAnsi="Times New Roman" w:cs="Times New Roman" w:eastAsia="Times New Roman" w:hint="default"/>
        </w:rPr>
        <w:t>3.27</w:t>
      </w:r>
      <w:r>
        <w:rPr/>
        <w:t>个百分点。</w:t>
      </w:r>
    </w:p>
    <w:p>
      <w:pPr>
        <w:spacing w:line="240" w:lineRule="auto" w:before="9"/>
        <w:rPr>
          <w:rFonts w:ascii="宋体" w:hAnsi="宋体" w:cs="宋体" w:eastAsia="宋体" w:hint="default"/>
          <w:sz w:val="16"/>
          <w:szCs w:val="16"/>
        </w:rPr>
      </w:pPr>
    </w:p>
    <w:p>
      <w:pPr>
        <w:pStyle w:val="BodyText"/>
        <w:spacing w:line="240" w:lineRule="auto"/>
        <w:ind w:left="513" w:right="178"/>
        <w:jc w:val="left"/>
      </w:pPr>
      <w:r>
        <w:rPr>
          <w:rFonts w:ascii="Times New Roman" w:hAnsi="Times New Roman" w:cs="Times New Roman" w:eastAsia="Times New Roman" w:hint="default"/>
        </w:rPr>
        <w:t>2017 </w:t>
      </w:r>
      <w:r>
        <w:rPr/>
        <w:t>年全国共发生银行卡交易</w:t>
      </w:r>
      <w:r>
        <w:rPr>
          <w:rFonts w:ascii="Times New Roman" w:hAnsi="Times New Roman" w:cs="Times New Roman" w:eastAsia="Times New Roman" w:hint="default"/>
        </w:rPr>
        <w:t>51494.31 </w:t>
      </w:r>
      <w:r>
        <w:rPr/>
        <w:t>亿笔，金额 </w:t>
      </w:r>
      <w:r>
        <w:rPr>
          <w:rFonts w:ascii="Times New Roman" w:hAnsi="Times New Roman" w:cs="Times New Roman" w:eastAsia="Times New Roman" w:hint="default"/>
        </w:rPr>
        <w:t>761.65 </w:t>
      </w:r>
      <w:r>
        <w:rPr/>
        <w:t>万亿元，同比分别增长</w:t>
      </w:r>
      <w:r>
        <w:rPr>
          <w:spacing w:val="38"/>
        </w:rPr>
        <w:t> </w:t>
      </w:r>
      <w:r>
        <w:rPr>
          <w:rFonts w:ascii="Times New Roman" w:hAnsi="Times New Roman" w:cs="Times New Roman" w:eastAsia="Times New Roman" w:hint="default"/>
        </w:rPr>
        <w:t>29.41%</w:t>
      </w:r>
      <w:r>
        <w:rPr/>
        <w:t>和</w:t>
      </w:r>
      <w:r>
        <w:rPr>
          <w:rFonts w:ascii="Times New Roman" w:hAnsi="Times New Roman" w:cs="Times New Roman" w:eastAsia="Times New Roman" w:hint="default"/>
        </w:rPr>
        <w:t>2.67%</w:t>
      </w:r>
      <w:r>
        <w:rPr/>
        <w:t>。其中，银行卡存</w:t>
      </w:r>
    </w:p>
    <w:p>
      <w:pPr>
        <w:spacing w:line="240" w:lineRule="auto" w:before="10"/>
        <w:rPr>
          <w:rFonts w:ascii="宋体" w:hAnsi="宋体" w:cs="宋体" w:eastAsia="宋体" w:hint="default"/>
          <w:sz w:val="16"/>
          <w:szCs w:val="16"/>
        </w:rPr>
      </w:pPr>
    </w:p>
    <w:p>
      <w:pPr>
        <w:pStyle w:val="BodyText"/>
        <w:spacing w:line="451" w:lineRule="auto"/>
        <w:ind w:right="193"/>
        <w:jc w:val="both"/>
      </w:pPr>
      <w:r>
        <w:rPr/>
        <w:t>现 </w:t>
      </w:r>
      <w:r>
        <w:rPr>
          <w:rFonts w:ascii="Times New Roman" w:hAnsi="Times New Roman" w:cs="Times New Roman" w:eastAsia="Times New Roman" w:hint="default"/>
        </w:rPr>
        <w:t>96.41 </w:t>
      </w:r>
      <w:r>
        <w:rPr/>
        <w:t>亿笔，金额 </w:t>
      </w:r>
      <w:r>
        <w:rPr>
          <w:rFonts w:ascii="Times New Roman" w:hAnsi="Times New Roman" w:cs="Times New Roman" w:eastAsia="Times New Roman" w:hint="default"/>
        </w:rPr>
        <w:t>67.92 </w:t>
      </w:r>
      <w:r>
        <w:rPr/>
        <w:t>万亿元，同比分别下降 </w:t>
      </w:r>
      <w:r>
        <w:rPr>
          <w:rFonts w:ascii="Times New Roman" w:hAnsi="Times New Roman" w:cs="Times New Roman" w:eastAsia="Times New Roman" w:hint="default"/>
        </w:rPr>
        <w:t>7.95% </w:t>
      </w:r>
      <w:r>
        <w:rPr/>
        <w:t>和 </w:t>
      </w:r>
      <w:r>
        <w:rPr>
          <w:rFonts w:ascii="Times New Roman" w:hAnsi="Times New Roman" w:cs="Times New Roman" w:eastAsia="Times New Roman" w:hint="default"/>
        </w:rPr>
        <w:t>11.99%</w:t>
      </w:r>
      <w:r>
        <w:rPr/>
        <w:t>；取现 </w:t>
      </w:r>
      <w:r>
        <w:rPr>
          <w:rFonts w:ascii="Times New Roman" w:hAnsi="Times New Roman" w:cs="Times New Roman" w:eastAsia="Times New Roman" w:hint="default"/>
        </w:rPr>
        <w:t>173.17 </w:t>
      </w:r>
      <w:r>
        <w:rPr/>
        <w:t>亿笔，金额 </w:t>
      </w:r>
      <w:r>
        <w:rPr>
          <w:rFonts w:ascii="Times New Roman" w:hAnsi="Times New Roman" w:cs="Times New Roman" w:eastAsia="Times New Roman" w:hint="default"/>
        </w:rPr>
        <w:t>65.07</w:t>
      </w:r>
      <w:r>
        <w:rPr>
          <w:rFonts w:ascii="Times New Roman" w:hAnsi="Times New Roman" w:cs="Times New Roman" w:eastAsia="Times New Roman" w:hint="default"/>
          <w:spacing w:val="7"/>
        </w:rPr>
        <w:t> </w:t>
      </w:r>
      <w:r>
        <w:rPr/>
        <w:t>万亿元，同比分别下 降</w:t>
      </w:r>
      <w:r>
        <w:rPr>
          <w:spacing w:val="-19"/>
        </w:rPr>
        <w:t> </w:t>
      </w:r>
      <w:r>
        <w:rPr>
          <w:rFonts w:ascii="Times New Roman" w:hAnsi="Times New Roman" w:cs="Times New Roman" w:eastAsia="Times New Roman" w:hint="default"/>
        </w:rPr>
        <w:t>3.78%</w:t>
      </w:r>
      <w:r>
        <w:rPr/>
        <w:t>和</w:t>
      </w:r>
      <w:r>
        <w:rPr>
          <w:spacing w:val="-20"/>
        </w:rPr>
        <w:t> </w:t>
      </w:r>
      <w:r>
        <w:rPr>
          <w:rFonts w:ascii="Times New Roman" w:hAnsi="Times New Roman" w:cs="Times New Roman" w:eastAsia="Times New Roman" w:hint="default"/>
        </w:rPr>
        <w:t>0.65%</w:t>
      </w:r>
      <w:r>
        <w:rPr/>
        <w:t>；转账业务</w:t>
      </w:r>
      <w:r>
        <w:rPr>
          <w:spacing w:val="-19"/>
        </w:rPr>
        <w:t> </w:t>
      </w:r>
      <w:r>
        <w:rPr>
          <w:rFonts w:ascii="Times New Roman" w:hAnsi="Times New Roman" w:cs="Times New Roman" w:eastAsia="Times New Roman" w:hint="default"/>
        </w:rPr>
        <w:t>638.46</w:t>
      </w:r>
      <w:r>
        <w:rPr>
          <w:rFonts w:ascii="Times New Roman" w:hAnsi="Times New Roman" w:cs="Times New Roman" w:eastAsia="Times New Roman" w:hint="default"/>
          <w:spacing w:val="28"/>
        </w:rPr>
        <w:t> </w:t>
      </w:r>
      <w:r>
        <w:rPr/>
        <w:t>亿笔，金额</w:t>
      </w:r>
      <w:r>
        <w:rPr>
          <w:spacing w:val="-19"/>
        </w:rPr>
        <w:t> </w:t>
      </w:r>
      <w:r>
        <w:rPr>
          <w:rFonts w:ascii="Times New Roman" w:hAnsi="Times New Roman" w:cs="Times New Roman" w:eastAsia="Times New Roman" w:hint="default"/>
        </w:rPr>
        <w:t>559.99</w:t>
      </w:r>
      <w:r>
        <w:rPr/>
        <w:t>万亿元，同比分别增长</w:t>
      </w:r>
      <w:r>
        <w:rPr>
          <w:spacing w:val="-19"/>
        </w:rPr>
        <w:t> </w:t>
      </w:r>
      <w:r>
        <w:rPr>
          <w:rFonts w:ascii="Times New Roman" w:hAnsi="Times New Roman" w:cs="Times New Roman" w:eastAsia="Times New Roman" w:hint="default"/>
        </w:rPr>
        <w:t>31.17%</w:t>
      </w:r>
      <w:r>
        <w:rPr/>
        <w:t>和</w:t>
      </w:r>
      <w:r>
        <w:rPr>
          <w:spacing w:val="-19"/>
        </w:rPr>
        <w:t> </w:t>
      </w:r>
      <w:r>
        <w:rPr>
          <w:rFonts w:ascii="Times New Roman" w:hAnsi="Times New Roman" w:cs="Times New Roman" w:eastAsia="Times New Roman" w:hint="default"/>
        </w:rPr>
        <w:t>3.20%</w:t>
      </w:r>
      <w:r>
        <w:rPr/>
        <w:t>；消费业务</w:t>
      </w:r>
      <w:r>
        <w:rPr>
          <w:spacing w:val="-19"/>
        </w:rPr>
        <w:t> </w:t>
      </w:r>
      <w:r>
        <w:rPr>
          <w:rFonts w:ascii="Times New Roman" w:hAnsi="Times New Roman" w:cs="Times New Roman" w:eastAsia="Times New Roman" w:hint="default"/>
        </w:rPr>
        <w:t>586.27</w:t>
      </w:r>
      <w:r>
        <w:rPr/>
        <w:t>亿笔， 金额 </w:t>
      </w:r>
      <w:r>
        <w:rPr>
          <w:rFonts w:ascii="Times New Roman" w:hAnsi="Times New Roman" w:cs="Times New Roman" w:eastAsia="Times New Roman" w:hint="default"/>
        </w:rPr>
        <w:t>68.67 </w:t>
      </w:r>
      <w:r>
        <w:rPr/>
        <w:t>万亿元，同比分别增长 </w:t>
      </w:r>
      <w:r>
        <w:rPr>
          <w:rFonts w:ascii="Times New Roman" w:hAnsi="Times New Roman" w:cs="Times New Roman" w:eastAsia="Times New Roman" w:hint="default"/>
        </w:rPr>
        <w:t>52.96%</w:t>
      </w:r>
      <w:r>
        <w:rPr/>
        <w:t>和</w:t>
      </w:r>
      <w:r>
        <w:rPr>
          <w:spacing w:val="-30"/>
        </w:rPr>
        <w:t> </w:t>
      </w:r>
      <w:r>
        <w:rPr>
          <w:rFonts w:ascii="Times New Roman" w:hAnsi="Times New Roman" w:cs="Times New Roman" w:eastAsia="Times New Roman" w:hint="default"/>
        </w:rPr>
        <w:t>21.54%</w:t>
      </w:r>
      <w:r>
        <w:rPr/>
        <w:t>。</w:t>
      </w:r>
    </w:p>
    <w:p>
      <w:pPr>
        <w:pStyle w:val="BodyText"/>
        <w:spacing w:line="451" w:lineRule="auto" w:before="43"/>
        <w:ind w:right="256" w:firstLine="360"/>
        <w:jc w:val="both"/>
        <w:rPr>
          <w:rFonts w:ascii="Times New Roman" w:hAnsi="Times New Roman" w:cs="Times New Roman" w:eastAsia="Times New Roman" w:hint="default"/>
        </w:rPr>
      </w:pPr>
      <w:r>
        <w:rPr>
          <w:rFonts w:ascii="Times New Roman" w:hAnsi="Times New Roman" w:cs="Times New Roman" w:eastAsia="Times New Roman" w:hint="default"/>
        </w:rPr>
        <w:t>2017</w:t>
      </w:r>
      <w:r>
        <w:rPr/>
        <w:t>年，银行业金融机构共处理支付终端业务</w:t>
      </w:r>
      <w:r>
        <w:rPr>
          <w:rFonts w:ascii="Times New Roman" w:hAnsi="Times New Roman" w:cs="Times New Roman" w:eastAsia="Times New Roman" w:hint="default"/>
        </w:rPr>
        <w:t>1 525.80</w:t>
      </w:r>
      <w:r>
        <w:rPr/>
        <w:t>亿笔，金额</w:t>
      </w:r>
      <w:r>
        <w:rPr>
          <w:rFonts w:ascii="Times New Roman" w:hAnsi="Times New Roman" w:cs="Times New Roman" w:eastAsia="Times New Roman" w:hint="default"/>
        </w:rPr>
        <w:t>2 419.20</w:t>
      </w:r>
      <w:r>
        <w:rPr/>
        <w:t>万亿元</w:t>
      </w:r>
      <w:r>
        <w:rPr>
          <w:spacing w:val="-24"/>
        </w:rPr>
        <w:t> </w:t>
      </w:r>
      <w:r>
        <w:rPr/>
        <w:t>。其中，网上支付业务</w:t>
      </w:r>
      <w:r>
        <w:rPr>
          <w:rFonts w:ascii="Times New Roman" w:hAnsi="Times New Roman" w:cs="Times New Roman" w:eastAsia="Times New Roman" w:hint="default"/>
        </w:rPr>
        <w:t>485.78</w:t>
      </w:r>
      <w:r>
        <w:rPr/>
        <w:t>亿笔， 金额</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rFonts w:ascii="Times New Roman" w:hAnsi="Times New Roman" w:cs="Times New Roman" w:eastAsia="Times New Roman" w:hint="default"/>
        </w:rPr>
        <w:t>075.09</w:t>
      </w:r>
      <w:r>
        <w:rPr/>
        <w:t>万亿元，笔数同比增长</w:t>
      </w:r>
      <w:r>
        <w:rPr>
          <w:rFonts w:ascii="Times New Roman" w:hAnsi="Times New Roman" w:cs="Times New Roman" w:eastAsia="Times New Roman" w:hint="default"/>
        </w:rPr>
        <w:t>5.20%</w:t>
      </w:r>
      <w:r>
        <w:rPr/>
        <w:t>，金额同比下降</w:t>
      </w:r>
      <w:r>
        <w:rPr>
          <w:rFonts w:ascii="Times New Roman" w:hAnsi="Times New Roman" w:cs="Times New Roman" w:eastAsia="Times New Roman" w:hint="default"/>
        </w:rPr>
        <w:t>0.47%</w:t>
      </w:r>
      <w:r>
        <w:rPr/>
        <w:t>；支付终端业务</w:t>
      </w:r>
      <w:r>
        <w:rPr>
          <w:rFonts w:ascii="Times New Roman" w:hAnsi="Times New Roman" w:cs="Times New Roman" w:eastAsia="Times New Roman" w:hint="default"/>
        </w:rPr>
        <w:t>375.52</w:t>
      </w:r>
      <w:r>
        <w:rPr/>
        <w:t>亿笔，金额</w:t>
      </w:r>
      <w:r>
        <w:rPr>
          <w:rFonts w:ascii="Times New Roman" w:hAnsi="Times New Roman" w:cs="Times New Roman" w:eastAsia="Times New Roman" w:hint="default"/>
        </w:rPr>
        <w:t>202.93</w:t>
      </w:r>
      <w:r>
        <w:rPr/>
        <w:t>万亿元，同比分别 增长</w:t>
      </w:r>
      <w:r>
        <w:rPr>
          <w:rFonts w:ascii="Times New Roman" w:hAnsi="Times New Roman" w:cs="Times New Roman" w:eastAsia="Times New Roman" w:hint="default"/>
        </w:rPr>
        <w:t>46.06%</w:t>
      </w:r>
      <w:r>
        <w:rPr/>
        <w:t>和</w:t>
      </w:r>
      <w:r>
        <w:rPr>
          <w:rFonts w:ascii="Times New Roman" w:hAnsi="Times New Roman" w:cs="Times New Roman" w:eastAsia="Times New Roman" w:hint="default"/>
        </w:rPr>
        <w:t>28.80%</w:t>
      </w:r>
    </w:p>
    <w:p>
      <w:pPr>
        <w:pStyle w:val="BodyText"/>
        <w:spacing w:line="451" w:lineRule="auto" w:before="43"/>
        <w:ind w:left="513" w:right="188"/>
        <w:jc w:val="left"/>
      </w:pPr>
      <w:r>
        <w:rPr>
          <w:rFonts w:ascii="Times New Roman" w:hAnsi="Times New Roman" w:cs="Times New Roman" w:eastAsia="Times New Roman" w:hint="default"/>
        </w:rPr>
        <w:t>2017</w:t>
      </w:r>
      <w:r>
        <w:rPr/>
        <w:t>年，非银行支付机构发生网络支付业务</w:t>
      </w:r>
      <w:r>
        <w:rPr>
          <w:rFonts w:ascii="Times New Roman" w:hAnsi="Times New Roman" w:cs="Times New Roman" w:eastAsia="Times New Roman" w:hint="default"/>
        </w:rPr>
        <w:t>2 867.47</w:t>
      </w:r>
      <w:r>
        <w:rPr/>
        <w:t>亿笔，金额</w:t>
      </w:r>
      <w:r>
        <w:rPr>
          <w:rFonts w:ascii="Times New Roman" w:hAnsi="Times New Roman" w:cs="Times New Roman" w:eastAsia="Times New Roman" w:hint="default"/>
        </w:rPr>
        <w:t>143.26</w:t>
      </w:r>
      <w:r>
        <w:rPr/>
        <w:t>万亿元，同比分别增长</w:t>
      </w:r>
      <w:r>
        <w:rPr>
          <w:rFonts w:ascii="Times New Roman" w:hAnsi="Times New Roman" w:cs="Times New Roman" w:eastAsia="Times New Roman" w:hint="default"/>
        </w:rPr>
        <w:t>74.95%</w:t>
      </w:r>
      <w:r>
        <w:rPr/>
        <w:t>和</w:t>
      </w:r>
      <w:r>
        <w:rPr>
          <w:rFonts w:ascii="Times New Roman" w:hAnsi="Times New Roman" w:cs="Times New Roman" w:eastAsia="Times New Roman" w:hint="default"/>
        </w:rPr>
        <w:t>44.32%</w:t>
      </w:r>
      <w:r>
        <w:rPr/>
        <w:t>。 截至</w:t>
      </w:r>
      <w:r>
        <w:rPr>
          <w:rFonts w:ascii="Times New Roman" w:hAnsi="Times New Roman" w:cs="Times New Roman" w:eastAsia="Times New Roman" w:hint="default"/>
        </w:rPr>
        <w:t>2017</w:t>
      </w:r>
      <w:r>
        <w:rPr/>
        <w:t>年末，银行卡跨行支付系统联网特约商户</w:t>
      </w:r>
      <w:r>
        <w:rPr>
          <w:rFonts w:ascii="Times New Roman" w:hAnsi="Times New Roman" w:cs="Times New Roman" w:eastAsia="Times New Roman" w:hint="default"/>
        </w:rPr>
        <w:t>2,592.60</w:t>
      </w:r>
      <w:r>
        <w:rPr/>
        <w:t>万户，联网支付机具</w:t>
      </w:r>
      <w:r>
        <w:rPr>
          <w:rFonts w:ascii="Times New Roman" w:hAnsi="Times New Roman" w:cs="Times New Roman" w:eastAsia="Times New Roman" w:hint="default"/>
        </w:rPr>
        <w:t>3,118.86</w:t>
      </w:r>
      <w:r>
        <w:rPr/>
        <w:t>万台，</w:t>
      </w:r>
      <w:r>
        <w:rPr>
          <w:rFonts w:ascii="Times New Roman" w:hAnsi="Times New Roman" w:cs="Times New Roman" w:eastAsia="Times New Roman" w:hint="default"/>
        </w:rPr>
        <w:t>ATM</w:t>
      </w:r>
      <w:r>
        <w:rPr/>
        <w:t>机具</w:t>
      </w:r>
      <w:r>
        <w:rPr>
          <w:rFonts w:ascii="Times New Roman" w:hAnsi="Times New Roman" w:cs="Times New Roman" w:eastAsia="Times New Roman" w:hint="default"/>
        </w:rPr>
        <w:t>96.06</w:t>
      </w:r>
      <w:r>
        <w:rPr/>
        <w:t>万台，较</w:t>
      </w:r>
    </w:p>
    <w:p>
      <w:pPr>
        <w:pStyle w:val="BodyText"/>
        <w:spacing w:line="463" w:lineRule="auto" w:before="44"/>
        <w:ind w:right="93"/>
        <w:jc w:val="left"/>
      </w:pPr>
      <w:r>
        <w:rPr/>
        <w:t>上年末分别增加</w:t>
      </w:r>
      <w:r>
        <w:rPr>
          <w:rFonts w:ascii="Times New Roman" w:hAnsi="Times New Roman" w:cs="Times New Roman" w:eastAsia="Times New Roman" w:hint="default"/>
        </w:rPr>
        <w:t>525.40</w:t>
      </w:r>
      <w:r>
        <w:rPr/>
        <w:t>万户、</w:t>
      </w:r>
      <w:r>
        <w:rPr>
          <w:rFonts w:ascii="Times New Roman" w:hAnsi="Times New Roman" w:cs="Times New Roman" w:eastAsia="Times New Roman" w:hint="default"/>
        </w:rPr>
        <w:t>665.36</w:t>
      </w:r>
      <w:r>
        <w:rPr/>
        <w:t>万台和</w:t>
      </w:r>
      <w:r>
        <w:rPr>
          <w:rFonts w:ascii="Times New Roman" w:hAnsi="Times New Roman" w:cs="Times New Roman" w:eastAsia="Times New Roman" w:hint="default"/>
        </w:rPr>
        <w:t>3.64</w:t>
      </w:r>
      <w:r>
        <w:rPr/>
        <w:t>万台。全国每万人对应的支付机具数量</w:t>
      </w:r>
      <w:r>
        <w:rPr>
          <w:rFonts w:ascii="Times New Roman" w:hAnsi="Times New Roman" w:cs="Times New Roman" w:eastAsia="Times New Roman" w:hint="default"/>
        </w:rPr>
        <w:t>225.56</w:t>
      </w:r>
      <w:r>
        <w:rPr/>
        <w:t>台，同比增长</w:t>
      </w:r>
      <w:r>
        <w:rPr>
          <w:rFonts w:ascii="Times New Roman" w:hAnsi="Times New Roman" w:cs="Times New Roman" w:eastAsia="Times New Roman" w:hint="default"/>
        </w:rPr>
        <w:t>26.04%</w:t>
      </w:r>
      <w:r>
        <w:rPr/>
        <w:t>，每万人 </w:t>
      </w:r>
      <w:r>
        <w:rPr>
          <w:spacing w:val="-2"/>
        </w:rPr>
        <w:t>对应的</w:t>
      </w:r>
      <w:r>
        <w:rPr>
          <w:rFonts w:ascii="Times New Roman" w:hAnsi="Times New Roman" w:cs="Times New Roman" w:eastAsia="Times New Roman" w:hint="default"/>
          <w:spacing w:val="-2"/>
        </w:rPr>
        <w:t>ATM</w:t>
      </w:r>
      <w:r>
        <w:rPr>
          <w:spacing w:val="-2"/>
        </w:rPr>
        <w:t>数量</w:t>
      </w:r>
      <w:r>
        <w:rPr>
          <w:rFonts w:ascii="Times New Roman" w:hAnsi="Times New Roman" w:cs="Times New Roman" w:eastAsia="Times New Roman" w:hint="default"/>
          <w:spacing w:val="-2"/>
        </w:rPr>
        <w:t>6.95</w:t>
      </w:r>
      <w:r>
        <w:rPr>
          <w:spacing w:val="-2"/>
        </w:rPr>
        <w:t>台，同比增长</w:t>
      </w:r>
      <w:r>
        <w:rPr>
          <w:rFonts w:ascii="Times New Roman" w:hAnsi="Times New Roman" w:cs="Times New Roman" w:eastAsia="Times New Roman" w:hint="default"/>
          <w:spacing w:val="-2"/>
        </w:rPr>
        <w:t>3.06%</w:t>
      </w:r>
      <w:r>
        <w:rPr>
          <w:spacing w:val="-2"/>
        </w:rPr>
        <w:t>。截止</w:t>
      </w:r>
      <w:r>
        <w:rPr>
          <w:rFonts w:ascii="Times New Roman" w:hAnsi="Times New Roman" w:cs="Times New Roman" w:eastAsia="Times New Roman" w:hint="default"/>
          <w:spacing w:val="-2"/>
        </w:rPr>
        <w:t>2017</w:t>
      </w:r>
      <w:r>
        <w:rPr>
          <w:spacing w:val="-2"/>
        </w:rPr>
        <w:t>年末，我国每台支付终端对应银行卡数量约为</w:t>
      </w:r>
      <w:r>
        <w:rPr>
          <w:rFonts w:ascii="Times New Roman" w:hAnsi="Times New Roman" w:cs="Times New Roman" w:eastAsia="Times New Roman" w:hint="default"/>
          <w:spacing w:val="-2"/>
        </w:rPr>
        <w:t>214</w:t>
      </w:r>
      <w:r>
        <w:rPr>
          <w:spacing w:val="-2"/>
        </w:rPr>
        <w:t>张，与意大利、巴西、</w:t>
      </w:r>
      <w:r>
        <w:rPr>
          <w:spacing w:val="-71"/>
        </w:rPr>
        <w:t> </w:t>
      </w:r>
      <w:r>
        <w:rPr>
          <w:spacing w:val="-71"/>
        </w:rPr>
      </w:r>
      <w:r>
        <w:rPr>
          <w:spacing w:val="-2"/>
        </w:rPr>
        <w:t>瑞典、美国等发达国家每台支付终端对应银行卡数量相比仍然处于较高水平，随着我国支付终端方式的普及，支付受理终端</w:t>
      </w:r>
      <w:r>
        <w:rPr>
          <w:spacing w:val="-63"/>
        </w:rPr>
        <w:t> </w:t>
      </w:r>
      <w:r>
        <w:rPr>
          <w:spacing w:val="-63"/>
        </w:rPr>
      </w:r>
      <w:r>
        <w:rPr>
          <w:spacing w:val="-2"/>
        </w:rPr>
        <w:t>支付机具形态和功能也越来越丰富，以及支付相关产品售价的下降，联网支付机具数量的增长依然保持较快速度，预计未来</w:t>
      </w:r>
      <w:r>
        <w:rPr>
          <w:spacing w:val="-63"/>
        </w:rPr>
        <w:t> </w:t>
      </w:r>
      <w:r>
        <w:rPr>
          <w:spacing w:val="-63"/>
        </w:rPr>
      </w:r>
      <w:r>
        <w:rPr>
          <w:spacing w:val="-4"/>
        </w:rPr>
        <w:t>支付机具会向市场进一步渗透。借着支付终端兴起和生物识别等高新技术广泛应用的机遇，支付机具行业也发生了积极变化，</w:t>
      </w:r>
    </w:p>
    <w:p>
      <w:pPr>
        <w:spacing w:after="0" w:line="463" w:lineRule="auto"/>
        <w:jc w:val="left"/>
        <w:sectPr>
          <w:footerReference w:type="default" r:id="rId15"/>
          <w:pgSz w:w="11910" w:h="16840"/>
          <w:pgMar w:footer="980" w:header="745" w:top="1060" w:bottom="1160" w:left="980" w:right="940"/>
          <w:pgNumType w:start="38"/>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51" w:lineRule="auto"/>
        <w:ind w:right="178"/>
        <w:jc w:val="left"/>
      </w:pPr>
      <w:r>
        <w:rPr>
          <w:spacing w:val="-2"/>
          <w:w w:val="99"/>
        </w:rPr>
        <w:t>支付机具从过去只能受理银行卡物理刷卡支付方式升级为即可以接受二维码支付又可以接受</w:t>
      </w:r>
      <w:r>
        <w:rPr>
          <w:rFonts w:ascii="Times New Roman" w:hAnsi="Times New Roman" w:cs="Times New Roman" w:eastAsia="Times New Roman" w:hint="default"/>
          <w:spacing w:val="-2"/>
          <w:w w:val="99"/>
        </w:rPr>
        <w:t>NFC</w:t>
      </w:r>
      <w:r>
        <w:rPr>
          <w:spacing w:val="-2"/>
          <w:w w:val="99"/>
        </w:rPr>
        <w:t>方式等全渠道支付方式。未</w:t>
      </w:r>
      <w:r>
        <w:rPr>
          <w:spacing w:val="-51"/>
          <w:w w:val="99"/>
        </w:rPr>
        <w:t> </w:t>
      </w:r>
      <w:r>
        <w:rPr>
          <w:spacing w:val="-51"/>
          <w:w w:val="99"/>
        </w:rPr>
      </w:r>
      <w:r>
        <w:rPr/>
        <w:t>来随着支付环境进一步的改善以及相关技术的应用，支付终端行业增长空间依然很大。</w:t>
      </w:r>
    </w:p>
    <w:p>
      <w:pPr>
        <w:pStyle w:val="BodyText"/>
        <w:spacing w:line="240" w:lineRule="auto" w:before="74"/>
        <w:ind w:left="513" w:right="178"/>
        <w:jc w:val="left"/>
      </w:pPr>
      <w:r>
        <w:rPr>
          <w:rFonts w:ascii="Times New Roman" w:hAnsi="Times New Roman" w:cs="Times New Roman" w:eastAsia="Times New Roman" w:hint="default"/>
        </w:rPr>
        <w:t>2017</w:t>
      </w:r>
      <w:r>
        <w:rPr/>
        <w:t>年，农信银支付清算系统共处理业务</w:t>
      </w:r>
      <w:r>
        <w:rPr>
          <w:rFonts w:ascii="Times New Roman" w:hAnsi="Times New Roman" w:cs="Times New Roman" w:eastAsia="Times New Roman" w:hint="default"/>
        </w:rPr>
        <w:t>33.49</w:t>
      </w:r>
      <w:r>
        <w:rPr/>
        <w:t>亿笔，金额</w:t>
      </w:r>
      <w:r>
        <w:rPr>
          <w:rFonts w:ascii="Times New Roman" w:hAnsi="Times New Roman" w:cs="Times New Roman" w:eastAsia="Times New Roman" w:hint="default"/>
        </w:rPr>
        <w:t>6.67</w:t>
      </w:r>
      <w:r>
        <w:rPr/>
        <w:t>万亿元，同比分别增长</w:t>
      </w:r>
      <w:r>
        <w:rPr>
          <w:rFonts w:ascii="Times New Roman" w:hAnsi="Times New Roman" w:cs="Times New Roman" w:eastAsia="Times New Roman" w:hint="default"/>
        </w:rPr>
        <w:t>99.23%</w:t>
      </w:r>
      <w:r>
        <w:rPr/>
        <w:t>和</w:t>
      </w:r>
      <w:r>
        <w:rPr>
          <w:rFonts w:ascii="Times New Roman" w:hAnsi="Times New Roman" w:cs="Times New Roman" w:eastAsia="Times New Roman" w:hint="default"/>
        </w:rPr>
        <w:t>22.99%</w:t>
      </w:r>
      <w:r>
        <w:rPr/>
        <w:t>。日均处理业务</w:t>
      </w:r>
    </w:p>
    <w:p>
      <w:pPr>
        <w:spacing w:line="240" w:lineRule="auto" w:before="9"/>
        <w:rPr>
          <w:rFonts w:ascii="宋体" w:hAnsi="宋体" w:cs="宋体" w:eastAsia="宋体" w:hint="default"/>
          <w:sz w:val="16"/>
          <w:szCs w:val="16"/>
        </w:rPr>
      </w:pPr>
    </w:p>
    <w:p>
      <w:pPr>
        <w:pStyle w:val="BodyText"/>
        <w:spacing w:line="468" w:lineRule="auto"/>
        <w:ind w:right="94"/>
        <w:jc w:val="left"/>
      </w:pPr>
      <w:r>
        <w:rPr>
          <w:rFonts w:ascii="Times New Roman" w:hAnsi="Times New Roman" w:cs="Times New Roman" w:eastAsia="Times New Roman" w:hint="default"/>
        </w:rPr>
        <w:t>917.54</w:t>
      </w:r>
      <w:r>
        <w:rPr/>
        <w:t>万笔，金额</w:t>
      </w:r>
      <w:r>
        <w:rPr>
          <w:rFonts w:ascii="Times New Roman" w:hAnsi="Times New Roman" w:cs="Times New Roman" w:eastAsia="Times New Roman" w:hint="default"/>
        </w:rPr>
        <w:t>182.87</w:t>
      </w:r>
      <w:r>
        <w:rPr/>
        <w:t>亿元。上述数据显示农信银支付清算系统业务笔数保持快速增长，随着互联网支付与支付终端的普 及，农村支付产品和场景不断丰富，农村中小金融机构金融服务水平持续提升，从而带动农信银支付清算业务量快速增长，</w:t>
      </w:r>
      <w:r>
        <w:rPr>
          <w:spacing w:val="-86"/>
        </w:rPr>
        <w:t> </w:t>
      </w:r>
      <w:r>
        <w:rPr>
          <w:spacing w:val="-86"/>
        </w:rPr>
      </w:r>
      <w:r>
        <w:rPr>
          <w:spacing w:val="-2"/>
        </w:rPr>
        <w:t>我们认为支付终端推广在农村市场仍有很大的空间，预计未来农村支付终端及相关服务会保持较高增长率，我国农村支付终</w:t>
      </w:r>
      <w:r>
        <w:rPr>
          <w:spacing w:val="-64"/>
        </w:rPr>
        <w:t> </w:t>
      </w:r>
      <w:r>
        <w:rPr>
          <w:spacing w:val="-64"/>
        </w:rPr>
      </w:r>
      <w:r>
        <w:rPr/>
        <w:t>端服务市场值得持续关注。</w:t>
      </w:r>
    </w:p>
    <w:p>
      <w:pPr>
        <w:pStyle w:val="BodyText"/>
        <w:spacing w:line="477" w:lineRule="auto" w:before="61"/>
        <w:ind w:right="190" w:firstLine="360"/>
        <w:jc w:val="both"/>
      </w:pPr>
      <w:r>
        <w:rPr>
          <w:spacing w:val="-2"/>
        </w:rPr>
        <w:t>支付技术的不断革新，推动了支付终端产品的升级，同时新的支付安全问题，也对支付信息安全保密手段有了更加严格</w:t>
      </w:r>
      <w:r>
        <w:rPr/>
        <w:t> 的要求。此外，因为支付场景及商户规模的不同，市场对支付终端的需求也趋于多样化发展。</w:t>
      </w:r>
    </w:p>
    <w:p>
      <w:pPr>
        <w:pStyle w:val="BodyText"/>
        <w:spacing w:line="468" w:lineRule="auto" w:before="55"/>
        <w:ind w:right="191" w:firstLine="360"/>
        <w:jc w:val="both"/>
      </w:pPr>
      <w:r>
        <w:rPr>
          <w:spacing w:val="-2"/>
        </w:rPr>
        <w:t>市场竞争格局：公司在银行业非现金类自助服务终端的主要竞争对手是恒银金融科技有限公司、云南南天电子信息产业</w:t>
      </w:r>
      <w:r>
        <w:rPr/>
        <w:t> </w:t>
      </w:r>
      <w:r>
        <w:rPr>
          <w:spacing w:val="-4"/>
        </w:rPr>
        <w:t>股份有限公司、浪潮集团有限公司等。支付产品竞争对手包括福建联迪商用设备有限公司、百富计算机技术</w:t>
      </w:r>
      <w:r>
        <w:rPr>
          <w:rFonts w:ascii="Times New Roman" w:hAnsi="Times New Roman" w:cs="Times New Roman" w:eastAsia="Times New Roman" w:hint="default"/>
          <w:spacing w:val="-4"/>
        </w:rPr>
        <w:t>(</w:t>
      </w:r>
      <w:r>
        <w:rPr>
          <w:spacing w:val="-4"/>
        </w:rPr>
        <w:t>深圳</w:t>
      </w:r>
      <w:r>
        <w:rPr>
          <w:rFonts w:ascii="Times New Roman" w:hAnsi="Times New Roman" w:cs="Times New Roman" w:eastAsia="Times New Roman" w:hint="default"/>
          <w:spacing w:val="-4"/>
        </w:rPr>
        <w:t>)</w:t>
      </w:r>
      <w:r>
        <w:rPr>
          <w:spacing w:val="-4"/>
        </w:rPr>
        <w:t>有限公司、</w:t>
      </w:r>
      <w:r>
        <w:rPr>
          <w:spacing w:val="-69"/>
        </w:rPr>
        <w:t> </w:t>
      </w:r>
      <w:r>
        <w:rPr>
          <w:spacing w:val="-2"/>
        </w:rPr>
        <w:t>深圳市新国都技术股份有限公司等。加密键盘主要竞争对手包括深圳市九思泰达科技有限公司、深圳市旭子金融设备有限公</w:t>
      </w:r>
      <w:r>
        <w:rPr>
          <w:spacing w:val="-64"/>
        </w:rPr>
        <w:t> </w:t>
      </w:r>
      <w:r>
        <w:rPr>
          <w:spacing w:val="-64"/>
        </w:rPr>
      </w:r>
      <w:r>
        <w:rPr/>
        <w:t>司、美国</w:t>
      </w:r>
      <w:r>
        <w:rPr>
          <w:rFonts w:ascii="Times New Roman" w:hAnsi="Times New Roman" w:cs="Times New Roman" w:eastAsia="Times New Roman" w:hint="default"/>
        </w:rPr>
        <w:t>VeriFone</w:t>
      </w:r>
      <w:r>
        <w:rPr/>
        <w:t>公司、丹麦</w:t>
      </w:r>
      <w:r>
        <w:rPr>
          <w:rFonts w:ascii="Times New Roman" w:hAnsi="Times New Roman" w:cs="Times New Roman" w:eastAsia="Times New Roman" w:hint="default"/>
        </w:rPr>
        <w:t>Cryptera</w:t>
      </w:r>
      <w:r>
        <w:rPr/>
        <w:t>公司。</w:t>
      </w:r>
    </w:p>
    <w:p>
      <w:pPr>
        <w:pStyle w:val="Heading5"/>
        <w:spacing w:line="240" w:lineRule="auto" w:before="29"/>
        <w:ind w:left="513" w:right="6754"/>
        <w:jc w:val="left"/>
        <w:rPr>
          <w:b w:val="0"/>
          <w:bCs w:val="0"/>
        </w:rPr>
      </w:pPr>
      <w:r>
        <w:rPr>
          <w:rFonts w:ascii="Times New Roman" w:hAnsi="Times New Roman" w:cs="Times New Roman" w:eastAsia="Times New Roman" w:hint="default"/>
        </w:rPr>
        <w:t>2</w:t>
      </w:r>
      <w:r>
        <w:rPr/>
        <w:t>、</w:t>
      </w:r>
      <w:r>
        <w:rPr>
          <w:rFonts w:ascii="Times New Roman" w:hAnsi="Times New Roman" w:cs="Times New Roman" w:eastAsia="Times New Roman" w:hint="default"/>
        </w:rPr>
        <w:t>IDC</w:t>
      </w:r>
      <w:r>
        <w:rPr/>
        <w:t>及云计算</w:t>
      </w:r>
      <w:r>
        <w:rPr>
          <w:b w:val="0"/>
          <w:bCs w:val="0"/>
        </w:rPr>
      </w:r>
    </w:p>
    <w:p>
      <w:pPr>
        <w:spacing w:line="240" w:lineRule="auto" w:before="9"/>
        <w:rPr>
          <w:rFonts w:ascii="宋体" w:hAnsi="宋体" w:cs="宋体" w:eastAsia="宋体" w:hint="default"/>
          <w:b/>
          <w:bCs/>
          <w:sz w:val="16"/>
          <w:szCs w:val="16"/>
        </w:rPr>
      </w:pPr>
    </w:p>
    <w:p>
      <w:pPr>
        <w:pStyle w:val="BodyText"/>
        <w:spacing w:line="458" w:lineRule="auto"/>
        <w:ind w:right="178" w:firstLine="36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月国务院发布《关于促进云计算创新发展培育信息产业新业态的意见》，将云计算发展提高到新的战略高度</w:t>
      </w:r>
      <w:r>
        <w:rPr>
          <w:rFonts w:ascii="Times New Roman" w:hAnsi="Times New Roman" w:cs="Times New Roman" w:eastAsia="Times New Roman" w:hint="default"/>
        </w:rPr>
        <w:t>, </w:t>
      </w:r>
      <w:r>
        <w:rPr>
          <w:spacing w:val="-2"/>
        </w:rPr>
        <w:t>对数据中心的建设给予了相关的指导和建议。意见提出要完善相关市场环境，加强互联网骨干网互联互通监管和技术支撑手</w:t>
      </w:r>
      <w:r>
        <w:rPr>
          <w:spacing w:val="-64"/>
        </w:rPr>
        <w:t> </w:t>
      </w:r>
      <w:r>
        <w:rPr>
          <w:spacing w:val="-64"/>
        </w:rPr>
      </w:r>
      <w:r>
        <w:rPr/>
        <w:t>段建设，调整网间互联结算政策</w:t>
      </w:r>
      <w:r>
        <w:rPr>
          <w:rFonts w:ascii="Times New Roman" w:hAnsi="Times New Roman" w:cs="Times New Roman" w:eastAsia="Times New Roman" w:hint="default"/>
        </w:rPr>
        <w:t>,</w:t>
      </w:r>
      <w:r>
        <w:rPr/>
        <w:t>保障网间互联高效畅通。对符合布局原则和能耗标准的云计算数据中，支持其参加直供电 试点，满足大工业用电条件的可执行大工业电价，并在网络、市政配套等方面给予保障</w:t>
      </w:r>
      <w:r>
        <w:rPr>
          <w:rFonts w:ascii="Times New Roman" w:hAnsi="Times New Roman" w:cs="Times New Roman" w:eastAsia="Times New Roman" w:hint="default"/>
        </w:rPr>
        <w:t>,</w:t>
      </w:r>
      <w:r>
        <w:rPr/>
        <w:t>优先安排用地；加快推进云计算数 据中心建设与评估等方面标准的制定。</w:t>
      </w:r>
    </w:p>
    <w:p>
      <w:pPr>
        <w:pStyle w:val="BodyText"/>
        <w:spacing w:line="458" w:lineRule="auto" w:before="68"/>
        <w:ind w:right="188" w:firstLine="36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29</w:t>
      </w:r>
      <w:r>
        <w:rPr>
          <w:spacing w:val="-2"/>
        </w:rPr>
        <w:t>日，国务院关于印发《</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国家战略性新兴产业发展规划的通知》，要求统筹发展应用基础设施。充</w:t>
      </w:r>
      <w:r>
        <w:rPr/>
        <w:t> </w:t>
      </w:r>
      <w:r>
        <w:rPr>
          <w:spacing w:val="-2"/>
        </w:rPr>
        <w:t>分利用现有设施，统筹规划大型、超大型数据中心在全国适宜地区布局，有序推进绿色数据中心建设。在推进战略性新兴产</w:t>
      </w:r>
      <w:r>
        <w:rPr>
          <w:spacing w:val="-65"/>
        </w:rPr>
        <w:t> </w:t>
      </w:r>
      <w:r>
        <w:rPr>
          <w:spacing w:val="-65"/>
        </w:rPr>
      </w:r>
      <w:r>
        <w:rPr>
          <w:spacing w:val="-3"/>
        </w:rPr>
        <w:t>业发展的政策措施影响下，</w:t>
      </w:r>
      <w:r>
        <w:rPr>
          <w:rFonts w:ascii="Times New Roman" w:hAnsi="Times New Roman" w:cs="Times New Roman" w:eastAsia="Times New Roman" w:hint="default"/>
          <w:spacing w:val="-3"/>
        </w:rPr>
        <w:t>IDC</w:t>
      </w:r>
      <w:r>
        <w:rPr>
          <w:spacing w:val="-3"/>
        </w:rPr>
        <w:t>行业企业活力会进一步释放，在新动能支撑中国经济行稳致远保持中高速增长的过程中，</w:t>
      </w:r>
      <w:r>
        <w:rPr>
          <w:rFonts w:ascii="Times New Roman" w:hAnsi="Times New Roman" w:cs="Times New Roman" w:eastAsia="Times New Roman" w:hint="default"/>
          <w:spacing w:val="-3"/>
        </w:rPr>
        <w:t>IDC</w:t>
      </w:r>
      <w:r>
        <w:rPr>
          <w:rFonts w:ascii="Times New Roman" w:hAnsi="Times New Roman" w:cs="Times New Roman" w:eastAsia="Times New Roman" w:hint="default"/>
          <w:spacing w:val="-34"/>
        </w:rPr>
        <w:t> </w:t>
      </w:r>
      <w:r>
        <w:rPr/>
        <w:t>作用会越来越大。</w:t>
      </w:r>
    </w:p>
    <w:p>
      <w:pPr>
        <w:pStyle w:val="BodyText"/>
        <w:spacing w:line="451" w:lineRule="auto" w:before="68"/>
        <w:ind w:right="196" w:firstLine="36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日，工业和信息化部通信发展司编制出版了《全国数据中心应用发展指引（</w:t>
      </w:r>
      <w:r>
        <w:rPr>
          <w:rFonts w:ascii="Times New Roman" w:hAnsi="Times New Roman" w:cs="Times New Roman" w:eastAsia="Times New Roman" w:hint="default"/>
        </w:rPr>
        <w:t>2017</w:t>
      </w:r>
      <w:r>
        <w:rPr/>
        <w:t>）》，引导各区域数据中 心供需对接、提升应用水平，指引用户从全国数据中心资源中合理选择，以促进</w:t>
      </w:r>
      <w:r>
        <w:rPr>
          <w:rFonts w:ascii="Times New Roman" w:hAnsi="Times New Roman" w:cs="Times New Roman" w:eastAsia="Times New Roman" w:hint="default"/>
        </w:rPr>
        <w:t>IDC</w:t>
      </w:r>
      <w:r>
        <w:rPr/>
        <w:t>行业良性快速发展。</w:t>
      </w:r>
    </w:p>
    <w:p>
      <w:pPr>
        <w:pStyle w:val="BodyText"/>
        <w:spacing w:line="451" w:lineRule="auto" w:before="44"/>
        <w:ind w:right="191" w:firstLine="360"/>
        <w:jc w:val="both"/>
      </w:pPr>
      <w:r>
        <w:rPr>
          <w:rFonts w:ascii="Times New Roman" w:hAnsi="Times New Roman" w:cs="Times New Roman" w:eastAsia="Times New Roman" w:hint="default"/>
          <w:spacing w:val="-1"/>
        </w:rPr>
        <w:t>IDC</w:t>
      </w:r>
      <w:r>
        <w:rPr>
          <w:spacing w:val="-1"/>
        </w:rPr>
        <w:t>产业多方位变革，数据中心云化、智能化、大数据是大势所趋：数字化转型、业务上云成为各行各业发展的主要趋</w:t>
      </w:r>
      <w:r>
        <w:rPr/>
        <w:t> 势，以金融业为例，传统商业银行正面临新兴技术企业、于联网企业在全方位的挑战，银行</w:t>
      </w:r>
      <w:r>
        <w:rPr>
          <w:rFonts w:ascii="Times New Roman" w:hAnsi="Times New Roman" w:cs="Times New Roman" w:eastAsia="Times New Roman" w:hint="default"/>
        </w:rPr>
        <w:t>IT</w:t>
      </w:r>
      <w:r>
        <w:rPr>
          <w:rFonts w:ascii="Times New Roman" w:hAnsi="Times New Roman" w:cs="Times New Roman" w:eastAsia="Times New Roman" w:hint="default"/>
          <w:spacing w:val="26"/>
        </w:rPr>
        <w:t> </w:t>
      </w:r>
      <w:r>
        <w:rPr/>
        <w:t>亟需向云架构转型提升业务 灵敏度。数据中心作为海量数据、业务存储和分发平台，其灵活性、可拓展性尤为重要，同时，利用大数据、</w:t>
      </w:r>
      <w:r>
        <w:rPr>
          <w:rFonts w:ascii="Times New Roman" w:hAnsi="Times New Roman" w:cs="Times New Roman" w:eastAsia="Times New Roman" w:hint="default"/>
        </w:rPr>
        <w:t>AI</w:t>
      </w:r>
      <w:r>
        <w:rPr>
          <w:rFonts w:ascii="Times New Roman" w:hAnsi="Times New Roman" w:cs="Times New Roman" w:eastAsia="Times New Roman" w:hint="default"/>
          <w:spacing w:val="27"/>
        </w:rPr>
        <w:t> </w:t>
      </w:r>
      <w:r>
        <w:rPr/>
        <w:t>实现数据</w:t>
      </w:r>
      <w:r>
        <w:rPr>
          <w:w w:val="99"/>
        </w:rPr>
        <w:t> </w:t>
      </w:r>
      <w:r>
        <w:rPr/>
        <w:t>中心能源合理调配、自助运维，解决目前数据中心能耗、安全、业务结构单一、产品附加值低等问题成为关键发展方向。</w:t>
      </w:r>
    </w:p>
    <w:p>
      <w:pPr>
        <w:pStyle w:val="BodyText"/>
        <w:spacing w:line="240" w:lineRule="auto" w:before="74"/>
        <w:ind w:left="513" w:right="93"/>
        <w:jc w:val="left"/>
      </w:pPr>
      <w:r>
        <w:rPr/>
        <w:t>受益于</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推动传统行业信息化转型，以及移动互联网、视频、网络游戏等垂直行业客户需求稳定增长，云计算</w:t>
      </w:r>
    </w:p>
    <w:p>
      <w:pPr>
        <w:spacing w:after="0" w:line="240" w:lineRule="auto"/>
        <w:jc w:val="left"/>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51" w:lineRule="auto"/>
        <w:ind w:right="191"/>
        <w:jc w:val="left"/>
      </w:pPr>
      <w:r>
        <w:rPr>
          <w:spacing w:val="-5"/>
        </w:rPr>
        <w:t>市场快速发展，拉动数据中心服务市场持续增长。根据中国</w:t>
      </w:r>
      <w:r>
        <w:rPr>
          <w:rFonts w:ascii="Times New Roman" w:hAnsi="Times New Roman" w:cs="Times New Roman" w:eastAsia="Times New Roman" w:hint="default"/>
          <w:spacing w:val="-5"/>
        </w:rPr>
        <w:t>IDC</w:t>
      </w:r>
      <w:r>
        <w:rPr>
          <w:rFonts w:ascii="Times New Roman" w:hAnsi="Times New Roman" w:cs="Times New Roman" w:eastAsia="Times New Roman" w:hint="default"/>
          <w:spacing w:val="-2"/>
        </w:rPr>
        <w:t> </w:t>
      </w:r>
      <w:r>
        <w:rPr>
          <w:spacing w:val="-4"/>
        </w:rPr>
        <w:t>圈研究中心发布的《</w:t>
      </w:r>
      <w:r>
        <w:rPr>
          <w:rFonts w:ascii="Times New Roman" w:hAnsi="Times New Roman" w:cs="Times New Roman" w:eastAsia="Times New Roman" w:hint="default"/>
          <w:spacing w:val="-4"/>
        </w:rPr>
        <w:t>2016-2017</w:t>
      </w:r>
      <w:r>
        <w:rPr>
          <w:rFonts w:ascii="Times New Roman" w:hAnsi="Times New Roman" w:cs="Times New Roman" w:eastAsia="Times New Roman" w:hint="default"/>
          <w:spacing w:val="-1"/>
        </w:rPr>
        <w:t> </w:t>
      </w:r>
      <w:r>
        <w:rPr/>
        <w:t>中国</w:t>
      </w:r>
      <w:r>
        <w:rPr>
          <w:rFonts w:ascii="Times New Roman" w:hAnsi="Times New Roman" w:cs="Times New Roman" w:eastAsia="Times New Roman" w:hint="default"/>
        </w:rPr>
        <w:t>IDC</w:t>
      </w:r>
      <w:r>
        <w:rPr/>
        <w:t>产业发展研究报告》</w:t>
      </w:r>
      <w:r>
        <w:rPr>
          <w:spacing w:val="-88"/>
        </w:rPr>
        <w:t> </w:t>
      </w:r>
      <w:r>
        <w:rPr>
          <w:spacing w:val="-88"/>
        </w:rPr>
      </w:r>
      <w:r>
        <w:rPr/>
        <w:t>数据显示，</w:t>
      </w:r>
      <w:r>
        <w:rPr>
          <w:rFonts w:ascii="Times New Roman" w:hAnsi="Times New Roman" w:cs="Times New Roman" w:eastAsia="Times New Roman" w:hint="default"/>
        </w:rPr>
        <w:t>2016</w:t>
      </w:r>
      <w:r>
        <w:rPr/>
        <w:t>年中国</w:t>
      </w:r>
      <w:r>
        <w:rPr>
          <w:rFonts w:ascii="Times New Roman" w:hAnsi="Times New Roman" w:cs="Times New Roman" w:eastAsia="Times New Roman" w:hint="default"/>
        </w:rPr>
        <w:t>IDC</w:t>
      </w:r>
      <w:r>
        <w:rPr/>
        <w:t>市场继续保持高速增长，市场总规模为</w:t>
      </w:r>
      <w:r>
        <w:rPr>
          <w:rFonts w:ascii="Times New Roman" w:hAnsi="Times New Roman" w:cs="Times New Roman" w:eastAsia="Times New Roman" w:hint="default"/>
        </w:rPr>
        <w:t>714.5</w:t>
      </w:r>
      <w:r>
        <w:rPr/>
        <w:t>亿元人民币，同比增长</w:t>
      </w:r>
      <w:r>
        <w:rPr>
          <w:rFonts w:ascii="Times New Roman" w:hAnsi="Times New Roman" w:cs="Times New Roman" w:eastAsia="Times New Roman" w:hint="default"/>
        </w:rPr>
        <w:t>37.8%</w:t>
      </w:r>
      <w:r>
        <w:rPr/>
        <w:t>，未来三年整体</w:t>
      </w:r>
      <w:r>
        <w:rPr>
          <w:rFonts w:ascii="Times New Roman" w:hAnsi="Times New Roman" w:cs="Times New Roman" w:eastAsia="Times New Roman" w:hint="default"/>
        </w:rPr>
        <w:t>IDC</w:t>
      </w:r>
      <w:r>
        <w:rPr/>
        <w:t>市 场增速将保持</w:t>
      </w:r>
      <w:r>
        <w:rPr>
          <w:rFonts w:ascii="Times New Roman" w:hAnsi="Times New Roman" w:cs="Times New Roman" w:eastAsia="Times New Roman" w:hint="default"/>
        </w:rPr>
        <w:t>35%</w:t>
      </w:r>
      <w:r>
        <w:rPr/>
        <w:t>以上，；从市场总量来看，美国和欧洲地区占据了全球</w:t>
      </w:r>
      <w:r>
        <w:rPr>
          <w:rFonts w:ascii="Times New Roman" w:hAnsi="Times New Roman" w:cs="Times New Roman" w:eastAsia="Times New Roman" w:hint="default"/>
        </w:rPr>
        <w:t>IDC </w:t>
      </w:r>
      <w:r>
        <w:rPr/>
        <w:t>市场规模的</w:t>
      </w:r>
      <w:r>
        <w:rPr>
          <w:rFonts w:ascii="Times New Roman" w:hAnsi="Times New Roman" w:cs="Times New Roman" w:eastAsia="Times New Roman" w:hint="default"/>
        </w:rPr>
        <w:t>50%</w:t>
      </w:r>
      <w:r>
        <w:rPr/>
        <w:t>以上。根据</w:t>
      </w:r>
      <w:r>
        <w:rPr>
          <w:rFonts w:ascii="Times New Roman" w:hAnsi="Times New Roman" w:cs="Times New Roman" w:eastAsia="Times New Roman" w:hint="default"/>
        </w:rPr>
        <w:t>IDC</w:t>
      </w:r>
      <w:r>
        <w:rPr>
          <w:rFonts w:ascii="Times New Roman" w:hAnsi="Times New Roman" w:cs="Times New Roman" w:eastAsia="Times New Roman" w:hint="default"/>
          <w:spacing w:val="7"/>
        </w:rPr>
        <w:t> </w:t>
      </w:r>
      <w:r>
        <w:rPr/>
        <w:t>圈统计， </w:t>
      </w:r>
      <w:r>
        <w:rPr>
          <w:rFonts w:ascii="Times New Roman" w:hAnsi="Times New Roman" w:cs="Times New Roman" w:eastAsia="Times New Roman" w:hint="default"/>
        </w:rPr>
        <w:t>2015-2018 </w:t>
      </w:r>
      <w:r>
        <w:rPr/>
        <w:t>年中国</w:t>
      </w:r>
      <w:r>
        <w:rPr>
          <w:rFonts w:ascii="Times New Roman" w:hAnsi="Times New Roman" w:cs="Times New Roman" w:eastAsia="Times New Roman" w:hint="default"/>
        </w:rPr>
        <w:t>IDC </w:t>
      </w:r>
      <w:r>
        <w:rPr/>
        <w:t>市场复合增速约</w:t>
      </w:r>
      <w:r>
        <w:rPr>
          <w:rFonts w:ascii="Times New Roman" w:hAnsi="Times New Roman" w:cs="Times New Roman" w:eastAsia="Times New Roman" w:hint="default"/>
        </w:rPr>
        <w:t>38%</w:t>
      </w:r>
      <w:r>
        <w:rPr/>
        <w:t>左右，继续维持高增长。预计</w:t>
      </w:r>
      <w:r>
        <w:rPr>
          <w:rFonts w:ascii="Times New Roman" w:hAnsi="Times New Roman" w:cs="Times New Roman" w:eastAsia="Times New Roman" w:hint="default"/>
        </w:rPr>
        <w:t>2019 </w:t>
      </w:r>
      <w:r>
        <w:rPr/>
        <w:t>年，国内市场规模将接近</w:t>
      </w:r>
      <w:r>
        <w:rPr>
          <w:rFonts w:ascii="Times New Roman" w:hAnsi="Times New Roman" w:cs="Times New Roman" w:eastAsia="Times New Roman" w:hint="default"/>
        </w:rPr>
        <w:t>1900</w:t>
      </w:r>
      <w:r>
        <w:rPr>
          <w:rFonts w:ascii="Times New Roman" w:hAnsi="Times New Roman" w:cs="Times New Roman" w:eastAsia="Times New Roman" w:hint="default"/>
          <w:spacing w:val="9"/>
        </w:rPr>
        <w:t> </w:t>
      </w:r>
      <w:r>
        <w:rPr/>
        <w:t>亿元，增速大 约为</w:t>
      </w:r>
      <w:r>
        <w:rPr>
          <w:rFonts w:ascii="Times New Roman" w:hAnsi="Times New Roman" w:cs="Times New Roman" w:eastAsia="Times New Roman" w:hint="default"/>
        </w:rPr>
        <w:t>35.9%</w:t>
      </w:r>
      <w:r>
        <w:rPr/>
        <w:t>，国内</w:t>
      </w:r>
      <w:r>
        <w:rPr>
          <w:rFonts w:ascii="Times New Roman" w:hAnsi="Times New Roman" w:cs="Times New Roman" w:eastAsia="Times New Roman" w:hint="default"/>
        </w:rPr>
        <w:t>IDC</w:t>
      </w:r>
      <w:r>
        <w:rPr>
          <w:rFonts w:ascii="Times New Roman" w:hAnsi="Times New Roman" w:cs="Times New Roman" w:eastAsia="Times New Roman" w:hint="default"/>
          <w:spacing w:val="25"/>
        </w:rPr>
        <w:t> </w:t>
      </w:r>
      <w:r>
        <w:rPr/>
        <w:t>行业仍处于快速发展期。</w:t>
      </w:r>
    </w:p>
    <w:p>
      <w:pPr>
        <w:pStyle w:val="BodyText"/>
        <w:spacing w:line="456" w:lineRule="auto" w:before="43"/>
        <w:ind w:right="178" w:firstLine="360"/>
        <w:jc w:val="left"/>
      </w:pPr>
      <w:r>
        <w:rPr>
          <w:spacing w:val="-2"/>
        </w:rPr>
        <w:t>北上广深等一线城市位于国内宽带网络的骨干网节点上，在接入网速和延时方面，相比偏远地区有一定优势，尤其对于</w:t>
      </w:r>
      <w:r>
        <w:rPr/>
        <w:t> 对网络延时要求较高的金融客户和互联网公司，一线城市是这些行业</w:t>
      </w:r>
      <w:r>
        <w:rPr>
          <w:rFonts w:ascii="Times New Roman" w:hAnsi="Times New Roman" w:cs="Times New Roman" w:eastAsia="Times New Roman" w:hint="default"/>
        </w:rPr>
        <w:t>IDC</w:t>
      </w:r>
      <w:r>
        <w:rPr>
          <w:rFonts w:ascii="Times New Roman" w:hAnsi="Times New Roman" w:cs="Times New Roman" w:eastAsia="Times New Roman" w:hint="default"/>
          <w:spacing w:val="26"/>
        </w:rPr>
        <w:t> </w:t>
      </w:r>
      <w:r>
        <w:rPr/>
        <w:t>选址第一选择。另外一方面，国内互联网公司主 要聚集在北京、上海、深圳等一线城市，为了便于解决运维等问题，一线城市也是他们</w:t>
      </w:r>
      <w:r>
        <w:rPr>
          <w:rFonts w:ascii="Times New Roman" w:hAnsi="Times New Roman" w:cs="Times New Roman" w:eastAsia="Times New Roman" w:hint="default"/>
        </w:rPr>
        <w:t>IDC</w:t>
      </w:r>
      <w:r>
        <w:rPr>
          <w:rFonts w:ascii="Times New Roman" w:hAnsi="Times New Roman" w:cs="Times New Roman" w:eastAsia="Times New Roman" w:hint="default"/>
          <w:spacing w:val="26"/>
        </w:rPr>
        <w:t> </w:t>
      </w:r>
      <w:r>
        <w:rPr/>
        <w:t>选址的第一选择。未来数据中 心更多基于</w:t>
      </w:r>
      <w:r>
        <w:rPr>
          <w:rFonts w:ascii="Times New Roman" w:hAnsi="Times New Roman" w:cs="Times New Roman" w:eastAsia="Times New Roman" w:hint="default"/>
        </w:rPr>
        <w:t>SDN </w:t>
      </w:r>
      <w:r>
        <w:rPr/>
        <w:t>和</w:t>
      </w:r>
      <w:r>
        <w:rPr>
          <w:rFonts w:ascii="Times New Roman" w:hAnsi="Times New Roman" w:cs="Times New Roman" w:eastAsia="Times New Roman" w:hint="default"/>
        </w:rPr>
        <w:t>NFW</w:t>
      </w:r>
      <w:r>
        <w:rPr>
          <w:rFonts w:ascii="Times New Roman" w:hAnsi="Times New Roman" w:cs="Times New Roman" w:eastAsia="Times New Roman" w:hint="default"/>
          <w:spacing w:val="5"/>
        </w:rPr>
        <w:t> </w:t>
      </w:r>
      <w:r>
        <w:rPr>
          <w:spacing w:val="-2"/>
        </w:rPr>
        <w:t>来构建，高等级数据中心的运维对于运维人员技术水平要求更高，这类人才常驻偏远地区的可能性</w:t>
      </w:r>
      <w:r>
        <w:rPr/>
        <w:t> 也较低。所以从需求端看，一线城市</w:t>
      </w:r>
      <w:r>
        <w:rPr>
          <w:rFonts w:ascii="Times New Roman" w:hAnsi="Times New Roman" w:cs="Times New Roman" w:eastAsia="Times New Roman" w:hint="default"/>
        </w:rPr>
        <w:t>IDC</w:t>
      </w:r>
      <w:r>
        <w:rPr>
          <w:rFonts w:ascii="Times New Roman" w:hAnsi="Times New Roman" w:cs="Times New Roman" w:eastAsia="Times New Roman" w:hint="default"/>
          <w:spacing w:val="26"/>
        </w:rPr>
        <w:t> </w:t>
      </w:r>
      <w:r>
        <w:rPr/>
        <w:t>基本都是下游大客户首选。而从供给端来看目前北京、上海等一线城市由于环保 和能耗等因素，</w:t>
      </w:r>
      <w:r>
        <w:rPr>
          <w:rFonts w:ascii="Times New Roman" w:hAnsi="Times New Roman" w:cs="Times New Roman" w:eastAsia="Times New Roman" w:hint="default"/>
        </w:rPr>
        <w:t>IDC  </w:t>
      </w:r>
      <w:r>
        <w:rPr/>
        <w:t>扩建存在政策限制，这使得一线城市的</w:t>
      </w:r>
      <w:r>
        <w:rPr>
          <w:rFonts w:ascii="Times New Roman" w:hAnsi="Times New Roman" w:cs="Times New Roman" w:eastAsia="Times New Roman" w:hint="default"/>
        </w:rPr>
        <w:t>IDC</w:t>
      </w:r>
      <w:r>
        <w:rPr>
          <w:rFonts w:ascii="Times New Roman" w:hAnsi="Times New Roman" w:cs="Times New Roman" w:eastAsia="Times New Roman" w:hint="default"/>
          <w:spacing w:val="6"/>
        </w:rPr>
        <w:t> </w:t>
      </w:r>
      <w:r>
        <w:rPr/>
        <w:t>成为一种稀缺资源。</w:t>
      </w:r>
    </w:p>
    <w:p>
      <w:pPr>
        <w:pStyle w:val="BodyText"/>
        <w:spacing w:line="451" w:lineRule="auto" w:before="39"/>
        <w:ind w:right="190" w:firstLine="360"/>
        <w:jc w:val="both"/>
      </w:pPr>
      <w:r>
        <w:rPr/>
        <w:t>随着数据中心的需求不断上升以及数据中心不断升级转型，小型</w:t>
      </w:r>
      <w:r>
        <w:rPr>
          <w:rFonts w:ascii="Times New Roman" w:hAnsi="Times New Roman" w:cs="Times New Roman" w:eastAsia="Times New Roman" w:hint="default"/>
        </w:rPr>
        <w:t>IDC</w:t>
      </w:r>
      <w:r>
        <w:rPr>
          <w:rFonts w:ascii="Times New Roman" w:hAnsi="Times New Roman" w:cs="Times New Roman" w:eastAsia="Times New Roman" w:hint="default"/>
          <w:spacing w:val="26"/>
        </w:rPr>
        <w:t> </w:t>
      </w:r>
      <w:r>
        <w:rPr/>
        <w:t>企业受资源所限，生存空间将越来越小，而那些 拥有更先进技术、更雄厚资本、更合理运营结构的大型</w:t>
      </w:r>
      <w:r>
        <w:rPr>
          <w:rFonts w:ascii="Times New Roman" w:hAnsi="Times New Roman" w:cs="Times New Roman" w:eastAsia="Times New Roman" w:hint="default"/>
        </w:rPr>
        <w:t>IDC</w:t>
      </w:r>
      <w:r>
        <w:rPr/>
        <w:t>服务商将会兼并较小的</w:t>
      </w:r>
      <w:r>
        <w:rPr>
          <w:rFonts w:ascii="Times New Roman" w:hAnsi="Times New Roman" w:cs="Times New Roman" w:eastAsia="Times New Roman" w:hint="default"/>
        </w:rPr>
        <w:t>IDC</w:t>
      </w:r>
      <w:r>
        <w:rPr/>
        <w:t>服务商。因此，数据中心行业整合是 </w:t>
      </w:r>
      <w:r>
        <w:rPr>
          <w:w w:val="95"/>
        </w:rPr>
        <w:t>必然的趋势。目前，国内</w:t>
      </w:r>
      <w:r>
        <w:rPr>
          <w:rFonts w:ascii="Times New Roman" w:hAnsi="Times New Roman" w:cs="Times New Roman" w:eastAsia="Times New Roman" w:hint="default"/>
          <w:w w:val="95"/>
        </w:rPr>
        <w:t>IDC</w:t>
      </w:r>
      <w:r>
        <w:rPr>
          <w:w w:val="95"/>
        </w:rPr>
        <w:t>市场较为分散。因此国内龙头</w:t>
      </w:r>
      <w:r>
        <w:rPr>
          <w:rFonts w:ascii="Times New Roman" w:hAnsi="Times New Roman" w:cs="Times New Roman" w:eastAsia="Times New Roman" w:hint="default"/>
          <w:w w:val="95"/>
        </w:rPr>
        <w:t>IDC </w:t>
      </w:r>
      <w:r>
        <w:rPr>
          <w:w w:val="95"/>
        </w:rPr>
        <w:t>企业存在较大整合空间，除自建数据中心外还可以充分利用</w:t>
      </w:r>
      <w:r>
        <w:rPr>
          <w:spacing w:val="-17"/>
          <w:w w:val="95"/>
        </w:rPr>
        <w:t> </w:t>
      </w:r>
      <w:r>
        <w:rPr>
          <w:spacing w:val="-17"/>
          <w:w w:val="95"/>
        </w:rPr>
      </w:r>
      <w:r>
        <w:rPr/>
        <w:t>资本力量进行并购整合，从而实现节点数和市占率的快速提升，加强自身议价能力和整体服务能力。</w:t>
      </w:r>
    </w:p>
    <w:p>
      <w:pPr>
        <w:pStyle w:val="BodyText"/>
        <w:spacing w:line="458" w:lineRule="auto" w:before="74"/>
        <w:ind w:right="94" w:firstLine="360"/>
        <w:jc w:val="left"/>
      </w:pPr>
      <w:r>
        <w:rPr/>
        <w:t>市场竞争格局：市场参与者主要包括电信运营商、第三方</w:t>
      </w:r>
      <w:r>
        <w:rPr>
          <w:rFonts w:ascii="Times New Roman" w:hAnsi="Times New Roman" w:cs="Times New Roman" w:eastAsia="Times New Roman" w:hint="default"/>
        </w:rPr>
        <w:t>IDC</w:t>
      </w:r>
      <w:r>
        <w:rPr/>
        <w:t>厂商和云服务提供商。电信基础运营商在</w:t>
      </w:r>
      <w:r>
        <w:rPr>
          <w:rFonts w:ascii="Times New Roman" w:hAnsi="Times New Roman" w:cs="Times New Roman" w:eastAsia="Times New Roman" w:hint="default"/>
        </w:rPr>
        <w:t>IDC</w:t>
      </w:r>
      <w:r>
        <w:rPr/>
        <w:t>市场中占垄 断地位，但对于电信运营商而言，数据中心并非其核心业务，因此随着互联网行业的蓬勃发展，第三方</w:t>
      </w:r>
      <w:r>
        <w:rPr>
          <w:rFonts w:ascii="Times New Roman" w:hAnsi="Times New Roman" w:cs="Times New Roman" w:eastAsia="Times New Roman" w:hint="default"/>
        </w:rPr>
        <w:t>IDC</w:t>
      </w:r>
      <w:r>
        <w:rPr/>
        <w:t>厂商得以迅速扩 张。公司的主要竞争对手包括上海网宿科技股份有限公司、世纪互联数据中心有限公司、北京光环新网科技股份有限公司、</w:t>
      </w:r>
      <w:r>
        <w:rPr>
          <w:spacing w:val="-86"/>
        </w:rPr>
        <w:t> </w:t>
      </w:r>
      <w:r>
        <w:rPr>
          <w:spacing w:val="-86"/>
        </w:rPr>
      </w:r>
      <w:r>
        <w:rPr/>
        <w:t>上海数据港股份有限公司、浪潮电子信息产业股份有限公司、鹏博士电信传媒集团股份有限公司。</w:t>
      </w:r>
    </w:p>
    <w:p>
      <w:pPr>
        <w:pStyle w:val="Heading5"/>
        <w:spacing w:line="240" w:lineRule="auto" w:before="68"/>
        <w:ind w:left="513" w:right="6754"/>
        <w:jc w:val="left"/>
        <w:rPr>
          <w:b w:val="0"/>
          <w:bCs w:val="0"/>
        </w:rPr>
      </w:pPr>
      <w:r>
        <w:rPr>
          <w:rFonts w:ascii="Times New Roman" w:hAnsi="Times New Roman" w:cs="Times New Roman" w:eastAsia="Times New Roman" w:hint="default"/>
        </w:rPr>
        <w:t>3</w:t>
      </w:r>
      <w:r>
        <w:rPr/>
        <w:t>、</w:t>
      </w:r>
      <w:r>
        <w:rPr>
          <w:rFonts w:ascii="Times New Roman" w:hAnsi="Times New Roman" w:cs="Times New Roman" w:eastAsia="Times New Roman" w:hint="default"/>
        </w:rPr>
        <w:t>LED</w:t>
      </w:r>
      <w:r>
        <w:rPr/>
        <w:t>照明</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right="188" w:firstLine="360"/>
        <w:jc w:val="both"/>
      </w:pPr>
      <w:r>
        <w:rPr>
          <w:rFonts w:ascii="Times New Roman" w:hAnsi="Times New Roman" w:cs="Times New Roman" w:eastAsia="Times New Roman" w:hint="default"/>
        </w:rPr>
        <w:t>LED </w:t>
      </w:r>
      <w:r>
        <w:rPr/>
        <w:t>照明相对于传统照明优势较为突出，</w:t>
      </w:r>
      <w:r>
        <w:rPr>
          <w:rFonts w:ascii="Times New Roman" w:hAnsi="Times New Roman" w:cs="Times New Roman" w:eastAsia="Times New Roman" w:hint="default"/>
        </w:rPr>
        <w:t>LED </w:t>
      </w:r>
      <w:r>
        <w:rPr/>
        <w:t>通用照明行业迎来了快速发展，根据</w:t>
      </w:r>
      <w:r>
        <w:rPr>
          <w:rFonts w:ascii="Times New Roman" w:hAnsi="Times New Roman" w:cs="Times New Roman" w:eastAsia="Times New Roman" w:hint="default"/>
        </w:rPr>
        <w:t>wind</w:t>
      </w:r>
      <w:r>
        <w:rPr/>
        <w:t>数据，</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LED</w:t>
      </w:r>
      <w:r>
        <w:rPr>
          <w:rFonts w:ascii="Times New Roman" w:hAnsi="Times New Roman" w:cs="Times New Roman" w:eastAsia="Times New Roman" w:hint="default"/>
          <w:spacing w:val="-3"/>
        </w:rPr>
        <w:t> </w:t>
      </w:r>
      <w:r>
        <w:rPr/>
        <w:t>通用照明在 </w:t>
      </w:r>
      <w:r>
        <w:rPr>
          <w:rFonts w:ascii="Times New Roman" w:hAnsi="Times New Roman" w:cs="Times New Roman" w:eastAsia="Times New Roman" w:hint="default"/>
        </w:rPr>
        <w:t>LED </w:t>
      </w:r>
      <w:r>
        <w:rPr/>
        <w:t>应用行业的占比近五成。</w:t>
      </w:r>
      <w:r>
        <w:rPr>
          <w:rFonts w:ascii="Times New Roman" w:hAnsi="Times New Roman" w:cs="Times New Roman" w:eastAsia="Times New Roman" w:hint="default"/>
        </w:rPr>
        <w:t>LED </w:t>
      </w:r>
      <w:r>
        <w:rPr/>
        <w:t>通用照明作为</w:t>
      </w:r>
      <w:r>
        <w:rPr>
          <w:rFonts w:ascii="Times New Roman" w:hAnsi="Times New Roman" w:cs="Times New Roman" w:eastAsia="Times New Roman" w:hint="default"/>
        </w:rPr>
        <w:t>LED </w:t>
      </w:r>
      <w:r>
        <w:rPr/>
        <w:t>应用行业最主要的市场，受益于</w:t>
      </w:r>
      <w:r>
        <w:rPr>
          <w:rFonts w:ascii="Times New Roman" w:hAnsi="Times New Roman" w:cs="Times New Roman" w:eastAsia="Times New Roman" w:hint="default"/>
        </w:rPr>
        <w:t>LED</w:t>
      </w:r>
      <w:r>
        <w:rPr>
          <w:rFonts w:ascii="Times New Roman" w:hAnsi="Times New Roman" w:cs="Times New Roman" w:eastAsia="Times New Roman" w:hint="default"/>
          <w:spacing w:val="16"/>
        </w:rPr>
        <w:t> </w:t>
      </w:r>
      <w:r>
        <w:rPr/>
        <w:t>照明渗透率的迅速提高，市场 规模迅速扩大，近年</w:t>
      </w:r>
      <w:r>
        <w:rPr>
          <w:rFonts w:ascii="Times New Roman" w:hAnsi="Times New Roman" w:cs="Times New Roman" w:eastAsia="Times New Roman" w:hint="default"/>
        </w:rPr>
        <w:t>CAGR  </w:t>
      </w:r>
      <w:r>
        <w:rPr/>
        <w:t>达到</w:t>
      </w:r>
      <w:r>
        <w:rPr>
          <w:rFonts w:ascii="Times New Roman" w:hAnsi="Times New Roman" w:cs="Times New Roman" w:eastAsia="Times New Roman" w:hint="default"/>
        </w:rPr>
        <w:t>59.4%</w:t>
      </w:r>
      <w:r>
        <w:rPr/>
        <w:t>，进高于</w:t>
      </w:r>
      <w:r>
        <w:rPr>
          <w:rFonts w:ascii="Times New Roman" w:hAnsi="Times New Roman" w:cs="Times New Roman" w:eastAsia="Times New Roman" w:hint="default"/>
        </w:rPr>
        <w:t>LED</w:t>
      </w:r>
      <w:r>
        <w:rPr>
          <w:rFonts w:ascii="Times New Roman" w:hAnsi="Times New Roman" w:cs="Times New Roman" w:eastAsia="Times New Roman" w:hint="default"/>
          <w:spacing w:val="6"/>
        </w:rPr>
        <w:t> </w:t>
      </w:r>
      <w:r>
        <w:rPr/>
        <w:t>行业的整体</w:t>
      </w:r>
      <w:r>
        <w:rPr>
          <w:rFonts w:ascii="Times New Roman" w:hAnsi="Times New Roman" w:cs="Times New Roman" w:eastAsia="Times New Roman" w:hint="default"/>
        </w:rPr>
        <w:t>CAGR32.4%</w:t>
      </w:r>
      <w:r>
        <w:rPr/>
        <w:t>。</w:t>
      </w:r>
    </w:p>
    <w:p>
      <w:pPr>
        <w:pStyle w:val="BodyText"/>
        <w:spacing w:line="465" w:lineRule="auto" w:before="43"/>
        <w:ind w:right="94" w:firstLine="360"/>
        <w:jc w:val="left"/>
      </w:pPr>
      <w:r>
        <w:rPr>
          <w:spacing w:val="-3"/>
        </w:rPr>
        <w:t>十三五期间（</w:t>
      </w:r>
      <w:r>
        <w:rPr>
          <w:rFonts w:ascii="Times New Roman" w:hAnsi="Times New Roman" w:cs="Times New Roman" w:eastAsia="Times New Roman" w:hint="default"/>
          <w:spacing w:val="-3"/>
        </w:rPr>
        <w:t>2016-2020</w:t>
      </w:r>
      <w:r>
        <w:rPr>
          <w:spacing w:val="-3"/>
        </w:rPr>
        <w:t>），国家及地方政府陆续出台多个文件，从节能、环保、促进技术创新等各个角度鼓励发展</w:t>
      </w:r>
      <w:r>
        <w:rPr>
          <w:rFonts w:ascii="Times New Roman" w:hAnsi="Times New Roman" w:cs="Times New Roman" w:eastAsia="Times New Roman" w:hint="default"/>
          <w:spacing w:val="-3"/>
        </w:rPr>
        <w:t>LED</w:t>
      </w:r>
      <w:r>
        <w:rPr>
          <w:rFonts w:ascii="Times New Roman" w:hAnsi="Times New Roman" w:cs="Times New Roman" w:eastAsia="Times New Roman" w:hint="default"/>
          <w:w w:val="99"/>
        </w:rPr>
        <w:t> </w:t>
      </w:r>
      <w:r>
        <w:rPr/>
        <w:t>产业，如《</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国家战略性新兴产业发展规划》（国务院）、《半导体照明产业</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发展规划》等，不断为半导体 </w:t>
      </w:r>
      <w:r>
        <w:rPr>
          <w:spacing w:val="-2"/>
        </w:rPr>
        <w:t>照明产业注入新的机遇与契机，以照明产品等通用设备为重点，大力推动节能装备升级改造。实施照明系统节能改造，鼓励</w:t>
      </w:r>
      <w:r>
        <w:rPr>
          <w:spacing w:val="-64"/>
        </w:rPr>
        <w:t> </w:t>
      </w:r>
      <w:r>
        <w:rPr>
          <w:spacing w:val="-64"/>
        </w:rPr>
      </w:r>
      <w:r>
        <w:rPr/>
        <w:t>先进照明节能技术的集成优化运用，进一步加强能源管控中心建设。在此大背景下，各地政府纷纷加速建设城市景观照明，</w:t>
      </w:r>
      <w:r>
        <w:rPr>
          <w:spacing w:val="-86"/>
        </w:rPr>
        <w:t> </w:t>
      </w:r>
      <w:r>
        <w:rPr>
          <w:spacing w:val="-86"/>
        </w:rPr>
      </w:r>
      <w:r>
        <w:rPr>
          <w:spacing w:val="-2"/>
        </w:rPr>
        <w:t>城市室外夜景照明已经从以前的房地产楼体亮化逐渐拓展到城市景观照明，城市景观照明市场空间巨大。受益于全球各个国</w:t>
      </w:r>
      <w:r>
        <w:rPr>
          <w:spacing w:val="-64"/>
        </w:rPr>
        <w:t> </w:t>
      </w:r>
      <w:r>
        <w:rPr>
          <w:spacing w:val="-64"/>
        </w:rPr>
      </w:r>
      <w:r>
        <w:rPr/>
        <w:t>家或地区政策推广支持，景观亮化市场渗透率不断提高。</w:t>
      </w:r>
    </w:p>
    <w:p>
      <w:pPr>
        <w:pStyle w:val="BodyText"/>
        <w:spacing w:line="240" w:lineRule="auto" w:before="63"/>
        <w:ind w:left="513" w:right="0"/>
        <w:jc w:val="left"/>
      </w:pPr>
      <w:r>
        <w:rPr/>
        <w:t>高工产研</w:t>
      </w:r>
      <w:r>
        <w:rPr>
          <w:rFonts w:ascii="Times New Roman" w:hAnsi="Times New Roman" w:cs="Times New Roman" w:eastAsia="Times New Roman" w:hint="default"/>
        </w:rPr>
        <w:t>LED</w:t>
      </w:r>
      <w:r>
        <w:rPr/>
        <w:t>研究所</w:t>
      </w:r>
      <w:r>
        <w:rPr>
          <w:rFonts w:ascii="Times New Roman" w:hAnsi="Times New Roman" w:cs="Times New Roman" w:eastAsia="Times New Roman" w:hint="default"/>
        </w:rPr>
        <w:t>GGII</w:t>
      </w:r>
      <w:r>
        <w:rPr/>
        <w:t>数据显示，中国已成为全球最大的景观亮化市场。</w:t>
      </w:r>
      <w:r>
        <w:rPr>
          <w:rFonts w:ascii="Times New Roman" w:hAnsi="Times New Roman" w:cs="Times New Roman" w:eastAsia="Times New Roman" w:hint="default"/>
        </w:rPr>
        <w:t>2017</w:t>
      </w:r>
      <w:r>
        <w:rPr/>
        <w:t>年全球景观亮化市场将达到</w:t>
      </w:r>
      <w:r>
        <w:rPr>
          <w:rFonts w:ascii="Times New Roman" w:hAnsi="Times New Roman" w:cs="Times New Roman" w:eastAsia="Times New Roman" w:hint="default"/>
        </w:rPr>
        <w:t>2750</w:t>
      </w:r>
      <w:r>
        <w:rPr/>
        <w:t>亿元，</w:t>
      </w:r>
    </w:p>
    <w:p>
      <w:pPr>
        <w:spacing w:after="0" w:line="240" w:lineRule="auto"/>
        <w:jc w:val="left"/>
        <w:sectPr>
          <w:footerReference w:type="default" r:id="rId16"/>
          <w:pgSz w:w="11910" w:h="16840"/>
          <w:pgMar w:footer="980" w:header="745" w:top="1060" w:bottom="1160" w:left="980" w:right="940"/>
          <w:pgNumType w:start="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51" w:lineRule="auto"/>
        <w:ind w:right="186"/>
        <w:jc w:val="both"/>
      </w:pPr>
      <w:r>
        <w:rPr>
          <w:spacing w:val="-1"/>
        </w:rPr>
        <w:t>其中中国市场规模达到</w:t>
      </w:r>
      <w:r>
        <w:rPr>
          <w:rFonts w:ascii="Times New Roman" w:hAnsi="Times New Roman" w:cs="Times New Roman" w:eastAsia="Times New Roman" w:hint="default"/>
          <w:spacing w:val="-1"/>
        </w:rPr>
        <w:t>680</w:t>
      </w:r>
      <w:r>
        <w:rPr>
          <w:spacing w:val="-1"/>
        </w:rPr>
        <w:t>亿元，同比增长将近</w:t>
      </w:r>
      <w:r>
        <w:rPr>
          <w:rFonts w:ascii="Times New Roman" w:hAnsi="Times New Roman" w:cs="Times New Roman" w:eastAsia="Times New Roman" w:hint="default"/>
          <w:spacing w:val="-1"/>
        </w:rPr>
        <w:t>22%</w:t>
      </w:r>
      <w:r>
        <w:rPr>
          <w:spacing w:val="-1"/>
        </w:rPr>
        <w:t>；预计</w:t>
      </w:r>
      <w:r>
        <w:rPr>
          <w:rFonts w:ascii="Times New Roman" w:hAnsi="Times New Roman" w:cs="Times New Roman" w:eastAsia="Times New Roman" w:hint="default"/>
          <w:spacing w:val="-1"/>
        </w:rPr>
        <w:t>2018</w:t>
      </w:r>
      <w:r>
        <w:rPr>
          <w:spacing w:val="-1"/>
        </w:rPr>
        <w:t>年中国景观亮化市场规模将达到</w:t>
      </w:r>
      <w:r>
        <w:rPr>
          <w:rFonts w:ascii="Times New Roman" w:hAnsi="Times New Roman" w:cs="Times New Roman" w:eastAsia="Times New Roman" w:hint="default"/>
          <w:spacing w:val="-1"/>
        </w:rPr>
        <w:t>780</w:t>
      </w:r>
      <w:r>
        <w:rPr>
          <w:spacing w:val="-1"/>
        </w:rPr>
        <w:t>亿元，增长速度为</w:t>
      </w:r>
      <w:r>
        <w:rPr>
          <w:rFonts w:ascii="Times New Roman" w:hAnsi="Times New Roman" w:cs="Times New Roman" w:eastAsia="Times New Roman" w:hint="default"/>
          <w:spacing w:val="-1"/>
        </w:rPr>
        <w:t>15%</w:t>
      </w:r>
      <w:r>
        <w:rPr>
          <w:spacing w:val="-1"/>
        </w:rPr>
        <w:t>左</w:t>
      </w:r>
      <w:r>
        <w:rPr>
          <w:spacing w:val="-55"/>
        </w:rPr>
        <w:t> </w:t>
      </w:r>
      <w:r>
        <w:rPr/>
        <w:t>右。</w:t>
      </w:r>
      <w:r>
        <w:rPr>
          <w:rFonts w:ascii="Times New Roman" w:hAnsi="Times New Roman" w:cs="Times New Roman" w:eastAsia="Times New Roman" w:hint="default"/>
        </w:rPr>
        <w:t>2017</w:t>
      </w:r>
      <w:r>
        <w:rPr/>
        <w:t>年中国</w:t>
      </w:r>
      <w:r>
        <w:rPr>
          <w:rFonts w:ascii="Times New Roman" w:hAnsi="Times New Roman" w:cs="Times New Roman" w:eastAsia="Times New Roman" w:hint="default"/>
        </w:rPr>
        <w:t>LED</w:t>
      </w:r>
      <w:r>
        <w:rPr/>
        <w:t>路灯市场规模继续快速增长，达到</w:t>
      </w:r>
      <w:r>
        <w:rPr>
          <w:rFonts w:ascii="Times New Roman" w:hAnsi="Times New Roman" w:cs="Times New Roman" w:eastAsia="Times New Roman" w:hint="default"/>
        </w:rPr>
        <w:t>119</w:t>
      </w:r>
      <w:r>
        <w:rPr/>
        <w:t>亿元，同比增长</w:t>
      </w:r>
      <w:r>
        <w:rPr>
          <w:rFonts w:ascii="Times New Roman" w:hAnsi="Times New Roman" w:cs="Times New Roman" w:eastAsia="Times New Roman" w:hint="default"/>
        </w:rPr>
        <w:t>26%</w:t>
      </w:r>
      <w:r>
        <w:rPr/>
        <w:t>。预计</w:t>
      </w:r>
      <w:r>
        <w:rPr>
          <w:rFonts w:ascii="Times New Roman" w:hAnsi="Times New Roman" w:cs="Times New Roman" w:eastAsia="Times New Roman" w:hint="default"/>
        </w:rPr>
        <w:t>2018</w:t>
      </w:r>
      <w:r>
        <w:rPr/>
        <w:t>年国内</w:t>
      </w:r>
      <w:r>
        <w:rPr>
          <w:rFonts w:ascii="Times New Roman" w:hAnsi="Times New Roman" w:cs="Times New Roman" w:eastAsia="Times New Roman" w:hint="default"/>
        </w:rPr>
        <w:t>LED</w:t>
      </w:r>
      <w:r>
        <w:rPr/>
        <w:t>路灯市场规模将达到 </w:t>
      </w:r>
      <w:r>
        <w:rPr>
          <w:rFonts w:ascii="Times New Roman" w:hAnsi="Times New Roman" w:cs="Times New Roman" w:eastAsia="Times New Roman" w:hint="default"/>
        </w:rPr>
        <w:t>142</w:t>
      </w:r>
      <w:r>
        <w:rPr/>
        <w:t>亿元。</w:t>
      </w:r>
    </w:p>
    <w:p>
      <w:pPr>
        <w:pStyle w:val="BodyText"/>
        <w:spacing w:line="468" w:lineRule="auto" w:before="43"/>
        <w:ind w:right="94" w:firstLine="360"/>
        <w:jc w:val="left"/>
      </w:pPr>
      <w:r>
        <w:rPr>
          <w:spacing w:val="-2"/>
        </w:rPr>
        <w:t>随着我国城市化进程进一步推进，大量的基础建设与城市亮化工程直接带动了照明行业的快速发展。</w:t>
      </w:r>
      <w:r>
        <w:rPr>
          <w:rFonts w:ascii="Times New Roman" w:hAnsi="Times New Roman" w:cs="Times New Roman" w:eastAsia="Times New Roman" w:hint="default"/>
          <w:spacing w:val="-2"/>
        </w:rPr>
        <w:t>2017</w:t>
      </w:r>
      <w:r>
        <w:rPr>
          <w:spacing w:val="-2"/>
        </w:rPr>
        <w:t>年，中国半导</w:t>
      </w:r>
      <w:r>
        <w:rPr/>
        <w:t> </w:t>
      </w:r>
      <w:r>
        <w:rPr>
          <w:spacing w:val="-2"/>
        </w:rPr>
        <w:t>体照明行业继续保持稳定增长的态势。</w:t>
      </w:r>
      <w:r>
        <w:rPr>
          <w:rFonts w:ascii="Times New Roman" w:hAnsi="Times New Roman" w:cs="Times New Roman" w:eastAsia="Times New Roman" w:hint="default"/>
          <w:spacing w:val="-2"/>
        </w:rPr>
        <w:t>LED</w:t>
      </w:r>
      <w:r>
        <w:rPr>
          <w:spacing w:val="-2"/>
        </w:rPr>
        <w:t>照明行业经过多年的发展，除了其优秀的绿色节能环保特点以外，还展现出在配</w:t>
      </w:r>
      <w:r>
        <w:rPr>
          <w:spacing w:val="-51"/>
        </w:rPr>
        <w:t> </w:t>
      </w:r>
      <w:r>
        <w:rPr>
          <w:spacing w:val="-51"/>
        </w:rPr>
      </w:r>
      <w:r>
        <w:rPr>
          <w:spacing w:val="-2"/>
        </w:rPr>
        <w:t>光设计，与计算机技术、网络技术、图像处理技术等融合的智能化照明等方面的诸多优势，使得半导体照明产品可以更好地</w:t>
      </w:r>
      <w:r>
        <w:rPr>
          <w:spacing w:val="-64"/>
        </w:rPr>
        <w:t> </w:t>
      </w:r>
      <w:r>
        <w:rPr>
          <w:spacing w:val="-64"/>
        </w:rPr>
      </w:r>
      <w:r>
        <w:rPr>
          <w:spacing w:val="-2"/>
        </w:rPr>
        <w:t>满足不同应用场景的需求，目前半导体照明产品已经广泛应用于各种指示、显示、装饰、背光源、普通照明、道路照明和城</w:t>
      </w:r>
      <w:r>
        <w:rPr>
          <w:spacing w:val="-68"/>
        </w:rPr>
        <w:t> </w:t>
      </w:r>
      <w:r>
        <w:rPr>
          <w:spacing w:val="-68"/>
        </w:rPr>
      </w:r>
      <w:r>
        <w:rPr/>
        <w:t>市夜景等领域。在照明应用行业中，户外产品主要是以工程项目为销售中心，企业根据自身实力参与产品生产、项目设计、</w:t>
      </w:r>
      <w:r>
        <w:rPr>
          <w:spacing w:val="-85"/>
        </w:rPr>
        <w:t> </w:t>
      </w:r>
      <w:r>
        <w:rPr>
          <w:spacing w:val="-85"/>
        </w:rPr>
      </w:r>
      <w:r>
        <w:rPr>
          <w:spacing w:val="-2"/>
        </w:rPr>
        <w:t>工程施工、项目管理等环节。室内产品主要是通过直销或者经销商渠道来与客户建立合作，获取订单。针对这种情况，立足</w:t>
      </w:r>
      <w:r>
        <w:rPr>
          <w:spacing w:val="-65"/>
        </w:rPr>
        <w:t> </w:t>
      </w:r>
      <w:r>
        <w:rPr>
          <w:spacing w:val="-65"/>
        </w:rPr>
      </w:r>
      <w:r>
        <w:rPr/>
        <w:t>于利用自身的规模、平台优势，为客户提供从产品到工程的整体解决方案的公司，将在未来市场竞争并购中脱颖而出。</w:t>
      </w:r>
    </w:p>
    <w:p>
      <w:pPr>
        <w:pStyle w:val="BodyText"/>
        <w:spacing w:line="463" w:lineRule="auto" w:before="61"/>
        <w:ind w:right="191" w:firstLine="360"/>
        <w:jc w:val="both"/>
      </w:pPr>
      <w:r>
        <w:rPr>
          <w:spacing w:val="-2"/>
        </w:rPr>
        <w:t>市场竞争格局：公司在</w:t>
      </w:r>
      <w:r>
        <w:rPr>
          <w:rFonts w:ascii="Times New Roman" w:hAnsi="Times New Roman" w:cs="Times New Roman" w:eastAsia="Times New Roman" w:hint="default"/>
          <w:spacing w:val="-2"/>
        </w:rPr>
        <w:t>LED</w:t>
      </w:r>
      <w:r>
        <w:rPr>
          <w:spacing w:val="-2"/>
        </w:rPr>
        <w:t>道路照明的主要竞争对手深圳新阳蓝光能源科技股份有限公司、深圳市洲明科技股份有限公</w:t>
      </w:r>
      <w:r>
        <w:rPr/>
        <w:t> </w:t>
      </w:r>
      <w:r>
        <w:rPr>
          <w:spacing w:val="-2"/>
        </w:rPr>
        <w:t>司；国内城市景观照明市场由于缺少相关行业标准，市场准入门槛较低，市场集中度低，公司主要竞争对手包括深圳市金达</w:t>
      </w:r>
      <w:r>
        <w:rPr>
          <w:spacing w:val="-64"/>
        </w:rPr>
        <w:t> </w:t>
      </w:r>
      <w:r>
        <w:rPr>
          <w:spacing w:val="-64"/>
        </w:rPr>
      </w:r>
      <w:r>
        <w:rPr/>
        <w:t>照明股份有限公司、深圳市名家汇科技股份有限公司。</w:t>
      </w:r>
    </w:p>
    <w:p>
      <w:pPr>
        <w:spacing w:line="477" w:lineRule="auto" w:before="65"/>
        <w:ind w:left="513" w:right="178" w:hanging="92"/>
        <w:jc w:val="left"/>
        <w:rPr>
          <w:rFonts w:ascii="宋体" w:hAnsi="宋体" w:cs="宋体" w:eastAsia="宋体" w:hint="default"/>
          <w:sz w:val="18"/>
          <w:szCs w:val="18"/>
        </w:rPr>
      </w:pPr>
      <w:r>
        <w:rPr>
          <w:rFonts w:ascii="宋体" w:hAnsi="宋体" w:cs="宋体" w:eastAsia="宋体" w:hint="default"/>
          <w:b/>
          <w:bCs/>
          <w:sz w:val="18"/>
          <w:szCs w:val="18"/>
        </w:rPr>
        <w:t>（二）公司经营宗旨及发展规划</w:t>
      </w:r>
      <w:r>
        <w:rPr>
          <w:rFonts w:ascii="宋体" w:hAnsi="宋体" w:cs="宋体" w:eastAsia="宋体" w:hint="default"/>
          <w:b/>
          <w:bCs/>
          <w:w w:val="99"/>
          <w:sz w:val="18"/>
          <w:szCs w:val="18"/>
        </w:rPr>
        <w:t> </w:t>
      </w:r>
      <w:r>
        <w:rPr>
          <w:rFonts w:ascii="宋体" w:hAnsi="宋体" w:cs="宋体" w:eastAsia="宋体" w:hint="default"/>
          <w:spacing w:val="-1"/>
          <w:sz w:val="18"/>
          <w:szCs w:val="18"/>
        </w:rPr>
        <w:t>公司的经营宗旨是依托于公司在创新科技和行业洞察方面的核心竞争力，通过金融科技、</w:t>
      </w:r>
      <w:r>
        <w:rPr>
          <w:rFonts w:ascii="Times New Roman" w:hAnsi="Times New Roman" w:cs="Times New Roman" w:eastAsia="Times New Roman" w:hint="default"/>
          <w:spacing w:val="-1"/>
          <w:sz w:val="18"/>
          <w:szCs w:val="18"/>
        </w:rPr>
        <w:t>IDC</w:t>
      </w:r>
      <w:r>
        <w:rPr>
          <w:rFonts w:ascii="宋体" w:hAnsi="宋体" w:cs="宋体" w:eastAsia="宋体" w:hint="default"/>
          <w:spacing w:val="-1"/>
          <w:sz w:val="18"/>
          <w:szCs w:val="18"/>
        </w:rPr>
        <w:t>及云计算、城市亮化工程</w:t>
      </w:r>
    </w:p>
    <w:p>
      <w:pPr>
        <w:pStyle w:val="BodyText"/>
        <w:spacing w:line="477" w:lineRule="auto" w:before="21"/>
        <w:ind w:left="513" w:right="93" w:hanging="361"/>
        <w:jc w:val="left"/>
      </w:pPr>
      <w:r>
        <w:rPr/>
        <w:t>三大业务板块的协同发展，为客户提供可靠、高效、灵活、智能的综合解决方案，引领智慧生活，推动社会的繁荣发展。 公司的发展规划是继续坚持以安全支付为核心，以对相关行业的理解为基础，凭借金融电子领域二十余年的市场经验，</w:t>
      </w:r>
    </w:p>
    <w:p>
      <w:pPr>
        <w:pStyle w:val="BodyText"/>
        <w:spacing w:line="451" w:lineRule="auto" w:before="54"/>
        <w:ind w:right="188"/>
        <w:jc w:val="both"/>
      </w:pPr>
      <w:r>
        <w:rPr/>
        <w:t>打造以安全支付为核心的产业生态圈，形成了以金融科技、照明科技、</w:t>
      </w:r>
      <w:r>
        <w:rPr>
          <w:rFonts w:ascii="Times New Roman" w:hAnsi="Times New Roman" w:cs="Times New Roman" w:eastAsia="Times New Roman" w:hint="default"/>
        </w:rPr>
        <w:t>IDC+</w:t>
      </w:r>
      <w:r>
        <w:rPr/>
        <w:t>三大业务板块的产业布局，深入挖掘</w:t>
      </w:r>
      <w:r>
        <w:rPr>
          <w:rFonts w:ascii="Times New Roman" w:hAnsi="Times New Roman" w:cs="Times New Roman" w:eastAsia="Times New Roman" w:hint="default"/>
        </w:rPr>
        <w:t>IDC+</w:t>
      </w:r>
      <w:r>
        <w:rPr/>
        <w:t>智慧</w:t>
      </w:r>
      <w:r>
        <w:rPr>
          <w:spacing w:val="2"/>
        </w:rPr>
        <w:t> </w:t>
      </w:r>
      <w:r>
        <w:rPr/>
        <w:t>城市市场。</w:t>
      </w:r>
    </w:p>
    <w:p>
      <w:pPr>
        <w:pStyle w:val="Heading5"/>
        <w:spacing w:line="240" w:lineRule="auto" w:before="74"/>
        <w:ind w:right="6754"/>
        <w:jc w:val="left"/>
        <w:rPr>
          <w:b w:val="0"/>
          <w:bCs w:val="0"/>
        </w:rPr>
      </w:pPr>
      <w:r>
        <w:rPr/>
        <w:t>（三）</w:t>
      </w:r>
      <w:r>
        <w:rPr>
          <w:rFonts w:ascii="Times New Roman" w:hAnsi="Times New Roman" w:cs="Times New Roman" w:eastAsia="Times New Roman" w:hint="default"/>
        </w:rPr>
        <w:t>2018</w:t>
      </w:r>
      <w:r>
        <w:rPr/>
        <w:t>年度经营计划</w:t>
      </w:r>
      <w:r>
        <w:rPr>
          <w:b w:val="0"/>
          <w:bCs w:val="0"/>
        </w:rPr>
      </w:r>
    </w:p>
    <w:p>
      <w:pPr>
        <w:spacing w:line="240" w:lineRule="auto" w:before="9"/>
        <w:rPr>
          <w:rFonts w:ascii="宋体" w:hAnsi="宋体" w:cs="宋体" w:eastAsia="宋体" w:hint="default"/>
          <w:b/>
          <w:bCs/>
          <w:sz w:val="16"/>
          <w:szCs w:val="16"/>
        </w:rPr>
      </w:pPr>
    </w:p>
    <w:p>
      <w:pPr>
        <w:pStyle w:val="BodyText"/>
        <w:spacing w:line="451" w:lineRule="auto"/>
        <w:ind w:right="191" w:firstLine="360"/>
        <w:jc w:val="both"/>
      </w:pPr>
      <w:r>
        <w:rPr>
          <w:rFonts w:ascii="Times New Roman" w:hAnsi="Times New Roman" w:cs="Times New Roman" w:eastAsia="Times New Roman" w:hint="default"/>
          <w:spacing w:val="-2"/>
        </w:rPr>
        <w:t>2018</w:t>
      </w:r>
      <w:r>
        <w:rPr>
          <w:spacing w:val="-2"/>
        </w:rPr>
        <w:t>年公司将以</w:t>
      </w:r>
      <w:r>
        <w:rPr>
          <w:rFonts w:ascii="Times New Roman" w:hAnsi="Times New Roman" w:cs="Times New Roman" w:eastAsia="Times New Roman" w:hint="default"/>
          <w:spacing w:val="-2"/>
        </w:rPr>
        <w:t>“</w:t>
      </w:r>
      <w:r>
        <w:rPr>
          <w:spacing w:val="-2"/>
        </w:rPr>
        <w:t>抓效益、重管理</w:t>
      </w:r>
      <w:r>
        <w:rPr>
          <w:rFonts w:ascii="Times New Roman" w:hAnsi="Times New Roman" w:cs="Times New Roman" w:eastAsia="Times New Roman" w:hint="default"/>
          <w:spacing w:val="-2"/>
        </w:rPr>
        <w:t>”</w:t>
      </w:r>
      <w:r>
        <w:rPr>
          <w:spacing w:val="-2"/>
        </w:rPr>
        <w:t>作为全年经营和管理的指导思想，以公司未来三年经营发展战略为行动纲领，以经营</w:t>
      </w:r>
      <w:r>
        <w:rPr/>
        <w:t> 效益为核心目标，全面聚焦金融科技、照明科技、</w:t>
      </w:r>
      <w:r>
        <w:rPr>
          <w:rFonts w:ascii="Times New Roman" w:hAnsi="Times New Roman" w:cs="Times New Roman" w:eastAsia="Times New Roman" w:hint="default"/>
        </w:rPr>
        <w:t>IDC+</w:t>
      </w:r>
      <w:r>
        <w:rPr/>
        <w:t>三大业务板块。金融科技业务板块在巩固传统银行向智慧银行转型 </w:t>
      </w:r>
      <w:r>
        <w:rPr>
          <w:spacing w:val="-2"/>
        </w:rPr>
        <w:t>市场机会的同时，重点拓展新零售、人工智能、智慧支付相关市场；照明科技业务板块将继续加大</w:t>
      </w:r>
      <w:r>
        <w:rPr>
          <w:rFonts w:ascii="Times New Roman" w:hAnsi="Times New Roman" w:cs="Times New Roman" w:eastAsia="Times New Roman" w:hint="default"/>
          <w:spacing w:val="-2"/>
        </w:rPr>
        <w:t>LED</w:t>
      </w:r>
      <w:r>
        <w:rPr>
          <w:spacing w:val="-2"/>
        </w:rPr>
        <w:t>照明亮化工程、节能</w:t>
      </w:r>
      <w:r>
        <w:rPr>
          <w:spacing w:val="-54"/>
        </w:rPr>
        <w:t> </w:t>
      </w:r>
      <w:r>
        <w:rPr>
          <w:spacing w:val="-54"/>
        </w:rPr>
      </w:r>
      <w:r>
        <w:rPr/>
        <w:t>改造项目的市场布局，为公司战略发展期阶段提供业绩支撑；</w:t>
      </w:r>
      <w:r>
        <w:rPr>
          <w:rFonts w:ascii="Times New Roman" w:hAnsi="Times New Roman" w:cs="Times New Roman" w:eastAsia="Times New Roman" w:hint="default"/>
        </w:rPr>
        <w:t>IDC</w:t>
      </w:r>
      <w:r>
        <w:rPr/>
        <w:t>云计算业务板块将在充分发挥已有</w:t>
      </w:r>
      <w:r>
        <w:rPr>
          <w:rFonts w:ascii="Times New Roman" w:hAnsi="Times New Roman" w:cs="Times New Roman" w:eastAsia="Times New Roman" w:hint="default"/>
        </w:rPr>
        <w:t>IDC</w:t>
      </w:r>
      <w:r>
        <w:rPr/>
        <w:t>资产效益的同时， 大力开拓智慧城市市场，以期突破公司成长瓶颈。</w:t>
      </w:r>
    </w:p>
    <w:p>
      <w:pPr>
        <w:pStyle w:val="BodyText"/>
        <w:spacing w:line="468" w:lineRule="auto" w:before="74"/>
        <w:ind w:right="94" w:firstLine="360"/>
        <w:jc w:val="left"/>
      </w:pPr>
      <w:r>
        <w:rPr>
          <w:rFonts w:ascii="Times New Roman" w:hAnsi="Times New Roman" w:cs="Times New Roman" w:eastAsia="Times New Roman" w:hint="default"/>
          <w:spacing w:val="-2"/>
        </w:rPr>
        <w:t>2018</w:t>
      </w:r>
      <w:r>
        <w:rPr>
          <w:spacing w:val="-2"/>
        </w:rPr>
        <w:t>年公司将继续加强现金流预算与管理，重点抓好各类应收账款和公司权益的监控、清理与回收，控制公司总体债务</w:t>
      </w:r>
      <w:r>
        <w:rPr/>
        <w:t> 水平；严格执行重大投融资项目和重大经营事项的论证、决策程序，平衡长期投资与当期效益的预算，促进公司良性发展；</w:t>
      </w:r>
      <w:r>
        <w:rPr>
          <w:spacing w:val="-86"/>
        </w:rPr>
        <w:t> </w:t>
      </w:r>
      <w:r>
        <w:rPr>
          <w:spacing w:val="-86"/>
        </w:rPr>
      </w:r>
      <w:r>
        <w:rPr>
          <w:spacing w:val="-2"/>
        </w:rPr>
        <w:t>盘活公司存量资产，优化公司资产结构，增加公司资产性收益；提升公司规范运作水平，及时全面披露公司重大信息，加强</w:t>
      </w:r>
      <w:r>
        <w:rPr>
          <w:spacing w:val="-67"/>
        </w:rPr>
        <w:t> </w:t>
      </w:r>
      <w:r>
        <w:rPr>
          <w:spacing w:val="-67"/>
        </w:rPr>
      </w:r>
      <w:r>
        <w:rPr/>
        <w:t>与广大投资者的沟通互动，进一步提升公司价值。同时，加强公司职能体系统筹，防范公司重大经营风险。</w:t>
      </w:r>
    </w:p>
    <w:p>
      <w:pPr>
        <w:pStyle w:val="BodyText"/>
        <w:spacing w:line="240" w:lineRule="auto" w:before="61"/>
        <w:ind w:left="513" w:right="178"/>
        <w:jc w:val="left"/>
      </w:pPr>
      <w:r>
        <w:rPr/>
        <w:t>公司</w:t>
      </w:r>
      <w:r>
        <w:rPr>
          <w:rFonts w:ascii="Times New Roman" w:hAnsi="Times New Roman" w:cs="Times New Roman" w:eastAsia="Times New Roman" w:hint="default"/>
        </w:rPr>
        <w:t>2018</w:t>
      </w:r>
      <w:r>
        <w:rPr/>
        <w:t>年各业务板块的经营规划如下：</w:t>
      </w:r>
    </w:p>
    <w:p>
      <w:pPr>
        <w:spacing w:after="0" w:line="240" w:lineRule="auto"/>
        <w:jc w:val="left"/>
        <w:sectPr>
          <w:footerReference w:type="default" r:id="rId17"/>
          <w:pgSz w:w="11910" w:h="16840"/>
          <w:pgMar w:footer="980" w:header="745" w:top="1060" w:bottom="1160" w:left="980" w:right="940"/>
          <w:pgNumType w:start="41"/>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477" w:lineRule="auto"/>
        <w:ind w:right="191" w:firstLine="360"/>
        <w:jc w:val="both"/>
      </w:pPr>
      <w:r>
        <w:rPr>
          <w:spacing w:val="-2"/>
        </w:rPr>
        <w:t>自助终端业务方面，公司将聚焦国有大行总行以及中石油、中石化、通信运营商的销售工作。在深耕现有战略合作客户</w:t>
      </w:r>
      <w:r>
        <w:rPr/>
        <w:t> </w:t>
      </w:r>
      <w:r>
        <w:rPr>
          <w:spacing w:val="-2"/>
        </w:rPr>
        <w:t>的同时，继续挖掘行业内有影响力的新零售客户。培育新零售业务，与相关合作方共同研发产品、探讨投融资合作方式。在</w:t>
      </w:r>
      <w:r>
        <w:rPr>
          <w:spacing w:val="-67"/>
        </w:rPr>
        <w:t> </w:t>
      </w:r>
      <w:r>
        <w:rPr>
          <w:spacing w:val="-67"/>
        </w:rPr>
      </w:r>
      <w:r>
        <w:rPr>
          <w:spacing w:val="-2"/>
        </w:rPr>
        <w:t>生产管理方面，加强生产工艺与流程的建设，指导现场管理工艺标准化，对标行业制造成本和制造费用市场水平，逐步推动</w:t>
      </w:r>
      <w:r>
        <w:rPr>
          <w:spacing w:val="-65"/>
        </w:rPr>
        <w:t> </w:t>
      </w:r>
      <w:r>
        <w:rPr>
          <w:spacing w:val="-65"/>
        </w:rPr>
      </w:r>
      <w:r>
        <w:rPr/>
        <w:t>制造体系成为自助事业部的核心竞争力，为销售前线提供有力支撑。</w:t>
      </w:r>
    </w:p>
    <w:p>
      <w:pPr>
        <w:pStyle w:val="BodyText"/>
        <w:spacing w:line="465" w:lineRule="auto" w:before="54"/>
        <w:ind w:right="189" w:firstLine="360"/>
        <w:jc w:val="both"/>
      </w:pPr>
      <w:r>
        <w:rPr>
          <w:spacing w:val="-2"/>
        </w:rPr>
        <w:t>安全支付业务方面，公司将灵活采用技术和商务手段，进行商务模式和技术的创新，在综合差异化中聚焦到适合与公司</w:t>
      </w:r>
      <w:r>
        <w:rPr/>
        <w:t> </w:t>
      </w:r>
      <w:r>
        <w:rPr>
          <w:spacing w:val="-2"/>
        </w:rPr>
        <w:t>长期合作伙伴的深度运营。国内重点突破中小商业银行的协同支付创新和行业应用；互联网移动支付服务商以提供产品直销</w:t>
      </w:r>
      <w:r>
        <w:rPr>
          <w:spacing w:val="-62"/>
        </w:rPr>
        <w:t> </w:t>
      </w:r>
      <w:r>
        <w:rPr>
          <w:spacing w:val="-62"/>
        </w:rPr>
      </w:r>
      <w:r>
        <w:rPr>
          <w:spacing w:val="-2"/>
        </w:rPr>
        <w:t>和联合运营方式为营销策略；海外市场采取柔性定制策略，重点布局东南亚、非洲及拉美等市场。研发方面，公司将进一步</w:t>
      </w:r>
      <w:r>
        <w:rPr>
          <w:spacing w:val="-67"/>
        </w:rPr>
        <w:t> </w:t>
      </w:r>
      <w:r>
        <w:rPr>
          <w:spacing w:val="-67"/>
        </w:rPr>
      </w:r>
      <w:r>
        <w:rPr>
          <w:spacing w:val="-3"/>
        </w:rPr>
        <w:t>加大公司智能</w:t>
      </w:r>
      <w:r>
        <w:rPr>
          <w:rFonts w:ascii="Times New Roman" w:hAnsi="Times New Roman" w:cs="Times New Roman" w:eastAsia="Times New Roman" w:hint="default"/>
          <w:spacing w:val="-3"/>
        </w:rPr>
        <w:t>POS</w:t>
      </w:r>
      <w:r>
        <w:rPr>
          <w:spacing w:val="-3"/>
        </w:rPr>
        <w:t>在人脸识别、指纹、虹膜等功能延展与创新，研发多形态支付设备和适用多行业的</w:t>
      </w:r>
      <w:r>
        <w:rPr>
          <w:rFonts w:ascii="Times New Roman" w:hAnsi="Times New Roman" w:cs="Times New Roman" w:eastAsia="Times New Roman" w:hint="default"/>
          <w:spacing w:val="-3"/>
        </w:rPr>
        <w:t>UPT</w:t>
      </w:r>
      <w:r>
        <w:rPr>
          <w:spacing w:val="-3"/>
        </w:rPr>
        <w:t>智能支付套件；</w:t>
      </w:r>
      <w:r>
        <w:rPr>
          <w:rFonts w:ascii="Times New Roman" w:hAnsi="Times New Roman" w:cs="Times New Roman" w:eastAsia="Times New Roman" w:hint="default"/>
          <w:spacing w:val="-3"/>
        </w:rPr>
        <w:t>EPP</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38"/>
        </w:rPr>
      </w:r>
      <w:r>
        <w:rPr>
          <w:spacing w:val="-1"/>
        </w:rPr>
        <w:t>加密键盘市场，公司将研发低成本的</w:t>
      </w:r>
      <w:r>
        <w:rPr>
          <w:rFonts w:ascii="Times New Roman" w:hAnsi="Times New Roman" w:cs="Times New Roman" w:eastAsia="Times New Roman" w:hint="default"/>
          <w:spacing w:val="-1"/>
        </w:rPr>
        <w:t>EPP</w:t>
      </w:r>
      <w:r>
        <w:rPr>
          <w:spacing w:val="-1"/>
        </w:rPr>
        <w:t>产品，深耕低端市场领域的同时，创新附加值较高的新产品扩大市场占有率，提升</w:t>
      </w:r>
      <w:r>
        <w:rPr>
          <w:spacing w:val="-69"/>
        </w:rPr>
        <w:t> </w:t>
      </w:r>
      <w:r>
        <w:rPr>
          <w:spacing w:val="-69"/>
        </w:rPr>
      </w:r>
      <w:r>
        <w:rPr/>
        <w:t>产品毛利水平。</w:t>
      </w:r>
    </w:p>
    <w:p>
      <w:pPr>
        <w:pStyle w:val="BodyText"/>
        <w:spacing w:line="451" w:lineRule="auto" w:before="63"/>
        <w:ind w:right="210" w:firstLine="360"/>
        <w:jc w:val="both"/>
      </w:pPr>
      <w:r>
        <w:rPr/>
        <w:t>金融物联网与金融服务方面，公司</w:t>
      </w:r>
      <w:r>
        <w:rPr>
          <w:rFonts w:ascii="Times New Roman" w:hAnsi="Times New Roman" w:cs="Times New Roman" w:eastAsia="Times New Roman" w:hint="default"/>
        </w:rPr>
        <w:t>2018</w:t>
      </w:r>
      <w:r>
        <w:rPr/>
        <w:t>年以国内智慧网点升级、自助产品升级的市场机会，坚持以</w:t>
      </w:r>
      <w:r>
        <w:rPr>
          <w:rFonts w:ascii="Times New Roman" w:hAnsi="Times New Roman" w:cs="Times New Roman" w:eastAsia="Times New Roman" w:hint="default"/>
        </w:rPr>
        <w:t>“</w:t>
      </w:r>
      <w:r>
        <w:rPr/>
        <w:t>物联网平台、服务 机器人</w:t>
      </w:r>
      <w:r>
        <w:rPr>
          <w:rFonts w:ascii="Times New Roman" w:hAnsi="Times New Roman" w:cs="Times New Roman" w:eastAsia="Times New Roman" w:hint="default"/>
        </w:rPr>
        <w:t>”</w:t>
      </w:r>
      <w:r>
        <w:rPr/>
        <w:t>为核心，以中小商行、银医客户、企业客户为基础，通过自主研发、合作研发相结合的方式，快速推动证通物联网 平台、服务机器人在金融科技市场的品牌影响力。</w:t>
      </w:r>
    </w:p>
    <w:p>
      <w:pPr>
        <w:pStyle w:val="BodyText"/>
        <w:spacing w:line="451" w:lineRule="auto" w:before="74"/>
        <w:ind w:right="194" w:firstLine="360"/>
        <w:jc w:val="both"/>
      </w:pPr>
      <w:r>
        <w:rPr>
          <w:rFonts w:ascii="Times New Roman" w:hAnsi="Times New Roman" w:cs="Times New Roman" w:eastAsia="Times New Roman" w:hint="default"/>
          <w:spacing w:val="-2"/>
        </w:rPr>
        <w:t>LED</w:t>
      </w:r>
      <w:r>
        <w:rPr>
          <w:spacing w:val="-2"/>
        </w:rPr>
        <w:t>照明业务方面，公司要注重提高</w:t>
      </w:r>
      <w:r>
        <w:rPr>
          <w:rFonts w:ascii="Times New Roman" w:hAnsi="Times New Roman" w:cs="Times New Roman" w:eastAsia="Times New Roman" w:hint="default"/>
          <w:spacing w:val="-2"/>
        </w:rPr>
        <w:t>LED</w:t>
      </w:r>
      <w:r>
        <w:rPr>
          <w:spacing w:val="-2"/>
        </w:rPr>
        <w:t>照明项目设计及建设质量，加强应收账款的管理和回收，进一步推行项目经理</w:t>
      </w:r>
      <w:r>
        <w:rPr/>
        <w:t> 负责制、落实项目核算体系，提高项目盈利能力。通过智慧城市试点项目，探索智慧城市市场布局方式。</w:t>
      </w:r>
    </w:p>
    <w:p>
      <w:pPr>
        <w:pStyle w:val="BodyText"/>
        <w:spacing w:line="458" w:lineRule="auto" w:before="74"/>
        <w:ind w:right="92" w:firstLine="360"/>
        <w:jc w:val="left"/>
      </w:pPr>
      <w:r>
        <w:rPr>
          <w:rFonts w:ascii="Times New Roman" w:hAnsi="Times New Roman" w:cs="Times New Roman" w:eastAsia="Times New Roman" w:hint="default"/>
        </w:rPr>
        <w:t>IDC</w:t>
      </w:r>
      <w:r>
        <w:rPr/>
        <w:t>及云计算业务方面，</w:t>
      </w:r>
      <w:r>
        <w:rPr>
          <w:rFonts w:ascii="Times New Roman" w:hAnsi="Times New Roman" w:cs="Times New Roman" w:eastAsia="Times New Roman" w:hint="default"/>
        </w:rPr>
        <w:t>2018</w:t>
      </w:r>
      <w:r>
        <w:rPr/>
        <w:t>年，公司进一步提高分布式数据中心运营效率，扩大</w:t>
      </w:r>
      <w:r>
        <w:rPr>
          <w:rFonts w:ascii="Times New Roman" w:hAnsi="Times New Roman" w:cs="Times New Roman" w:eastAsia="Times New Roman" w:hint="default"/>
        </w:rPr>
        <w:t>IDC+</w:t>
      </w:r>
      <w:r>
        <w:rPr/>
        <w:t>战略在湖南及周边城市的辐射， </w:t>
      </w:r>
      <w:r>
        <w:rPr>
          <w:spacing w:val="-2"/>
        </w:rPr>
        <w:t>加强售前</w:t>
      </w:r>
      <w:r>
        <w:rPr>
          <w:rFonts w:ascii="Times New Roman" w:hAnsi="Times New Roman" w:cs="Times New Roman" w:eastAsia="Times New Roman" w:hint="default"/>
          <w:spacing w:val="-2"/>
        </w:rPr>
        <w:t>—</w:t>
      </w:r>
      <w:r>
        <w:rPr>
          <w:spacing w:val="-2"/>
        </w:rPr>
        <w:t>交付</w:t>
      </w:r>
      <w:r>
        <w:rPr>
          <w:rFonts w:ascii="Times New Roman" w:hAnsi="Times New Roman" w:cs="Times New Roman" w:eastAsia="Times New Roman" w:hint="default"/>
          <w:spacing w:val="-2"/>
        </w:rPr>
        <w:t>—</w:t>
      </w:r>
      <w:r>
        <w:rPr>
          <w:spacing w:val="-2"/>
        </w:rPr>
        <w:t>运营的全线条管理，布局湖南省内区、县一级的智慧城市建设，努力实现长沙证通科技园智慧城市云产业</w:t>
      </w:r>
      <w:r>
        <w:rPr>
          <w:spacing w:val="-66"/>
        </w:rPr>
        <w:t> </w:t>
      </w:r>
      <w:r>
        <w:rPr>
          <w:spacing w:val="-66"/>
        </w:rPr>
      </w:r>
      <w:r>
        <w:rPr>
          <w:spacing w:val="-2"/>
        </w:rPr>
        <w:t>基地和县级智慧城市两地协同发展。同时，在</w:t>
      </w:r>
      <w:r>
        <w:rPr>
          <w:rFonts w:ascii="Times New Roman" w:hAnsi="Times New Roman" w:cs="Times New Roman" w:eastAsia="Times New Roman" w:hint="default"/>
          <w:spacing w:val="-2"/>
        </w:rPr>
        <w:t>2017</w:t>
      </w:r>
      <w:r>
        <w:rPr>
          <w:spacing w:val="-2"/>
        </w:rPr>
        <w:t>年业务布局的基础上，公司将持续推进云服务技术创新，加强智慧城市产</w:t>
      </w:r>
      <w:r>
        <w:rPr>
          <w:spacing w:val="-60"/>
        </w:rPr>
        <w:t> </w:t>
      </w:r>
      <w:r>
        <w:rPr>
          <w:spacing w:val="-60"/>
        </w:rPr>
      </w:r>
      <w:r>
        <w:rPr>
          <w:spacing w:val="-2"/>
        </w:rPr>
        <w:t>业链研究，积极引进产业链上的企业落户长沙证通科技园，进一步充盈证通电子智慧城市生态链，并通过证通云平台有机地</w:t>
      </w:r>
      <w:r>
        <w:rPr>
          <w:spacing w:val="-63"/>
        </w:rPr>
        <w:t> </w:t>
      </w:r>
      <w:r>
        <w:rPr>
          <w:spacing w:val="-63"/>
        </w:rPr>
      </w:r>
      <w:r>
        <w:rPr/>
        <w:t>集成为智慧城市整体解决方案。</w:t>
      </w:r>
    </w:p>
    <w:p>
      <w:pPr>
        <w:pStyle w:val="Heading5"/>
        <w:spacing w:line="240" w:lineRule="auto" w:before="68"/>
        <w:ind w:right="6754"/>
        <w:jc w:val="left"/>
        <w:rPr>
          <w:b w:val="0"/>
          <w:bCs w:val="0"/>
        </w:rPr>
      </w:pPr>
      <w:r>
        <w:rPr/>
        <w:t>（四）公司面临的风险和应对措施</w:t>
      </w:r>
      <w:r>
        <w:rPr>
          <w:b w:val="0"/>
          <w:bCs w:val="0"/>
        </w:rPr>
      </w:r>
    </w:p>
    <w:p>
      <w:pPr>
        <w:spacing w:line="240" w:lineRule="auto" w:before="10"/>
        <w:rPr>
          <w:rFonts w:ascii="宋体" w:hAnsi="宋体" w:cs="宋体" w:eastAsia="宋体" w:hint="default"/>
          <w:b/>
          <w:bCs/>
          <w:sz w:val="17"/>
          <w:szCs w:val="17"/>
        </w:rPr>
      </w:pPr>
    </w:p>
    <w:p>
      <w:pPr>
        <w:pStyle w:val="BodyText"/>
        <w:spacing w:line="451" w:lineRule="auto"/>
        <w:ind w:left="513" w:right="178"/>
        <w:jc w:val="left"/>
      </w:pPr>
      <w:r>
        <w:rPr>
          <w:rFonts w:ascii="Times New Roman" w:hAnsi="Times New Roman" w:cs="Times New Roman" w:eastAsia="Times New Roman" w:hint="default"/>
        </w:rPr>
        <w:t>1</w:t>
      </w:r>
      <w:r>
        <w:rPr/>
        <w:t>、经营风险 </w:t>
      </w:r>
      <w:r>
        <w:rPr>
          <w:spacing w:val="-2"/>
        </w:rPr>
        <w:t>随着移动互联网的发展，银行业的经营模式发生改变，以及移动支付的迅猛发展对传统支付领域的冲击，金融电子行业</w:t>
      </w:r>
    </w:p>
    <w:p>
      <w:pPr>
        <w:pStyle w:val="BodyText"/>
        <w:spacing w:line="477" w:lineRule="auto" w:before="74"/>
        <w:ind w:right="191"/>
        <w:jc w:val="both"/>
      </w:pPr>
      <w:r>
        <w:rPr>
          <w:spacing w:val="-2"/>
        </w:rPr>
        <w:t>变化加速。如果公司现有产品、技术和服务的创新速度跟不上市场的变化，公司将存在一定的经营风险。公司将加强对行业</w:t>
      </w:r>
      <w:r>
        <w:rPr>
          <w:spacing w:val="-65"/>
        </w:rPr>
        <w:t> </w:t>
      </w:r>
      <w:r>
        <w:rPr>
          <w:spacing w:val="-65"/>
        </w:rPr>
      </w:r>
      <w:r>
        <w:rPr/>
        <w:t>及技术发展趋势的研究，对不同产品线进行专业化分工管理，提高在产品、技术上的创新能力和水平，以降低经营风险。</w:t>
      </w:r>
    </w:p>
    <w:p>
      <w:pPr>
        <w:pStyle w:val="BodyText"/>
        <w:spacing w:line="451" w:lineRule="auto" w:before="55"/>
        <w:ind w:left="513" w:right="178"/>
        <w:jc w:val="left"/>
      </w:pPr>
      <w:r>
        <w:rPr>
          <w:rFonts w:ascii="Times New Roman" w:hAnsi="Times New Roman" w:cs="Times New Roman" w:eastAsia="Times New Roman" w:hint="default"/>
        </w:rPr>
        <w:t>2</w:t>
      </w:r>
      <w:r>
        <w:rPr/>
        <w:t>、行业竞争加剧的风险 </w:t>
      </w:r>
      <w:r>
        <w:rPr>
          <w:spacing w:val="-1"/>
        </w:rPr>
        <w:t>近年来大数据、互联网、移动支付等金融科技的快速发展成为了行业趋势，公司</w:t>
      </w:r>
      <w:r>
        <w:rPr>
          <w:rFonts w:ascii="Times New Roman" w:hAnsi="Times New Roman" w:cs="Times New Roman" w:eastAsia="Times New Roman" w:hint="default"/>
          <w:spacing w:val="-1"/>
        </w:rPr>
        <w:t>LED</w:t>
      </w:r>
      <w:r>
        <w:rPr>
          <w:spacing w:val="-1"/>
        </w:rPr>
        <w:t>照明工程及</w:t>
      </w:r>
      <w:r>
        <w:rPr>
          <w:rFonts w:ascii="Times New Roman" w:hAnsi="Times New Roman" w:cs="Times New Roman" w:eastAsia="Times New Roman" w:hint="default"/>
          <w:spacing w:val="-1"/>
        </w:rPr>
        <w:t>IDC</w:t>
      </w:r>
      <w:r>
        <w:rPr>
          <w:spacing w:val="-1"/>
        </w:rPr>
        <w:t>业务，随着市场规</w:t>
      </w:r>
    </w:p>
    <w:p>
      <w:pPr>
        <w:pStyle w:val="BodyText"/>
        <w:spacing w:line="463" w:lineRule="auto" w:before="43"/>
        <w:ind w:right="191"/>
        <w:jc w:val="both"/>
      </w:pPr>
      <w:r>
        <w:rPr>
          <w:spacing w:val="-1"/>
        </w:rPr>
        <w:t>模的日益扩大，资金、人才逐步向行业聚集，行业内参与竞争的企业数量和规模不断壮大，特别是我国</w:t>
      </w:r>
      <w:r>
        <w:rPr>
          <w:rFonts w:ascii="Times New Roman" w:hAnsi="Times New Roman" w:cs="Times New Roman" w:eastAsia="Times New Roman" w:hint="default"/>
          <w:spacing w:val="-1"/>
        </w:rPr>
        <w:t>IDC</w:t>
      </w:r>
      <w:r>
        <w:rPr>
          <w:spacing w:val="-1"/>
        </w:rPr>
        <w:t>目前正处于高速</w:t>
      </w:r>
      <w:r>
        <w:rPr>
          <w:spacing w:val="-70"/>
        </w:rPr>
        <w:t> </w:t>
      </w:r>
      <w:r>
        <w:rPr>
          <w:spacing w:val="-2"/>
        </w:rPr>
        <w:t>发展阶段，属较快增长期，更多的竞争厂商加入云计算产业。公司如果不能准确预测市场变化，抓住未来市场发展的主流趋</w:t>
      </w:r>
      <w:r>
        <w:rPr>
          <w:spacing w:val="-64"/>
        </w:rPr>
        <w:t> </w:t>
      </w:r>
      <w:r>
        <w:rPr>
          <w:spacing w:val="-64"/>
        </w:rPr>
      </w:r>
      <w:r>
        <w:rPr>
          <w:spacing w:val="-2"/>
        </w:rPr>
        <w:t>势，未来公司将面临行业竞争可能加剧进而导致公司利润率水平下降的风险。公司将充分发挥在品牌、规模、营销等方面竞</w:t>
      </w:r>
    </w:p>
    <w:p>
      <w:pPr>
        <w:spacing w:after="0" w:line="463" w:lineRule="auto"/>
        <w:jc w:val="both"/>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ind w:right="194"/>
        <w:jc w:val="left"/>
      </w:pPr>
      <w:r>
        <w:rPr/>
        <w:t>争优势，加大市场拓展力度，降低运营成本，进一步提高市场竞争力。</w:t>
      </w:r>
    </w:p>
    <w:p>
      <w:pPr>
        <w:spacing w:line="240" w:lineRule="auto" w:before="10"/>
        <w:rPr>
          <w:rFonts w:ascii="宋体" w:hAnsi="宋体" w:cs="宋体" w:eastAsia="宋体" w:hint="default"/>
          <w:sz w:val="17"/>
          <w:szCs w:val="17"/>
        </w:rPr>
      </w:pPr>
    </w:p>
    <w:p>
      <w:pPr>
        <w:pStyle w:val="BodyText"/>
        <w:spacing w:line="451" w:lineRule="auto"/>
        <w:ind w:left="513" w:right="194"/>
        <w:jc w:val="left"/>
      </w:pPr>
      <w:r>
        <w:rPr>
          <w:rFonts w:ascii="Times New Roman" w:hAnsi="Times New Roman" w:cs="Times New Roman" w:eastAsia="Times New Roman" w:hint="default"/>
        </w:rPr>
        <w:t>3</w:t>
      </w:r>
      <w:r>
        <w:rPr/>
        <w:t>、经营规模迅速扩张导致的管理风险 </w:t>
      </w:r>
      <w:r>
        <w:rPr>
          <w:spacing w:val="-2"/>
        </w:rPr>
        <w:t>随着公司业务领域不断扩展，公司资产规模、经营规模、人员规模不断扩大，近年来公司下设各子公司数量不断增加且</w:t>
      </w:r>
    </w:p>
    <w:p>
      <w:pPr>
        <w:pStyle w:val="BodyText"/>
        <w:spacing w:line="468" w:lineRule="auto" w:before="74"/>
        <w:ind w:right="194"/>
        <w:jc w:val="left"/>
      </w:pPr>
      <w:r>
        <w:rPr>
          <w:spacing w:val="-2"/>
        </w:rPr>
        <w:t>分布各地。同时公司在</w:t>
      </w:r>
      <w:r>
        <w:rPr>
          <w:rFonts w:ascii="Times New Roman" w:hAnsi="Times New Roman" w:cs="Times New Roman" w:eastAsia="Times New Roman" w:hint="default"/>
          <w:spacing w:val="-2"/>
        </w:rPr>
        <w:t>2017</w:t>
      </w:r>
      <w:r>
        <w:rPr>
          <w:spacing w:val="-2"/>
        </w:rPr>
        <w:t>年启动事业部管理模式，组织结构和内部管理将更加复杂，风险控制的难度有所增加。如果公司</w:t>
      </w:r>
      <w:r>
        <w:rPr>
          <w:spacing w:val="-62"/>
        </w:rPr>
        <w:t> </w:t>
      </w:r>
      <w:r>
        <w:rPr>
          <w:spacing w:val="-62"/>
        </w:rPr>
      </w:r>
      <w:r>
        <w:rPr>
          <w:spacing w:val="-2"/>
        </w:rPr>
        <w:t>不能及时优化管理模式、完善风险控制制度，提高管理能力，将面临管理和内部控制有效性不足的风险。针对该风险，公司</w:t>
      </w:r>
      <w:r>
        <w:rPr>
          <w:spacing w:val="-67"/>
        </w:rPr>
        <w:t> </w:t>
      </w:r>
      <w:r>
        <w:rPr>
          <w:spacing w:val="-67"/>
        </w:rPr>
      </w:r>
      <w:r>
        <w:rPr/>
        <w:t>将加强集团化管理，在战略规划与经营计划、财务、人力资源、法务、审计等方面推进管理，同时引入高级经营管理人才，</w:t>
      </w:r>
      <w:r>
        <w:rPr>
          <w:spacing w:val="-86"/>
        </w:rPr>
        <w:t> </w:t>
      </w:r>
      <w:r>
        <w:rPr>
          <w:spacing w:val="-86"/>
        </w:rPr>
      </w:r>
      <w:r>
        <w:rPr/>
        <w:t>以降低经营管理风险。</w:t>
      </w:r>
    </w:p>
    <w:p>
      <w:pPr>
        <w:pStyle w:val="BodyText"/>
        <w:spacing w:line="451" w:lineRule="auto" w:before="61"/>
        <w:ind w:left="513" w:right="194"/>
        <w:jc w:val="left"/>
      </w:pPr>
      <w:r>
        <w:rPr>
          <w:rFonts w:ascii="Times New Roman" w:hAnsi="Times New Roman" w:cs="Times New Roman" w:eastAsia="Times New Roman" w:hint="default"/>
        </w:rPr>
        <w:t>4</w:t>
      </w:r>
      <w:r>
        <w:rPr/>
        <w:t>、现金流风险 </w:t>
      </w:r>
      <w:r>
        <w:rPr>
          <w:spacing w:val="-1"/>
        </w:rPr>
        <w:t>公司主营业务涉及金融电子、</w:t>
      </w:r>
      <w:r>
        <w:rPr>
          <w:rFonts w:ascii="Times New Roman" w:hAnsi="Times New Roman" w:cs="Times New Roman" w:eastAsia="Times New Roman" w:hint="default"/>
          <w:spacing w:val="-1"/>
        </w:rPr>
        <w:t>LED</w:t>
      </w:r>
      <w:r>
        <w:rPr>
          <w:spacing w:val="-1"/>
        </w:rPr>
        <w:t>照明工程及</w:t>
      </w:r>
      <w:r>
        <w:rPr>
          <w:rFonts w:ascii="Times New Roman" w:hAnsi="Times New Roman" w:cs="Times New Roman" w:eastAsia="Times New Roman" w:hint="default"/>
          <w:spacing w:val="-1"/>
        </w:rPr>
        <w:t>IDC</w:t>
      </w:r>
      <w:r>
        <w:rPr>
          <w:spacing w:val="-1"/>
        </w:rPr>
        <w:t>三大领域，随着公司业务多元化和业务规模持续扩张，对公司现金流</w:t>
      </w:r>
    </w:p>
    <w:p>
      <w:pPr>
        <w:pStyle w:val="BodyText"/>
        <w:spacing w:line="468" w:lineRule="auto" w:before="44"/>
        <w:ind w:right="290"/>
        <w:jc w:val="both"/>
      </w:pPr>
      <w:r>
        <w:rPr>
          <w:spacing w:val="-4"/>
        </w:rPr>
        <w:t>管理提出更高的要求。根据公司现有业务发展阶段不同，</w:t>
      </w:r>
      <w:r>
        <w:rPr>
          <w:rFonts w:ascii="Times New Roman" w:hAnsi="Times New Roman" w:cs="Times New Roman" w:eastAsia="Times New Roman" w:hint="default"/>
          <w:spacing w:val="-4"/>
        </w:rPr>
        <w:t>LED</w:t>
      </w:r>
      <w:r>
        <w:rPr>
          <w:spacing w:val="-4"/>
        </w:rPr>
        <w:t>照明工程、</w:t>
      </w:r>
      <w:r>
        <w:rPr>
          <w:rFonts w:ascii="Times New Roman" w:hAnsi="Times New Roman" w:cs="Times New Roman" w:eastAsia="Times New Roman" w:hint="default"/>
          <w:spacing w:val="-4"/>
        </w:rPr>
        <w:t>IDC</w:t>
      </w:r>
      <w:r>
        <w:rPr>
          <w:spacing w:val="-4"/>
        </w:rPr>
        <w:t>业务存在投资规模大，回款周期长等业务特点，</w:t>
      </w:r>
      <w:r>
        <w:rPr>
          <w:spacing w:val="-67"/>
        </w:rPr>
        <w:t> </w:t>
      </w:r>
      <w:r>
        <w:rPr>
          <w:spacing w:val="-67"/>
        </w:rPr>
      </w:r>
      <w:r>
        <w:rPr>
          <w:spacing w:val="-2"/>
        </w:rPr>
        <w:t>未来可能出现业务市场拓展不及预期、应收账款不能按期或无法全部回收的坏账情况，将导致公司流动资金短缺的风险，从</w:t>
      </w:r>
      <w:r>
        <w:rPr>
          <w:spacing w:val="-63"/>
        </w:rPr>
        <w:t> </w:t>
      </w:r>
      <w:r>
        <w:rPr>
          <w:spacing w:val="-63"/>
        </w:rPr>
      </w:r>
      <w:r>
        <w:rPr>
          <w:spacing w:val="-2"/>
        </w:rPr>
        <w:t>而影响公司盈利水平。公司将通过加强对客户应收款项的管理工作，完善回款机制，降低应收账款增加的风险及减少坏账的</w:t>
      </w:r>
      <w:r>
        <w:rPr>
          <w:spacing w:val="-66"/>
        </w:rPr>
        <w:t> </w:t>
      </w:r>
      <w:r>
        <w:rPr>
          <w:spacing w:val="-66"/>
        </w:rPr>
      </w:r>
      <w:r>
        <w:rPr/>
        <w:t>产生。同时积极通过合理的财务规划并将在适当时机利用各种融资方式，以满足自身经营发展的流动资金需求。</w:t>
      </w:r>
    </w:p>
    <w:p>
      <w:pPr>
        <w:pStyle w:val="BodyText"/>
        <w:spacing w:line="451" w:lineRule="auto" w:before="61"/>
        <w:ind w:left="513" w:right="194"/>
        <w:jc w:val="left"/>
      </w:pPr>
      <w:r>
        <w:rPr>
          <w:rFonts w:ascii="Times New Roman" w:hAnsi="Times New Roman" w:cs="Times New Roman" w:eastAsia="Times New Roman" w:hint="default"/>
        </w:rPr>
        <w:t>5</w:t>
      </w:r>
      <w:r>
        <w:rPr/>
        <w:t>、新增固定资产折旧风险 </w:t>
      </w:r>
      <w:r>
        <w:rPr>
          <w:spacing w:val="-1"/>
        </w:rPr>
        <w:t>随着公司新增</w:t>
      </w:r>
      <w:r>
        <w:rPr>
          <w:rFonts w:ascii="Times New Roman" w:hAnsi="Times New Roman" w:cs="Times New Roman" w:eastAsia="Times New Roman" w:hint="default"/>
          <w:spacing w:val="-1"/>
        </w:rPr>
        <w:t>IDC</w:t>
      </w:r>
      <w:r>
        <w:rPr>
          <w:spacing w:val="-1"/>
        </w:rPr>
        <w:t>项目建成投产后，将会导致固定资产的增长及资产折旧的增加。如各建设项目投产后未能实现预期收</w:t>
      </w:r>
    </w:p>
    <w:p>
      <w:pPr>
        <w:pStyle w:val="BodyText"/>
        <w:spacing w:line="477" w:lineRule="auto" w:before="43"/>
        <w:ind w:right="103"/>
        <w:jc w:val="left"/>
      </w:pPr>
      <w:r>
        <w:rPr>
          <w:spacing w:val="-2"/>
        </w:rPr>
        <w:t>益或公司盈利能力增长未能有效消化相应的固定资产折旧，则公司资产规模逐步增加所带来的新增折旧将会对公司盈利水平、</w:t>
      </w:r>
      <w:r>
        <w:rPr>
          <w:spacing w:val="-62"/>
        </w:rPr>
        <w:t> </w:t>
      </w:r>
      <w:r>
        <w:rPr>
          <w:spacing w:val="-62"/>
        </w:rPr>
      </w:r>
      <w:r>
        <w:rPr/>
        <w:t>经营业绩产生造成不利影响。</w:t>
      </w:r>
    </w:p>
    <w:p>
      <w:pPr>
        <w:pStyle w:val="BodyText"/>
        <w:spacing w:line="451" w:lineRule="auto" w:before="54"/>
        <w:ind w:left="513" w:right="194"/>
        <w:jc w:val="left"/>
      </w:pPr>
      <w:r>
        <w:rPr>
          <w:rFonts w:ascii="Times New Roman" w:hAnsi="Times New Roman" w:cs="Times New Roman" w:eastAsia="Times New Roman" w:hint="default"/>
        </w:rPr>
        <w:t>6</w:t>
      </w:r>
      <w:r>
        <w:rPr/>
        <w:t>、运营成本增加带来的风险 </w:t>
      </w:r>
      <w:r>
        <w:rPr>
          <w:spacing w:val="-2"/>
        </w:rPr>
        <w:t>公司经营规模和资产规模的扩大，公司的技术研发人员人数持续增长，子公司数量增加，产能和规模的扩大将会带来相</w:t>
      </w:r>
    </w:p>
    <w:p>
      <w:pPr>
        <w:pStyle w:val="BodyText"/>
        <w:spacing w:line="477" w:lineRule="auto" w:before="74"/>
        <w:ind w:right="194"/>
        <w:jc w:val="left"/>
      </w:pPr>
      <w:r>
        <w:rPr>
          <w:spacing w:val="-2"/>
        </w:rPr>
        <w:t>应的管理成本，可能引致公司毛利率降低，对公司经营业绩产生一定的影响。公司将通过强化管理、控制费用、扩大销售等</w:t>
      </w:r>
      <w:r>
        <w:rPr>
          <w:spacing w:val="-67"/>
        </w:rPr>
        <w:t> </w:t>
      </w:r>
      <w:r>
        <w:rPr>
          <w:spacing w:val="-67"/>
        </w:rPr>
      </w:r>
      <w:r>
        <w:rPr/>
        <w:t>举措，尽量化解和减轻成本上升压力。</w:t>
      </w:r>
    </w:p>
    <w:p>
      <w:pPr>
        <w:spacing w:line="240" w:lineRule="auto" w:before="7"/>
        <w:rPr>
          <w:rFonts w:ascii="宋体" w:hAnsi="宋体" w:cs="宋体" w:eastAsia="宋体" w:hint="default"/>
          <w:sz w:val="17"/>
          <w:szCs w:val="17"/>
        </w:rPr>
      </w:pPr>
    </w:p>
    <w:p>
      <w:pPr>
        <w:pStyle w:val="Heading2"/>
        <w:spacing w:line="240" w:lineRule="auto"/>
        <w:ind w:right="194"/>
        <w:jc w:val="left"/>
        <w:rPr>
          <w:b w:val="0"/>
          <w:bCs w:val="0"/>
        </w:rPr>
      </w:pPr>
      <w:r>
        <w:rPr/>
        <w:t>十、接待调研、沟通、采访等活动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94"/>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both"/>
              <w:rPr>
                <w:rFonts w:ascii="宋体" w:hAnsi="宋体" w:cs="宋体" w:eastAsia="宋体" w:hint="default"/>
                <w:sz w:val="18"/>
                <w:szCs w:val="18"/>
              </w:rPr>
            </w:pPr>
            <w:r>
              <w:rPr>
                <w:rFonts w:ascii="宋体" w:hAnsi="宋体" w:cs="宋体" w:eastAsia="宋体" w:hint="default"/>
                <w:sz w:val="18"/>
                <w:szCs w:val="18"/>
              </w:rPr>
              <w:t>深交所互动易平台</w:t>
            </w:r>
          </w:p>
          <w:p>
            <w:pPr>
              <w:pStyle w:val="TableParagraph"/>
              <w:spacing w:line="300" w:lineRule="auto" w:before="76"/>
              <w:ind w:left="23" w:right="18"/>
              <w:jc w:val="both"/>
              <w:rPr>
                <w:rFonts w:ascii="宋体" w:hAnsi="宋体" w:cs="宋体" w:eastAsia="宋体" w:hint="default"/>
                <w:sz w:val="18"/>
                <w:szCs w:val="18"/>
              </w:rPr>
            </w:pPr>
            <w:r>
              <w:rPr>
                <w:rFonts w:ascii="宋体" w:hAnsi="宋体" w:cs="宋体" w:eastAsia="宋体" w:hint="default"/>
                <w:sz w:val="18"/>
                <w:szCs w:val="18"/>
              </w:rPr>
              <w:t>（</w:t>
            </w:r>
            <w:hyperlink r:id="rId18">
              <w:r>
                <w:rPr>
                  <w:rFonts w:ascii="Times New Roman" w:hAnsi="Times New Roman" w:cs="Times New Roman" w:eastAsia="Times New Roman" w:hint="default"/>
                  <w:sz w:val="18"/>
                  <w:szCs w:val="18"/>
                </w:rPr>
                <w:t>http://irm.cninfo.com.cn/ssessgs/S002</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197/index.html</w:t>
            </w:r>
            <w:r>
              <w:rPr>
                <w:rFonts w:ascii="宋体" w:hAnsi="宋体" w:cs="宋体" w:eastAsia="宋体" w:hint="default"/>
                <w:spacing w:val="-2"/>
                <w:sz w:val="18"/>
                <w:szCs w:val="18"/>
              </w:rPr>
              <w:t>）投资者关系专栏</w:t>
            </w:r>
            <w:r>
              <w:rPr>
                <w:rFonts w:ascii="Times New Roman" w:hAnsi="Times New Roman" w:cs="Times New Roman" w:eastAsia="Times New Roman" w:hint="default"/>
                <w:spacing w:val="-2"/>
                <w:sz w:val="18"/>
                <w:szCs w:val="18"/>
              </w:rPr>
              <w:t>--2017</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pacing w:val="-28"/>
                <w:sz w:val="18"/>
                <w:szCs w:val="18"/>
              </w:rPr>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日投资者关系活动记录表</w:t>
            </w:r>
          </w:p>
        </w:tc>
      </w:tr>
      <w:tr>
        <w:trPr>
          <w:trHeight w:val="401"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深交所互动易平台</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8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987" w:hRule="exact"/>
        </w:trPr>
        <w:tc>
          <w:tcPr>
            <w:tcW w:w="2180"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18"/>
              <w:jc w:val="both"/>
              <w:rPr>
                <w:rFonts w:ascii="宋体" w:hAnsi="宋体" w:cs="宋体" w:eastAsia="宋体" w:hint="default"/>
                <w:sz w:val="18"/>
                <w:szCs w:val="18"/>
              </w:rPr>
            </w:pPr>
            <w:r>
              <w:rPr>
                <w:rFonts w:ascii="宋体" w:hAnsi="宋体" w:cs="宋体" w:eastAsia="宋体" w:hint="default"/>
                <w:sz w:val="18"/>
                <w:szCs w:val="18"/>
              </w:rPr>
              <w:t>（</w:t>
            </w:r>
            <w:hyperlink r:id="rId18">
              <w:r>
                <w:rPr>
                  <w:rFonts w:ascii="Times New Roman" w:hAnsi="Times New Roman" w:cs="Times New Roman" w:eastAsia="Times New Roman" w:hint="default"/>
                  <w:sz w:val="18"/>
                  <w:szCs w:val="18"/>
                </w:rPr>
                <w:t>http://irm.cninfo.com.cn/ssessgs/S002</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197/index.html</w:t>
            </w:r>
            <w:r>
              <w:rPr>
                <w:rFonts w:ascii="宋体" w:hAnsi="宋体" w:cs="宋体" w:eastAsia="宋体" w:hint="default"/>
                <w:spacing w:val="-2"/>
                <w:sz w:val="18"/>
                <w:szCs w:val="18"/>
              </w:rPr>
              <w:t>）投资者关系专栏</w:t>
            </w:r>
            <w:r>
              <w:rPr>
                <w:rFonts w:ascii="Times New Roman" w:hAnsi="Times New Roman" w:cs="Times New Roman" w:eastAsia="Times New Roman" w:hint="default"/>
                <w:spacing w:val="-2"/>
                <w:sz w:val="18"/>
                <w:szCs w:val="18"/>
              </w:rPr>
              <w:t>--2017</w:t>
            </w:r>
            <w:r>
              <w:rPr>
                <w:rFonts w:ascii="Times New Roman" w:hAnsi="Times New Roman" w:cs="Times New Roman" w:eastAsia="Times New Roman" w:hint="default"/>
                <w:spacing w:val="-28"/>
                <w:sz w:val="18"/>
                <w:szCs w:val="18"/>
              </w:rPr>
              <w:t> </w:t>
            </w:r>
            <w:r>
              <w:rPr>
                <w:rFonts w:ascii="Times New Roman" w:hAnsi="Times New Roman" w:cs="Times New Roman" w:eastAsia="Times New Roman" w:hint="default"/>
                <w:spacing w:val="-28"/>
                <w:sz w:val="18"/>
                <w:szCs w:val="18"/>
              </w:rPr>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日投资者关系活动记录表</w:t>
            </w:r>
          </w:p>
        </w:tc>
      </w:tr>
    </w:tbl>
    <w:p>
      <w:pPr>
        <w:spacing w:after="0" w:line="300"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3354"/>
        <w:jc w:val="center"/>
        <w:rPr>
          <w:b w:val="0"/>
          <w:bCs w:val="0"/>
        </w:rPr>
      </w:pPr>
      <w:bookmarkStart w:name="_bookmark4" w:id="5"/>
      <w:bookmarkEnd w:id="5"/>
      <w:r>
        <w:rPr>
          <w:b w:val="0"/>
          <w:bCs w:val="0"/>
        </w:rPr>
      </w:r>
      <w:r>
        <w:rPr/>
        <w:t>第五节</w:t>
      </w:r>
      <w:r>
        <w:rPr>
          <w:spacing w:val="-2"/>
        </w:rPr>
        <w:t> </w:t>
      </w:r>
      <w:r>
        <w:rPr/>
        <w:t>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7" w:lineRule="auto" w:before="101"/>
        <w:ind w:right="0" w:firstLine="432"/>
        <w:jc w:val="left"/>
      </w:pPr>
      <w:r>
        <w:rPr>
          <w:spacing w:val="-2"/>
        </w:rPr>
        <w:t>公司根据中国证券监督管理委员会于</w:t>
      </w:r>
      <w:r>
        <w:rPr>
          <w:rFonts w:ascii="Times New Roman" w:hAnsi="Times New Roman" w:cs="Times New Roman" w:eastAsia="Times New Roman" w:hint="default"/>
          <w:spacing w:val="-2"/>
        </w:rPr>
        <w:t>2014</w:t>
      </w:r>
      <w:r>
        <w:rPr>
          <w:spacing w:val="-2"/>
        </w:rPr>
        <w:t>年下发的《上市公司章程指引（</w:t>
      </w:r>
      <w:r>
        <w:rPr>
          <w:rFonts w:ascii="Times New Roman" w:hAnsi="Times New Roman" w:cs="Times New Roman" w:eastAsia="Times New Roman" w:hint="default"/>
          <w:spacing w:val="-2"/>
        </w:rPr>
        <w:t>2014</w:t>
      </w:r>
      <w:r>
        <w:rPr>
          <w:spacing w:val="-2"/>
        </w:rPr>
        <w:t>年修订）》的有关规定，于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12 </w:t>
      </w:r>
      <w:r>
        <w:rPr/>
        <w:t>日召开的第三届董事会第十二次会议和</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w:t>
      </w:r>
      <w:r>
        <w:rPr/>
        <w:t>日公司</w:t>
      </w:r>
      <w:r>
        <w:rPr>
          <w:rFonts w:ascii="Times New Roman" w:hAnsi="Times New Roman" w:cs="Times New Roman" w:eastAsia="Times New Roman" w:hint="default"/>
        </w:rPr>
        <w:t>2014</w:t>
      </w:r>
      <w:r>
        <w:rPr/>
        <w:t>年第三次临时股东大会审议通过《关于修改</w:t>
      </w:r>
      <w:r>
        <w:rPr>
          <w:rFonts w:ascii="Times New Roman" w:hAnsi="Times New Roman" w:cs="Times New Roman" w:eastAsia="Times New Roman" w:hint="default"/>
        </w:rPr>
        <w:t>&lt;</w:t>
      </w:r>
      <w:r>
        <w:rPr/>
        <w:t>公司章程</w:t>
      </w:r>
      <w:r>
        <w:rPr>
          <w:rFonts w:ascii="Times New Roman" w:hAnsi="Times New Roman" w:cs="Times New Roman" w:eastAsia="Times New Roman" w:hint="default"/>
        </w:rPr>
        <w:t>&gt;</w:t>
      </w:r>
      <w:r>
        <w:rPr/>
        <w:t>的议 </w:t>
      </w:r>
      <w:r>
        <w:rPr>
          <w:spacing w:val="-2"/>
        </w:rPr>
        <w:t>案》，对公司章程确定的现金分红政策进行调整，进一步健全公司分红决策程序和机制，在满足公司章程规定的条件，经过</w:t>
      </w:r>
      <w:r>
        <w:rPr>
          <w:spacing w:val="-66"/>
        </w:rPr>
        <w:t> </w:t>
      </w:r>
      <w:r>
        <w:rPr>
          <w:spacing w:val="-66"/>
        </w:rPr>
      </w:r>
      <w:r>
        <w:rPr/>
        <w:t>详细论证后，履行相应的决策程序，并经出席股东大会的股东所持表决权的</w:t>
      </w:r>
      <w:r>
        <w:rPr>
          <w:rFonts w:ascii="Times New Roman" w:hAnsi="Times New Roman" w:cs="Times New Roman" w:eastAsia="Times New Roman" w:hint="default"/>
        </w:rPr>
        <w:t>2/3</w:t>
      </w:r>
      <w:r>
        <w:rPr/>
        <w:t>以上通过。</w:t>
      </w:r>
    </w:p>
    <w:p>
      <w:pPr>
        <w:pStyle w:val="BodyText"/>
        <w:spacing w:line="307" w:lineRule="auto" w:before="7"/>
        <w:ind w:right="149" w:firstLine="360"/>
        <w:jc w:val="both"/>
      </w:pPr>
      <w:r>
        <w:rPr/>
        <w:t>公司根据中国证监会《关于进一步落实上市公司现金分红有关事项的通知》、《上市公司监管指引第</w:t>
      </w:r>
      <w:r>
        <w:rPr>
          <w:rFonts w:ascii="Times New Roman" w:hAnsi="Times New Roman" w:cs="Times New Roman" w:eastAsia="Times New Roman" w:hint="default"/>
        </w:rPr>
        <w:t>3</w:t>
      </w:r>
      <w:r>
        <w:rPr/>
        <w:t>号</w:t>
      </w:r>
      <w:r>
        <w:rPr>
          <w:rFonts w:ascii="Times New Roman" w:hAnsi="Times New Roman" w:cs="Times New Roman" w:eastAsia="Times New Roman" w:hint="default"/>
        </w:rPr>
        <w:t>——</w:t>
      </w:r>
      <w:r>
        <w:rPr/>
        <w:t>上市公司 </w:t>
      </w:r>
      <w:r>
        <w:rPr>
          <w:spacing w:val="-2"/>
        </w:rPr>
        <w:t>现金分红》和《公司章程》等相关规定，并综合考虑公司盈利能力、经营发展规划、股东回报、社会资金成本以及外部融资</w:t>
      </w:r>
      <w:r>
        <w:rPr>
          <w:spacing w:val="-73"/>
        </w:rPr>
        <w:t> </w:t>
      </w:r>
      <w:r>
        <w:rPr>
          <w:spacing w:val="-73"/>
        </w:rPr>
      </w:r>
      <w:r>
        <w:rPr/>
        <w:t>环境等因素，制定了《公司未来三年（</w:t>
      </w:r>
      <w:r>
        <w:rPr>
          <w:rFonts w:ascii="Times New Roman" w:hAnsi="Times New Roman" w:cs="Times New Roman" w:eastAsia="Times New Roman" w:hint="default"/>
        </w:rPr>
        <w:t>2015-2017</w:t>
      </w:r>
      <w:r>
        <w:rPr>
          <w:rFonts w:ascii="Times New Roman" w:hAnsi="Times New Roman" w:cs="Times New Roman" w:eastAsia="Times New Roman" w:hint="default"/>
          <w:spacing w:val="25"/>
        </w:rPr>
        <w:t> </w:t>
      </w:r>
      <w:r>
        <w:rPr/>
        <w:t>年）股东回报规划》，并经公司于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日召开的第三届董事会第 </w:t>
      </w:r>
      <w:r>
        <w:rPr>
          <w:spacing w:val="-1"/>
        </w:rPr>
        <w:t>二十七次会议和</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15</w:t>
      </w:r>
      <w:r>
        <w:rPr>
          <w:spacing w:val="-1"/>
        </w:rPr>
        <w:t>日公司</w:t>
      </w:r>
      <w:r>
        <w:rPr>
          <w:rFonts w:ascii="Times New Roman" w:hAnsi="Times New Roman" w:cs="Times New Roman" w:eastAsia="Times New Roman" w:hint="default"/>
          <w:spacing w:val="-1"/>
        </w:rPr>
        <w:t>2015</w:t>
      </w:r>
      <w:r>
        <w:rPr>
          <w:rFonts w:ascii="Times New Roman" w:hAnsi="Times New Roman" w:cs="Times New Roman" w:eastAsia="Times New Roman" w:hint="default"/>
        </w:rPr>
        <w:t> </w:t>
      </w:r>
      <w:r>
        <w:rPr>
          <w:spacing w:val="-2"/>
        </w:rPr>
        <w:t>年第二次临时股东大会审议通过。规划中明确规定了差异化的现金分红政策，并提</w:t>
      </w:r>
      <w:r>
        <w:rPr>
          <w:spacing w:val="-81"/>
        </w:rPr>
        <w:t> </w:t>
      </w:r>
      <w:r>
        <w:rPr>
          <w:spacing w:val="-81"/>
        </w:rPr>
      </w:r>
      <w:r>
        <w:rPr>
          <w:spacing w:val="-2"/>
        </w:rPr>
        <w:t>供多种渠道为股东参与股东大会提供便利等内容进行了修订，进一步完善董事会、股东大会对公司利润分配事项的决策程序</w:t>
      </w:r>
      <w:r>
        <w:rPr>
          <w:spacing w:val="-64"/>
        </w:rPr>
        <w:t> </w:t>
      </w:r>
      <w:r>
        <w:rPr>
          <w:spacing w:val="-64"/>
        </w:rPr>
      </w:r>
      <w:r>
        <w:rPr/>
        <w:t>和机制。</w:t>
      </w: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397"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1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3"/>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57"/>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56"/>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68"/>
        <w:ind w:left="513" w:right="0"/>
        <w:jc w:val="left"/>
      </w:pPr>
      <w:r>
        <w:rPr/>
        <w:t>公司近</w:t>
      </w:r>
      <w:r>
        <w:rPr>
          <w:spacing w:val="-45"/>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300" w:lineRule="auto" w:before="101"/>
        <w:ind w:right="0" w:firstLine="360"/>
        <w:jc w:val="left"/>
      </w:pPr>
      <w:r>
        <w:rPr>
          <w:rFonts w:ascii="Times New Roman" w:hAnsi="Times New Roman" w:cs="Times New Roman" w:eastAsia="Times New Roman" w:hint="default"/>
          <w:spacing w:val="-5"/>
        </w:rPr>
        <w:t>1</w:t>
      </w:r>
      <w:r>
        <w:rPr>
          <w:spacing w:val="-5"/>
        </w:rPr>
        <w:t>、公司</w:t>
      </w:r>
      <w:r>
        <w:rPr>
          <w:rFonts w:ascii="Times New Roman" w:hAnsi="Times New Roman" w:cs="Times New Roman" w:eastAsia="Times New Roman" w:hint="default"/>
          <w:spacing w:val="-5"/>
        </w:rPr>
        <w:t>2017</w:t>
      </w:r>
      <w:r>
        <w:rPr>
          <w:spacing w:val="-5"/>
        </w:rPr>
        <w:t>年年度权益分派方案为：公司以</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日总股本</w:t>
      </w:r>
      <w:r>
        <w:rPr>
          <w:rFonts w:ascii="Times New Roman" w:hAnsi="Times New Roman" w:cs="Times New Roman" w:eastAsia="Times New Roman" w:hint="default"/>
          <w:spacing w:val="-5"/>
        </w:rPr>
        <w:t>515,156,948</w:t>
      </w:r>
      <w:r>
        <w:rPr>
          <w:spacing w:val="-5"/>
        </w:rPr>
        <w:t>股为基数，每</w:t>
      </w:r>
      <w:r>
        <w:rPr>
          <w:rFonts w:ascii="Times New Roman" w:hAnsi="Times New Roman" w:cs="Times New Roman" w:eastAsia="Times New Roman" w:hint="default"/>
          <w:spacing w:val="-5"/>
        </w:rPr>
        <w:t>10</w:t>
      </w:r>
      <w:r>
        <w:rPr>
          <w:spacing w:val="-5"/>
        </w:rPr>
        <w:t>股派现金</w:t>
      </w:r>
      <w:r>
        <w:rPr>
          <w:rFonts w:ascii="Times New Roman" w:hAnsi="Times New Roman" w:cs="Times New Roman" w:eastAsia="Times New Roman" w:hint="default"/>
          <w:spacing w:val="-5"/>
        </w:rPr>
        <w:t>0.50</w:t>
      </w:r>
      <w:r>
        <w:rPr>
          <w:spacing w:val="-5"/>
        </w:rPr>
        <w:t>元（含税），</w:t>
      </w:r>
      <w:r>
        <w:rPr/>
        <w:t> 共计派现</w:t>
      </w:r>
      <w:r>
        <w:rPr>
          <w:rFonts w:ascii="Times New Roman" w:hAnsi="Times New Roman" w:cs="Times New Roman" w:eastAsia="Times New Roman" w:hint="default"/>
        </w:rPr>
        <w:t>25,757,847.40</w:t>
      </w:r>
      <w:r>
        <w:rPr/>
        <w:t>元，剩余部分结转下年分配。</w:t>
      </w:r>
    </w:p>
    <w:p>
      <w:pPr>
        <w:pStyle w:val="BodyText"/>
        <w:spacing w:line="300" w:lineRule="auto" w:before="13"/>
        <w:ind w:right="0" w:firstLine="360"/>
        <w:jc w:val="left"/>
      </w:pPr>
      <w:r>
        <w:rPr>
          <w:rFonts w:ascii="Times New Roman" w:hAnsi="Times New Roman" w:cs="Times New Roman" w:eastAsia="Times New Roman" w:hint="default"/>
          <w:spacing w:val="-5"/>
        </w:rPr>
        <w:t>2</w:t>
      </w:r>
      <w:r>
        <w:rPr>
          <w:spacing w:val="-5"/>
        </w:rPr>
        <w:t>、公司</w:t>
      </w:r>
      <w:r>
        <w:rPr>
          <w:rFonts w:ascii="Times New Roman" w:hAnsi="Times New Roman" w:cs="Times New Roman" w:eastAsia="Times New Roman" w:hint="default"/>
          <w:spacing w:val="-5"/>
        </w:rPr>
        <w:t>2016</w:t>
      </w:r>
      <w:r>
        <w:rPr>
          <w:spacing w:val="-5"/>
        </w:rPr>
        <w:t>年年度权益分派方案为：公司以</w:t>
      </w:r>
      <w:r>
        <w:rPr>
          <w:rFonts w:ascii="Times New Roman" w:hAnsi="Times New Roman" w:cs="Times New Roman" w:eastAsia="Times New Roman" w:hint="default"/>
          <w:spacing w:val="-5"/>
        </w:rPr>
        <w:t>2016</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日总股本</w:t>
      </w:r>
      <w:r>
        <w:rPr>
          <w:rFonts w:ascii="Times New Roman" w:hAnsi="Times New Roman" w:cs="Times New Roman" w:eastAsia="Times New Roman" w:hint="default"/>
          <w:spacing w:val="-5"/>
        </w:rPr>
        <w:t>519,678,668</w:t>
      </w:r>
      <w:r>
        <w:rPr>
          <w:spacing w:val="-5"/>
        </w:rPr>
        <w:t>股为基数，每</w:t>
      </w:r>
      <w:r>
        <w:rPr>
          <w:rFonts w:ascii="Times New Roman" w:hAnsi="Times New Roman" w:cs="Times New Roman" w:eastAsia="Times New Roman" w:hint="default"/>
          <w:spacing w:val="-5"/>
        </w:rPr>
        <w:t>10</w:t>
      </w:r>
      <w:r>
        <w:rPr>
          <w:spacing w:val="-5"/>
        </w:rPr>
        <w:t>股派现金</w:t>
      </w:r>
      <w:r>
        <w:rPr>
          <w:rFonts w:ascii="Times New Roman" w:hAnsi="Times New Roman" w:cs="Times New Roman" w:eastAsia="Times New Roman" w:hint="default"/>
          <w:spacing w:val="-5"/>
        </w:rPr>
        <w:t>0.50</w:t>
      </w:r>
      <w:r>
        <w:rPr>
          <w:spacing w:val="-5"/>
        </w:rPr>
        <w:t>元（含税），</w:t>
      </w:r>
      <w:r>
        <w:rPr/>
        <w:t> 共计派现</w:t>
      </w:r>
      <w:r>
        <w:rPr>
          <w:rFonts w:ascii="Times New Roman" w:hAnsi="Times New Roman" w:cs="Times New Roman" w:eastAsia="Times New Roman" w:hint="default"/>
        </w:rPr>
        <w:t>25,983,933.40</w:t>
      </w:r>
      <w:r>
        <w:rPr/>
        <w:t>元，剩余部分结转下年分配。</w:t>
      </w:r>
    </w:p>
    <w:p>
      <w:pPr>
        <w:pStyle w:val="BodyText"/>
        <w:spacing w:line="300" w:lineRule="auto" w:before="13"/>
        <w:ind w:right="151" w:firstLine="360"/>
        <w:jc w:val="both"/>
      </w:pPr>
      <w:r>
        <w:rPr>
          <w:spacing w:val="-2"/>
        </w:rPr>
        <w:t>由于公司</w:t>
      </w:r>
      <w:r>
        <w:rPr>
          <w:rFonts w:ascii="Times New Roman" w:hAnsi="Times New Roman" w:cs="Times New Roman" w:eastAsia="Times New Roman" w:hint="default"/>
          <w:spacing w:val="-2"/>
        </w:rPr>
        <w:t>2017</w:t>
      </w:r>
      <w:r>
        <w:rPr>
          <w:spacing w:val="-2"/>
        </w:rPr>
        <w:t>年度回购首期限制性股票股权激励计划中激励对象因</w:t>
      </w:r>
      <w:r>
        <w:rPr>
          <w:rFonts w:ascii="Times New Roman" w:hAnsi="Times New Roman" w:cs="Times New Roman" w:eastAsia="Times New Roman" w:hint="default"/>
          <w:spacing w:val="-2"/>
        </w:rPr>
        <w:t>2016</w:t>
      </w:r>
      <w:r>
        <w:rPr>
          <w:spacing w:val="-2"/>
        </w:rPr>
        <w:t>年度业绩考核不达标及部分原激励对象离职，对</w:t>
      </w:r>
      <w:r>
        <w:rPr/>
        <w:t> </w:t>
      </w:r>
      <w:r>
        <w:rPr>
          <w:spacing w:val="-2"/>
        </w:rPr>
        <w:t>首次授予的第三个解锁期及预留授予第二个解锁期的限制性股票予以</w:t>
      </w:r>
      <w:r>
        <w:rPr>
          <w:rFonts w:ascii="Times New Roman" w:hAnsi="Times New Roman" w:cs="Times New Roman" w:eastAsia="Times New Roman" w:hint="default"/>
          <w:spacing w:val="-2"/>
        </w:rPr>
        <w:t>2016</w:t>
      </w:r>
      <w:r>
        <w:rPr>
          <w:spacing w:val="-2"/>
        </w:rPr>
        <w:t>年度分配的股利冲回，因此</w:t>
      </w:r>
      <w:r>
        <w:rPr>
          <w:rFonts w:ascii="Times New Roman" w:hAnsi="Times New Roman" w:cs="Times New Roman" w:eastAsia="Times New Roman" w:hint="default"/>
          <w:spacing w:val="-2"/>
        </w:rPr>
        <w:t>2016</w:t>
      </w:r>
      <w:r>
        <w:rPr>
          <w:spacing w:val="-2"/>
        </w:rPr>
        <w:t>年度实际分红金额</w:t>
      </w:r>
      <w:r>
        <w:rPr>
          <w:spacing w:val="-59"/>
        </w:rPr>
        <w:t> </w:t>
      </w:r>
      <w:r>
        <w:rPr>
          <w:spacing w:val="-59"/>
        </w:rPr>
      </w:r>
      <w:r>
        <w:rPr/>
        <w:t>调整为</w:t>
      </w:r>
      <w:r>
        <w:rPr>
          <w:rFonts w:ascii="Times New Roman" w:hAnsi="Times New Roman" w:cs="Times New Roman" w:eastAsia="Times New Roman" w:hint="default"/>
        </w:rPr>
        <w:t>25,757,847.40</w:t>
      </w:r>
      <w:r>
        <w:rPr/>
        <w:t>元。</w:t>
      </w:r>
    </w:p>
    <w:p>
      <w:pPr>
        <w:pStyle w:val="BodyText"/>
        <w:spacing w:line="300" w:lineRule="auto" w:before="13"/>
        <w:ind w:right="0" w:firstLine="360"/>
        <w:jc w:val="left"/>
      </w:pPr>
      <w:r>
        <w:rPr>
          <w:rFonts w:ascii="Times New Roman" w:hAnsi="Times New Roman" w:cs="Times New Roman" w:eastAsia="Times New Roman" w:hint="default"/>
          <w:spacing w:val="-5"/>
        </w:rPr>
        <w:t>3</w:t>
      </w:r>
      <w:r>
        <w:rPr>
          <w:spacing w:val="-5"/>
        </w:rPr>
        <w:t>、公司</w:t>
      </w:r>
      <w:r>
        <w:rPr>
          <w:rFonts w:ascii="Times New Roman" w:hAnsi="Times New Roman" w:cs="Times New Roman" w:eastAsia="Times New Roman" w:hint="default"/>
          <w:spacing w:val="-5"/>
        </w:rPr>
        <w:t>2015</w:t>
      </w:r>
      <w:r>
        <w:rPr>
          <w:spacing w:val="-5"/>
        </w:rPr>
        <w:t>年年度权益分派方案为：公司以</w:t>
      </w:r>
      <w:r>
        <w:rPr>
          <w:rFonts w:ascii="Times New Roman" w:hAnsi="Times New Roman" w:cs="Times New Roman" w:eastAsia="Times New Roman" w:hint="default"/>
          <w:spacing w:val="-5"/>
        </w:rPr>
        <w:t>2015</w:t>
      </w:r>
      <w:r>
        <w:rPr>
          <w:spacing w:val="-5"/>
        </w:rPr>
        <w:t>年</w:t>
      </w:r>
      <w:r>
        <w:rPr>
          <w:rFonts w:ascii="Times New Roman" w:hAnsi="Times New Roman" w:cs="Times New Roman" w:eastAsia="Times New Roman" w:hint="default"/>
          <w:spacing w:val="-5"/>
        </w:rPr>
        <w:t>12</w:t>
      </w:r>
      <w:r>
        <w:rPr>
          <w:spacing w:val="-5"/>
        </w:rPr>
        <w:t>月</w:t>
      </w:r>
      <w:r>
        <w:rPr>
          <w:rFonts w:ascii="Times New Roman" w:hAnsi="Times New Roman" w:cs="Times New Roman" w:eastAsia="Times New Roman" w:hint="default"/>
          <w:spacing w:val="-5"/>
        </w:rPr>
        <w:t>31</w:t>
      </w:r>
      <w:r>
        <w:rPr>
          <w:spacing w:val="-5"/>
        </w:rPr>
        <w:t>日总股本</w:t>
      </w:r>
      <w:r>
        <w:rPr>
          <w:rFonts w:ascii="Times New Roman" w:hAnsi="Times New Roman" w:cs="Times New Roman" w:eastAsia="Times New Roman" w:hint="default"/>
          <w:spacing w:val="-5"/>
        </w:rPr>
        <w:t>426,036,752</w:t>
      </w:r>
      <w:r>
        <w:rPr>
          <w:spacing w:val="-5"/>
        </w:rPr>
        <w:t>股为基数，每</w:t>
      </w:r>
      <w:r>
        <w:rPr>
          <w:rFonts w:ascii="Times New Roman" w:hAnsi="Times New Roman" w:cs="Times New Roman" w:eastAsia="Times New Roman" w:hint="default"/>
          <w:spacing w:val="-5"/>
        </w:rPr>
        <w:t>10</w:t>
      </w:r>
      <w:r>
        <w:rPr>
          <w:spacing w:val="-5"/>
        </w:rPr>
        <w:t>股派现金</w:t>
      </w:r>
      <w:r>
        <w:rPr>
          <w:rFonts w:ascii="Times New Roman" w:hAnsi="Times New Roman" w:cs="Times New Roman" w:eastAsia="Times New Roman" w:hint="default"/>
          <w:spacing w:val="-5"/>
        </w:rPr>
        <w:t>0.60</w:t>
      </w:r>
      <w:r>
        <w:rPr>
          <w:spacing w:val="-5"/>
        </w:rPr>
        <w:t>元（含税），</w:t>
      </w:r>
      <w:r>
        <w:rPr/>
        <w:t> 共计派现</w:t>
      </w:r>
      <w:r>
        <w:rPr>
          <w:rFonts w:ascii="Times New Roman" w:hAnsi="Times New Roman" w:cs="Times New Roman" w:eastAsia="Times New Roman" w:hint="default"/>
        </w:rPr>
        <w:t>25,562,205.12</w:t>
      </w:r>
      <w:r>
        <w:rPr/>
        <w:t>元，剩余部分结转下年分配。</w:t>
      </w:r>
    </w:p>
    <w:p>
      <w:pPr>
        <w:pStyle w:val="BodyText"/>
        <w:spacing w:line="300" w:lineRule="auto" w:before="13"/>
        <w:ind w:right="0" w:firstLine="360"/>
        <w:jc w:val="left"/>
      </w:pPr>
      <w:r>
        <w:rPr/>
        <w:t>由于公司</w:t>
      </w:r>
      <w:r>
        <w:rPr>
          <w:rFonts w:ascii="Times New Roman" w:hAnsi="Times New Roman" w:cs="Times New Roman" w:eastAsia="Times New Roman" w:hint="default"/>
        </w:rPr>
        <w:t>2016</w:t>
      </w:r>
      <w:r>
        <w:rPr/>
        <w:t>年度回购首期限制性股票股权激励计划中激励对象因离职及死亡已不符合激励条件的原激励对象已获授 </w:t>
      </w:r>
      <w:r>
        <w:rPr>
          <w:spacing w:val="-2"/>
        </w:rPr>
        <w:t>但尚未解锁的限制性股票，以及因</w:t>
      </w:r>
      <w:r>
        <w:rPr>
          <w:rFonts w:ascii="Times New Roman" w:hAnsi="Times New Roman" w:cs="Times New Roman" w:eastAsia="Times New Roman" w:hint="default"/>
          <w:spacing w:val="-2"/>
        </w:rPr>
        <w:t>2016</w:t>
      </w:r>
      <w:r>
        <w:rPr>
          <w:spacing w:val="-2"/>
        </w:rPr>
        <w:t>年度业绩不达标，首次授予的第三个解锁期及预留授予第二个解锁期的限制性股票予</w:t>
      </w:r>
      <w:r>
        <w:rPr>
          <w:spacing w:val="-61"/>
        </w:rPr>
        <w:t> </w:t>
      </w:r>
      <w:r>
        <w:rPr>
          <w:spacing w:val="-61"/>
        </w:rPr>
      </w:r>
      <w:r>
        <w:rPr/>
        <w:t>以前年度分配的股利冲回，因此</w:t>
      </w:r>
      <w:r>
        <w:rPr>
          <w:rFonts w:ascii="Times New Roman" w:hAnsi="Times New Roman" w:cs="Times New Roman" w:eastAsia="Times New Roman" w:hint="default"/>
        </w:rPr>
        <w:t>2015</w:t>
      </w:r>
      <w:r>
        <w:rPr/>
        <w:t>年度实际分红金额调整为</w:t>
      </w:r>
      <w:r>
        <w:rPr>
          <w:rFonts w:ascii="Times New Roman" w:hAnsi="Times New Roman" w:cs="Times New Roman" w:eastAsia="Times New Roman" w:hint="default"/>
        </w:rPr>
        <w:t>25,112,725.92</w:t>
      </w:r>
      <w:r>
        <w:rPr/>
        <w:t>元。</w:t>
      </w:r>
    </w:p>
    <w:p>
      <w:pPr>
        <w:pStyle w:val="BodyText"/>
        <w:spacing w:line="240" w:lineRule="auto" w:before="53"/>
        <w:ind w:left="513" w:right="0"/>
        <w:jc w:val="left"/>
      </w:pPr>
      <w:r>
        <w:rPr/>
        <w:t>公司近三年（包括本报告期）普通股现金分红情况表</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1"/>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1" w:right="72"/>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431"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612" w:right="70"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6"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25,757,847.40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43,095,599.68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59.77%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25,757,847.40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54,395,643.64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25,112,725.92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81,593,007.59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0"/>
        <w:jc w:val="left"/>
      </w:pPr>
      <w:r>
        <w:rPr/>
        <w:t>公司报告期内盈利且母公司可供普通股股东分配利润为正但未提出普通股现金红利分配预案</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44"/>
        <w:ind w:left="0" w:right="156"/>
        <w:jc w:val="right"/>
      </w:pPr>
      <w:r>
        <w:rPr/>
        <w:pict>
          <v:shape style="position:absolute;margin-left:56.400002pt;margin-top:-248.548279pt;width:479.3pt;height:284.1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85"/>
                    <w:gridCol w:w="5786"/>
                  </w:tblGrid>
                  <w:tr>
                    <w:trPr>
                      <w:trHeight w:val="403"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0.50</w:t>
                        </w:r>
                      </w:p>
                    </w:tc>
                  </w:tr>
                  <w:tr>
                    <w:trPr>
                      <w:trHeight w:val="402"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515,156,948.00</w:t>
                        </w:r>
                      </w:p>
                    </w:tc>
                  </w:tr>
                  <w:tr>
                    <w:trPr>
                      <w:trHeight w:val="402"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25,757,847.40</w:t>
                        </w:r>
                      </w:p>
                    </w:tc>
                  </w:tr>
                  <w:tr>
                    <w:trPr>
                      <w:trHeight w:val="402"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160,470,858.53</w:t>
                        </w:r>
                      </w:p>
                    </w:tc>
                  </w:tr>
                  <w:tr>
                    <w:trPr>
                      <w:trHeight w:val="402" w:hRule="exact"/>
                    </w:trPr>
                    <w:tc>
                      <w:tcPr>
                        <w:tcW w:w="3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78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715"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公司发展阶段属成长期且有重大资金支出安排的，进行利润分配时，现金分红在本次利润分配中所占比例最低应达到</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39"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4" w:right="0"/>
                          <w:jc w:val="left"/>
                          <w:rPr>
                            <w:rFonts w:ascii="宋体" w:hAnsi="宋体" w:cs="宋体" w:eastAsia="宋体" w:hint="default"/>
                            <w:sz w:val="18"/>
                            <w:szCs w:val="18"/>
                          </w:rPr>
                        </w:pPr>
                        <w:r>
                          <w:rPr>
                            <w:rFonts w:ascii="宋体" w:hAnsi="宋体" w:cs="宋体" w:eastAsia="宋体" w:hint="default"/>
                            <w:sz w:val="18"/>
                            <w:szCs w:val="18"/>
                          </w:rPr>
                          <w:t>经中勤万信会计师事务所（特殊普通合伙）审计，公司（母公司）</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年度实现净利润 </w:t>
                        </w:r>
                        <w:r>
                          <w:rPr>
                            <w:rFonts w:ascii="Times New Roman" w:hAnsi="Times New Roman" w:cs="Times New Roman" w:eastAsia="Times New Roman" w:hint="default"/>
                            <w:sz w:val="18"/>
                            <w:szCs w:val="18"/>
                          </w:rPr>
                          <w:t>62,567,239.94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元，按净利润</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6,256,723.99</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元，加上年初未分配利润总额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129,918,189.98</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元，减去年度已分配利润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25,757,847.40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pacing w:val="-4"/>
                            <w:sz w:val="18"/>
                            <w:szCs w:val="18"/>
                          </w:rPr>
                          <w:t>元，本年度公司可供股东分配利润为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160,470,858.53</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元。公司本年度拟以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515,156,948.00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为基数</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r>
                          <w:rPr>
                            <w:rFonts w:ascii="宋体" w:hAnsi="宋体" w:cs="宋体" w:eastAsia="宋体" w:hint="default"/>
                            <w:spacing w:val="-3"/>
                            <w:sz w:val="18"/>
                            <w:szCs w:val="18"/>
                          </w:rPr>
                          <w:t>现</w:t>
                        </w:r>
                        <w:r>
                          <w:rPr>
                            <w:rFonts w:ascii="宋体" w:hAnsi="宋体" w:cs="宋体" w:eastAsia="宋体" w:hint="default"/>
                            <w:sz w:val="18"/>
                            <w:szCs w:val="18"/>
                          </w:rPr>
                          <w:t>金</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，剩余部分结转下年分配。</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9"/>
        <w:ind w:right="0"/>
        <w:jc w:val="left"/>
        <w:rPr>
          <w:b w:val="0"/>
          <w:bCs w:val="0"/>
        </w:rPr>
      </w:pP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59" w:lineRule="auto"/>
        <w:ind w:right="0"/>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4"/>
        </w:rPr>
        <w:t> </w:t>
      </w:r>
      <w:r>
        <w:rPr>
          <w:spacing w:val="-64"/>
        </w:rPr>
      </w:r>
      <w:r>
        <w:rPr/>
        <w:t>尚未履行完毕的承诺事项</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826"/>
        <w:gridCol w:w="1591"/>
        <w:gridCol w:w="648"/>
        <w:gridCol w:w="2953"/>
        <w:gridCol w:w="456"/>
        <w:gridCol w:w="583"/>
        <w:gridCol w:w="488"/>
      </w:tblGrid>
      <w:tr>
        <w:trPr>
          <w:trHeight w:val="161" w:hRule="exact"/>
        </w:trPr>
        <w:tc>
          <w:tcPr>
            <w:tcW w:w="28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1" w:type="dxa"/>
            <w:tcBorders>
              <w:top w:val="single" w:sz="4" w:space="0" w:color="000000"/>
              <w:left w:val="single" w:sz="4" w:space="0" w:color="000000"/>
              <w:bottom w:val="nil" w:sz="6" w:space="0" w:color="auto"/>
              <w:right w:val="single" w:sz="4" w:space="0" w:color="000000"/>
            </w:tcBorders>
            <w:shd w:val="clear" w:color="auto" w:fill="D2D2D2"/>
          </w:tcPr>
          <w:p>
            <w:pPr/>
          </w:p>
        </w:tc>
        <w:tc>
          <w:tcPr>
            <w:tcW w:w="64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8" w:right="48"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2953" w:type="dxa"/>
            <w:tcBorders>
              <w:top w:val="single" w:sz="4" w:space="0" w:color="000000"/>
              <w:left w:val="single" w:sz="4" w:space="0" w:color="000000"/>
              <w:bottom w:val="nil" w:sz="6" w:space="0" w:color="auto"/>
              <w:right w:val="single" w:sz="4" w:space="0" w:color="000000"/>
            </w:tcBorders>
            <w:shd w:val="clear" w:color="auto" w:fill="D2D2D2"/>
          </w:tcPr>
          <w:p>
            <w:pPr/>
          </w:p>
        </w:tc>
        <w:tc>
          <w:tcPr>
            <w:tcW w:w="4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5" w:right="48"/>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8" w:right="103"/>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4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4" w:right="53"/>
              <w:jc w:val="left"/>
              <w:rPr>
                <w:rFonts w:ascii="宋体" w:hAnsi="宋体" w:cs="宋体" w:eastAsia="宋体" w:hint="default"/>
                <w:sz w:val="18"/>
                <w:szCs w:val="18"/>
              </w:rPr>
            </w:pPr>
            <w:r>
              <w:rPr>
                <w:rFonts w:ascii="宋体" w:hAnsi="宋体" w:cs="宋体" w:eastAsia="宋体" w:hint="default"/>
                <w:sz w:val="18"/>
                <w:szCs w:val="18"/>
              </w:rPr>
              <w:t>履行 情况</w:t>
            </w:r>
          </w:p>
        </w:tc>
      </w:tr>
      <w:tr>
        <w:trPr>
          <w:trHeight w:val="394" w:hRule="exact"/>
        </w:trPr>
        <w:tc>
          <w:tcPr>
            <w:tcW w:w="28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59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15"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648" w:type="dxa"/>
            <w:vMerge/>
            <w:tcBorders>
              <w:left w:val="single" w:sz="4" w:space="0" w:color="000000"/>
              <w:right w:val="single" w:sz="4" w:space="0" w:color="000000"/>
            </w:tcBorders>
            <w:shd w:val="clear" w:color="auto" w:fill="D2D2D2"/>
          </w:tcPr>
          <w:p>
            <w:pPr/>
          </w:p>
        </w:tc>
        <w:tc>
          <w:tcPr>
            <w:tcW w:w="29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456" w:type="dxa"/>
            <w:vMerge/>
            <w:tcBorders>
              <w:left w:val="single" w:sz="4" w:space="0" w:color="000000"/>
              <w:right w:val="single" w:sz="4" w:space="0" w:color="000000"/>
            </w:tcBorders>
            <w:shd w:val="clear" w:color="auto" w:fill="D2D2D2"/>
          </w:tcPr>
          <w:p>
            <w:pPr/>
          </w:p>
        </w:tc>
        <w:tc>
          <w:tcPr>
            <w:tcW w:w="583" w:type="dxa"/>
            <w:vMerge/>
            <w:tcBorders>
              <w:left w:val="single" w:sz="4" w:space="0" w:color="000000"/>
              <w:right w:val="single" w:sz="4" w:space="0" w:color="000000"/>
            </w:tcBorders>
            <w:shd w:val="clear" w:color="auto" w:fill="D2D2D2"/>
          </w:tcPr>
          <w:p>
            <w:pPr/>
          </w:p>
        </w:tc>
        <w:tc>
          <w:tcPr>
            <w:tcW w:w="488" w:type="dxa"/>
            <w:vMerge/>
            <w:tcBorders>
              <w:left w:val="single" w:sz="4" w:space="0" w:color="000000"/>
              <w:right w:val="single" w:sz="4" w:space="0" w:color="000000"/>
            </w:tcBorders>
            <w:shd w:val="clear" w:color="auto" w:fill="D2D2D2"/>
          </w:tcPr>
          <w:p>
            <w:pPr/>
          </w:p>
        </w:tc>
      </w:tr>
      <w:tr>
        <w:trPr>
          <w:trHeight w:val="161" w:hRule="exact"/>
        </w:trPr>
        <w:tc>
          <w:tcPr>
            <w:tcW w:w="28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48" w:type="dxa"/>
            <w:vMerge/>
            <w:tcBorders>
              <w:left w:val="single" w:sz="4" w:space="0" w:color="000000"/>
              <w:bottom w:val="single" w:sz="4" w:space="0" w:color="000000"/>
              <w:right w:val="single" w:sz="4" w:space="0" w:color="000000"/>
            </w:tcBorders>
            <w:shd w:val="clear" w:color="auto" w:fill="D2D2D2"/>
          </w:tcPr>
          <w:p>
            <w:pPr/>
          </w:p>
        </w:tc>
        <w:tc>
          <w:tcPr>
            <w:tcW w:w="2953" w:type="dxa"/>
            <w:tcBorders>
              <w:top w:val="nil" w:sz="6" w:space="0" w:color="auto"/>
              <w:left w:val="single" w:sz="4" w:space="0" w:color="000000"/>
              <w:bottom w:val="single" w:sz="4" w:space="0" w:color="000000"/>
              <w:right w:val="single" w:sz="4" w:space="0" w:color="000000"/>
            </w:tcBorders>
            <w:shd w:val="clear" w:color="auto" w:fill="D2D2D2"/>
          </w:tcPr>
          <w:p>
            <w:pPr/>
          </w:p>
        </w:tc>
        <w:tc>
          <w:tcPr>
            <w:tcW w:w="45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48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591" w:type="dxa"/>
            <w:tcBorders>
              <w:top w:val="single" w:sz="4" w:space="0" w:color="000000"/>
              <w:left w:val="single" w:sz="13" w:space="0" w:color="D2D2D2"/>
              <w:bottom w:val="single" w:sz="4" w:space="0" w:color="000000"/>
              <w:right w:val="single" w:sz="4" w:space="0" w:color="000000"/>
            </w:tcBorders>
          </w:tcPr>
          <w:p>
            <w:pPr/>
          </w:p>
        </w:tc>
        <w:tc>
          <w:tcPr>
            <w:tcW w:w="648" w:type="dxa"/>
            <w:tcBorders>
              <w:top w:val="single" w:sz="4" w:space="0" w:color="000000"/>
              <w:left w:val="single" w:sz="4" w:space="0" w:color="000000"/>
              <w:bottom w:val="single" w:sz="4" w:space="0" w:color="000000"/>
              <w:right w:val="single" w:sz="4" w:space="0" w:color="000000"/>
            </w:tcBorders>
          </w:tcPr>
          <w:p>
            <w:pPr/>
          </w:p>
        </w:tc>
        <w:tc>
          <w:tcPr>
            <w:tcW w:w="2953" w:type="dxa"/>
            <w:tcBorders>
              <w:top w:val="single" w:sz="4" w:space="0" w:color="000000"/>
              <w:left w:val="single" w:sz="4" w:space="0" w:color="000000"/>
              <w:bottom w:val="single" w:sz="4" w:space="0" w:color="000000"/>
              <w:right w:val="single" w:sz="4" w:space="0" w:color="000000"/>
            </w:tcBorders>
          </w:tcPr>
          <w:p>
            <w:pPr/>
          </w:p>
        </w:tc>
        <w:tc>
          <w:tcPr>
            <w:tcW w:w="45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457.899994pt;margin-top:311.689972pt;width:22.8pt;height:117pt;mso-position-horizontal-relative:page;mso-position-vertical-relative:page;z-index:-1152736" coordorigin="9158,6234" coordsize="456,2340">
            <v:shape style="position:absolute;left:9158;top:6234;width:456;height:2340" coordorigin="9158,6234" coordsize="456,2340" path="m9158,8574l9614,8574,9614,6234,9158,6234,9158,8574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579"/>
        <w:gridCol w:w="672"/>
        <w:gridCol w:w="2929"/>
        <w:gridCol w:w="468"/>
        <w:gridCol w:w="583"/>
        <w:gridCol w:w="499"/>
      </w:tblGrid>
      <w:tr>
        <w:trPr>
          <w:trHeight w:val="71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57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292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57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292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6017" w:hRule="exact"/>
        </w:trPr>
        <w:tc>
          <w:tcPr>
            <w:tcW w:w="28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23" w:right="103"/>
              <w:jc w:val="left"/>
              <w:rPr>
                <w:rFonts w:ascii="宋体" w:hAnsi="宋体" w:cs="宋体" w:eastAsia="宋体" w:hint="default"/>
                <w:sz w:val="18"/>
                <w:szCs w:val="18"/>
              </w:rPr>
            </w:pPr>
            <w:r>
              <w:rPr>
                <w:rFonts w:ascii="宋体" w:hAnsi="宋体" w:cs="宋体" w:eastAsia="宋体" w:hint="default"/>
                <w:sz w:val="18"/>
                <w:szCs w:val="18"/>
              </w:rPr>
              <w:t>曾胜强、许忠桂、 曾胜辉</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24" w:right="96"/>
              <w:jc w:val="left"/>
              <w:rPr>
                <w:rFonts w:ascii="宋体" w:hAnsi="宋体" w:cs="宋体" w:eastAsia="宋体" w:hint="default"/>
                <w:sz w:val="18"/>
                <w:szCs w:val="18"/>
              </w:rPr>
            </w:pPr>
            <w:r>
              <w:rPr>
                <w:rFonts w:ascii="宋体" w:hAnsi="宋体" w:cs="宋体" w:eastAsia="宋体" w:hint="default"/>
                <w:sz w:val="18"/>
                <w:szCs w:val="18"/>
              </w:rPr>
              <w:t>同业竞 争承诺</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3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、关于避免同业竞争承诺：本人不 直接或间接从事与股份公司相同或 相似的业务；在本人作为股份公司主 要股东的事实改变之前，本人将不会 直接或间接地以任何方式（包括但不 限于独自经营，合资经营和拥有在其 他公司或企业的股票或权益）从事与 股份公司的业务有竞争或可能构成 竞争的业务或活动；如因未履行避免 同业竞争的承诺而给公司造成损失， 本人将对公司遭受的损失作出赔偿。 </w:t>
            </w:r>
            <w:r>
              <w:rPr>
                <w:rFonts w:ascii="Times New Roman" w:hAnsi="Times New Roman" w:cs="Times New Roman" w:eastAsia="Times New Roman" w:hint="default"/>
                <w:sz w:val="18"/>
                <w:szCs w:val="18"/>
              </w:rPr>
              <w:t>2</w:t>
            </w:r>
            <w:r>
              <w:rPr>
                <w:rFonts w:ascii="宋体" w:hAnsi="宋体" w:cs="宋体" w:eastAsia="宋体" w:hint="default"/>
                <w:sz w:val="18"/>
                <w:szCs w:val="18"/>
              </w:rPr>
              <w:t>、关于补缴所得税优惠的承诺</w:t>
            </w:r>
            <w:r>
              <w:rPr>
                <w:rFonts w:ascii="Times New Roman" w:hAnsi="Times New Roman" w:cs="Times New Roman" w:eastAsia="Times New Roman" w:hint="default"/>
                <w:sz w:val="18"/>
                <w:szCs w:val="18"/>
              </w:rPr>
              <w:t>:</w:t>
            </w:r>
            <w:r>
              <w:rPr>
                <w:rFonts w:ascii="宋体" w:hAnsi="宋体" w:cs="宋体" w:eastAsia="宋体" w:hint="default"/>
                <w:sz w:val="18"/>
                <w:szCs w:val="18"/>
              </w:rPr>
              <w:t>公司 发行前持股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以上的主要股东曾胜 强、许忠桂和曾胜辉承诺：若因税收 主管部门对证通电子上市前享受的 企业所得税减免税款进行追缴，本人 作为证通电子的股东，将以现金方式 及时、无条件、全额承担应补交的税 款及</w:t>
            </w:r>
            <w:r>
              <w:rPr>
                <w:rFonts w:ascii="Times New Roman" w:hAnsi="Times New Roman" w:cs="Times New Roman" w:eastAsia="Times New Roman" w:hint="default"/>
                <w:sz w:val="18"/>
                <w:szCs w:val="18"/>
              </w:rPr>
              <w:t>/</w:t>
            </w:r>
            <w:r>
              <w:rPr>
                <w:rFonts w:ascii="宋体" w:hAnsi="宋体" w:cs="宋体" w:eastAsia="宋体" w:hint="default"/>
                <w:sz w:val="18"/>
                <w:szCs w:val="18"/>
              </w:rPr>
              <w:t>或因此所产生的所有相关费用。</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9" w:lineRule="auto"/>
              <w:ind w:left="24" w:right="187"/>
              <w:jc w:val="left"/>
              <w:rPr>
                <w:rFonts w:ascii="宋体" w:hAnsi="宋体" w:cs="宋体" w:eastAsia="宋体" w:hint="default"/>
                <w:sz w:val="18"/>
                <w:szCs w:val="18"/>
              </w:rPr>
            </w:pPr>
            <w:r>
              <w:rPr>
                <w:rFonts w:ascii="宋体" w:hAnsi="宋体" w:cs="宋体" w:eastAsia="宋体" w:hint="default"/>
                <w:sz w:val="18"/>
                <w:szCs w:val="18"/>
              </w:rPr>
              <w:t>长期 有效</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9" w:lineRule="auto"/>
              <w:ind w:left="24" w:right="103"/>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2276" w:hRule="exact"/>
        </w:trPr>
        <w:tc>
          <w:tcPr>
            <w:tcW w:w="2837" w:type="dxa"/>
            <w:vMerge/>
            <w:tcBorders>
              <w:left w:val="single" w:sz="4" w:space="0" w:color="000000"/>
              <w:right w:val="single" w:sz="4" w:space="0" w:color="000000"/>
            </w:tcBorders>
            <w:shd w:val="clear" w:color="auto" w:fill="D2D2D2"/>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4" w:lineRule="auto"/>
              <w:ind w:left="24" w:right="96"/>
              <w:jc w:val="left"/>
              <w:rPr>
                <w:rFonts w:ascii="宋体" w:hAnsi="宋体" w:cs="宋体" w:eastAsia="宋体" w:hint="default"/>
                <w:sz w:val="18"/>
                <w:szCs w:val="18"/>
              </w:rPr>
            </w:pPr>
            <w:r>
              <w:rPr>
                <w:rFonts w:ascii="宋体" w:hAnsi="宋体" w:cs="宋体" w:eastAsia="宋体" w:hint="default"/>
                <w:sz w:val="18"/>
                <w:szCs w:val="18"/>
              </w:rPr>
              <w:t>股份减 持承诺</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13"/>
              <w:jc w:val="left"/>
              <w:rPr>
                <w:rFonts w:ascii="宋体" w:hAnsi="宋体" w:cs="宋体" w:eastAsia="宋体" w:hint="default"/>
                <w:sz w:val="18"/>
                <w:szCs w:val="18"/>
              </w:rPr>
            </w:pPr>
            <w:r>
              <w:rPr>
                <w:rFonts w:ascii="宋体" w:hAnsi="宋体" w:cs="宋体" w:eastAsia="宋体" w:hint="default"/>
                <w:sz w:val="18"/>
                <w:szCs w:val="18"/>
              </w:rPr>
              <w:t>公司股东曾胜强作为公司董事承诺， 在上述承诺的限售期届满后，其所持 本公司股份在其任职期间内每年转 让的比例不超过其所持本公司股份 总数的</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，在离职后半年内不转让 所持本公司的股份。</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2007</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7"/>
              <w:jc w:val="both"/>
              <w:rPr>
                <w:rFonts w:ascii="宋体" w:hAnsi="宋体" w:cs="宋体" w:eastAsia="宋体" w:hint="default"/>
                <w:sz w:val="18"/>
                <w:szCs w:val="18"/>
              </w:rPr>
            </w:pPr>
            <w:r>
              <w:rPr>
                <w:rFonts w:ascii="宋体" w:hAnsi="宋体" w:cs="宋体" w:eastAsia="宋体" w:hint="default"/>
                <w:sz w:val="18"/>
                <w:szCs w:val="18"/>
              </w:rPr>
              <w:t>董事 在职 及离 职后 半年 内有 效</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103"/>
              <w:jc w:val="both"/>
              <w:rPr>
                <w:rFonts w:ascii="宋体" w:hAnsi="宋体" w:cs="宋体" w:eastAsia="宋体" w:hint="default"/>
                <w:sz w:val="18"/>
                <w:szCs w:val="18"/>
              </w:rPr>
            </w:pPr>
            <w:r>
              <w:rPr>
                <w:rFonts w:ascii="宋体" w:hAnsi="宋体" w:cs="宋体" w:eastAsia="宋体" w:hint="default"/>
                <w:sz w:val="18"/>
                <w:szCs w:val="18"/>
              </w:rPr>
              <w:t>严格 履行 中</w:t>
            </w:r>
          </w:p>
        </w:tc>
      </w:tr>
      <w:tr>
        <w:trPr>
          <w:trHeight w:val="3833" w:hRule="exact"/>
        </w:trPr>
        <w:tc>
          <w:tcPr>
            <w:tcW w:w="2837" w:type="dxa"/>
            <w:vMerge/>
            <w:tcBorders>
              <w:left w:val="single" w:sz="4" w:space="0" w:color="000000"/>
              <w:right w:val="single" w:sz="4" w:space="0" w:color="000000"/>
            </w:tcBorders>
            <w:shd w:val="clear" w:color="auto" w:fill="D2D2D2"/>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深圳市和星信息投 资管理中深圳市和 星信息投资管理中 </w:t>
            </w:r>
            <w:r>
              <w:rPr>
                <w:rFonts w:ascii="宋体" w:hAnsi="宋体" w:cs="宋体" w:eastAsia="宋体" w:hint="default"/>
                <w:spacing w:val="-11"/>
                <w:sz w:val="18"/>
                <w:szCs w:val="18"/>
              </w:rPr>
              <w:t>心（有限合伙）；东</w:t>
            </w:r>
            <w:r>
              <w:rPr>
                <w:rFonts w:ascii="宋体" w:hAnsi="宋体" w:cs="宋体" w:eastAsia="宋体" w:hint="default"/>
                <w:sz w:val="18"/>
                <w:szCs w:val="18"/>
              </w:rPr>
              <w:t> 海基金管理有限责 任公司；财通基金 管理有限公司；申 万菱信（上海）资 产管理有限公司； 西藏泓涵股权投资 管理有限公司</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60"/>
              <w:ind w:left="24" w:right="96"/>
              <w:jc w:val="left"/>
              <w:rPr>
                <w:rFonts w:ascii="宋体" w:hAnsi="宋体" w:cs="宋体" w:eastAsia="宋体" w:hint="default"/>
                <w:sz w:val="18"/>
                <w:szCs w:val="18"/>
              </w:rPr>
            </w:pPr>
            <w:r>
              <w:rPr>
                <w:rFonts w:ascii="宋体" w:hAnsi="宋体" w:cs="宋体" w:eastAsia="宋体" w:hint="default"/>
                <w:sz w:val="18"/>
                <w:szCs w:val="18"/>
              </w:rPr>
              <w:t>不减持 承诺</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经中国证监会核准，公司于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w:t>
            </w:r>
          </w:p>
          <w:p>
            <w:pPr>
              <w:pStyle w:val="TableParagraph"/>
              <w:spacing w:line="309" w:lineRule="auto" w:before="63"/>
              <w:ind w:left="23" w:right="20"/>
              <w:jc w:val="left"/>
              <w:rPr>
                <w:rFonts w:ascii="宋体" w:hAnsi="宋体" w:cs="宋体" w:eastAsia="宋体" w:hint="default"/>
                <w:sz w:val="18"/>
                <w:szCs w:val="18"/>
              </w:rPr>
            </w:pPr>
            <w:r>
              <w:rPr>
                <w:rFonts w:ascii="宋体" w:hAnsi="宋体" w:cs="宋体" w:eastAsia="宋体" w:hint="default"/>
                <w:sz w:val="18"/>
                <w:szCs w:val="18"/>
              </w:rPr>
              <w:t>月实施了</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年度非公开发行股票 方案。本次非公开发行的发行对象承 诺：自公司本次非公开发行的股票上 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个月内，不转让本公司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本人所认购的上述股份。</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49"/>
              <w:ind w:left="24" w:right="186"/>
              <w:jc w:val="left"/>
              <w:rPr>
                <w:rFonts w:ascii="Times New Roman" w:hAnsi="Times New Roman" w:cs="Times New Roman" w:eastAsia="Times New Roman" w:hint="default"/>
                <w:sz w:val="18"/>
                <w:szCs w:val="18"/>
              </w:rPr>
            </w:pPr>
            <w:r>
              <w:rPr>
                <w:rFonts w:ascii="宋体" w:hAnsi="宋体" w:cs="宋体" w:eastAsia="宋体" w:hint="default"/>
                <w:sz w:val="18"/>
                <w:szCs w:val="18"/>
              </w:rPr>
              <w:t>自公 司 </w:t>
            </w:r>
            <w:r>
              <w:rPr>
                <w:rFonts w:ascii="Times New Roman" w:hAnsi="Times New Roman" w:cs="Times New Roman" w:eastAsia="Times New Roman" w:hint="default"/>
                <w:sz w:val="18"/>
                <w:szCs w:val="18"/>
              </w:rPr>
              <w:t>2015</w:t>
            </w:r>
          </w:p>
          <w:p>
            <w:pPr>
              <w:pStyle w:val="TableParagraph"/>
              <w:spacing w:line="217" w:lineRule="exact"/>
              <w:ind w:left="24" w:right="0"/>
              <w:jc w:val="left"/>
              <w:rPr>
                <w:rFonts w:ascii="宋体" w:hAnsi="宋体" w:cs="宋体" w:eastAsia="宋体" w:hint="default"/>
                <w:sz w:val="18"/>
                <w:szCs w:val="18"/>
              </w:rPr>
            </w:pPr>
            <w:r>
              <w:rPr>
                <w:rFonts w:ascii="宋体" w:hAnsi="宋体" w:cs="宋体" w:eastAsia="宋体" w:hint="default"/>
                <w:sz w:val="18"/>
                <w:szCs w:val="18"/>
              </w:rPr>
              <w:t>年度</w:t>
            </w:r>
          </w:p>
          <w:p>
            <w:pPr>
              <w:pStyle w:val="TableParagraph"/>
              <w:spacing w:line="314" w:lineRule="auto" w:before="76"/>
              <w:ind w:left="24" w:right="139"/>
              <w:jc w:val="both"/>
              <w:rPr>
                <w:rFonts w:ascii="宋体" w:hAnsi="宋体" w:cs="宋体" w:eastAsia="宋体" w:hint="default"/>
                <w:sz w:val="18"/>
                <w:szCs w:val="18"/>
              </w:rPr>
            </w:pPr>
            <w:r>
              <w:rPr>
                <w:rFonts w:ascii="宋体" w:hAnsi="宋体" w:cs="宋体" w:eastAsia="宋体" w:hint="default"/>
                <w:sz w:val="18"/>
                <w:szCs w:val="18"/>
              </w:rPr>
              <w:t>非公 开发 行股 票上 市之 日起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月内</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4" w:right="103"/>
              <w:jc w:val="both"/>
              <w:rPr>
                <w:rFonts w:ascii="宋体" w:hAnsi="宋体" w:cs="宋体" w:eastAsia="宋体" w:hint="default"/>
                <w:sz w:val="18"/>
                <w:szCs w:val="18"/>
              </w:rPr>
            </w:pPr>
            <w:r>
              <w:rPr>
                <w:rFonts w:ascii="宋体" w:hAnsi="宋体" w:cs="宋体" w:eastAsia="宋体" w:hint="default"/>
                <w:sz w:val="18"/>
                <w:szCs w:val="18"/>
              </w:rPr>
              <w:t>已执 行完 毕</w:t>
            </w:r>
          </w:p>
        </w:tc>
      </w:tr>
      <w:tr>
        <w:trPr>
          <w:trHeight w:val="674"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公司债 付息相</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3"/>
              <w:jc w:val="left"/>
              <w:rPr>
                <w:rFonts w:ascii="宋体" w:hAnsi="宋体" w:cs="宋体" w:eastAsia="宋体" w:hint="default"/>
                <w:sz w:val="18"/>
                <w:szCs w:val="18"/>
              </w:rPr>
            </w:pPr>
            <w:r>
              <w:rPr>
                <w:rFonts w:ascii="宋体" w:hAnsi="宋体" w:cs="宋体" w:eastAsia="宋体" w:hint="default"/>
                <w:sz w:val="18"/>
                <w:szCs w:val="18"/>
              </w:rPr>
              <w:t>公司承诺在预计不能按期偿付公司 债券本息或者到期未能按期偿付债</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87"/>
              <w:jc w:val="left"/>
              <w:rPr>
                <w:rFonts w:ascii="宋体" w:hAnsi="宋体" w:cs="宋体" w:eastAsia="宋体" w:hint="default"/>
                <w:sz w:val="18"/>
                <w:szCs w:val="18"/>
              </w:rPr>
            </w:pPr>
            <w:r>
              <w:rPr>
                <w:rFonts w:ascii="宋体" w:hAnsi="宋体" w:cs="宋体" w:eastAsia="宋体" w:hint="default"/>
                <w:sz w:val="18"/>
                <w:szCs w:val="18"/>
              </w:rPr>
              <w:t>公司 债券</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3"/>
              <w:jc w:val="left"/>
              <w:rPr>
                <w:rFonts w:ascii="宋体" w:hAnsi="宋体" w:cs="宋体" w:eastAsia="宋体" w:hint="default"/>
                <w:sz w:val="18"/>
                <w:szCs w:val="18"/>
              </w:rPr>
            </w:pPr>
            <w:r>
              <w:rPr>
                <w:rFonts w:ascii="宋体" w:hAnsi="宋体" w:cs="宋体" w:eastAsia="宋体" w:hint="default"/>
                <w:sz w:val="18"/>
                <w:szCs w:val="18"/>
              </w:rPr>
              <w:t>严格 履行</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579"/>
        <w:gridCol w:w="672"/>
        <w:gridCol w:w="2929"/>
        <w:gridCol w:w="468"/>
        <w:gridCol w:w="583"/>
        <w:gridCol w:w="499"/>
      </w:tblGrid>
      <w:tr>
        <w:trPr>
          <w:trHeight w:val="2547"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96"/>
              <w:jc w:val="left"/>
              <w:rPr>
                <w:rFonts w:ascii="宋体" w:hAnsi="宋体" w:cs="宋体" w:eastAsia="宋体" w:hint="default"/>
                <w:sz w:val="18"/>
                <w:szCs w:val="18"/>
              </w:rPr>
            </w:pPr>
            <w:r>
              <w:rPr>
                <w:rFonts w:ascii="宋体" w:hAnsi="宋体" w:cs="宋体" w:eastAsia="宋体" w:hint="default"/>
                <w:sz w:val="18"/>
                <w:szCs w:val="18"/>
              </w:rPr>
              <w:t>关保证 承诺</w:t>
            </w:r>
          </w:p>
        </w:tc>
        <w:tc>
          <w:tcPr>
            <w:tcW w:w="2929" w:type="dxa"/>
            <w:tcBorders>
              <w:top w:val="single" w:sz="4" w:space="0" w:color="000000"/>
              <w:left w:val="single" w:sz="4" w:space="0" w:color="000000"/>
              <w:bottom w:val="single" w:sz="4" w:space="0" w:color="000000"/>
              <w:right w:val="single" w:sz="13" w:space="0" w:color="FFFFFF"/>
            </w:tcBorders>
          </w:tcPr>
          <w:p>
            <w:pPr>
              <w:pStyle w:val="TableParagraph"/>
              <w:spacing w:line="304" w:lineRule="auto" w:before="8"/>
              <w:ind w:left="23" w:right="-46"/>
              <w:jc w:val="left"/>
              <w:rPr>
                <w:rFonts w:ascii="宋体" w:hAnsi="宋体" w:cs="宋体" w:eastAsia="宋体" w:hint="default"/>
                <w:sz w:val="18"/>
                <w:szCs w:val="18"/>
              </w:rPr>
            </w:pPr>
            <w:r>
              <w:rPr>
                <w:rFonts w:ascii="宋体" w:hAnsi="宋体" w:cs="宋体" w:eastAsia="宋体" w:hint="default"/>
                <w:spacing w:val="-3"/>
                <w:sz w:val="18"/>
                <w:szCs w:val="18"/>
              </w:rPr>
              <w:t>券本息时，将至少采取如下措施：</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w:t>
            </w:r>
            <w:r>
              <w:rPr>
                <w:rFonts w:ascii="宋体" w:hAnsi="宋体" w:cs="宋体" w:eastAsia="宋体" w:hint="default"/>
                <w:spacing w:val="-82"/>
                <w:sz w:val="18"/>
                <w:szCs w:val="18"/>
              </w:rPr>
              <w:t> </w:t>
            </w:r>
            <w:r>
              <w:rPr>
                <w:rFonts w:ascii="宋体" w:hAnsi="宋体" w:cs="宋体" w:eastAsia="宋体" w:hint="default"/>
                <w:sz w:val="18"/>
                <w:szCs w:val="18"/>
              </w:rPr>
              <w:t>不向股东分配利润；</w:t>
            </w:r>
            <w:r>
              <w:rPr>
                <w:rFonts w:ascii="Times New Roman" w:hAnsi="Times New Roman" w:cs="Times New Roman" w:eastAsia="Times New Roman" w:hint="default"/>
                <w:sz w:val="18"/>
                <w:szCs w:val="18"/>
              </w:rPr>
              <w:t>2</w:t>
            </w:r>
            <w:r>
              <w:rPr>
                <w:rFonts w:ascii="宋体" w:hAnsi="宋体" w:cs="宋体" w:eastAsia="宋体" w:hint="default"/>
                <w:sz w:val="18"/>
                <w:szCs w:val="18"/>
              </w:rPr>
              <w:t>、暂缓重大对 外投资、收购兼并等资本性支出项目 的实施；</w:t>
            </w:r>
            <w:r>
              <w:rPr>
                <w:rFonts w:ascii="Times New Roman" w:hAnsi="Times New Roman" w:cs="Times New Roman" w:eastAsia="Times New Roman" w:hint="default"/>
                <w:sz w:val="18"/>
                <w:szCs w:val="18"/>
              </w:rPr>
              <w:t>3</w:t>
            </w:r>
            <w:r>
              <w:rPr>
                <w:rFonts w:ascii="宋体" w:hAnsi="宋体" w:cs="宋体" w:eastAsia="宋体" w:hint="default"/>
                <w:sz w:val="18"/>
                <w:szCs w:val="18"/>
              </w:rPr>
              <w:t>、调减或停发董事和高级 管理人员的工资和奖金；</w:t>
            </w:r>
            <w:r>
              <w:rPr>
                <w:rFonts w:ascii="Times New Roman" w:hAnsi="Times New Roman" w:cs="Times New Roman" w:eastAsia="Times New Roman" w:hint="default"/>
                <w:sz w:val="18"/>
                <w:szCs w:val="18"/>
              </w:rPr>
              <w:t>4</w:t>
            </w:r>
            <w:r>
              <w:rPr>
                <w:rFonts w:ascii="宋体" w:hAnsi="宋体" w:cs="宋体" w:eastAsia="宋体" w:hint="default"/>
                <w:sz w:val="18"/>
                <w:szCs w:val="18"/>
              </w:rPr>
              <w:t>、主要责 任人不得调离。</w:t>
            </w:r>
          </w:p>
        </w:tc>
        <w:tc>
          <w:tcPr>
            <w:tcW w:w="46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8"/>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312" w:lineRule="exact"/>
              <w:ind w:left="12" w:right="-2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20.55pt;height:15.6pt;mso-position-horizontal-relative:char;mso-position-vertical-relative:line" coordorigin="0,0" coordsize="411,312">
                  <v:group style="position:absolute;left:0;top:0;width:411;height:312" coordorigin="0,0" coordsize="411,312">
                    <v:shape style="position:absolute;left:0;top:0;width:411;height:312" coordorigin="0,0" coordsize="411,312" path="m0,312l410,312,410,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87"/>
              <w:jc w:val="left"/>
              <w:rPr>
                <w:rFonts w:ascii="宋体" w:hAnsi="宋体" w:cs="宋体" w:eastAsia="宋体" w:hint="default"/>
                <w:sz w:val="18"/>
                <w:szCs w:val="18"/>
              </w:rPr>
            </w:pPr>
            <w:r>
              <w:rPr>
                <w:rFonts w:ascii="宋体" w:hAnsi="宋体" w:cs="宋体" w:eastAsia="宋体" w:hint="default"/>
                <w:sz w:val="18"/>
                <w:szCs w:val="18"/>
              </w:rPr>
              <w:t>存续 期内</w:t>
            </w:r>
          </w:p>
          <w:p>
            <w:pPr>
              <w:pStyle w:val="TableParagraph"/>
              <w:spacing w:line="240" w:lineRule="auto" w:before="17"/>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p>
        </w:tc>
        <w:tc>
          <w:tcPr>
            <w:tcW w:w="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中</w:t>
            </w: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57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292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57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2929"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02"/>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40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51" w:firstLine="360"/>
        <w:jc w:val="both"/>
      </w:pPr>
      <w:r>
        <w:rPr>
          <w:rFonts w:ascii="Times New Roman" w:hAnsi="Times New Roman" w:cs="Times New Roman" w:eastAsia="Times New Roman" w:hint="default"/>
        </w:rPr>
        <w:t>1.2017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23</w:t>
      </w:r>
      <w:r>
        <w:rPr/>
        <w:t>日，公司召开第四届董事会第十六次会议，审议通过了《关于公司会计政策变更的议案》。本次公司会 计政策是根据 </w:t>
      </w:r>
      <w:r>
        <w:rPr>
          <w:spacing w:val="-3"/>
        </w:rPr>
        <w:t>财会</w:t>
      </w:r>
      <w:r>
        <w:rPr>
          <w:rFonts w:ascii="Times New Roman" w:hAnsi="Times New Roman" w:cs="Times New Roman" w:eastAsia="Times New Roman" w:hint="default"/>
          <w:spacing w:val="-3"/>
        </w:rPr>
        <w:t>[2017]15</w:t>
      </w:r>
      <w:r>
        <w:rPr>
          <w:spacing w:val="-3"/>
        </w:rPr>
        <w:t>号财政部《关于印发修订</w:t>
      </w:r>
      <w:r>
        <w:rPr>
          <w:rFonts w:ascii="Times New Roman" w:hAnsi="Times New Roman" w:cs="Times New Roman" w:eastAsia="Times New Roman" w:hint="default"/>
          <w:spacing w:val="-3"/>
        </w:rPr>
        <w:t>&lt;</w:t>
      </w:r>
      <w:r>
        <w:rPr>
          <w:spacing w:val="-3"/>
        </w:rPr>
        <w:t>企业会计准则第</w:t>
      </w:r>
      <w:r>
        <w:rPr>
          <w:rFonts w:ascii="Times New Roman" w:hAnsi="Times New Roman" w:cs="Times New Roman" w:eastAsia="Times New Roman" w:hint="default"/>
          <w:spacing w:val="-3"/>
        </w:rPr>
        <w:t>16</w:t>
      </w:r>
      <w:r>
        <w:rPr>
          <w:spacing w:val="-3"/>
        </w:rPr>
        <w:t>号</w:t>
      </w:r>
      <w:r>
        <w:rPr>
          <w:rFonts w:ascii="Times New Roman" w:hAnsi="Times New Roman" w:cs="Times New Roman" w:eastAsia="Times New Roman" w:hint="default"/>
          <w:spacing w:val="-3"/>
        </w:rPr>
        <w:t>—</w:t>
      </w:r>
      <w:r>
        <w:rPr>
          <w:spacing w:val="-3"/>
        </w:rPr>
        <w:t>政府补助</w:t>
      </w:r>
      <w:r>
        <w:rPr>
          <w:rFonts w:ascii="Times New Roman" w:hAnsi="Times New Roman" w:cs="Times New Roman" w:eastAsia="Times New Roman" w:hint="default"/>
          <w:spacing w:val="-3"/>
        </w:rPr>
        <w:t>&gt;</w:t>
      </w:r>
      <w:r>
        <w:rPr>
          <w:spacing w:val="-3"/>
        </w:rPr>
        <w:t>的通知》进行的损益科目间的调整，</w:t>
      </w:r>
      <w:r>
        <w:rPr>
          <w:spacing w:val="-70"/>
        </w:rPr>
        <w:t> </w:t>
      </w:r>
      <w:r>
        <w:rPr>
          <w:spacing w:val="-70"/>
        </w:rPr>
      </w:r>
      <w:r>
        <w:rPr/>
        <w:t>不影响损益，不涉及以往年度的追溯调整；</w:t>
      </w:r>
    </w:p>
    <w:p>
      <w:pPr>
        <w:pStyle w:val="BodyText"/>
        <w:spacing w:line="300" w:lineRule="auto" w:before="31"/>
        <w:ind w:right="150" w:firstLine="360"/>
        <w:jc w:val="both"/>
      </w:pPr>
      <w:r>
        <w:rPr>
          <w:rFonts w:ascii="Times New Roman" w:hAnsi="Times New Roman" w:cs="Times New Roman" w:eastAsia="Times New Roman" w:hint="default"/>
        </w:rPr>
        <w:t>2.2018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日，公司召开第四届董事会第二十三次会议，审议通过了《关于公司会计政策变更的议案》。本次公司 会计政策是根据财会</w:t>
      </w:r>
      <w:r>
        <w:rPr>
          <w:rFonts w:ascii="Times New Roman" w:hAnsi="Times New Roman" w:cs="Times New Roman" w:eastAsia="Times New Roman" w:hint="default"/>
        </w:rPr>
        <w:t>[2017]13</w:t>
      </w:r>
      <w:r>
        <w:rPr/>
        <w:t>号财政部《关于印发</w:t>
      </w:r>
      <w:r>
        <w:rPr>
          <w:rFonts w:ascii="Times New Roman" w:hAnsi="Times New Roman" w:cs="Times New Roman" w:eastAsia="Times New Roman" w:hint="default"/>
        </w:rPr>
        <w:t>&lt;</w:t>
      </w:r>
      <w:r>
        <w:rPr/>
        <w:t>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w:t>
      </w:r>
      <w:r>
        <w:rPr>
          <w:rFonts w:ascii="Times New Roman" w:hAnsi="Times New Roman" w:cs="Times New Roman" w:eastAsia="Times New Roman" w:hint="default"/>
        </w:rPr>
        <w:t>&gt;</w:t>
      </w:r>
      <w:r>
        <w:rPr/>
        <w:t>的通 </w:t>
      </w:r>
      <w:r>
        <w:rPr>
          <w:spacing w:val="-1"/>
        </w:rPr>
        <w:t>知》、（财会</w:t>
      </w:r>
      <w:r>
        <w:rPr>
          <w:rFonts w:ascii="Times New Roman" w:hAnsi="Times New Roman" w:cs="Times New Roman" w:eastAsia="Times New Roman" w:hint="default"/>
          <w:spacing w:val="-1"/>
        </w:rPr>
        <w:t>[2017]30</w:t>
      </w:r>
      <w:r>
        <w:rPr>
          <w:spacing w:val="-1"/>
        </w:rPr>
        <w:t>号）《关于修订印发一般企业财务报表格式的通知》进行的损益科目间调整及报表格式调整，不影响</w:t>
      </w:r>
      <w:r>
        <w:rPr>
          <w:spacing w:val="-58"/>
        </w:rPr>
        <w:t> </w:t>
      </w:r>
      <w:r>
        <w:rPr>
          <w:spacing w:val="-58"/>
        </w:rPr>
      </w:r>
      <w:r>
        <w:rPr/>
        <w:t>损益，对可比期间的比较数据按照要求进行调整。</w:t>
      </w:r>
    </w:p>
    <w:p>
      <w:pPr>
        <w:pStyle w:val="BodyText"/>
        <w:spacing w:line="240" w:lineRule="auto" w:before="31"/>
        <w:ind w:left="513" w:right="0"/>
        <w:jc w:val="left"/>
      </w:pPr>
      <w:r>
        <w:rPr/>
        <w:t>公司执行以上规定的主要影响如下：</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spacing w:line="3435" w:lineRule="exact"/>
        <w:ind w:left="154" w:right="0" w:firstLine="0"/>
        <w:rPr>
          <w:rFonts w:ascii="宋体" w:hAnsi="宋体" w:cs="宋体" w:eastAsia="宋体" w:hint="default"/>
          <w:sz w:val="20"/>
          <w:szCs w:val="20"/>
        </w:rPr>
      </w:pPr>
      <w:r>
        <w:rPr>
          <w:rFonts w:ascii="宋体" w:hAnsi="宋体" w:cs="宋体" w:eastAsia="宋体" w:hint="default"/>
          <w:position w:val="-68"/>
          <w:sz w:val="20"/>
          <w:szCs w:val="20"/>
        </w:rPr>
        <w:drawing>
          <wp:inline distT="0" distB="0" distL="0" distR="0">
            <wp:extent cx="6086341" cy="218122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9" cstate="print"/>
                    <a:stretch>
                      <a:fillRect/>
                    </a:stretch>
                  </pic:blipFill>
                  <pic:spPr>
                    <a:xfrm>
                      <a:off x="0" y="0"/>
                      <a:ext cx="6086341" cy="2181225"/>
                    </a:xfrm>
                    <a:prstGeom prst="rect">
                      <a:avLst/>
                    </a:prstGeom>
                  </pic:spPr>
                </pic:pic>
              </a:graphicData>
            </a:graphic>
          </wp:inline>
        </w:drawing>
      </w:r>
      <w:r>
        <w:rPr>
          <w:rFonts w:ascii="宋体" w:hAnsi="宋体" w:cs="宋体" w:eastAsia="宋体" w:hint="default"/>
          <w:position w:val="-68"/>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205"/>
        <w:ind w:right="178"/>
        <w:jc w:val="left"/>
        <w:rPr>
          <w:b w:val="0"/>
          <w:bCs w:val="0"/>
        </w:rPr>
      </w:pP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ind w:right="56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公司报告期无重大会计差错更正需追溯重述的情况。</w:t>
      </w:r>
    </w:p>
    <w:p>
      <w:pPr>
        <w:spacing w:line="240" w:lineRule="auto" w:before="8"/>
        <w:rPr>
          <w:rFonts w:ascii="宋体" w:hAnsi="宋体" w:cs="宋体" w:eastAsia="宋体" w:hint="default"/>
          <w:sz w:val="19"/>
          <w:szCs w:val="19"/>
        </w:rPr>
      </w:pPr>
    </w:p>
    <w:p>
      <w:pPr>
        <w:pStyle w:val="Heading2"/>
        <w:spacing w:line="240" w:lineRule="auto"/>
        <w:ind w:right="178"/>
        <w:jc w:val="left"/>
        <w:rPr>
          <w:b w:val="0"/>
          <w:bCs w:val="0"/>
        </w:rPr>
      </w:pPr>
      <w:r>
        <w:rPr/>
        <w:t>八、与上年度财务报告相比，合并报表范围发生变化的情况说明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72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本报告期内，公司因设立，合并报表范围增加全资子公司贵州证通光电有限公司，持股比例为</w:t>
      </w:r>
      <w:r>
        <w:rPr>
          <w:rFonts w:ascii="Times New Roman" w:hAnsi="Times New Roman" w:cs="Times New Roman" w:eastAsia="Times New Roman" w:hint="default"/>
        </w:rPr>
        <w:t>100%</w:t>
      </w:r>
      <w:r>
        <w:rPr/>
        <w:t>。</w:t>
      </w:r>
      <w:r>
        <w:rPr>
          <w:spacing w:val="-87"/>
        </w:rPr>
        <w:t> </w:t>
      </w:r>
      <w:r>
        <w:rPr/>
        <w:t>本报告期内，公司因出资参股设立，合并范围增加控股子公司证通邦客</w:t>
      </w:r>
      <w:r>
        <w:rPr>
          <w:rFonts w:ascii="Times New Roman" w:hAnsi="Times New Roman" w:cs="Times New Roman" w:eastAsia="Times New Roman" w:hint="default"/>
        </w:rPr>
        <w:t>(</w:t>
      </w:r>
      <w:r>
        <w:rPr/>
        <w:t>广州</w:t>
      </w:r>
      <w:r>
        <w:rPr>
          <w:rFonts w:ascii="Times New Roman" w:hAnsi="Times New Roman" w:cs="Times New Roman" w:eastAsia="Times New Roman" w:hint="default"/>
        </w:rPr>
        <w:t>)</w:t>
      </w:r>
      <w:r>
        <w:rPr/>
        <w:t>信息科技有限公司，持股比例为</w:t>
      </w:r>
      <w:r>
        <w:rPr>
          <w:rFonts w:ascii="Times New Roman" w:hAnsi="Times New Roman" w:cs="Times New Roman" w:eastAsia="Times New Roman" w:hint="default"/>
        </w:rPr>
        <w:t>60%</w:t>
      </w:r>
      <w:r>
        <w:rPr/>
        <w:t>。</w:t>
      </w:r>
    </w:p>
    <w:p>
      <w:pPr>
        <w:spacing w:line="240" w:lineRule="auto" w:before="3"/>
        <w:rPr>
          <w:rFonts w:ascii="宋体" w:hAnsi="宋体" w:cs="宋体" w:eastAsia="宋体" w:hint="default"/>
          <w:sz w:val="19"/>
          <w:szCs w:val="19"/>
        </w:rPr>
      </w:pPr>
    </w:p>
    <w:p>
      <w:pPr>
        <w:pStyle w:val="Heading2"/>
        <w:spacing w:line="240" w:lineRule="auto"/>
        <w:ind w:right="178"/>
        <w:jc w:val="left"/>
        <w:rPr>
          <w:b w:val="0"/>
          <w:bCs w:val="0"/>
        </w:rPr>
      </w:pP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6754"/>
        <w:jc w:val="left"/>
      </w:pPr>
      <w:r>
        <w:rPr/>
        <w:t>现聘任的会计师事务所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82.5</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肖逸、李志光</w:t>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肖逸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年、李志光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49"/>
        <w:ind w:right="6754"/>
        <w:jc w:val="left"/>
      </w:pPr>
      <w:r>
        <w:rPr/>
        <w:t>当期是否改聘会计师事务所</w:t>
      </w:r>
    </w:p>
    <w:p>
      <w:pPr>
        <w:pStyle w:val="BodyText"/>
        <w:spacing w:line="338" w:lineRule="auto" w:before="117"/>
        <w:ind w:right="53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聘请内部控制审计会计师事务所、财务顾问或保荐人情况</w:t>
      </w:r>
    </w:p>
    <w:p>
      <w:pPr>
        <w:pStyle w:val="BodyText"/>
        <w:spacing w:line="340" w:lineRule="auto" w:before="43"/>
        <w:ind w:left="513" w:right="178"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本年度公司因</w:t>
      </w:r>
      <w:r>
        <w:rPr>
          <w:rFonts w:ascii="宋体" w:hAnsi="宋体" w:cs="宋体" w:eastAsia="宋体" w:hint="default"/>
          <w:spacing w:val="-2"/>
        </w:rPr>
        <w:t>2015</w:t>
      </w:r>
      <w:r>
        <w:rPr>
          <w:spacing w:val="-2"/>
        </w:rPr>
        <w:t>年度非公开发行股票事项，聘请中信建投证券股份有限公司为保荐机构及主承销商，保荐及承销总费</w:t>
      </w:r>
    </w:p>
    <w:p>
      <w:pPr>
        <w:pStyle w:val="BodyText"/>
        <w:spacing w:line="316" w:lineRule="auto" w:before="1"/>
        <w:ind w:left="513" w:right="93" w:hanging="361"/>
        <w:jc w:val="left"/>
      </w:pPr>
      <w:r>
        <w:rPr/>
        <w:t>用为</w:t>
      </w:r>
      <w:r>
        <w:rPr>
          <w:rFonts w:ascii="宋体" w:hAnsi="宋体" w:cs="宋体" w:eastAsia="宋体" w:hint="default"/>
        </w:rPr>
        <w:t>32,790,047.19</w:t>
      </w:r>
      <w:r>
        <w:rPr/>
        <w:t>元，</w:t>
      </w:r>
      <w:r>
        <w:rPr>
          <w:rFonts w:ascii="宋体" w:hAnsi="宋体" w:cs="宋体" w:eastAsia="宋体" w:hint="default"/>
        </w:rPr>
        <w:t>2016</w:t>
      </w:r>
      <w:r>
        <w:rPr/>
        <w:t>年度公司共支付保荐及承销总费用</w:t>
      </w:r>
      <w:r>
        <w:rPr>
          <w:rFonts w:ascii="宋体" w:hAnsi="宋体" w:cs="宋体" w:eastAsia="宋体" w:hint="default"/>
        </w:rPr>
        <w:t>32,790,047.19</w:t>
      </w:r>
      <w:r>
        <w:rPr/>
        <w:t>元。本报告期内未有相关费用发生。 本年度公司因</w:t>
      </w:r>
      <w:r>
        <w:rPr>
          <w:rFonts w:ascii="Times New Roman" w:hAnsi="Times New Roman" w:cs="Times New Roman" w:eastAsia="Times New Roman" w:hint="default"/>
        </w:rPr>
        <w:t>2017</w:t>
      </w:r>
      <w:r>
        <w:rPr/>
        <w:t>年度审计，聘请中勤万信会计师事务所（特殊普通合伙）为</w:t>
      </w:r>
      <w:r>
        <w:rPr>
          <w:rFonts w:ascii="Times New Roman" w:hAnsi="Times New Roman" w:cs="Times New Roman" w:eastAsia="Times New Roman" w:hint="default"/>
        </w:rPr>
        <w:t>2017</w:t>
      </w:r>
      <w:r>
        <w:rPr/>
        <w:t>年财报审计机构，费用为</w:t>
      </w:r>
      <w:r>
        <w:rPr>
          <w:rFonts w:ascii="Times New Roman" w:hAnsi="Times New Roman" w:cs="Times New Roman" w:eastAsia="Times New Roman" w:hint="default"/>
        </w:rPr>
        <w:t>82.5</w:t>
      </w:r>
      <w:r>
        <w:rPr/>
        <w:t>万元，</w:t>
      </w:r>
    </w:p>
    <w:p>
      <w:pPr>
        <w:pStyle w:val="BodyText"/>
        <w:spacing w:line="235" w:lineRule="exact"/>
        <w:ind w:right="6754"/>
        <w:jc w:val="left"/>
      </w:pPr>
      <w:r>
        <w:rPr/>
        <w:t>报告期内未支付。</w:t>
      </w:r>
    </w:p>
    <w:p>
      <w:pPr>
        <w:spacing w:after="0" w:line="235" w:lineRule="exact"/>
        <w:jc w:val="left"/>
        <w:sectPr>
          <w:pgSz w:w="11910" w:h="16840"/>
          <w:pgMar w:header="745" w:footer="980" w:top="1060" w:bottom="1160" w:left="980" w:right="940"/>
        </w:sectPr>
      </w:pPr>
    </w:p>
    <w:p>
      <w:pPr>
        <w:spacing w:line="240" w:lineRule="auto" w:before="8"/>
        <w:rPr>
          <w:rFonts w:ascii="宋体" w:hAnsi="宋体" w:cs="宋体" w:eastAsia="宋体" w:hint="default"/>
          <w:sz w:val="23"/>
          <w:szCs w:val="23"/>
        </w:rPr>
      </w:pPr>
      <w:r>
        <w:rPr/>
        <w:pict>
          <v:shape style="position:absolute;margin-left:381.790009pt;margin-top:539.109985pt;width:46.7pt;height:78pt;mso-position-horizontal-relative:page;mso-position-vertical-relative:page;z-index:-1152640" type="#_x0000_t202" filled="false" stroked="false">
            <v:textbox inset="0,0,0,0">
              <w:txbxContent>
                <w:p>
                  <w:pPr>
                    <w:pStyle w:val="BodyText"/>
                    <w:spacing w:line="205" w:lineRule="exact"/>
                    <w:ind w:left="0" w:right="0"/>
                    <w:jc w:val="left"/>
                  </w:pPr>
                  <w:r>
                    <w:rPr/>
                    <w:t>，</w:t>
                  </w:r>
                </w:p>
              </w:txbxContent>
            </v:textbox>
            <w10:wrap type="none"/>
          </v:shape>
        </w:pict>
      </w:r>
      <w:r>
        <w:rPr/>
        <w:pict>
          <v:group style="position:absolute;margin-left:387.790009pt;margin-top:539.109985pt;width:40.7pt;height:78pt;mso-position-horizontal-relative:page;mso-position-vertical-relative:page;z-index:-1152616" coordorigin="7756,10782" coordsize="814,1560">
            <v:shape style="position:absolute;left:7756;top:10782;width:814;height:1560" coordorigin="7756,10782" coordsize="814,1560" path="m7756,12342l8569,12342,8569,10782,7756,10782,7756,12342xe" filled="true" fillcolor="#ffffff" stroked="false">
              <v:path arrowok="t"/>
              <v:fill type="solid"/>
            </v:shape>
            <w10:wrap type="none"/>
          </v:group>
        </w:pict>
      </w:r>
    </w:p>
    <w:p>
      <w:pPr>
        <w:pStyle w:val="Heading2"/>
        <w:spacing w:line="240" w:lineRule="auto" w:before="26"/>
        <w:ind w:right="0"/>
        <w:jc w:val="left"/>
        <w:rPr>
          <w:b w:val="0"/>
          <w:bCs w:val="0"/>
        </w:rPr>
      </w:pP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十二、重大诉讼、仲裁事项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pict>
          <v:shape style="position:absolute;margin-left:381.790009pt;margin-top:69.101692pt;width:46.7pt;height:54.6pt;mso-position-horizontal-relative:page;mso-position-vertical-relative:paragraph;z-index:-115266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20"/>
                    <w:ind w:left="0" w:right="0"/>
                    <w:jc w:val="left"/>
                  </w:pPr>
                  <w:r>
                    <w:rPr/>
                    <w:t>，</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60"/>
        <w:gridCol w:w="1070"/>
        <w:gridCol w:w="670"/>
        <w:gridCol w:w="883"/>
        <w:gridCol w:w="2434"/>
        <w:gridCol w:w="823"/>
        <w:gridCol w:w="493"/>
        <w:gridCol w:w="1637"/>
      </w:tblGrid>
      <w:tr>
        <w:trPr>
          <w:trHeight w:val="1025"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686" w:right="83" w:hanging="60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 况</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350" w:right="19" w:hanging="327"/>
              <w:jc w:val="left"/>
              <w:rPr>
                <w:rFonts w:ascii="宋体" w:hAnsi="宋体" w:cs="宋体" w:eastAsia="宋体" w:hint="default"/>
                <w:sz w:val="18"/>
                <w:szCs w:val="18"/>
              </w:rPr>
            </w:pPr>
            <w:r>
              <w:rPr>
                <w:rFonts w:ascii="宋体" w:hAnsi="宋体" w:cs="宋体" w:eastAsia="宋体" w:hint="default"/>
                <w:spacing w:val="-11"/>
                <w:sz w:val="18"/>
                <w:szCs w:val="18"/>
              </w:rPr>
              <w:t>涉案金额（万</w:t>
            </w:r>
            <w:r>
              <w:rPr>
                <w:rFonts w:ascii="宋体" w:hAnsi="宋体" w:cs="宋体" w:eastAsia="宋体" w:hint="default"/>
                <w:sz w:val="18"/>
                <w:szCs w:val="18"/>
              </w:rPr>
              <w:t> 元）</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0" w:right="59"/>
              <w:jc w:val="both"/>
              <w:rPr>
                <w:rFonts w:ascii="宋体" w:hAnsi="宋体" w:cs="宋体" w:eastAsia="宋体" w:hint="default"/>
                <w:sz w:val="18"/>
                <w:szCs w:val="18"/>
              </w:rPr>
            </w:pPr>
            <w:r>
              <w:rPr>
                <w:rFonts w:ascii="宋体" w:hAnsi="宋体" w:cs="宋体" w:eastAsia="宋体" w:hint="default"/>
                <w:sz w:val="18"/>
                <w:szCs w:val="18"/>
              </w:rPr>
              <w:t>是否形 成预计 负债</w:t>
            </w:r>
          </w:p>
        </w:tc>
        <w:tc>
          <w:tcPr>
            <w:tcW w:w="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136" w:right="134"/>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2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0"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审理结果及影响</w:t>
            </w:r>
          </w:p>
        </w:tc>
        <w:tc>
          <w:tcPr>
            <w:tcW w:w="8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8" w:right="43" w:firstLine="60"/>
              <w:jc w:val="both"/>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62" w:right="58"/>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56"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8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2"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月，华</w:t>
            </w:r>
            <w:r>
              <w:rPr>
                <w:rFonts w:ascii="宋体" w:hAnsi="宋体" w:cs="宋体" w:eastAsia="宋体" w:hint="default"/>
                <w:sz w:val="18"/>
                <w:szCs w:val="18"/>
              </w:rPr>
              <w:t> 东电脑因合同纠纷 起诉本公司控股子 公司云硕科技</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10,793.19</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3" w:right="127"/>
              <w:jc w:val="both"/>
              <w:rPr>
                <w:rFonts w:ascii="宋体" w:hAnsi="宋体" w:cs="宋体" w:eastAsia="宋体" w:hint="default"/>
                <w:sz w:val="18"/>
                <w:szCs w:val="18"/>
              </w:rPr>
            </w:pPr>
            <w:r>
              <w:rPr>
                <w:rFonts w:ascii="宋体" w:hAnsi="宋体" w:cs="宋体" w:eastAsia="宋体" w:hint="default"/>
                <w:sz w:val="18"/>
                <w:szCs w:val="18"/>
              </w:rPr>
              <w:t>目前案件 二审判决 已生效</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3" w:right="58"/>
              <w:jc w:val="both"/>
              <w:rPr>
                <w:rFonts w:ascii="宋体" w:hAnsi="宋体" w:cs="宋体" w:eastAsia="宋体" w:hint="default"/>
                <w:sz w:val="18"/>
                <w:szCs w:val="18"/>
              </w:rPr>
            </w:pPr>
            <w:r>
              <w:rPr>
                <w:rFonts w:ascii="宋体" w:hAnsi="宋体" w:cs="宋体" w:eastAsia="宋体" w:hint="default"/>
                <w:sz w:val="18"/>
                <w:szCs w:val="18"/>
              </w:rPr>
              <w:t>二审判决云硕科技向华东电脑 支付工程款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10,590.32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w:t>
            </w:r>
          </w:p>
          <w:p>
            <w:pPr>
              <w:pStyle w:val="TableParagraph"/>
              <w:spacing w:line="240" w:lineRule="auto" w:before="1"/>
              <w:ind w:left="23" w:right="0"/>
              <w:jc w:val="both"/>
              <w:rPr>
                <w:rFonts w:ascii="宋体" w:hAnsi="宋体" w:cs="宋体" w:eastAsia="宋体" w:hint="default"/>
                <w:sz w:val="18"/>
                <w:szCs w:val="18"/>
              </w:rPr>
            </w:pPr>
            <w:r>
              <w:rPr>
                <w:rFonts w:ascii="宋体" w:hAnsi="宋体" w:cs="宋体" w:eastAsia="宋体" w:hint="default"/>
                <w:sz w:val="18"/>
                <w:szCs w:val="18"/>
              </w:rPr>
              <w:t>利息</w:t>
            </w:r>
            <w:r>
              <w:rPr>
                <w:rFonts w:ascii="Times New Roman" w:hAnsi="Times New Roman" w:cs="Times New Roman" w:eastAsia="Times New Roman" w:hint="default"/>
                <w:sz w:val="18"/>
                <w:szCs w:val="18"/>
              </w:rPr>
              <w:t>(</w:t>
            </w:r>
            <w:r>
              <w:rPr>
                <w:rFonts w:ascii="宋体" w:hAnsi="宋体" w:cs="宋体" w:eastAsia="宋体" w:hint="default"/>
                <w:sz w:val="18"/>
                <w:szCs w:val="18"/>
              </w:rPr>
              <w:t>以</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10,590.32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万元为本金</w:t>
            </w:r>
          </w:p>
          <w:p>
            <w:pPr>
              <w:pStyle w:val="TableParagraph"/>
              <w:spacing w:line="307" w:lineRule="auto" w:before="63"/>
              <w:ind w:left="23" w:right="19"/>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日起按中国人 民银行同期贷款利率标准计至 </w:t>
            </w:r>
            <w:r>
              <w:rPr>
                <w:rFonts w:ascii="宋体" w:hAnsi="宋体" w:cs="宋体" w:eastAsia="宋体" w:hint="default"/>
                <w:spacing w:val="-2"/>
                <w:sz w:val="18"/>
                <w:szCs w:val="18"/>
              </w:rPr>
              <w:t>付清上述款项之日止</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；驳回华</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东电脑的其余诉讼请求。</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1092" w:lineRule="exact"/>
              <w:ind w:right="-51"/>
              <w:jc w:val="left"/>
              <w:rPr>
                <w:rFonts w:ascii="宋体" w:hAnsi="宋体" w:cs="宋体" w:eastAsia="宋体" w:hint="default"/>
                <w:sz w:val="20"/>
                <w:szCs w:val="20"/>
              </w:rPr>
            </w:pPr>
            <w:r>
              <w:rPr>
                <w:rFonts w:ascii="宋体" w:hAnsi="宋体" w:cs="宋体" w:eastAsia="宋体" w:hint="default"/>
                <w:position w:val="-21"/>
                <w:sz w:val="20"/>
                <w:szCs w:val="20"/>
              </w:rPr>
              <w:pict>
                <v:group style="width:40.7pt;height:54.6pt;mso-position-horizontal-relative:char;mso-position-vertical-relative:line" coordorigin="0,0" coordsize="814,1092">
                  <v:group style="position:absolute;left:0;top:0;width:814;height:1092" coordorigin="0,0" coordsize="814,1092">
                    <v:shape style="position:absolute;left:0;top:0;width:814;height:1092" coordorigin="0,0" coordsize="814,1092" path="m0,1092l814,1092,814,0,0,0,0,1092xe" filled="true" fillcolor="#ffffff" stroked="false">
                      <v:path arrowok="t"/>
                      <v:fill type="solid"/>
                    </v:shape>
                  </v:group>
                </v:group>
              </w:pict>
            </w:r>
            <w:r>
              <w:rPr>
                <w:rFonts w:ascii="宋体" w:hAnsi="宋体" w:cs="宋体" w:eastAsia="宋体" w:hint="default"/>
                <w:position w:val="-21"/>
                <w:sz w:val="20"/>
                <w:szCs w:val="20"/>
              </w:rPr>
            </w:r>
          </w:p>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已执行</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6" w:right="17"/>
              <w:jc w:val="left"/>
              <w:rPr>
                <w:rFonts w:ascii="宋体" w:hAnsi="宋体" w:cs="宋体" w:eastAsia="宋体" w:hint="default"/>
                <w:sz w:val="18"/>
                <w:szCs w:val="18"/>
              </w:rPr>
            </w:pPr>
            <w:r>
              <w:rPr>
                <w:rFonts w:ascii="宋体" w:hAnsi="宋体" w:cs="宋体" w:eastAsia="宋体" w:hint="default"/>
                <w:spacing w:val="-5"/>
                <w:sz w:val="18"/>
                <w:szCs w:val="18"/>
              </w:rPr>
              <w:t>在巨潮资讯网及《证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券时报》披露的 </w:t>
            </w:r>
            <w:r>
              <w:rPr>
                <w:rFonts w:ascii="Times New Roman" w:hAnsi="Times New Roman" w:cs="Times New Roman" w:eastAsia="Times New Roman" w:hint="default"/>
                <w:sz w:val="18"/>
                <w:szCs w:val="18"/>
              </w:rPr>
              <w:t>2016-062</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号《公司关</w:t>
            </w:r>
            <w:r>
              <w:rPr>
                <w:rFonts w:ascii="宋体" w:hAnsi="宋体" w:cs="宋体" w:eastAsia="宋体" w:hint="default"/>
                <w:sz w:val="18"/>
                <w:szCs w:val="18"/>
              </w:rPr>
              <w:t> 于控股子公司重大 诉讼公告》和</w:t>
            </w:r>
          </w:p>
          <w:p>
            <w:pPr>
              <w:pStyle w:val="TableParagraph"/>
              <w:spacing w:line="309" w:lineRule="auto" w:before="22"/>
              <w:ind w:left="26"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2017-054</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号《公司关</w:t>
            </w:r>
            <w:r>
              <w:rPr>
                <w:rFonts w:ascii="宋体" w:hAnsi="宋体" w:cs="宋体" w:eastAsia="宋体" w:hint="default"/>
                <w:sz w:val="18"/>
                <w:szCs w:val="18"/>
              </w:rPr>
              <w:t> 于控股子公司重大 诉讼进展公告。</w:t>
            </w:r>
          </w:p>
        </w:tc>
      </w:tr>
      <w:tr>
        <w:trPr>
          <w:trHeight w:val="352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2"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月，控</w:t>
            </w:r>
            <w:r>
              <w:rPr>
                <w:rFonts w:ascii="宋体" w:hAnsi="宋体" w:cs="宋体" w:eastAsia="宋体" w:hint="default"/>
                <w:sz w:val="18"/>
                <w:szCs w:val="18"/>
              </w:rPr>
              <w:t> 股子公司云硕科技 因合同纠纷起诉华 东电脑</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6,951.43</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二审判决 已生效</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59"/>
              <w:jc w:val="both"/>
              <w:rPr>
                <w:rFonts w:ascii="宋体" w:hAnsi="宋体" w:cs="宋体" w:eastAsia="宋体" w:hint="default"/>
                <w:sz w:val="18"/>
                <w:szCs w:val="18"/>
              </w:rPr>
            </w:pPr>
            <w:r>
              <w:rPr>
                <w:rFonts w:ascii="宋体" w:hAnsi="宋体" w:cs="宋体" w:eastAsia="宋体" w:hint="default"/>
                <w:sz w:val="18"/>
                <w:szCs w:val="18"/>
              </w:rPr>
              <w:t>本案二审判决驳回云硕科技要 求撤销一审判决、完成设备安 装工程，替换不符合设计要求 的设备、要求华东电脑承担逾 期违约金等诉讼请求，维持原 </w:t>
            </w:r>
            <w:r>
              <w:rPr>
                <w:rFonts w:ascii="宋体" w:hAnsi="宋体" w:cs="宋体" w:eastAsia="宋体" w:hint="default"/>
                <w:spacing w:val="-14"/>
                <w:sz w:val="18"/>
                <w:szCs w:val="18"/>
              </w:rPr>
              <w:t>判，案件受理费</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3,832.97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w:t>
            </w:r>
            <w:r>
              <w:rPr>
                <w:rFonts w:ascii="宋体" w:hAnsi="宋体" w:cs="宋体" w:eastAsia="宋体" w:hint="default"/>
                <w:spacing w:val="-88"/>
                <w:sz w:val="18"/>
                <w:szCs w:val="18"/>
              </w:rPr>
              <w:t> </w:t>
            </w:r>
            <w:r>
              <w:rPr>
                <w:rFonts w:ascii="宋体" w:hAnsi="宋体" w:cs="宋体" w:eastAsia="宋体" w:hint="default"/>
                <w:sz w:val="18"/>
                <w:szCs w:val="18"/>
              </w:rPr>
              <w:t>由上诉人广州云硕科技发展有 限公司负担，本判决为终审判 决。</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已执行</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7"/>
              <w:jc w:val="left"/>
              <w:rPr>
                <w:rFonts w:ascii="宋体" w:hAnsi="宋体" w:cs="宋体" w:eastAsia="宋体" w:hint="default"/>
                <w:sz w:val="18"/>
                <w:szCs w:val="18"/>
              </w:rPr>
            </w:pPr>
            <w:r>
              <w:rPr>
                <w:rFonts w:ascii="宋体" w:hAnsi="宋体" w:cs="宋体" w:eastAsia="宋体" w:hint="default"/>
                <w:spacing w:val="-5"/>
                <w:sz w:val="18"/>
                <w:szCs w:val="18"/>
              </w:rPr>
              <w:t>在巨潮资讯网和《证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券时报》披露的 </w:t>
            </w:r>
            <w:r>
              <w:rPr>
                <w:rFonts w:ascii="Times New Roman" w:hAnsi="Times New Roman" w:cs="Times New Roman" w:eastAsia="Times New Roman" w:hint="default"/>
                <w:sz w:val="18"/>
                <w:szCs w:val="18"/>
              </w:rPr>
              <w:t>2016-093</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号《公司关</w:t>
            </w:r>
            <w:r>
              <w:rPr>
                <w:rFonts w:ascii="宋体" w:hAnsi="宋体" w:cs="宋体" w:eastAsia="宋体" w:hint="default"/>
                <w:sz w:val="18"/>
                <w:szCs w:val="18"/>
              </w:rPr>
              <w:t> 于控股子公司重大 </w:t>
            </w:r>
            <w:r>
              <w:rPr>
                <w:rFonts w:ascii="宋体" w:hAnsi="宋体" w:cs="宋体" w:eastAsia="宋体" w:hint="default"/>
                <w:spacing w:val="-16"/>
                <w:sz w:val="18"/>
                <w:szCs w:val="18"/>
              </w:rPr>
              <w:t>诉讼公告》、</w:t>
            </w:r>
          </w:p>
          <w:p>
            <w:pPr>
              <w:pStyle w:val="TableParagraph"/>
              <w:spacing w:line="312" w:lineRule="auto" w:before="20"/>
              <w:ind w:left="26"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2016-118</w:t>
            </w:r>
            <w:r>
              <w:rPr>
                <w:rFonts w:ascii="Times New Roman" w:hAnsi="Times New Roman" w:cs="Times New Roman" w:eastAsia="Times New Roman" w:hint="default"/>
                <w:spacing w:val="-4"/>
                <w:sz w:val="18"/>
                <w:szCs w:val="18"/>
              </w:rPr>
              <w:t> </w:t>
            </w:r>
            <w:r>
              <w:rPr>
                <w:rFonts w:ascii="宋体" w:hAnsi="宋体" w:cs="宋体" w:eastAsia="宋体" w:hint="default"/>
                <w:spacing w:val="-11"/>
                <w:sz w:val="18"/>
                <w:szCs w:val="18"/>
              </w:rPr>
              <w:t>号《公司关</w:t>
            </w:r>
            <w:r>
              <w:rPr>
                <w:rFonts w:ascii="宋体" w:hAnsi="宋体" w:cs="宋体" w:eastAsia="宋体" w:hint="default"/>
                <w:sz w:val="18"/>
                <w:szCs w:val="18"/>
              </w:rPr>
              <w:t> 于控股子公司重大 </w:t>
            </w:r>
            <w:r>
              <w:rPr>
                <w:rFonts w:ascii="宋体" w:hAnsi="宋体" w:cs="宋体" w:eastAsia="宋体" w:hint="default"/>
                <w:spacing w:val="-12"/>
                <w:sz w:val="18"/>
                <w:szCs w:val="18"/>
              </w:rPr>
              <w:t>诉讼进展公告》、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2018-023</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号《公司关</w:t>
            </w:r>
            <w:r>
              <w:rPr>
                <w:rFonts w:ascii="宋体" w:hAnsi="宋体" w:cs="宋体" w:eastAsia="宋体" w:hint="default"/>
                <w:sz w:val="18"/>
                <w:szCs w:val="18"/>
              </w:rPr>
              <w:t> 于控股子公司重大 </w:t>
            </w:r>
            <w:r>
              <w:rPr>
                <w:rFonts w:ascii="宋体" w:hAnsi="宋体" w:cs="宋体" w:eastAsia="宋体" w:hint="default"/>
                <w:spacing w:val="-16"/>
                <w:sz w:val="18"/>
                <w:szCs w:val="18"/>
              </w:rPr>
              <w:t>诉讼公告》。</w:t>
            </w:r>
          </w:p>
        </w:tc>
      </w:tr>
      <w:tr>
        <w:trPr>
          <w:trHeight w:val="227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36"/>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上海华东电脑科技 股份有限公司因工 程剩余结算款纠纷 起诉本公司子公司 云硕科技</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16,012.01</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127"/>
              <w:jc w:val="left"/>
              <w:rPr>
                <w:rFonts w:ascii="宋体" w:hAnsi="宋体" w:cs="宋体" w:eastAsia="宋体" w:hint="default"/>
                <w:sz w:val="18"/>
                <w:szCs w:val="18"/>
              </w:rPr>
            </w:pPr>
            <w:r>
              <w:rPr>
                <w:rFonts w:ascii="宋体" w:hAnsi="宋体" w:cs="宋体" w:eastAsia="宋体" w:hint="default"/>
                <w:sz w:val="18"/>
                <w:szCs w:val="18"/>
              </w:rPr>
              <w:t>一审审理 中</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2" w:lineRule="auto" w:before="128"/>
              <w:ind w:left="23" w:right="21"/>
              <w:jc w:val="both"/>
              <w:rPr>
                <w:rFonts w:ascii="宋体" w:hAnsi="宋体" w:cs="宋体" w:eastAsia="宋体" w:hint="default"/>
                <w:sz w:val="18"/>
                <w:szCs w:val="18"/>
              </w:rPr>
            </w:pPr>
            <w:r>
              <w:rPr>
                <w:rFonts w:ascii="宋体" w:hAnsi="宋体" w:cs="宋体" w:eastAsia="宋体" w:hint="default"/>
                <w:sz w:val="18"/>
                <w:szCs w:val="18"/>
              </w:rPr>
              <w:t>华东电脑请求法院依法判令云 硕科技支付总承包合同项下剩 余工程结算款人民币</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13,771.79 </w:t>
            </w:r>
            <w:r>
              <w:rPr>
                <w:rFonts w:ascii="宋体" w:hAnsi="宋体" w:cs="宋体" w:eastAsia="宋体" w:hint="default"/>
                <w:sz w:val="18"/>
                <w:szCs w:val="18"/>
              </w:rPr>
              <w:t>万元及剩余工程结算款的资金 占用费人民币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2,240.21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暂无</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6" w:right="-20"/>
              <w:jc w:val="left"/>
              <w:rPr>
                <w:rFonts w:ascii="宋体" w:hAnsi="宋体" w:cs="宋体" w:eastAsia="宋体" w:hint="default"/>
                <w:sz w:val="18"/>
                <w:szCs w:val="18"/>
              </w:rPr>
            </w:pPr>
            <w:r>
              <w:rPr>
                <w:rFonts w:ascii="宋体" w:hAnsi="宋体" w:cs="宋体" w:eastAsia="宋体" w:hint="default"/>
                <w:spacing w:val="-5"/>
                <w:sz w:val="18"/>
                <w:szCs w:val="18"/>
              </w:rPr>
              <w:t>在巨潮资讯网及《证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券时报》披露的 </w:t>
            </w:r>
            <w:r>
              <w:rPr>
                <w:rFonts w:ascii="Times New Roman" w:hAnsi="Times New Roman" w:cs="Times New Roman" w:eastAsia="Times New Roman" w:hint="default"/>
                <w:sz w:val="18"/>
                <w:szCs w:val="18"/>
              </w:rPr>
              <w:t>2017-091</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号《关于控</w:t>
            </w:r>
            <w:r>
              <w:rPr>
                <w:rFonts w:ascii="宋体" w:hAnsi="宋体" w:cs="宋体" w:eastAsia="宋体" w:hint="default"/>
                <w:sz w:val="18"/>
                <w:szCs w:val="18"/>
              </w:rPr>
              <w:t> 股子公司重大诉讼 公告》 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2018-023 </w:t>
            </w:r>
            <w:r>
              <w:rPr>
                <w:rFonts w:ascii="宋体" w:hAnsi="宋体" w:cs="宋体" w:eastAsia="宋体" w:hint="default"/>
                <w:spacing w:val="-5"/>
                <w:sz w:val="18"/>
                <w:szCs w:val="18"/>
              </w:rPr>
              <w:t>号《公司关于控股子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公司重大诉讼公告》</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68"/>
              <w:ind w:left="24" w:right="1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4</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月，公</w:t>
            </w:r>
            <w:r>
              <w:rPr>
                <w:rFonts w:ascii="宋体" w:hAnsi="宋体" w:cs="宋体" w:eastAsia="宋体" w:hint="default"/>
                <w:sz w:val="18"/>
                <w:szCs w:val="18"/>
              </w:rPr>
              <w:t> 司起诉东莞东海龙</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639.73</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left"/>
              <w:rPr>
                <w:rFonts w:ascii="宋体" w:hAnsi="宋体" w:cs="宋体" w:eastAsia="宋体" w:hint="default"/>
                <w:sz w:val="18"/>
                <w:szCs w:val="18"/>
              </w:rPr>
            </w:pPr>
            <w:r>
              <w:rPr>
                <w:rFonts w:ascii="宋体" w:hAnsi="宋体" w:cs="宋体" w:eastAsia="宋体" w:hint="default"/>
                <w:sz w:val="18"/>
                <w:szCs w:val="18"/>
              </w:rPr>
              <w:t>一审判决 已生效</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3" w:right="0"/>
              <w:jc w:val="left"/>
              <w:rPr>
                <w:rFonts w:ascii="宋体" w:hAnsi="宋体" w:cs="宋体" w:eastAsia="宋体" w:hint="default"/>
                <w:sz w:val="18"/>
                <w:szCs w:val="18"/>
              </w:rPr>
            </w:pPr>
            <w:r>
              <w:rPr>
                <w:rFonts w:ascii="宋体" w:hAnsi="宋体" w:cs="宋体" w:eastAsia="宋体" w:hint="default"/>
                <w:sz w:val="18"/>
                <w:szCs w:val="18"/>
              </w:rPr>
              <w:t>判决被告向公司返还款项</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466.57 </w:t>
            </w:r>
            <w:r>
              <w:rPr>
                <w:rFonts w:ascii="宋体" w:hAnsi="宋体" w:cs="宋体" w:eastAsia="宋体" w:hint="default"/>
                <w:sz w:val="18"/>
                <w:szCs w:val="18"/>
              </w:rPr>
              <w:t>万元及利息，并承担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7"/>
              <w:jc w:val="left"/>
              <w:rPr>
                <w:rFonts w:ascii="宋体" w:hAnsi="宋体" w:cs="宋体" w:eastAsia="宋体" w:hint="default"/>
                <w:sz w:val="18"/>
                <w:szCs w:val="18"/>
              </w:rPr>
            </w:pPr>
            <w:r>
              <w:rPr>
                <w:rFonts w:ascii="宋体" w:hAnsi="宋体" w:cs="宋体" w:eastAsia="宋体" w:hint="default"/>
                <w:sz w:val="18"/>
                <w:szCs w:val="18"/>
              </w:rPr>
              <w:t>正在执行 中</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4"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6" w:right="19"/>
              <w:jc w:val="left"/>
              <w:rPr>
                <w:rFonts w:ascii="宋体" w:hAnsi="宋体" w:cs="宋体" w:eastAsia="宋体" w:hint="default"/>
                <w:sz w:val="18"/>
                <w:szCs w:val="18"/>
              </w:rPr>
            </w:pPr>
            <w:r>
              <w:rPr>
                <w:rFonts w:ascii="宋体" w:hAnsi="宋体" w:cs="宋体" w:eastAsia="宋体" w:hint="default"/>
                <w:spacing w:val="-5"/>
                <w:sz w:val="18"/>
                <w:szCs w:val="18"/>
              </w:rPr>
              <w:t>在巨潮资讯网和《证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券时报》披露的</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60"/>
        <w:gridCol w:w="1070"/>
        <w:gridCol w:w="670"/>
        <w:gridCol w:w="883"/>
        <w:gridCol w:w="2434"/>
        <w:gridCol w:w="823"/>
        <w:gridCol w:w="493"/>
        <w:gridCol w:w="1637"/>
      </w:tblGrid>
      <w:tr>
        <w:trPr>
          <w:trHeight w:val="98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84"/>
              <w:jc w:val="left"/>
              <w:rPr>
                <w:rFonts w:ascii="宋体" w:hAnsi="宋体" w:cs="宋体" w:eastAsia="宋体" w:hint="default"/>
                <w:sz w:val="18"/>
                <w:szCs w:val="18"/>
              </w:rPr>
            </w:pPr>
            <w:r>
              <w:rPr>
                <w:rFonts w:ascii="宋体" w:hAnsi="宋体" w:cs="宋体" w:eastAsia="宋体" w:hint="default"/>
                <w:sz w:val="18"/>
                <w:szCs w:val="18"/>
              </w:rPr>
              <w:t>环保科技有限公 司、东莞豪川光电 科技有限公司</w:t>
            </w:r>
          </w:p>
        </w:tc>
        <w:tc>
          <w:tcPr>
            <w:tcW w:w="1070"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万元律师费。</w:t>
            </w:r>
          </w:p>
        </w:tc>
        <w:tc>
          <w:tcPr>
            <w:tcW w:w="823"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6"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2016-062</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号《公司关</w:t>
            </w:r>
            <w:r>
              <w:rPr>
                <w:rFonts w:ascii="宋体" w:hAnsi="宋体" w:cs="宋体" w:eastAsia="宋体" w:hint="default"/>
                <w:sz w:val="18"/>
                <w:szCs w:val="18"/>
              </w:rPr>
              <w:t> 于控股子公司重大 诉讼公告》</w:t>
            </w:r>
          </w:p>
        </w:tc>
      </w:tr>
      <w:tr>
        <w:trPr>
          <w:trHeight w:val="164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5</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月，公</w:t>
            </w:r>
            <w:r>
              <w:rPr>
                <w:rFonts w:ascii="宋体" w:hAnsi="宋体" w:cs="宋体" w:eastAsia="宋体" w:hint="default"/>
                <w:sz w:val="18"/>
                <w:szCs w:val="18"/>
              </w:rPr>
              <w:t> 司因合同纠纷起诉 神州创宇低碳技术 投资（北京）有限 公司</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2,486.36</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3" w:right="127"/>
              <w:jc w:val="both"/>
              <w:rPr>
                <w:rFonts w:ascii="宋体" w:hAnsi="宋体" w:cs="宋体" w:eastAsia="宋体" w:hint="default"/>
                <w:sz w:val="18"/>
                <w:szCs w:val="18"/>
              </w:rPr>
            </w:pPr>
            <w:r>
              <w:rPr>
                <w:rFonts w:ascii="宋体" w:hAnsi="宋体" w:cs="宋体" w:eastAsia="宋体" w:hint="default"/>
                <w:sz w:val="18"/>
                <w:szCs w:val="18"/>
              </w:rPr>
              <w:t>目前该案 件已调解 结案</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3" w:right="55"/>
              <w:jc w:val="both"/>
              <w:rPr>
                <w:rFonts w:ascii="宋体" w:hAnsi="宋体" w:cs="宋体" w:eastAsia="宋体" w:hint="default"/>
                <w:sz w:val="18"/>
                <w:szCs w:val="18"/>
              </w:rPr>
            </w:pPr>
            <w:r>
              <w:rPr>
                <w:rFonts w:ascii="宋体" w:hAnsi="宋体" w:cs="宋体" w:eastAsia="宋体" w:hint="default"/>
                <w:sz w:val="18"/>
                <w:szCs w:val="18"/>
              </w:rPr>
              <w:t>双方达成庭外和解，依据和解 协议，神州创宇应向公司支付 货款共计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2,400.26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万元并承担 诉讼费。</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67"/>
              <w:jc w:val="left"/>
              <w:rPr>
                <w:rFonts w:ascii="宋体" w:hAnsi="宋体" w:cs="宋体" w:eastAsia="宋体" w:hint="default"/>
                <w:sz w:val="18"/>
                <w:szCs w:val="18"/>
              </w:rPr>
            </w:pPr>
            <w:r>
              <w:rPr>
                <w:rFonts w:ascii="宋体" w:hAnsi="宋体" w:cs="宋体" w:eastAsia="宋体" w:hint="default"/>
                <w:sz w:val="18"/>
                <w:szCs w:val="18"/>
              </w:rPr>
              <w:t>正在执行 中</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7"/>
              <w:jc w:val="left"/>
              <w:rPr>
                <w:rFonts w:ascii="宋体" w:hAnsi="宋体" w:cs="宋体" w:eastAsia="宋体" w:hint="default"/>
                <w:sz w:val="18"/>
                <w:szCs w:val="18"/>
              </w:rPr>
            </w:pPr>
            <w:r>
              <w:rPr>
                <w:rFonts w:ascii="宋体" w:hAnsi="宋体" w:cs="宋体" w:eastAsia="宋体" w:hint="default"/>
                <w:spacing w:val="-5"/>
                <w:sz w:val="18"/>
                <w:szCs w:val="18"/>
              </w:rPr>
              <w:t>在巨潮资讯网和《证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券时报》披露的 </w:t>
            </w:r>
            <w:r>
              <w:rPr>
                <w:rFonts w:ascii="Times New Roman" w:hAnsi="Times New Roman" w:cs="Times New Roman" w:eastAsia="Times New Roman" w:hint="default"/>
                <w:sz w:val="18"/>
                <w:szCs w:val="18"/>
              </w:rPr>
              <w:t>2016-062</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号《公司关</w:t>
            </w:r>
            <w:r>
              <w:rPr>
                <w:rFonts w:ascii="宋体" w:hAnsi="宋体" w:cs="宋体" w:eastAsia="宋体" w:hint="default"/>
                <w:sz w:val="18"/>
                <w:szCs w:val="18"/>
              </w:rPr>
              <w:t> 于控股子公司重大 诉讼公告》</w:t>
            </w:r>
          </w:p>
        </w:tc>
      </w:tr>
      <w:tr>
        <w:trPr>
          <w:trHeight w:val="258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2"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6</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月，公</w:t>
            </w:r>
            <w:r>
              <w:rPr>
                <w:rFonts w:ascii="宋体" w:hAnsi="宋体" w:cs="宋体" w:eastAsia="宋体" w:hint="default"/>
                <w:sz w:val="18"/>
                <w:szCs w:val="18"/>
              </w:rPr>
              <w:t> 司因合同纠纷起诉 南京理工速必得科 技有限公司</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2,012.14</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23" w:right="127"/>
              <w:jc w:val="left"/>
              <w:rPr>
                <w:rFonts w:ascii="宋体" w:hAnsi="宋体" w:cs="宋体" w:eastAsia="宋体" w:hint="default"/>
                <w:sz w:val="18"/>
                <w:szCs w:val="18"/>
              </w:rPr>
            </w:pPr>
            <w:r>
              <w:rPr>
                <w:rFonts w:ascii="宋体" w:hAnsi="宋体" w:cs="宋体" w:eastAsia="宋体" w:hint="default"/>
                <w:sz w:val="18"/>
                <w:szCs w:val="18"/>
              </w:rPr>
              <w:t>已调解结 案</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23" w:right="58"/>
              <w:jc w:val="left"/>
              <w:rPr>
                <w:rFonts w:ascii="宋体" w:hAnsi="宋体" w:cs="宋体" w:eastAsia="宋体" w:hint="default"/>
                <w:sz w:val="18"/>
                <w:szCs w:val="18"/>
              </w:rPr>
            </w:pPr>
            <w:r>
              <w:rPr>
                <w:rFonts w:ascii="宋体" w:hAnsi="宋体" w:cs="宋体" w:eastAsia="宋体" w:hint="default"/>
                <w:sz w:val="18"/>
                <w:szCs w:val="18"/>
              </w:rPr>
              <w:t>本案双方已经法院调解达成和 解协议，由被告速必得确认并 分七期支付所欠公司的款项 </w:t>
            </w:r>
            <w:r>
              <w:rPr>
                <w:rFonts w:ascii="Times New Roman" w:hAnsi="Times New Roman" w:cs="Times New Roman" w:eastAsia="Times New Roman" w:hint="default"/>
                <w:sz w:val="18"/>
                <w:szCs w:val="18"/>
              </w:rPr>
              <w:t>1,908.33  </w:t>
            </w:r>
            <w:r>
              <w:rPr>
                <w:rFonts w:ascii="宋体" w:hAnsi="宋体" w:cs="宋体" w:eastAsia="宋体" w:hint="default"/>
                <w:sz w:val="18"/>
                <w:szCs w:val="18"/>
              </w:rPr>
              <w:t>万元。</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2"/>
              <w:ind w:left="24" w:right="67"/>
              <w:jc w:val="both"/>
              <w:rPr>
                <w:rFonts w:ascii="宋体" w:hAnsi="宋体" w:cs="宋体" w:eastAsia="宋体" w:hint="default"/>
                <w:sz w:val="18"/>
                <w:szCs w:val="18"/>
              </w:rPr>
            </w:pPr>
            <w:r>
              <w:rPr>
                <w:rFonts w:ascii="宋体" w:hAnsi="宋体" w:cs="宋体" w:eastAsia="宋体" w:hint="default"/>
                <w:sz w:val="18"/>
                <w:szCs w:val="18"/>
              </w:rPr>
              <w:t>因未到执 行期限暂 未执行</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7"/>
              <w:jc w:val="left"/>
              <w:rPr>
                <w:rFonts w:ascii="宋体" w:hAnsi="宋体" w:cs="宋体" w:eastAsia="宋体" w:hint="default"/>
                <w:sz w:val="18"/>
                <w:szCs w:val="18"/>
              </w:rPr>
            </w:pPr>
            <w:r>
              <w:rPr>
                <w:rFonts w:ascii="宋体" w:hAnsi="宋体" w:cs="宋体" w:eastAsia="宋体" w:hint="default"/>
                <w:spacing w:val="-5"/>
                <w:sz w:val="18"/>
                <w:szCs w:val="18"/>
              </w:rPr>
              <w:t>在巨潮资讯网和《证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券时报》披露的 </w:t>
            </w:r>
            <w:r>
              <w:rPr>
                <w:rFonts w:ascii="Times New Roman" w:hAnsi="Times New Roman" w:cs="Times New Roman" w:eastAsia="Times New Roman" w:hint="default"/>
                <w:sz w:val="18"/>
                <w:szCs w:val="18"/>
              </w:rPr>
              <w:t>2017-091</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号《关于控</w:t>
            </w:r>
            <w:r>
              <w:rPr>
                <w:rFonts w:ascii="宋体" w:hAnsi="宋体" w:cs="宋体" w:eastAsia="宋体" w:hint="default"/>
                <w:sz w:val="18"/>
                <w:szCs w:val="18"/>
              </w:rPr>
              <w:t> 股子公司重大诉讼 </w:t>
            </w:r>
            <w:r>
              <w:rPr>
                <w:rFonts w:ascii="宋体" w:hAnsi="宋体" w:cs="宋体" w:eastAsia="宋体" w:hint="default"/>
                <w:spacing w:val="-16"/>
                <w:sz w:val="18"/>
                <w:szCs w:val="18"/>
              </w:rPr>
              <w:t>进展公告》、</w:t>
            </w:r>
          </w:p>
          <w:p>
            <w:pPr>
              <w:pStyle w:val="TableParagraph"/>
              <w:spacing w:line="309" w:lineRule="auto" w:before="21"/>
              <w:ind w:left="26"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2018-023</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号《公司关</w:t>
            </w:r>
            <w:r>
              <w:rPr>
                <w:rFonts w:ascii="宋体" w:hAnsi="宋体" w:cs="宋体" w:eastAsia="宋体" w:hint="default"/>
                <w:sz w:val="18"/>
                <w:szCs w:val="18"/>
              </w:rPr>
              <w:t> 于控股子公司重大 诉讼公告》</w:t>
            </w:r>
          </w:p>
        </w:tc>
      </w:tr>
      <w:tr>
        <w:trPr>
          <w:trHeight w:val="352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24" w:right="19"/>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7</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pacing w:val="-12"/>
                <w:sz w:val="18"/>
                <w:szCs w:val="18"/>
              </w:rPr>
              <w:t>月，晋</w:t>
            </w:r>
            <w:r>
              <w:rPr>
                <w:rFonts w:ascii="宋体" w:hAnsi="宋体" w:cs="宋体" w:eastAsia="宋体" w:hint="default"/>
                <w:sz w:val="18"/>
                <w:szCs w:val="18"/>
              </w:rPr>
              <w:t> 州市月光照明电器 厂诉公司全资子公 司定州市中标节能 技术服务有限公司</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907.86</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35"/>
              <w:jc w:val="both"/>
              <w:rPr>
                <w:rFonts w:ascii="Times New Roman" w:hAnsi="Times New Roman" w:cs="Times New Roman" w:eastAsia="Times New Roman" w:hint="default"/>
                <w:sz w:val="18"/>
                <w:szCs w:val="18"/>
              </w:rPr>
            </w:pPr>
            <w:r>
              <w:rPr>
                <w:rFonts w:ascii="宋体" w:hAnsi="宋体" w:cs="宋体" w:eastAsia="宋体" w:hint="default"/>
                <w:sz w:val="18"/>
                <w:szCs w:val="18"/>
              </w:rPr>
              <w:t>定州中标 不服二审 判决，于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 </w:t>
            </w:r>
            <w:r>
              <w:rPr>
                <w:rFonts w:ascii="Times New Roman" w:hAnsi="Times New Roman" w:cs="Times New Roman" w:eastAsia="Times New Roman" w:hint="default"/>
                <w:sz w:val="18"/>
                <w:szCs w:val="18"/>
              </w:rPr>
              <w:t>1</w:t>
            </w: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月向河北 省高级人 民法院提 出再审申 </w:t>
            </w:r>
            <w:r>
              <w:rPr>
                <w:rFonts w:ascii="宋体" w:hAnsi="宋体" w:cs="宋体" w:eastAsia="宋体" w:hint="default"/>
                <w:spacing w:val="-15"/>
                <w:sz w:val="18"/>
                <w:szCs w:val="18"/>
              </w:rPr>
              <w:t>请，法院已</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8" w:lineRule="exact"/>
              <w:ind w:left="23" w:right="-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月受理。</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58"/>
              <w:jc w:val="left"/>
              <w:rPr>
                <w:rFonts w:ascii="宋体" w:hAnsi="宋体" w:cs="宋体" w:eastAsia="宋体" w:hint="default"/>
                <w:sz w:val="18"/>
                <w:szCs w:val="18"/>
              </w:rPr>
            </w:pPr>
            <w:r>
              <w:rPr>
                <w:rFonts w:ascii="宋体" w:hAnsi="宋体" w:cs="宋体" w:eastAsia="宋体" w:hint="default"/>
                <w:sz w:val="18"/>
                <w:szCs w:val="18"/>
              </w:rPr>
              <w:t>二审判决定州中标返还晋州市 月光照明电器厂材料款 </w:t>
            </w:r>
            <w:r>
              <w:rPr>
                <w:rFonts w:ascii="Times New Roman" w:hAnsi="Times New Roman" w:cs="Times New Roman" w:eastAsia="Times New Roman" w:hint="default"/>
                <w:sz w:val="18"/>
                <w:szCs w:val="18"/>
              </w:rPr>
              <w:t>907.8645  </w:t>
            </w:r>
            <w:r>
              <w:rPr>
                <w:rFonts w:ascii="宋体" w:hAnsi="宋体" w:cs="宋体" w:eastAsia="宋体" w:hint="default"/>
                <w:sz w:val="18"/>
                <w:szCs w:val="18"/>
              </w:rPr>
              <w:t>万元及利息。</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暂无</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4" w:lineRule="auto"/>
              <w:ind w:left="26" w:right="17"/>
              <w:jc w:val="left"/>
              <w:rPr>
                <w:rFonts w:ascii="宋体" w:hAnsi="宋体" w:cs="宋体" w:eastAsia="宋体" w:hint="default"/>
                <w:sz w:val="18"/>
                <w:szCs w:val="18"/>
              </w:rPr>
            </w:pPr>
            <w:r>
              <w:rPr>
                <w:rFonts w:ascii="宋体" w:hAnsi="宋体" w:cs="宋体" w:eastAsia="宋体" w:hint="default"/>
                <w:spacing w:val="-5"/>
                <w:sz w:val="18"/>
                <w:szCs w:val="18"/>
              </w:rPr>
              <w:t>在巨潮资讯网和《证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券时报》披露的 </w:t>
            </w:r>
            <w:r>
              <w:rPr>
                <w:rFonts w:ascii="Times New Roman" w:hAnsi="Times New Roman" w:cs="Times New Roman" w:eastAsia="Times New Roman" w:hint="default"/>
                <w:sz w:val="18"/>
                <w:szCs w:val="18"/>
              </w:rPr>
              <w:t>2018-023</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号《公司关</w:t>
            </w:r>
            <w:r>
              <w:rPr>
                <w:rFonts w:ascii="宋体" w:hAnsi="宋体" w:cs="宋体" w:eastAsia="宋体" w:hint="default"/>
                <w:sz w:val="18"/>
                <w:szCs w:val="18"/>
              </w:rPr>
              <w:t> 于控股子公司重大 诉讼公告》</w:t>
            </w:r>
          </w:p>
        </w:tc>
      </w:tr>
      <w:tr>
        <w:trPr>
          <w:trHeight w:val="165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5"/>
              <w:ind w:left="24" w:right="43"/>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 公司起诉杭州度联 信息技术有限公司</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696.3</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已立案</w:t>
            </w:r>
          </w:p>
        </w:tc>
        <w:tc>
          <w:tcPr>
            <w:tcW w:w="2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3" w:right="58"/>
              <w:jc w:val="left"/>
              <w:rPr>
                <w:rFonts w:ascii="宋体" w:hAnsi="宋体" w:cs="宋体" w:eastAsia="宋体" w:hint="default"/>
                <w:sz w:val="18"/>
                <w:szCs w:val="18"/>
              </w:rPr>
            </w:pPr>
            <w:r>
              <w:rPr>
                <w:rFonts w:ascii="宋体" w:hAnsi="宋体" w:cs="宋体" w:eastAsia="宋体" w:hint="default"/>
                <w:sz w:val="18"/>
                <w:szCs w:val="18"/>
              </w:rPr>
              <w:t>公司请求法院判令被告支付货 款本金及违约金共</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691.31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元，并承担本案律师费和诉讼 费用。</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暂无</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7"/>
              <w:jc w:val="left"/>
              <w:rPr>
                <w:rFonts w:ascii="宋体" w:hAnsi="宋体" w:cs="宋体" w:eastAsia="宋体" w:hint="default"/>
                <w:sz w:val="18"/>
                <w:szCs w:val="18"/>
              </w:rPr>
            </w:pPr>
            <w:r>
              <w:rPr>
                <w:rFonts w:ascii="宋体" w:hAnsi="宋体" w:cs="宋体" w:eastAsia="宋体" w:hint="default"/>
                <w:spacing w:val="-5"/>
                <w:sz w:val="18"/>
                <w:szCs w:val="18"/>
              </w:rPr>
              <w:t>在巨潮资讯网及《证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券时报》披露的 </w:t>
            </w:r>
            <w:r>
              <w:rPr>
                <w:rFonts w:ascii="Times New Roman" w:hAnsi="Times New Roman" w:cs="Times New Roman" w:eastAsia="Times New Roman" w:hint="default"/>
                <w:sz w:val="18"/>
                <w:szCs w:val="18"/>
              </w:rPr>
              <w:t>2018-023</w:t>
            </w:r>
            <w:r>
              <w:rPr>
                <w:rFonts w:ascii="Times New Roman" w:hAnsi="Times New Roman" w:cs="Times New Roman" w:eastAsia="Times New Roman" w:hint="default"/>
                <w:spacing w:val="1"/>
                <w:sz w:val="18"/>
                <w:szCs w:val="18"/>
              </w:rPr>
              <w:t> </w:t>
            </w:r>
            <w:r>
              <w:rPr>
                <w:rFonts w:ascii="宋体" w:hAnsi="宋体" w:cs="宋体" w:eastAsia="宋体" w:hint="default"/>
                <w:spacing w:val="-12"/>
                <w:sz w:val="18"/>
                <w:szCs w:val="18"/>
              </w:rPr>
              <w:t>号《公司关</w:t>
            </w:r>
            <w:r>
              <w:rPr>
                <w:rFonts w:ascii="宋体" w:hAnsi="宋体" w:cs="宋体" w:eastAsia="宋体" w:hint="default"/>
                <w:sz w:val="18"/>
                <w:szCs w:val="18"/>
              </w:rPr>
              <w:t> 于控股子公司重大 诉讼公告》</w:t>
            </w:r>
          </w:p>
        </w:tc>
      </w:tr>
    </w:tbl>
    <w:p>
      <w:pPr>
        <w:pStyle w:val="BodyText"/>
        <w:spacing w:line="240" w:lineRule="auto" w:before="8"/>
        <w:ind w:right="0"/>
        <w:jc w:val="left"/>
      </w:pPr>
      <w:r>
        <w:rPr/>
        <w:t>以上公司涉诉案件中，云硕科技与华东电脑相关诉讼达到相关法规的重大诉讼标准，其余案件均未达重大诉讼标准。</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十三、处罚及整改情况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934"/>
        <w:gridCol w:w="768"/>
        <w:gridCol w:w="1561"/>
        <w:gridCol w:w="991"/>
        <w:gridCol w:w="1136"/>
        <w:gridCol w:w="1274"/>
        <w:gridCol w:w="2909"/>
      </w:tblGrid>
      <w:tr>
        <w:trPr>
          <w:trHeight w:val="754" w:hRule="exact"/>
        </w:trPr>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类型</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原因</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0"/>
              <w:ind w:left="400" w:right="38" w:hanging="360"/>
              <w:jc w:val="left"/>
              <w:rPr>
                <w:rFonts w:ascii="宋体" w:hAnsi="宋体" w:cs="宋体" w:eastAsia="宋体" w:hint="default"/>
                <w:sz w:val="18"/>
                <w:szCs w:val="18"/>
              </w:rPr>
            </w:pPr>
            <w:r>
              <w:rPr>
                <w:rFonts w:ascii="宋体" w:hAnsi="宋体" w:cs="宋体" w:eastAsia="宋体" w:hint="default"/>
                <w:sz w:val="18"/>
                <w:szCs w:val="18"/>
              </w:rPr>
              <w:t>调查处罚类 型</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结论</w:t>
            </w:r>
          </w:p>
          <w:p>
            <w:pPr>
              <w:pStyle w:val="TableParagraph"/>
              <w:spacing w:line="240" w:lineRule="auto" w:before="117"/>
              <w:ind w:right="0"/>
              <w:jc w:val="center"/>
              <w:rPr>
                <w:rFonts w:ascii="宋体" w:hAnsi="宋体" w:cs="宋体" w:eastAsia="宋体" w:hint="default"/>
                <w:sz w:val="18"/>
                <w:szCs w:val="18"/>
              </w:rPr>
            </w:pPr>
            <w:r>
              <w:rPr>
                <w:rFonts w:ascii="宋体" w:hAnsi="宋体" w:cs="宋体" w:eastAsia="宋体" w:hint="default"/>
                <w:sz w:val="18"/>
                <w:szCs w:val="18"/>
              </w:rPr>
              <w:t>（如有）</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986"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年度计提 资产减值事项未及 时提交董事会审议</w:t>
            </w:r>
          </w:p>
        </w:tc>
        <w:tc>
          <w:tcPr>
            <w:tcW w:w="991"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316" w:lineRule="auto"/>
              <w:ind w:left="24" w:right="55"/>
              <w:jc w:val="left"/>
              <w:rPr>
                <w:rFonts w:ascii="宋体" w:hAnsi="宋体" w:cs="宋体" w:eastAsia="宋体" w:hint="default"/>
                <w:sz w:val="18"/>
                <w:szCs w:val="18"/>
              </w:rPr>
            </w:pPr>
            <w:r>
              <w:rPr>
                <w:rFonts w:ascii="宋体" w:hAnsi="宋体" w:cs="宋体" w:eastAsia="宋体" w:hint="default"/>
                <w:sz w:val="18"/>
                <w:szCs w:val="18"/>
              </w:rPr>
              <w:t>被有权机关 调查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已及时整改</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《证券时报》和巨潮资讯网披露</w:t>
            </w:r>
          </w:p>
          <w:p>
            <w:pPr>
              <w:pStyle w:val="TableParagraph"/>
              <w:spacing w:line="300" w:lineRule="auto" w:before="76"/>
              <w:ind w:left="24" w:right="22"/>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2018-030</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号《关于深圳证监局对公</w:t>
            </w:r>
            <w:r>
              <w:rPr>
                <w:rFonts w:ascii="宋体" w:hAnsi="宋体" w:cs="宋体" w:eastAsia="宋体" w:hint="default"/>
                <w:sz w:val="18"/>
                <w:szCs w:val="18"/>
              </w:rPr>
              <w:t> 司采取责令改正措施决定的整改报</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34"/>
        <w:gridCol w:w="768"/>
        <w:gridCol w:w="1561"/>
        <w:gridCol w:w="991"/>
        <w:gridCol w:w="1136"/>
        <w:gridCol w:w="1274"/>
        <w:gridCol w:w="2909"/>
      </w:tblGrid>
      <w:tr>
        <w:trPr>
          <w:trHeight w:val="713" w:hRule="exact"/>
        </w:trPr>
        <w:tc>
          <w:tcPr>
            <w:tcW w:w="934"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并披露</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告》</w:t>
            </w:r>
          </w:p>
        </w:tc>
      </w:tr>
      <w:tr>
        <w:trPr>
          <w:trHeight w:val="2899"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3" w:right="86"/>
              <w:jc w:val="both"/>
              <w:rPr>
                <w:rFonts w:ascii="宋体" w:hAnsi="宋体" w:cs="宋体" w:eastAsia="宋体" w:hint="default"/>
                <w:sz w:val="18"/>
                <w:szCs w:val="18"/>
              </w:rPr>
            </w:pPr>
            <w:r>
              <w:rPr>
                <w:rFonts w:ascii="宋体" w:hAnsi="宋体" w:cs="宋体" w:eastAsia="宋体" w:hint="default"/>
                <w:sz w:val="18"/>
                <w:szCs w:val="18"/>
              </w:rPr>
              <w:t>部分募集资金使用 不符合投资计划指 定的用途</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4" w:lineRule="auto"/>
              <w:ind w:left="24" w:right="55"/>
              <w:jc w:val="left"/>
              <w:rPr>
                <w:rFonts w:ascii="宋体" w:hAnsi="宋体" w:cs="宋体" w:eastAsia="宋体" w:hint="default"/>
                <w:sz w:val="18"/>
                <w:szCs w:val="18"/>
              </w:rPr>
            </w:pPr>
            <w:r>
              <w:rPr>
                <w:rFonts w:ascii="宋体" w:hAnsi="宋体" w:cs="宋体" w:eastAsia="宋体" w:hint="default"/>
                <w:sz w:val="18"/>
                <w:szCs w:val="18"/>
              </w:rPr>
              <w:t>被有权机关 调查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1"/>
              <w:jc w:val="both"/>
              <w:rPr>
                <w:rFonts w:ascii="宋体" w:hAnsi="宋体" w:cs="宋体" w:eastAsia="宋体" w:hint="default"/>
                <w:sz w:val="18"/>
                <w:szCs w:val="18"/>
              </w:rPr>
            </w:pPr>
            <w:r>
              <w:rPr>
                <w:rFonts w:ascii="宋体" w:hAnsi="宋体" w:cs="宋体" w:eastAsia="宋体" w:hint="default"/>
                <w:sz w:val="18"/>
                <w:szCs w:val="18"/>
              </w:rPr>
              <w:t>已主动将部 分列支的与 研发中心募 投项目无关 的资金退还 至公司研发 中心项目募 集资金专有 账户</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《证券时报》和巨潮资讯网披露</w:t>
            </w:r>
          </w:p>
          <w:p>
            <w:pPr>
              <w:pStyle w:val="TableParagraph"/>
              <w:spacing w:line="309" w:lineRule="auto" w:before="76"/>
              <w:ind w:left="24" w:right="22"/>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2018-030</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号《关于深圳证监局对公</w:t>
            </w:r>
            <w:r>
              <w:rPr>
                <w:rFonts w:ascii="宋体" w:hAnsi="宋体" w:cs="宋体" w:eastAsia="宋体" w:hint="default"/>
                <w:sz w:val="18"/>
                <w:szCs w:val="18"/>
              </w:rPr>
              <w:t> 司采取责令改正措施决定的整改报 告》</w:t>
            </w:r>
          </w:p>
        </w:tc>
      </w:tr>
      <w:tr>
        <w:trPr>
          <w:trHeight w:val="4460" w:hRule="exact"/>
        </w:trPr>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09" w:lineRule="auto"/>
              <w:ind w:left="23" w:right="17"/>
              <w:jc w:val="left"/>
              <w:rPr>
                <w:rFonts w:ascii="宋体" w:hAnsi="宋体" w:cs="宋体" w:eastAsia="宋体" w:hint="default"/>
                <w:sz w:val="18"/>
                <w:szCs w:val="18"/>
              </w:rPr>
            </w:pPr>
            <w:r>
              <w:rPr>
                <w:rFonts w:ascii="宋体" w:hAnsi="宋体" w:cs="宋体" w:eastAsia="宋体" w:hint="default"/>
                <w:sz w:val="18"/>
                <w:szCs w:val="18"/>
              </w:rPr>
              <w:t>部分事项核算错误 导致公司</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年业 绩快报未及时修正</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24" w:right="55"/>
              <w:jc w:val="left"/>
              <w:rPr>
                <w:rFonts w:ascii="宋体" w:hAnsi="宋体" w:cs="宋体" w:eastAsia="宋体" w:hint="default"/>
                <w:sz w:val="18"/>
                <w:szCs w:val="18"/>
              </w:rPr>
            </w:pPr>
            <w:r>
              <w:rPr>
                <w:rFonts w:ascii="宋体" w:hAnsi="宋体" w:cs="宋体" w:eastAsia="宋体" w:hint="default"/>
                <w:sz w:val="18"/>
                <w:szCs w:val="18"/>
              </w:rPr>
              <w:t>被有权机关 调查</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公司已按照</w:t>
            </w:r>
          </w:p>
          <w:p>
            <w:pPr>
              <w:pStyle w:val="TableParagraph"/>
              <w:spacing w:line="316" w:lineRule="auto" w:before="76"/>
              <w:ind w:left="24" w:right="21"/>
              <w:jc w:val="left"/>
              <w:rPr>
                <w:rFonts w:ascii="宋体" w:hAnsi="宋体" w:cs="宋体" w:eastAsia="宋体" w:hint="default"/>
                <w:sz w:val="18"/>
                <w:szCs w:val="18"/>
              </w:rPr>
            </w:pPr>
            <w:r>
              <w:rPr>
                <w:rFonts w:ascii="宋体" w:hAnsi="宋体" w:cs="宋体" w:eastAsia="宋体" w:hint="default"/>
                <w:sz w:val="18"/>
                <w:szCs w:val="18"/>
              </w:rPr>
              <w:t>《公司年报 信息披露重 大差错责任 追究制度》的 相关规定对 本次业绩修 正事宜进行 了责任认定 和处罚，同时 加强会计核 算、监督、复 核及内控工</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作</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《证券时报》和巨潮资讯网披露</w:t>
            </w:r>
          </w:p>
          <w:p>
            <w:pPr>
              <w:pStyle w:val="TableParagraph"/>
              <w:spacing w:line="309" w:lineRule="auto" w:before="74"/>
              <w:ind w:left="24" w:right="22"/>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2018-030</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号《关于深圳证监局对公</w:t>
            </w:r>
            <w:r>
              <w:rPr>
                <w:rFonts w:ascii="宋体" w:hAnsi="宋体" w:cs="宋体" w:eastAsia="宋体" w:hint="default"/>
                <w:sz w:val="18"/>
                <w:szCs w:val="18"/>
              </w:rPr>
              <w:t> 司采取责令改正措施决定的整改报 告》</w:t>
            </w:r>
          </w:p>
        </w:tc>
      </w:tr>
    </w:tbl>
    <w:p>
      <w:pPr>
        <w:pStyle w:val="BodyText"/>
        <w:spacing w:line="240" w:lineRule="auto" w:before="49"/>
        <w:ind w:right="0"/>
        <w:jc w:val="both"/>
      </w:pPr>
      <w:r>
        <w:rPr/>
        <w:t>整改情况说明</w:t>
      </w:r>
    </w:p>
    <w:p>
      <w:pPr>
        <w:pStyle w:val="BodyText"/>
        <w:spacing w:line="340" w:lineRule="auto" w:before="115"/>
        <w:ind w:left="513" w:right="243" w:hanging="361"/>
        <w:jc w:val="left"/>
        <w:rPr>
          <w:rFonts w:ascii="Times New Roman" w:hAnsi="Times New Roman" w:cs="Times New Roman" w:eastAsia="Times New Roman" w:hint="default"/>
        </w:rPr>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月收到深圳证监局下发的《关于对深圳市证通电子股份有限公司采取责令改正措施的决定》（</w:t>
      </w:r>
      <w:r>
        <w:rPr>
          <w:rFonts w:ascii="Times New Roman" w:hAnsi="Times New Roman" w:cs="Times New Roman" w:eastAsia="Times New Roman" w:hint="default"/>
        </w:rPr>
        <w:t>[2018]14</w:t>
      </w:r>
    </w:p>
    <w:p>
      <w:pPr>
        <w:pStyle w:val="BodyText"/>
        <w:spacing w:line="215" w:lineRule="exact"/>
        <w:ind w:right="0"/>
        <w:jc w:val="both"/>
      </w:pPr>
      <w:r>
        <w:rPr/>
        <w:t>号，指出公司在个别关联交易事项披露不及时、部分募集资金使用不符合投资计划指定的用途、部分事项核算错误导致公司</w:t>
      </w:r>
    </w:p>
    <w:p>
      <w:pPr>
        <w:pStyle w:val="BodyText"/>
        <w:spacing w:line="307" w:lineRule="auto" w:before="76"/>
        <w:ind w:right="102"/>
        <w:jc w:val="both"/>
      </w:pPr>
      <w:r>
        <w:rPr>
          <w:rFonts w:ascii="Times New Roman" w:hAnsi="Times New Roman" w:cs="Times New Roman" w:eastAsia="Times New Roman" w:hint="default"/>
          <w:spacing w:val="-2"/>
        </w:rPr>
        <w:t>2016</w:t>
      </w:r>
      <w:r>
        <w:rPr>
          <w:spacing w:val="-2"/>
        </w:rPr>
        <w:t>年业绩快报出现重大修正等方面存在问题。公司收到决定书后，立即召开专项整改会议，对有关问题进行了认真的梳理</w:t>
      </w:r>
      <w:r>
        <w:rPr>
          <w:spacing w:val="-61"/>
        </w:rPr>
        <w:t> </w:t>
      </w:r>
      <w:r>
        <w:rPr>
          <w:spacing w:val="-61"/>
        </w:rPr>
      </w:r>
      <w:r>
        <w:rPr>
          <w:spacing w:val="-2"/>
        </w:rPr>
        <w:t>和分析，制定了切实的整改措施和计划，并指定专人负责落实，形成了《关于深圳证监局对公司采取责令改正措施决定的整</w:t>
      </w:r>
      <w:r>
        <w:rPr>
          <w:spacing w:val="-64"/>
        </w:rPr>
        <w:t> </w:t>
      </w:r>
      <w:r>
        <w:rPr>
          <w:spacing w:val="-64"/>
        </w:rPr>
      </w:r>
      <w:r>
        <w:rPr>
          <w:spacing w:val="-2"/>
        </w:rPr>
        <w:t>改报告》，该整改报告已经公司第四届董事会第二十二次（临时）会议审议通过。具体内容详见公司刊登于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9</w:t>
      </w:r>
      <w:r>
        <w:rPr>
          <w:spacing w:val="-2"/>
        </w:rPr>
        <w:t>日巨</w:t>
      </w:r>
      <w:r>
        <w:rPr>
          <w:spacing w:val="-63"/>
        </w:rPr>
        <w:t> </w:t>
      </w:r>
      <w:r>
        <w:rPr/>
        <w:t>潮资讯网（</w:t>
      </w:r>
      <w:hyperlink r:id="rId13">
        <w:r>
          <w:rPr>
            <w:rFonts w:ascii="Times New Roman" w:hAnsi="Times New Roman" w:cs="Times New Roman" w:eastAsia="Times New Roman" w:hint="default"/>
          </w:rPr>
          <w:t>www.cninfo.com.cn</w:t>
        </w:r>
      </w:hyperlink>
      <w:r>
        <w:rPr/>
        <w:t>）的《关于深圳证监局对公司采取责令改正措施决定的整改报告》（公告编号：</w:t>
      </w:r>
      <w:r>
        <w:rPr>
          <w:rFonts w:ascii="Times New Roman" w:hAnsi="Times New Roman" w:cs="Times New Roman" w:eastAsia="Times New Roman" w:hint="default"/>
        </w:rPr>
        <w:t>2018-030</w:t>
      </w:r>
      <w:r>
        <w:rPr/>
        <w:t>）。</w:t>
      </w:r>
    </w:p>
    <w:p>
      <w:pPr>
        <w:spacing w:line="240" w:lineRule="auto" w:before="12"/>
        <w:rPr>
          <w:rFonts w:ascii="宋体" w:hAnsi="宋体" w:cs="宋体" w:eastAsia="宋体" w:hint="default"/>
          <w:sz w:val="19"/>
          <w:szCs w:val="19"/>
        </w:rPr>
      </w:pPr>
    </w:p>
    <w:p>
      <w:pPr>
        <w:pStyle w:val="Heading2"/>
        <w:spacing w:line="240" w:lineRule="auto"/>
        <w:ind w:right="0"/>
        <w:jc w:val="both"/>
        <w:rPr>
          <w:b w:val="0"/>
          <w:bCs w:val="0"/>
        </w:rPr>
      </w:pPr>
      <w:r>
        <w:rPr/>
        <w:t>十四、公司及其控股股东、实际控制人的诚信状况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513" w:right="6754"/>
        <w:jc w:val="left"/>
      </w:pPr>
      <w:r>
        <w:rPr>
          <w:rFonts w:ascii="Times New Roman" w:hAnsi="Times New Roman" w:cs="Times New Roman" w:eastAsia="Times New Roman" w:hint="default"/>
        </w:rPr>
        <w:t>1</w:t>
      </w:r>
      <w:r>
        <w:rPr/>
        <w:t>、股权激励</w:t>
      </w:r>
    </w:p>
    <w:p>
      <w:pPr>
        <w:pStyle w:val="BodyText"/>
        <w:spacing w:line="240" w:lineRule="auto" w:before="63"/>
        <w:ind w:left="422" w:right="0"/>
        <w:jc w:val="left"/>
      </w:pPr>
      <w:r>
        <w:rPr/>
        <w:t>（</w:t>
      </w:r>
      <w:r>
        <w:rPr>
          <w:rFonts w:ascii="Times New Roman" w:hAnsi="Times New Roman" w:cs="Times New Roman" w:eastAsia="Times New Roman" w:hint="default"/>
        </w:rPr>
        <w:t>1</w:t>
      </w:r>
      <w:r>
        <w:rPr/>
        <w:t>）根据《公司首期限制性股票激励计划》，公司于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月以定向发行的方式授予部分董事、高级管理人员以及核</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left="192" w:right="151"/>
        <w:jc w:val="both"/>
      </w:pPr>
      <w:r>
        <w:rPr>
          <w:spacing w:val="-1"/>
        </w:rPr>
        <w:t>心技术及业务人员等</w:t>
      </w:r>
      <w:r>
        <w:rPr>
          <w:rFonts w:ascii="Times New Roman" w:hAnsi="Times New Roman" w:cs="Times New Roman" w:eastAsia="Times New Roman" w:hint="default"/>
          <w:spacing w:val="-1"/>
        </w:rPr>
        <w:t>189</w:t>
      </w:r>
      <w:r>
        <w:rPr>
          <w:spacing w:val="-1"/>
        </w:rPr>
        <w:t>名激励对象定向发行</w:t>
      </w:r>
      <w:r>
        <w:rPr>
          <w:rFonts w:ascii="Times New Roman" w:hAnsi="Times New Roman" w:cs="Times New Roman" w:eastAsia="Times New Roman" w:hint="default"/>
          <w:spacing w:val="-1"/>
        </w:rPr>
        <w:t>675.30</w:t>
      </w:r>
      <w:r>
        <w:rPr>
          <w:spacing w:val="-1"/>
        </w:rPr>
        <w:t>万股限制性股票；公司于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月回购注销了未达到第一期解锁条件及</w:t>
      </w:r>
      <w:r>
        <w:rPr>
          <w:spacing w:val="-73"/>
        </w:rPr>
        <w:t> </w:t>
      </w:r>
      <w:r>
        <w:rPr>
          <w:spacing w:val="-73"/>
        </w:rPr>
      </w:r>
      <w:r>
        <w:rPr>
          <w:spacing w:val="-1"/>
        </w:rPr>
        <w:t>部分已不符合激励条件的激励对象已获授但尚未解锁的限制性股票共计</w:t>
      </w:r>
      <w:r>
        <w:rPr>
          <w:rFonts w:ascii="Times New Roman" w:hAnsi="Times New Roman" w:cs="Times New Roman" w:eastAsia="Times New Roman" w:hint="default"/>
          <w:spacing w:val="-1"/>
        </w:rPr>
        <w:t>336.4640</w:t>
      </w:r>
      <w:r>
        <w:rPr>
          <w:spacing w:val="-1"/>
        </w:rPr>
        <w:t>万股；公司于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月向</w:t>
      </w:r>
      <w:r>
        <w:rPr>
          <w:rFonts w:ascii="Times New Roman" w:hAnsi="Times New Roman" w:cs="Times New Roman" w:eastAsia="Times New Roman" w:hint="default"/>
          <w:spacing w:val="-1"/>
        </w:rPr>
        <w:t>15</w:t>
      </w:r>
      <w:r>
        <w:rPr>
          <w:spacing w:val="-1"/>
        </w:rPr>
        <w:t>名激励对象授</w:t>
      </w:r>
      <w:r>
        <w:rPr>
          <w:spacing w:val="-73"/>
        </w:rPr>
        <w:t> </w:t>
      </w:r>
      <w:r>
        <w:rPr>
          <w:spacing w:val="-73"/>
        </w:rPr>
      </w:r>
      <w:r>
        <w:rPr>
          <w:spacing w:val="-1"/>
        </w:rPr>
        <w:t>予预留限制性股票</w:t>
      </w:r>
      <w:r>
        <w:rPr>
          <w:rFonts w:ascii="Times New Roman" w:hAnsi="Times New Roman" w:cs="Times New Roman" w:eastAsia="Times New Roman" w:hint="default"/>
          <w:spacing w:val="-1"/>
        </w:rPr>
        <w:t>68.50</w:t>
      </w:r>
      <w:r>
        <w:rPr>
          <w:spacing w:val="-1"/>
        </w:rPr>
        <w:t>万股。以上事项详见于</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10</w:t>
      </w:r>
      <w:r>
        <w:rPr>
          <w:spacing w:val="-1"/>
        </w:rPr>
        <w:t>日、</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18</w:t>
      </w:r>
      <w:r>
        <w:rPr>
          <w:spacing w:val="-1"/>
        </w:rPr>
        <w:t>日披露于《证券时报》及巨</w:t>
      </w:r>
      <w:r>
        <w:rPr>
          <w:spacing w:val="-75"/>
        </w:rPr>
        <w:t> </w:t>
      </w:r>
      <w:r>
        <w:rPr>
          <w:spacing w:val="-75"/>
        </w:rPr>
      </w:r>
      <w:r>
        <w:rPr>
          <w:spacing w:val="-4"/>
        </w:rPr>
        <w:t>潮资讯网上的《公司限制性股票授予完成的公告》（编号：</w:t>
      </w:r>
      <w:r>
        <w:rPr>
          <w:rFonts w:ascii="Times New Roman" w:hAnsi="Times New Roman" w:cs="Times New Roman" w:eastAsia="Times New Roman" w:hint="default"/>
          <w:spacing w:val="-4"/>
        </w:rPr>
        <w:t>2014-088</w:t>
      </w:r>
      <w:r>
        <w:rPr>
          <w:spacing w:val="-4"/>
        </w:rPr>
        <w:t>号）、《公司关于部分限制性股票回购注销完成的公告》</w:t>
      </w:r>
    </w:p>
    <w:p>
      <w:pPr>
        <w:pStyle w:val="BodyText"/>
        <w:spacing w:line="240" w:lineRule="auto" w:before="13"/>
        <w:ind w:left="101" w:right="0"/>
        <w:jc w:val="both"/>
      </w:pPr>
      <w:r>
        <w:rPr/>
        <w:t>（编号：</w:t>
      </w:r>
      <w:r>
        <w:rPr>
          <w:rFonts w:ascii="Times New Roman" w:hAnsi="Times New Roman" w:cs="Times New Roman" w:eastAsia="Times New Roman" w:hint="default"/>
        </w:rPr>
        <w:t>2015-065</w:t>
      </w:r>
      <w:r>
        <w:rPr/>
        <w:t>号）、《公司关于关于预留限制性股票授予完成的公告》（编号：</w:t>
      </w:r>
      <w:r>
        <w:rPr>
          <w:rFonts w:ascii="Times New Roman" w:hAnsi="Times New Roman" w:cs="Times New Roman" w:eastAsia="Times New Roman" w:hint="default"/>
        </w:rPr>
        <w:t>2015-106</w:t>
      </w:r>
      <w:r>
        <w:rPr/>
        <w:t>号）。</w:t>
      </w:r>
    </w:p>
    <w:p>
      <w:pPr>
        <w:pStyle w:val="BodyText"/>
        <w:spacing w:line="309" w:lineRule="auto" w:before="63"/>
        <w:ind w:left="192" w:right="153" w:firstLine="269"/>
        <w:jc w:val="both"/>
      </w:pPr>
      <w:r>
        <w:rPr/>
        <w:t>（</w:t>
      </w: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日召开的第四届董事会第二次会议审议通过《关于公司回购注销部分已不符合激励条件的激励 </w:t>
      </w:r>
      <w:r>
        <w:rPr>
          <w:spacing w:val="-2"/>
        </w:rPr>
        <w:t>对象已获授但尚未解锁的限制性股票的议案》，公司对首期限制性股票股权激励计划中因离职及死亡的原激励对象已获授但</w:t>
      </w:r>
      <w:r>
        <w:rPr>
          <w:spacing w:val="-64"/>
        </w:rPr>
        <w:t> </w:t>
      </w:r>
      <w:r>
        <w:rPr>
          <w:spacing w:val="-64"/>
        </w:rPr>
      </w:r>
      <w:r>
        <w:rPr/>
        <w:t>尚未解锁的限制性股票共计</w:t>
      </w:r>
      <w:r>
        <w:rPr>
          <w:rFonts w:ascii="Times New Roman" w:hAnsi="Times New Roman" w:cs="Times New Roman" w:eastAsia="Times New Roman" w:hint="default"/>
        </w:rPr>
        <w:t>24.64</w:t>
      </w:r>
      <w:r>
        <w:rPr/>
        <w:t>万股进行回购注销。</w:t>
      </w:r>
    </w:p>
    <w:p>
      <w:pPr>
        <w:pStyle w:val="BodyText"/>
        <w:spacing w:line="300" w:lineRule="auto" w:before="5"/>
        <w:ind w:left="192" w:right="148" w:firstLine="360"/>
        <w:jc w:val="both"/>
      </w:pPr>
      <w:r>
        <w:rPr/>
        <w:t>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日在中国登记结算有限公司深圳分公司完成了上述限制性股票的回购和注销登记手续。相关事项详 见公司于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日披露于《证券时报》及巨潮资讯网上的《公司关于回购注销部分已不符合激励条件的激励对象已获 </w:t>
      </w:r>
      <w:r>
        <w:rPr>
          <w:spacing w:val="-9"/>
        </w:rPr>
        <w:t>授但尚未解锁的限制性股票的公告》（编号：</w:t>
      </w:r>
      <w:r>
        <w:rPr>
          <w:rFonts w:ascii="Times New Roman" w:hAnsi="Times New Roman" w:cs="Times New Roman" w:eastAsia="Times New Roman" w:hint="default"/>
          <w:spacing w:val="-9"/>
        </w:rPr>
        <w:t>2016-058</w:t>
      </w:r>
      <w:r>
        <w:rPr>
          <w:spacing w:val="-9"/>
        </w:rPr>
        <w:t>号）、《公司关于部分限制性股票回购注销完成的公告》（编号：</w:t>
      </w:r>
      <w:r>
        <w:rPr>
          <w:rFonts w:ascii="Times New Roman" w:hAnsi="Times New Roman" w:cs="Times New Roman" w:eastAsia="Times New Roman" w:hint="default"/>
          <w:spacing w:val="-9"/>
        </w:rPr>
        <w:t>2016-075</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号）。</w:t>
      </w:r>
    </w:p>
    <w:p>
      <w:pPr>
        <w:pStyle w:val="BodyText"/>
        <w:spacing w:line="304" w:lineRule="auto" w:before="31"/>
        <w:ind w:left="192" w:right="152" w:firstLine="269"/>
        <w:jc w:val="both"/>
      </w:pPr>
      <w:r>
        <w:rPr>
          <w:spacing w:val="-2"/>
        </w:rPr>
        <w:t>（</w:t>
      </w:r>
      <w:r>
        <w:rPr>
          <w:rFonts w:ascii="Times New Roman" w:hAnsi="Times New Roman" w:cs="Times New Roman" w:eastAsia="Times New Roman" w:hint="default"/>
          <w:spacing w:val="-2"/>
        </w:rPr>
        <w:t>3</w:t>
      </w:r>
      <w:r>
        <w:rPr>
          <w:spacing w:val="-2"/>
        </w:rPr>
        <w:t>）公司于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20</w:t>
      </w:r>
      <w:r>
        <w:rPr>
          <w:spacing w:val="-2"/>
        </w:rPr>
        <w:t>日召开的第四届董事会第九次会议审议通过《关于公司股权激励限制性股票首次授予第二个解</w:t>
      </w:r>
      <w:r>
        <w:rPr/>
        <w:t> </w:t>
      </w:r>
      <w:r>
        <w:rPr>
          <w:spacing w:val="-2"/>
        </w:rPr>
        <w:t>锁期及预留授予第一个解锁期解锁条件成就的议案》，公司对首期限制性股票激励计划中首次授予及预留授予的限制性股票</w:t>
      </w:r>
      <w:r>
        <w:rPr>
          <w:spacing w:val="-64"/>
        </w:rPr>
        <w:t> </w:t>
      </w:r>
      <w:r>
        <w:rPr>
          <w:spacing w:val="-64"/>
        </w:rPr>
      </w:r>
      <w:r>
        <w:rPr>
          <w:rFonts w:ascii="Times New Roman" w:hAnsi="Times New Roman" w:cs="Times New Roman" w:eastAsia="Times New Roman" w:hint="default"/>
        </w:rPr>
        <w:t>3,357,040</w:t>
      </w:r>
      <w:r>
        <w:rPr/>
        <w:t>股申请解除限售，本次限制性股票的上市流通日为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9</w:t>
      </w:r>
      <w:r>
        <w:rPr/>
        <w:t>日。相关事项详见公司于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 </w:t>
      </w:r>
      <w:r>
        <w:rPr/>
        <w:t>月</w:t>
      </w:r>
      <w:r>
        <w:rPr>
          <w:rFonts w:ascii="Times New Roman" w:hAnsi="Times New Roman" w:cs="Times New Roman" w:eastAsia="Times New Roman" w:hint="default"/>
        </w:rPr>
        <w:t>4</w:t>
      </w:r>
      <w:r>
        <w:rPr/>
        <w:t>日披露于《证券时报》及巨潮资讯网上的《公司关于股权激励限制性股票首次授予第二个解锁期及预留授予第一个解锁 期可解锁的公告》（编号：</w:t>
      </w:r>
      <w:r>
        <w:rPr>
          <w:rFonts w:ascii="Times New Roman" w:hAnsi="Times New Roman" w:cs="Times New Roman" w:eastAsia="Times New Roman" w:hint="default"/>
        </w:rPr>
        <w:t>2016-114</w:t>
      </w:r>
      <w:r>
        <w:rPr/>
        <w:t>号）、《公司关于限制性股票解锁上市流通的提示性公告》（编号</w:t>
      </w:r>
      <w:r>
        <w:rPr>
          <w:rFonts w:ascii="Times New Roman" w:hAnsi="Times New Roman" w:cs="Times New Roman" w:eastAsia="Times New Roman" w:hint="default"/>
        </w:rPr>
        <w:t>2016-119</w:t>
      </w:r>
      <w:r>
        <w:rPr/>
        <w:t>号）。</w:t>
      </w:r>
    </w:p>
    <w:p>
      <w:pPr>
        <w:pStyle w:val="BodyText"/>
        <w:spacing w:line="304" w:lineRule="auto" w:before="9"/>
        <w:ind w:left="192" w:right="149" w:firstLine="269"/>
        <w:jc w:val="both"/>
      </w:pPr>
      <w:r>
        <w:rPr>
          <w:spacing w:val="-2"/>
        </w:rPr>
        <w:t>（</w:t>
      </w:r>
      <w:r>
        <w:rPr>
          <w:rFonts w:ascii="Times New Roman" w:hAnsi="Times New Roman" w:cs="Times New Roman" w:eastAsia="Times New Roman" w:hint="default"/>
          <w:spacing w:val="-2"/>
        </w:rPr>
        <w:t>4</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9</w:t>
      </w:r>
      <w:r>
        <w:rPr>
          <w:spacing w:val="-2"/>
        </w:rPr>
        <w:t>日召开第四届董事会第十四次会议审议通过了《关于公司回购注销未达到解锁条件及部分已不符</w:t>
      </w:r>
      <w:r>
        <w:rPr/>
        <w:t> </w:t>
      </w:r>
      <w:r>
        <w:rPr>
          <w:spacing w:val="-2"/>
        </w:rPr>
        <w:t>合激励条件的激励对象已获授但尚未解锁的限制性股票的议案》，同意公司对首期限制性股票股权激励计划中激励对象首次</w:t>
      </w:r>
      <w:r>
        <w:rPr>
          <w:spacing w:val="-64"/>
        </w:rPr>
        <w:t> </w:t>
      </w:r>
      <w:r>
        <w:rPr>
          <w:spacing w:val="-64"/>
        </w:rPr>
      </w:r>
      <w:r>
        <w:rPr>
          <w:spacing w:val="-2"/>
        </w:rPr>
        <w:t>授予的未达到第三期解锁条件的</w:t>
      </w:r>
      <w:r>
        <w:rPr>
          <w:rFonts w:ascii="Times New Roman" w:hAnsi="Times New Roman" w:cs="Times New Roman" w:eastAsia="Times New Roman" w:hint="default"/>
          <w:spacing w:val="-2"/>
        </w:rPr>
        <w:t>398.912</w:t>
      </w:r>
      <w:r>
        <w:rPr>
          <w:spacing w:val="-2"/>
        </w:rPr>
        <w:t>万股限制性股票、预留授予的未达到第二期解锁条件的</w:t>
      </w:r>
      <w:r>
        <w:rPr>
          <w:rFonts w:ascii="Times New Roman" w:hAnsi="Times New Roman" w:cs="Times New Roman" w:eastAsia="Times New Roman" w:hint="default"/>
          <w:spacing w:val="-2"/>
        </w:rPr>
        <w:t>34.2</w:t>
      </w:r>
      <w:r>
        <w:rPr>
          <w:spacing w:val="-2"/>
        </w:rPr>
        <w:t>万股限制性股票及因离职</w:t>
      </w:r>
      <w:r>
        <w:rPr>
          <w:spacing w:val="-56"/>
        </w:rPr>
        <w:t> </w:t>
      </w:r>
      <w:r>
        <w:rPr>
          <w:spacing w:val="-56"/>
        </w:rPr>
      </w:r>
      <w:r>
        <w:rPr>
          <w:spacing w:val="-1"/>
        </w:rPr>
        <w:t>导致已不符合激励条件的</w:t>
      </w:r>
      <w:r>
        <w:rPr>
          <w:rFonts w:ascii="Times New Roman" w:hAnsi="Times New Roman" w:cs="Times New Roman" w:eastAsia="Times New Roman" w:hint="default"/>
          <w:spacing w:val="-1"/>
        </w:rPr>
        <w:t>9</w:t>
      </w:r>
      <w:r>
        <w:rPr>
          <w:spacing w:val="-1"/>
        </w:rPr>
        <w:t>名原激励对象已获授但尚未解锁的</w:t>
      </w:r>
      <w:r>
        <w:rPr>
          <w:rFonts w:ascii="Times New Roman" w:hAnsi="Times New Roman" w:cs="Times New Roman" w:eastAsia="Times New Roman" w:hint="default"/>
          <w:spacing w:val="-1"/>
        </w:rPr>
        <w:t>19.06</w:t>
      </w:r>
      <w:r>
        <w:rPr>
          <w:spacing w:val="-1"/>
        </w:rPr>
        <w:t>万股限制性股票进行回购注销，本次回购注销限制性股票</w:t>
      </w:r>
      <w:r>
        <w:rPr>
          <w:spacing w:val="-70"/>
        </w:rPr>
        <w:t> </w:t>
      </w:r>
      <w:r>
        <w:rPr>
          <w:spacing w:val="-70"/>
        </w:rPr>
      </w:r>
      <w:r>
        <w:rPr>
          <w:spacing w:val="-1"/>
        </w:rPr>
        <w:t>共计</w:t>
      </w:r>
      <w:r>
        <w:rPr>
          <w:rFonts w:ascii="Times New Roman" w:hAnsi="Times New Roman" w:cs="Times New Roman" w:eastAsia="Times New Roman" w:hint="default"/>
          <w:spacing w:val="-1"/>
        </w:rPr>
        <w:t>452.172</w:t>
      </w:r>
      <w:r>
        <w:rPr>
          <w:spacing w:val="-1"/>
        </w:rPr>
        <w:t>万股。相关事项详见公司于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17</w:t>
      </w:r>
      <w:r>
        <w:rPr>
          <w:spacing w:val="-1"/>
        </w:rPr>
        <w:t>日披露于《证券时报》及巨潮资讯网上的《公司关于回购注销未达到解</w:t>
      </w:r>
      <w:r>
        <w:rPr>
          <w:spacing w:val="-74"/>
        </w:rPr>
        <w:t> </w:t>
      </w:r>
      <w:r>
        <w:rPr>
          <w:spacing w:val="-74"/>
        </w:rPr>
      </w:r>
      <w:r>
        <w:rPr/>
        <w:t>锁条件及部分已不符合激励条件的激励对象已获授但尚未解锁的限制性股票的公告》（编号：</w:t>
      </w:r>
      <w:r>
        <w:rPr>
          <w:rFonts w:ascii="Times New Roman" w:hAnsi="Times New Roman" w:cs="Times New Roman" w:eastAsia="Times New Roman" w:hint="default"/>
        </w:rPr>
        <w:t>2017-046</w:t>
      </w:r>
      <w:r>
        <w:rPr/>
        <w:t>号）</w:t>
      </w:r>
    </w:p>
    <w:p>
      <w:pPr>
        <w:pStyle w:val="BodyText"/>
        <w:spacing w:line="240" w:lineRule="auto" w:before="9"/>
        <w:ind w:left="535" w:right="8061"/>
        <w:jc w:val="center"/>
      </w:pPr>
      <w:r>
        <w:rPr>
          <w:rFonts w:ascii="Times New Roman" w:hAnsi="Times New Roman" w:cs="Times New Roman" w:eastAsia="Times New Roman" w:hint="default"/>
        </w:rPr>
        <w:t>2</w:t>
      </w:r>
      <w:r>
        <w:rPr/>
        <w:t>、员工持股计划</w:t>
      </w:r>
    </w:p>
    <w:p>
      <w:pPr>
        <w:pStyle w:val="BodyText"/>
        <w:spacing w:line="300" w:lineRule="auto" w:before="63"/>
        <w:ind w:left="192" w:right="153" w:firstLine="269"/>
        <w:jc w:val="both"/>
      </w:pPr>
      <w:r>
        <w:rPr>
          <w:spacing w:val="-1"/>
        </w:rPr>
        <w:t>（</w:t>
      </w:r>
      <w:r>
        <w:rPr>
          <w:rFonts w:ascii="Times New Roman" w:hAnsi="Times New Roman" w:cs="Times New Roman" w:eastAsia="Times New Roman" w:hint="default"/>
          <w:spacing w:val="-1"/>
        </w:rPr>
        <w:t>1</w:t>
      </w:r>
      <w:r>
        <w:rPr>
          <w:spacing w:val="-1"/>
        </w:rPr>
        <w:t>）公司于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25</w:t>
      </w:r>
      <w:r>
        <w:rPr>
          <w:spacing w:val="-1"/>
        </w:rPr>
        <w:t>日召开的第四届董事会第十五次会议审议通过了《关于</w:t>
      </w:r>
      <w:r>
        <w:rPr>
          <w:rFonts w:ascii="Times New Roman" w:hAnsi="Times New Roman" w:cs="Times New Roman" w:eastAsia="Times New Roman" w:hint="default"/>
          <w:spacing w:val="-1"/>
        </w:rPr>
        <w:t>&lt;</w:t>
      </w:r>
      <w:r>
        <w:rPr>
          <w:spacing w:val="-1"/>
        </w:rPr>
        <w:t>公司第一期员工持股计划（草案）</w:t>
      </w:r>
      <w:r>
        <w:rPr>
          <w:rFonts w:ascii="Times New Roman" w:hAnsi="Times New Roman" w:cs="Times New Roman" w:eastAsia="Times New Roman" w:hint="default"/>
          <w:spacing w:val="-1"/>
        </w:rPr>
        <w:t>&gt;</w:t>
      </w:r>
      <w:r>
        <w:rPr>
          <w:spacing w:val="-1"/>
        </w:rPr>
        <w:t>及</w:t>
      </w:r>
      <w:r>
        <w:rPr/>
        <w:t> </w:t>
      </w:r>
      <w:r>
        <w:rPr>
          <w:spacing w:val="-1"/>
        </w:rPr>
        <w:t>其摘要的议案》、《关于</w:t>
      </w:r>
      <w:r>
        <w:rPr>
          <w:rFonts w:ascii="Times New Roman" w:hAnsi="Times New Roman" w:cs="Times New Roman" w:eastAsia="Times New Roman" w:hint="default"/>
          <w:spacing w:val="-1"/>
        </w:rPr>
        <w:t>&lt;</w:t>
      </w:r>
      <w:r>
        <w:rPr>
          <w:spacing w:val="-1"/>
        </w:rPr>
        <w:t>公司第一期员工持股计划管理办法</w:t>
      </w:r>
      <w:r>
        <w:rPr>
          <w:rFonts w:ascii="Times New Roman" w:hAnsi="Times New Roman" w:cs="Times New Roman" w:eastAsia="Times New Roman" w:hint="default"/>
          <w:spacing w:val="-1"/>
        </w:rPr>
        <w:t>&gt;</w:t>
      </w:r>
      <w:r>
        <w:rPr>
          <w:spacing w:val="-1"/>
        </w:rPr>
        <w:t>的议案》，并于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26</w:t>
      </w:r>
      <w:r>
        <w:rPr>
          <w:spacing w:val="-1"/>
        </w:rPr>
        <w:t>日在巨潮资讯网上发布了《公司</w:t>
      </w:r>
      <w:r>
        <w:rPr>
          <w:spacing w:val="-56"/>
        </w:rPr>
        <w:t> </w:t>
      </w:r>
      <w:r>
        <w:rPr>
          <w:spacing w:val="-56"/>
        </w:rPr>
      </w:r>
      <w:r>
        <w:rPr/>
        <w:t>第一期员工持股计划（草案）》及摘要的公告（编号：</w:t>
      </w:r>
      <w:r>
        <w:rPr>
          <w:rFonts w:ascii="Times New Roman" w:hAnsi="Times New Roman" w:cs="Times New Roman" w:eastAsia="Times New Roman" w:hint="default"/>
        </w:rPr>
        <w:t>2017-059</w:t>
      </w:r>
      <w:r>
        <w:rPr/>
        <w:t>号）。</w:t>
      </w:r>
    </w:p>
    <w:p>
      <w:pPr>
        <w:pStyle w:val="BodyText"/>
        <w:spacing w:line="300" w:lineRule="auto" w:before="13"/>
        <w:ind w:left="192" w:right="147" w:firstLine="269"/>
        <w:jc w:val="both"/>
      </w:pPr>
      <w:r>
        <w:rPr>
          <w:spacing w:val="-1"/>
        </w:rPr>
        <w:t>（</w:t>
      </w:r>
      <w:r>
        <w:rPr>
          <w:rFonts w:ascii="Times New Roman" w:hAnsi="Times New Roman" w:cs="Times New Roman" w:eastAsia="Times New Roman" w:hint="default"/>
          <w:spacing w:val="-1"/>
        </w:rPr>
        <w:t>2</w:t>
      </w:r>
      <w:r>
        <w:rPr>
          <w:spacing w:val="-1"/>
        </w:rPr>
        <w:t>）</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19</w:t>
      </w:r>
      <w:r>
        <w:rPr>
          <w:spacing w:val="-1"/>
        </w:rPr>
        <w:t>日，华澳</w:t>
      </w:r>
      <w:r>
        <w:rPr>
          <w:rFonts w:ascii="Times New Roman" w:hAnsi="Times New Roman" w:cs="Times New Roman" w:eastAsia="Times New Roman" w:hint="default"/>
          <w:spacing w:val="-1"/>
        </w:rPr>
        <w:t>•</w:t>
      </w:r>
      <w:r>
        <w:rPr>
          <w:spacing w:val="-1"/>
        </w:rPr>
        <w:t>臻智</w:t>
      </w:r>
      <w:r>
        <w:rPr>
          <w:rFonts w:ascii="Times New Roman" w:hAnsi="Times New Roman" w:cs="Times New Roman" w:eastAsia="Times New Roman" w:hint="default"/>
          <w:spacing w:val="-1"/>
        </w:rPr>
        <w:t>57</w:t>
      </w:r>
      <w:r>
        <w:rPr>
          <w:spacing w:val="-1"/>
        </w:rPr>
        <w:t>号</w:t>
      </w:r>
      <w:r>
        <w:rPr>
          <w:rFonts w:ascii="Times New Roman" w:hAnsi="Times New Roman" w:cs="Times New Roman" w:eastAsia="Times New Roman" w:hint="default"/>
          <w:spacing w:val="-1"/>
        </w:rPr>
        <w:t>-</w:t>
      </w:r>
      <w:r>
        <w:rPr>
          <w:spacing w:val="-1"/>
        </w:rPr>
        <w:t>证通电子第一期员工持股集合信托计划通过二级市场集中竞价交易方式累计购买</w:t>
      </w:r>
      <w:r>
        <w:rPr/>
        <w:t> </w:t>
      </w:r>
      <w:r>
        <w:rPr>
          <w:spacing w:val="-1"/>
        </w:rPr>
        <w:t>公司股票合计</w:t>
      </w:r>
      <w:r>
        <w:rPr>
          <w:rFonts w:ascii="Times New Roman" w:hAnsi="Times New Roman" w:cs="Times New Roman" w:eastAsia="Times New Roman" w:hint="default"/>
          <w:spacing w:val="-1"/>
        </w:rPr>
        <w:t>23,121,021</w:t>
      </w:r>
      <w:r>
        <w:rPr>
          <w:spacing w:val="-1"/>
        </w:rPr>
        <w:t>股，占公司总股本的</w:t>
      </w:r>
      <w:r>
        <w:rPr>
          <w:rFonts w:ascii="Times New Roman" w:hAnsi="Times New Roman" w:cs="Times New Roman" w:eastAsia="Times New Roman" w:hint="default"/>
          <w:spacing w:val="-1"/>
        </w:rPr>
        <w:t>4.49%</w:t>
      </w:r>
      <w:r>
        <w:rPr>
          <w:spacing w:val="-1"/>
        </w:rPr>
        <w:t>，成交均价为</w:t>
      </w:r>
      <w:r>
        <w:rPr>
          <w:rFonts w:ascii="Times New Roman" w:hAnsi="Times New Roman" w:cs="Times New Roman" w:eastAsia="Times New Roman" w:hint="default"/>
          <w:spacing w:val="-1"/>
        </w:rPr>
        <w:t>12.89</w:t>
      </w:r>
      <w:r>
        <w:rPr>
          <w:spacing w:val="-1"/>
        </w:rPr>
        <w:t>元，公司已按规定于公司股东大会审议通过后</w:t>
      </w:r>
      <w:r>
        <w:rPr>
          <w:rFonts w:ascii="Times New Roman" w:hAnsi="Times New Roman" w:cs="Times New Roman" w:eastAsia="Times New Roman" w:hint="default"/>
          <w:spacing w:val="-1"/>
        </w:rPr>
        <w:t>6</w:t>
      </w:r>
      <w:r>
        <w:rPr>
          <w:spacing w:val="-1"/>
        </w:rPr>
        <w:t>个月内</w:t>
      </w:r>
      <w:r>
        <w:rPr>
          <w:spacing w:val="-83"/>
        </w:rPr>
        <w:t> </w:t>
      </w:r>
      <w:r>
        <w:rPr>
          <w:spacing w:val="-5"/>
        </w:rPr>
        <w:t>完成第一期员工持股计划标的股票的购买，其锁定期为完成股票购买日起</w:t>
      </w:r>
      <w:r>
        <w:rPr>
          <w:rFonts w:ascii="Times New Roman" w:hAnsi="Times New Roman" w:cs="Times New Roman" w:eastAsia="Times New Roman" w:hint="default"/>
          <w:spacing w:val="-5"/>
        </w:rPr>
        <w:t>12</w:t>
      </w:r>
      <w:r>
        <w:rPr>
          <w:spacing w:val="-5"/>
        </w:rPr>
        <w:t>个月，现已进入锁定期。相关事项详见公司于</w:t>
      </w:r>
      <w:r>
        <w:rPr>
          <w:rFonts w:ascii="Times New Roman" w:hAnsi="Times New Roman" w:cs="Times New Roman" w:eastAsia="Times New Roman" w:hint="default"/>
          <w:spacing w:val="-5"/>
        </w:rPr>
        <w:t>2017</w:t>
      </w:r>
      <w:r>
        <w:rPr>
          <w:rFonts w:ascii="Times New Roman" w:hAnsi="Times New Roman" w:cs="Times New Roman" w:eastAsia="Times New Roman" w:hint="default"/>
          <w:spacing w:val="-16"/>
        </w:rPr>
        <w:t> </w:t>
      </w:r>
      <w:r>
        <w:rPr>
          <w:rFonts w:ascii="Times New Roman" w:hAnsi="Times New Roman" w:cs="Times New Roman" w:eastAsia="Times New Roman" w:hint="default"/>
          <w:spacing w:val="-16"/>
        </w:rPr>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19</w:t>
      </w:r>
      <w:r>
        <w:rPr>
          <w:spacing w:val="-1"/>
        </w:rPr>
        <w:t>日披露于《证券时报》及巨潮资讯网上的《公司关于第一期员工持股计划完成股票购买的公告》（编号：</w:t>
      </w:r>
      <w:r>
        <w:rPr>
          <w:rFonts w:ascii="Times New Roman" w:hAnsi="Times New Roman" w:cs="Times New Roman" w:eastAsia="Times New Roman" w:hint="default"/>
          <w:spacing w:val="-1"/>
        </w:rPr>
        <w:t>2017-101</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号）。</w:t>
      </w:r>
    </w:p>
    <w:p>
      <w:pPr>
        <w:spacing w:line="240" w:lineRule="auto" w:before="11"/>
        <w:rPr>
          <w:rFonts w:ascii="宋体" w:hAnsi="宋体" w:cs="宋体" w:eastAsia="宋体" w:hint="default"/>
          <w:sz w:val="21"/>
          <w:szCs w:val="21"/>
        </w:rPr>
      </w:pPr>
    </w:p>
    <w:p>
      <w:pPr>
        <w:pStyle w:val="Heading2"/>
        <w:spacing w:line="240" w:lineRule="auto"/>
        <w:ind w:left="192" w:right="0"/>
        <w:jc w:val="both"/>
        <w:rPr>
          <w:b w:val="0"/>
          <w:bCs w:val="0"/>
        </w:rPr>
      </w:pP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92" w:right="0"/>
        <w:jc w:val="both"/>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192"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89" w:type="dxa"/>
        <w:tblLayout w:type="fixed"/>
        <w:tblCellMar>
          <w:top w:w="0" w:type="dxa"/>
          <w:left w:w="0" w:type="dxa"/>
          <w:bottom w:w="0" w:type="dxa"/>
          <w:right w:w="0" w:type="dxa"/>
        </w:tblCellMar>
        <w:tblLook w:val="01E0"/>
      </w:tblPr>
      <w:tblGrid>
        <w:gridCol w:w="798"/>
        <w:gridCol w:w="677"/>
        <w:gridCol w:w="679"/>
        <w:gridCol w:w="704"/>
        <w:gridCol w:w="682"/>
        <w:gridCol w:w="672"/>
        <w:gridCol w:w="674"/>
        <w:gridCol w:w="675"/>
        <w:gridCol w:w="674"/>
        <w:gridCol w:w="674"/>
        <w:gridCol w:w="674"/>
        <w:gridCol w:w="673"/>
        <w:gridCol w:w="672"/>
        <w:gridCol w:w="641"/>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04" w:right="32"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0"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7" w:right="60"/>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6" w:right="75"/>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4" w:right="65"/>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2" w:right="59"/>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4" w:right="59"/>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6" w:lineRule="auto" w:before="19"/>
              <w:ind w:left="153" w:right="149"/>
              <w:jc w:val="left"/>
              <w:rPr>
                <w:rFonts w:ascii="宋体" w:hAnsi="宋体" w:cs="宋体" w:eastAsia="宋体" w:hint="default"/>
                <w:sz w:val="18"/>
                <w:szCs w:val="18"/>
              </w:rPr>
            </w:pPr>
            <w:r>
              <w:rPr>
                <w:rFonts w:ascii="宋体" w:hAnsi="宋体" w:cs="宋体" w:eastAsia="宋体" w:hint="default"/>
                <w:sz w:val="18"/>
                <w:szCs w:val="18"/>
              </w:rPr>
              <w:t>（万 元）</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60"/>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2"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2" w:right="58"/>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2"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25"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715"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益趣科技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101"/>
              <w:jc w:val="left"/>
              <w:rPr>
                <w:rFonts w:ascii="宋体" w:hAnsi="宋体" w:cs="宋体" w:eastAsia="宋体" w:hint="default"/>
                <w:sz w:val="18"/>
                <w:szCs w:val="18"/>
              </w:rPr>
            </w:pPr>
            <w:r>
              <w:rPr>
                <w:rFonts w:ascii="宋体" w:hAnsi="宋体" w:cs="宋体" w:eastAsia="宋体" w:hint="default"/>
                <w:sz w:val="18"/>
                <w:szCs w:val="18"/>
              </w:rPr>
              <w:t>公司全 资子公</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1"/>
              <w:jc w:val="left"/>
              <w:rPr>
                <w:rFonts w:ascii="宋体" w:hAnsi="宋体" w:cs="宋体" w:eastAsia="宋体" w:hint="default"/>
                <w:sz w:val="18"/>
                <w:szCs w:val="18"/>
              </w:rPr>
            </w:pPr>
            <w:r>
              <w:rPr>
                <w:rFonts w:ascii="宋体" w:hAnsi="宋体" w:cs="宋体" w:eastAsia="宋体" w:hint="default"/>
                <w:sz w:val="18"/>
                <w:szCs w:val="18"/>
              </w:rPr>
              <w:t>销售产 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128"/>
              <w:jc w:val="left"/>
              <w:rPr>
                <w:rFonts w:ascii="宋体" w:hAnsi="宋体" w:cs="宋体" w:eastAsia="宋体" w:hint="default"/>
                <w:sz w:val="18"/>
                <w:szCs w:val="18"/>
              </w:rPr>
            </w:pPr>
            <w:r>
              <w:rPr>
                <w:rFonts w:ascii="宋体" w:hAnsi="宋体" w:cs="宋体" w:eastAsia="宋体" w:hint="default"/>
                <w:sz w:val="18"/>
                <w:szCs w:val="18"/>
              </w:rPr>
              <w:t>益趣科 技委托</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公允协 商价格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17.66</w:t>
            </w: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800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98"/>
              <w:jc w:val="left"/>
              <w:rPr>
                <w:rFonts w:ascii="宋体" w:hAnsi="宋体" w:cs="宋体" w:eastAsia="宋体" w:hint="default"/>
                <w:sz w:val="18"/>
                <w:szCs w:val="18"/>
              </w:rPr>
            </w:pPr>
            <w:r>
              <w:rPr>
                <w:rFonts w:ascii="宋体" w:hAnsi="宋体" w:cs="宋体" w:eastAsia="宋体" w:hint="default"/>
                <w:sz w:val="18"/>
                <w:szCs w:val="18"/>
              </w:rPr>
              <w:t>按合同 约定结</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65"/>
              <w:jc w:val="left"/>
              <w:rPr>
                <w:rFonts w:ascii="宋体" w:hAnsi="宋体" w:cs="宋体" w:eastAsia="宋体" w:hint="default"/>
                <w:sz w:val="18"/>
                <w:szCs w:val="18"/>
              </w:rPr>
            </w:pPr>
            <w:r>
              <w:rPr>
                <w:rFonts w:ascii="宋体" w:hAnsi="宋体" w:cs="宋体" w:eastAsia="宋体" w:hint="default"/>
                <w:sz w:val="18"/>
                <w:szCs w:val="18"/>
              </w:rPr>
              <w:t>巨潮资 讯网及</w:t>
            </w:r>
          </w:p>
        </w:tc>
      </w:tr>
    </w:tbl>
    <w:p>
      <w:pPr>
        <w:spacing w:after="0" w:line="314" w:lineRule="auto"/>
        <w:jc w:val="left"/>
        <w:rPr>
          <w:rFonts w:ascii="宋体" w:hAnsi="宋体" w:cs="宋体" w:eastAsia="宋体" w:hint="default"/>
          <w:sz w:val="18"/>
          <w:szCs w:val="18"/>
        </w:rPr>
        <w:sectPr>
          <w:pgSz w:w="11910" w:h="16840"/>
          <w:pgMar w:header="745" w:footer="980" w:top="1060" w:bottom="1160" w:left="94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677"/>
        <w:gridCol w:w="679"/>
        <w:gridCol w:w="704"/>
        <w:gridCol w:w="682"/>
        <w:gridCol w:w="672"/>
        <w:gridCol w:w="674"/>
        <w:gridCol w:w="675"/>
        <w:gridCol w:w="674"/>
        <w:gridCol w:w="674"/>
        <w:gridCol w:w="674"/>
        <w:gridCol w:w="673"/>
        <w:gridCol w:w="672"/>
        <w:gridCol w:w="641"/>
      </w:tblGrid>
      <w:tr>
        <w:trPr>
          <w:trHeight w:val="379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1"/>
              <w:jc w:val="both"/>
              <w:rPr>
                <w:rFonts w:ascii="宋体" w:hAnsi="宋体" w:cs="宋体" w:eastAsia="宋体" w:hint="default"/>
                <w:sz w:val="18"/>
                <w:szCs w:val="18"/>
              </w:rPr>
            </w:pPr>
            <w:r>
              <w:rPr>
                <w:rFonts w:ascii="宋体" w:hAnsi="宋体" w:cs="宋体" w:eastAsia="宋体" w:hint="default"/>
                <w:sz w:val="18"/>
                <w:szCs w:val="18"/>
              </w:rPr>
              <w:t>司证通 网络持 有其</w:t>
            </w:r>
          </w:p>
          <w:p>
            <w:pPr>
              <w:pStyle w:val="TableParagraph"/>
              <w:spacing w:line="240" w:lineRule="auto" w:before="59"/>
              <w:ind w:left="23" w:right="0"/>
              <w:jc w:val="both"/>
              <w:rPr>
                <w:rFonts w:ascii="Times New Roman" w:hAnsi="Times New Roman" w:cs="Times New Roman" w:eastAsia="Times New Roman" w:hint="default"/>
                <w:sz w:val="18"/>
                <w:szCs w:val="18"/>
              </w:rPr>
            </w:pPr>
            <w:r>
              <w:rPr>
                <w:rFonts w:ascii="Times New Roman"/>
                <w:sz w:val="18"/>
              </w:rPr>
              <w:t>8.82%</w:t>
            </w:r>
          </w:p>
          <w:p>
            <w:pPr>
              <w:pStyle w:val="TableParagraph"/>
              <w:spacing w:line="316" w:lineRule="auto" w:before="63"/>
              <w:ind w:left="23" w:right="101"/>
              <w:jc w:val="both"/>
              <w:rPr>
                <w:rFonts w:ascii="宋体" w:hAnsi="宋体" w:cs="宋体" w:eastAsia="宋体" w:hint="default"/>
                <w:sz w:val="18"/>
                <w:szCs w:val="18"/>
              </w:rPr>
            </w:pPr>
            <w:r>
              <w:rPr>
                <w:rFonts w:ascii="宋体" w:hAnsi="宋体" w:cs="宋体" w:eastAsia="宋体" w:hint="default"/>
                <w:sz w:val="18"/>
                <w:szCs w:val="18"/>
              </w:rPr>
              <w:t>的出资 比例， 公司副 总裁担 任董事</w:t>
            </w:r>
          </w:p>
        </w:tc>
        <w:tc>
          <w:tcPr>
            <w:tcW w:w="67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28"/>
              <w:jc w:val="left"/>
              <w:rPr>
                <w:rFonts w:ascii="宋体" w:hAnsi="宋体" w:cs="宋体" w:eastAsia="宋体" w:hint="default"/>
                <w:sz w:val="18"/>
                <w:szCs w:val="18"/>
              </w:rPr>
            </w:pPr>
            <w:r>
              <w:rPr>
                <w:rFonts w:ascii="宋体" w:hAnsi="宋体" w:cs="宋体" w:eastAsia="宋体" w:hint="default"/>
                <w:sz w:val="18"/>
                <w:szCs w:val="18"/>
              </w:rPr>
              <w:t>公司生 产设备</w:t>
            </w:r>
          </w:p>
        </w:tc>
        <w:tc>
          <w:tcPr>
            <w:tcW w:w="68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算</w:t>
            </w: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65"/>
              <w:jc w:val="both"/>
              <w:rPr>
                <w:rFonts w:ascii="宋体" w:hAnsi="宋体" w:cs="宋体" w:eastAsia="宋体" w:hint="default"/>
                <w:sz w:val="18"/>
                <w:szCs w:val="18"/>
              </w:rPr>
            </w:pPr>
            <w:r>
              <w:rPr>
                <w:rFonts w:ascii="宋体" w:hAnsi="宋体" w:cs="宋体" w:eastAsia="宋体" w:hint="default"/>
                <w:sz w:val="18"/>
                <w:szCs w:val="18"/>
              </w:rPr>
              <w:t>《证券 时报》 刊登的</w:t>
            </w:r>
          </w:p>
          <w:p>
            <w:pPr>
              <w:pStyle w:val="TableParagraph"/>
              <w:spacing w:line="240" w:lineRule="auto" w:before="59"/>
              <w:ind w:left="23" w:right="0"/>
              <w:jc w:val="left"/>
              <w:rPr>
                <w:rFonts w:ascii="Times New Roman" w:hAnsi="Times New Roman" w:cs="Times New Roman" w:eastAsia="Times New Roman" w:hint="default"/>
                <w:sz w:val="18"/>
                <w:szCs w:val="18"/>
              </w:rPr>
            </w:pPr>
            <w:r>
              <w:rPr>
                <w:rFonts w:ascii="Times New Roman"/>
                <w:sz w:val="18"/>
              </w:rPr>
              <w:t>2017-0</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3"/>
              <w:ind w:left="23" w:right="65"/>
              <w:jc w:val="left"/>
              <w:rPr>
                <w:rFonts w:ascii="宋体" w:hAnsi="宋体" w:cs="宋体" w:eastAsia="宋体" w:hint="default"/>
                <w:sz w:val="18"/>
                <w:szCs w:val="18"/>
              </w:rPr>
            </w:pPr>
            <w:r>
              <w:rPr>
                <w:rFonts w:ascii="宋体" w:hAnsi="宋体" w:cs="宋体" w:eastAsia="宋体" w:hint="default"/>
                <w:sz w:val="18"/>
                <w:szCs w:val="18"/>
              </w:rPr>
              <w:t>度日常 关联交 易预计 的公 告》</w:t>
            </w:r>
          </w:p>
        </w:tc>
      </w:tr>
      <w:tr>
        <w:trPr>
          <w:trHeight w:val="445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益趣科技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312" w:lineRule="exact"/>
              <w:ind w:left="2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公司全 资子公 司证通 网络持 有其 </w:t>
            </w:r>
            <w:r>
              <w:rPr>
                <w:rFonts w:ascii="Times New Roman" w:hAnsi="Times New Roman" w:cs="Times New Roman" w:eastAsia="Times New Roman" w:hint="default"/>
                <w:sz w:val="18"/>
                <w:szCs w:val="18"/>
              </w:rPr>
              <w:t>8.82%</w:t>
            </w:r>
          </w:p>
          <w:p>
            <w:pPr>
              <w:pStyle w:val="TableParagraph"/>
              <w:spacing w:line="316" w:lineRule="auto" w:before="39"/>
              <w:ind w:left="23" w:right="101"/>
              <w:jc w:val="both"/>
              <w:rPr>
                <w:rFonts w:ascii="宋体" w:hAnsi="宋体" w:cs="宋体" w:eastAsia="宋体" w:hint="default"/>
                <w:sz w:val="18"/>
                <w:szCs w:val="18"/>
              </w:rPr>
            </w:pPr>
            <w:r>
              <w:rPr>
                <w:rFonts w:ascii="宋体" w:hAnsi="宋体" w:cs="宋体" w:eastAsia="宋体" w:hint="default"/>
                <w:sz w:val="18"/>
                <w:szCs w:val="18"/>
              </w:rPr>
              <w:t>的出资 比例， 公司副 总裁担 任董事</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公司为 益趣科 技提供 软件平 台开发 服务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公允协 商价格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0.32</w:t>
            </w: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98"/>
              <w:jc w:val="both"/>
              <w:rPr>
                <w:rFonts w:ascii="宋体" w:hAnsi="宋体" w:cs="宋体" w:eastAsia="宋体" w:hint="default"/>
                <w:sz w:val="18"/>
                <w:szCs w:val="18"/>
              </w:rPr>
            </w:pPr>
            <w:r>
              <w:rPr>
                <w:rFonts w:ascii="宋体" w:hAnsi="宋体" w:cs="宋体" w:eastAsia="宋体" w:hint="default"/>
                <w:sz w:val="18"/>
                <w:szCs w:val="18"/>
              </w:rPr>
              <w:t>按合同 约定结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巨潮资 讯网及</w:t>
            </w:r>
          </w:p>
          <w:p>
            <w:pPr>
              <w:pStyle w:val="TableParagraph"/>
              <w:spacing w:line="316" w:lineRule="auto" w:before="17"/>
              <w:ind w:left="23" w:right="65"/>
              <w:jc w:val="both"/>
              <w:rPr>
                <w:rFonts w:ascii="宋体" w:hAnsi="宋体" w:cs="宋体" w:eastAsia="宋体" w:hint="default"/>
                <w:sz w:val="18"/>
                <w:szCs w:val="18"/>
              </w:rPr>
            </w:pPr>
            <w:r>
              <w:rPr>
                <w:rFonts w:ascii="宋体" w:hAnsi="宋体" w:cs="宋体" w:eastAsia="宋体" w:hint="default"/>
                <w:sz w:val="18"/>
                <w:szCs w:val="18"/>
              </w:rPr>
              <w:t>《证券 时报》 刊登的</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2017-0</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9" w:lineRule="auto" w:before="63"/>
              <w:ind w:left="23" w:right="65"/>
              <w:jc w:val="left"/>
              <w:rPr>
                <w:rFonts w:ascii="宋体" w:hAnsi="宋体" w:cs="宋体" w:eastAsia="宋体" w:hint="default"/>
                <w:sz w:val="18"/>
                <w:szCs w:val="18"/>
              </w:rPr>
            </w:pPr>
            <w:r>
              <w:rPr>
                <w:rFonts w:ascii="宋体" w:hAnsi="宋体" w:cs="宋体" w:eastAsia="宋体" w:hint="default"/>
                <w:sz w:val="18"/>
                <w:szCs w:val="18"/>
              </w:rPr>
              <w:t>度日常 关联交 易预计 的公 告》</w:t>
            </w:r>
          </w:p>
        </w:tc>
      </w:tr>
      <w:tr>
        <w:trPr>
          <w:trHeight w:val="446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right="44"/>
              <w:jc w:val="right"/>
              <w:rPr>
                <w:rFonts w:ascii="宋体" w:hAnsi="宋体" w:cs="宋体" w:eastAsia="宋体" w:hint="default"/>
                <w:sz w:val="18"/>
                <w:szCs w:val="18"/>
              </w:rPr>
            </w:pPr>
            <w:r>
              <w:rPr>
                <w:rFonts w:ascii="宋体" w:hAnsi="宋体" w:cs="宋体" w:eastAsia="宋体" w:hint="default"/>
                <w:sz w:val="18"/>
                <w:szCs w:val="18"/>
              </w:rPr>
              <w:t>盛灿科技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38" w:lineRule="auto" w:before="157"/>
              <w:ind w:left="2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公司持 有其 </w:t>
            </w:r>
            <w:r>
              <w:rPr>
                <w:rFonts w:ascii="Times New Roman" w:hAnsi="Times New Roman" w:cs="Times New Roman" w:eastAsia="Times New Roman" w:hint="default"/>
                <w:sz w:val="18"/>
                <w:szCs w:val="18"/>
              </w:rPr>
              <w:t>8.33%</w:t>
            </w:r>
          </w:p>
          <w:p>
            <w:pPr>
              <w:pStyle w:val="TableParagraph"/>
              <w:spacing w:line="217" w:lineRule="exact"/>
              <w:ind w:left="23" w:right="0"/>
              <w:jc w:val="left"/>
              <w:rPr>
                <w:rFonts w:ascii="宋体" w:hAnsi="宋体" w:cs="宋体" w:eastAsia="宋体" w:hint="default"/>
                <w:sz w:val="18"/>
                <w:szCs w:val="18"/>
              </w:rPr>
            </w:pPr>
            <w:r>
              <w:rPr>
                <w:rFonts w:ascii="宋体" w:hAnsi="宋体" w:cs="宋体" w:eastAsia="宋体" w:hint="default"/>
                <w:sz w:val="18"/>
                <w:szCs w:val="18"/>
              </w:rPr>
              <w:t>的出资</w:t>
            </w:r>
          </w:p>
          <w:p>
            <w:pPr>
              <w:pStyle w:val="TableParagraph"/>
              <w:spacing w:line="316" w:lineRule="auto" w:before="76"/>
              <w:ind w:left="23" w:right="101"/>
              <w:jc w:val="both"/>
              <w:rPr>
                <w:rFonts w:ascii="宋体" w:hAnsi="宋体" w:cs="宋体" w:eastAsia="宋体" w:hint="default"/>
                <w:sz w:val="18"/>
                <w:szCs w:val="18"/>
              </w:rPr>
            </w:pPr>
            <w:r>
              <w:rPr>
                <w:rFonts w:ascii="宋体" w:hAnsi="宋体" w:cs="宋体" w:eastAsia="宋体" w:hint="default"/>
                <w:sz w:val="18"/>
                <w:szCs w:val="18"/>
              </w:rPr>
              <w:t>比例， 公司副 总裁担 任董事</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销售产 品</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公司向 盛灿科 技销售 支付产 品</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公允协 商价格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1.1</w:t>
            </w: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3" w:right="98"/>
              <w:jc w:val="both"/>
              <w:rPr>
                <w:rFonts w:ascii="宋体" w:hAnsi="宋体" w:cs="宋体" w:eastAsia="宋体" w:hint="default"/>
                <w:sz w:val="18"/>
                <w:szCs w:val="18"/>
              </w:rPr>
            </w:pPr>
            <w:r>
              <w:rPr>
                <w:rFonts w:ascii="宋体" w:hAnsi="宋体" w:cs="宋体" w:eastAsia="宋体" w:hint="default"/>
                <w:sz w:val="18"/>
                <w:szCs w:val="18"/>
              </w:rPr>
              <w:t>按合同 约定结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巨潮资 讯网及</w:t>
            </w:r>
          </w:p>
          <w:p>
            <w:pPr>
              <w:pStyle w:val="TableParagraph"/>
              <w:spacing w:line="316" w:lineRule="auto" w:before="19"/>
              <w:ind w:left="23" w:right="65"/>
              <w:jc w:val="both"/>
              <w:rPr>
                <w:rFonts w:ascii="宋体" w:hAnsi="宋体" w:cs="宋体" w:eastAsia="宋体" w:hint="default"/>
                <w:sz w:val="18"/>
                <w:szCs w:val="18"/>
              </w:rPr>
            </w:pPr>
            <w:r>
              <w:rPr>
                <w:rFonts w:ascii="宋体" w:hAnsi="宋体" w:cs="宋体" w:eastAsia="宋体" w:hint="default"/>
                <w:sz w:val="18"/>
                <w:szCs w:val="18"/>
              </w:rPr>
              <w:t>《证券 时报》 刊登的</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sz w:val="18"/>
              </w:rPr>
              <w:t>2017-0</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9" w:lineRule="auto" w:before="63"/>
              <w:ind w:left="23" w:right="65"/>
              <w:jc w:val="left"/>
              <w:rPr>
                <w:rFonts w:ascii="宋体" w:hAnsi="宋体" w:cs="宋体" w:eastAsia="宋体" w:hint="default"/>
                <w:sz w:val="18"/>
                <w:szCs w:val="18"/>
              </w:rPr>
            </w:pPr>
            <w:r>
              <w:rPr>
                <w:rFonts w:ascii="宋体" w:hAnsi="宋体" w:cs="宋体" w:eastAsia="宋体" w:hint="default"/>
                <w:sz w:val="18"/>
                <w:szCs w:val="18"/>
              </w:rPr>
              <w:t>度日常 关联交 易预计 的公 告》</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44"/>
              <w:jc w:val="right"/>
              <w:rPr>
                <w:rFonts w:ascii="宋体" w:hAnsi="宋体" w:cs="宋体" w:eastAsia="宋体" w:hint="default"/>
                <w:sz w:val="18"/>
                <w:szCs w:val="18"/>
              </w:rPr>
            </w:pPr>
            <w:r>
              <w:rPr>
                <w:rFonts w:ascii="宋体" w:hAnsi="宋体" w:cs="宋体" w:eastAsia="宋体" w:hint="default"/>
                <w:sz w:val="18"/>
                <w:szCs w:val="18"/>
              </w:rPr>
              <w:t>盛灿科技</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68"/>
              <w:ind w:left="23"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公司持 有其 </w:t>
            </w:r>
            <w:r>
              <w:rPr>
                <w:rFonts w:ascii="Times New Roman" w:hAnsi="Times New Roman" w:cs="Times New Roman" w:eastAsia="Times New Roman" w:hint="default"/>
                <w:sz w:val="18"/>
                <w:szCs w:val="18"/>
              </w:rPr>
              <w:t>8.33%</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128"/>
              <w:jc w:val="both"/>
              <w:rPr>
                <w:rFonts w:ascii="宋体" w:hAnsi="宋体" w:cs="宋体" w:eastAsia="宋体" w:hint="default"/>
                <w:sz w:val="18"/>
                <w:szCs w:val="18"/>
              </w:rPr>
            </w:pPr>
            <w:r>
              <w:rPr>
                <w:rFonts w:ascii="宋体" w:hAnsi="宋体" w:cs="宋体" w:eastAsia="宋体" w:hint="default"/>
                <w:sz w:val="18"/>
                <w:szCs w:val="18"/>
              </w:rPr>
              <w:t>盛灿科 技为公 司提供</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公允协 商价格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300.94</w:t>
            </w: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both"/>
              <w:rPr>
                <w:rFonts w:ascii="宋体" w:hAnsi="宋体" w:cs="宋体" w:eastAsia="宋体" w:hint="default"/>
                <w:sz w:val="18"/>
                <w:szCs w:val="18"/>
              </w:rPr>
            </w:pPr>
            <w:r>
              <w:rPr>
                <w:rFonts w:ascii="宋体" w:hAnsi="宋体" w:cs="宋体" w:eastAsia="宋体" w:hint="default"/>
                <w:sz w:val="18"/>
                <w:szCs w:val="18"/>
              </w:rPr>
              <w:t>按合同 约定结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2"/>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23" w:right="65"/>
              <w:jc w:val="left"/>
              <w:rPr>
                <w:rFonts w:ascii="宋体" w:hAnsi="宋体" w:cs="宋体" w:eastAsia="宋体" w:hint="default"/>
                <w:sz w:val="18"/>
                <w:szCs w:val="18"/>
              </w:rPr>
            </w:pPr>
            <w:r>
              <w:rPr>
                <w:rFonts w:ascii="宋体" w:hAnsi="宋体" w:cs="宋体" w:eastAsia="宋体" w:hint="default"/>
                <w:sz w:val="18"/>
                <w:szCs w:val="18"/>
              </w:rPr>
              <w:t>巨潮资 讯网及</w:t>
            </w:r>
          </w:p>
          <w:p>
            <w:pPr>
              <w:pStyle w:val="TableParagraph"/>
              <w:spacing w:line="240" w:lineRule="auto" w:before="18"/>
              <w:ind w:left="23" w:right="0"/>
              <w:jc w:val="left"/>
              <w:rPr>
                <w:rFonts w:ascii="宋体" w:hAnsi="宋体" w:cs="宋体" w:eastAsia="宋体" w:hint="default"/>
                <w:sz w:val="18"/>
                <w:szCs w:val="18"/>
              </w:rPr>
            </w:pPr>
            <w:r>
              <w:rPr>
                <w:rFonts w:ascii="宋体" w:hAnsi="宋体" w:cs="宋体" w:eastAsia="宋体" w:hint="default"/>
                <w:sz w:val="18"/>
                <w:szCs w:val="18"/>
              </w:rPr>
              <w:t>《证券</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56.400002pt;margin-top:71.999985pt;width:479.3pt;height:697.9pt;mso-position-horizontal-relative:page;mso-position-vertical-relative:page;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00"/>
                    <w:gridCol w:w="677"/>
                    <w:gridCol w:w="679"/>
                    <w:gridCol w:w="704"/>
                    <w:gridCol w:w="682"/>
                    <w:gridCol w:w="672"/>
                    <w:gridCol w:w="674"/>
                    <w:gridCol w:w="675"/>
                    <w:gridCol w:w="674"/>
                    <w:gridCol w:w="674"/>
                    <w:gridCol w:w="674"/>
                    <w:gridCol w:w="673"/>
                    <w:gridCol w:w="672"/>
                    <w:gridCol w:w="641"/>
                  </w:tblGrid>
                  <w:tr>
                    <w:trPr>
                      <w:trHeight w:val="3483"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1"/>
                          <w:jc w:val="both"/>
                          <w:rPr>
                            <w:rFonts w:ascii="宋体" w:hAnsi="宋体" w:cs="宋体" w:eastAsia="宋体" w:hint="default"/>
                            <w:sz w:val="18"/>
                            <w:szCs w:val="18"/>
                          </w:rPr>
                        </w:pPr>
                        <w:r>
                          <w:rPr>
                            <w:rFonts w:ascii="宋体" w:hAnsi="宋体" w:cs="宋体" w:eastAsia="宋体" w:hint="default"/>
                            <w:sz w:val="18"/>
                            <w:szCs w:val="18"/>
                          </w:rPr>
                          <w:t>的出资 比例， 公司副 总裁担 任董事</w:t>
                        </w:r>
                      </w:p>
                    </w:tc>
                    <w:tc>
                      <w:tcPr>
                        <w:tcW w:w="679"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28"/>
                          <w:jc w:val="left"/>
                          <w:rPr>
                            <w:rFonts w:ascii="宋体" w:hAnsi="宋体" w:cs="宋体" w:eastAsia="宋体" w:hint="default"/>
                            <w:sz w:val="18"/>
                            <w:szCs w:val="18"/>
                          </w:rPr>
                        </w:pPr>
                        <w:r>
                          <w:rPr>
                            <w:rFonts w:ascii="宋体" w:hAnsi="宋体" w:cs="宋体" w:eastAsia="宋体" w:hint="default"/>
                            <w:sz w:val="18"/>
                            <w:szCs w:val="18"/>
                          </w:rPr>
                          <w:t>系统技 术服务</w:t>
                        </w:r>
                      </w:p>
                    </w:tc>
                    <w:tc>
                      <w:tcPr>
                        <w:tcW w:w="682"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
                    </w:tc>
                    <w:tc>
                      <w:tcPr>
                        <w:tcW w:w="673"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8"/>
                          <w:ind w:left="23" w:right="65"/>
                          <w:jc w:val="both"/>
                          <w:rPr>
                            <w:rFonts w:ascii="Times New Roman" w:hAnsi="Times New Roman" w:cs="Times New Roman" w:eastAsia="Times New Roman" w:hint="default"/>
                            <w:sz w:val="18"/>
                            <w:szCs w:val="18"/>
                          </w:rPr>
                        </w:pPr>
                        <w:r>
                          <w:rPr>
                            <w:rFonts w:ascii="宋体" w:hAnsi="宋体" w:cs="宋体" w:eastAsia="宋体" w:hint="default"/>
                            <w:sz w:val="18"/>
                            <w:szCs w:val="18"/>
                          </w:rPr>
                          <w:t>时报》 刊登的 </w:t>
                        </w:r>
                        <w:r>
                          <w:rPr>
                            <w:rFonts w:ascii="Times New Roman" w:hAnsi="Times New Roman" w:cs="Times New Roman" w:eastAsia="Times New Roman" w:hint="default"/>
                            <w:sz w:val="18"/>
                            <w:szCs w:val="18"/>
                          </w:rPr>
                          <w:t>2017-0</w:t>
                        </w:r>
                      </w:p>
                      <w:p>
                        <w:pPr>
                          <w:pStyle w:val="TableParagraph"/>
                          <w:spacing w:line="230"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6" w:lineRule="auto" w:before="63"/>
                          <w:ind w:left="23" w:right="65"/>
                          <w:jc w:val="left"/>
                          <w:rPr>
                            <w:rFonts w:ascii="宋体" w:hAnsi="宋体" w:cs="宋体" w:eastAsia="宋体" w:hint="default"/>
                            <w:sz w:val="18"/>
                            <w:szCs w:val="18"/>
                          </w:rPr>
                        </w:pPr>
                        <w:r>
                          <w:rPr>
                            <w:rFonts w:ascii="宋体" w:hAnsi="宋体" w:cs="宋体" w:eastAsia="宋体" w:hint="default"/>
                            <w:sz w:val="18"/>
                            <w:szCs w:val="18"/>
                          </w:rPr>
                          <w:t>度日常 关联交 易预计 的公 告》</w:t>
                        </w:r>
                      </w:p>
                    </w:tc>
                  </w:tr>
                  <w:tr>
                    <w:trPr>
                      <w:trHeight w:val="539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国溢工程</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公司原 高亲属 兄弟实 际控制 的公司</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26" w:right="101"/>
                          <w:jc w:val="left"/>
                          <w:rPr>
                            <w:rFonts w:ascii="宋体" w:hAnsi="宋体" w:cs="宋体" w:eastAsia="宋体" w:hint="default"/>
                            <w:sz w:val="18"/>
                            <w:szCs w:val="18"/>
                          </w:rPr>
                        </w:pPr>
                        <w:r>
                          <w:rPr>
                            <w:rFonts w:ascii="宋体" w:hAnsi="宋体" w:cs="宋体" w:eastAsia="宋体" w:hint="default"/>
                            <w:sz w:val="18"/>
                            <w:szCs w:val="18"/>
                          </w:rPr>
                          <w:t>提供劳 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23" w:right="128"/>
                          <w:jc w:val="both"/>
                          <w:rPr>
                            <w:rFonts w:ascii="宋体" w:hAnsi="宋体" w:cs="宋体" w:eastAsia="宋体" w:hint="default"/>
                            <w:sz w:val="18"/>
                            <w:szCs w:val="18"/>
                          </w:rPr>
                        </w:pPr>
                        <w:r>
                          <w:rPr>
                            <w:rFonts w:ascii="宋体" w:hAnsi="宋体" w:cs="宋体" w:eastAsia="宋体" w:hint="default"/>
                            <w:sz w:val="18"/>
                            <w:szCs w:val="18"/>
                          </w:rPr>
                          <w:t>国溢工 程为公 司提供 项目施 工及维 护劳务</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23" w:right="107"/>
                          <w:jc w:val="left"/>
                          <w:rPr>
                            <w:rFonts w:ascii="宋体" w:hAnsi="宋体" w:cs="宋体" w:eastAsia="宋体" w:hint="default"/>
                            <w:sz w:val="18"/>
                            <w:szCs w:val="18"/>
                          </w:rPr>
                        </w:pPr>
                        <w:r>
                          <w:rPr>
                            <w:rFonts w:ascii="宋体" w:hAnsi="宋体" w:cs="宋体" w:eastAsia="宋体" w:hint="default"/>
                            <w:sz w:val="18"/>
                            <w:szCs w:val="18"/>
                          </w:rPr>
                          <w:t>公允协 商价格</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29.53</w:t>
                        </w:r>
                      </w:p>
                    </w:tc>
                    <w:tc>
                      <w:tcPr>
                        <w:tcW w:w="675" w:type="dxa"/>
                        <w:tcBorders>
                          <w:top w:val="single" w:sz="4" w:space="0" w:color="000000"/>
                          <w:left w:val="single" w:sz="4" w:space="0" w:color="000000"/>
                          <w:bottom w:val="single" w:sz="4" w:space="0" w:color="000000"/>
                          <w:right w:val="single" w:sz="4" w:space="0" w:color="000000"/>
                        </w:tcBorders>
                      </w:tcPr>
                      <w:p>
                        <w:pP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220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23" w:right="98"/>
                          <w:jc w:val="both"/>
                          <w:rPr>
                            <w:rFonts w:ascii="宋体" w:hAnsi="宋体" w:cs="宋体" w:eastAsia="宋体" w:hint="default"/>
                            <w:sz w:val="18"/>
                            <w:szCs w:val="18"/>
                          </w:rPr>
                        </w:pPr>
                        <w:r>
                          <w:rPr>
                            <w:rFonts w:ascii="宋体" w:hAnsi="宋体" w:cs="宋体" w:eastAsia="宋体" w:hint="default"/>
                            <w:sz w:val="18"/>
                            <w:szCs w:val="18"/>
                          </w:rPr>
                          <w:t>按合同 约定结 算</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5"/>
                          <w:jc w:val="both"/>
                          <w:rPr>
                            <w:rFonts w:ascii="宋体" w:hAnsi="宋体" w:cs="宋体" w:eastAsia="宋体" w:hint="default"/>
                            <w:sz w:val="18"/>
                            <w:szCs w:val="18"/>
                          </w:rPr>
                        </w:pPr>
                        <w:r>
                          <w:rPr>
                            <w:rFonts w:ascii="宋体" w:hAnsi="宋体" w:cs="宋体" w:eastAsia="宋体" w:hint="default"/>
                            <w:sz w:val="18"/>
                            <w:szCs w:val="18"/>
                          </w:rPr>
                          <w:t>巨潮资 讯网及</w:t>
                        </w:r>
                      </w:p>
                      <w:p>
                        <w:pPr>
                          <w:pStyle w:val="TableParagraph"/>
                          <w:spacing w:line="316" w:lineRule="auto" w:before="19"/>
                          <w:ind w:left="23" w:right="65"/>
                          <w:jc w:val="both"/>
                          <w:rPr>
                            <w:rFonts w:ascii="宋体" w:hAnsi="宋体" w:cs="宋体" w:eastAsia="宋体" w:hint="default"/>
                            <w:sz w:val="18"/>
                            <w:szCs w:val="18"/>
                          </w:rPr>
                        </w:pPr>
                        <w:r>
                          <w:rPr>
                            <w:rFonts w:ascii="宋体" w:hAnsi="宋体" w:cs="宋体" w:eastAsia="宋体" w:hint="default"/>
                            <w:sz w:val="18"/>
                            <w:szCs w:val="18"/>
                          </w:rPr>
                          <w:t>《证券 时报》 刊登的</w:t>
                        </w:r>
                      </w:p>
                      <w:p>
                        <w:pPr>
                          <w:pStyle w:val="TableParagraph"/>
                          <w:spacing w:line="240" w:lineRule="auto" w:before="61"/>
                          <w:ind w:left="23" w:right="0"/>
                          <w:jc w:val="both"/>
                          <w:rPr>
                            <w:rFonts w:ascii="Times New Roman" w:hAnsi="Times New Roman" w:cs="Times New Roman" w:eastAsia="Times New Roman" w:hint="default"/>
                            <w:sz w:val="18"/>
                            <w:szCs w:val="18"/>
                          </w:rPr>
                        </w:pPr>
                        <w:r>
                          <w:rPr>
                            <w:rFonts w:ascii="Times New Roman"/>
                            <w:sz w:val="18"/>
                          </w:rPr>
                          <w:t>2017-0</w:t>
                        </w:r>
                      </w:p>
                      <w:p>
                        <w:pPr>
                          <w:pStyle w:val="TableParagraph"/>
                          <w:spacing w:line="240" w:lineRule="auto" w:before="63"/>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p>
                        <w:pPr>
                          <w:pStyle w:val="TableParagraph"/>
                          <w:spacing w:line="316" w:lineRule="auto" w:before="63"/>
                          <w:ind w:left="23" w:right="17"/>
                          <w:jc w:val="both"/>
                          <w:rPr>
                            <w:rFonts w:ascii="宋体" w:hAnsi="宋体" w:cs="宋体" w:eastAsia="宋体" w:hint="default"/>
                            <w:sz w:val="18"/>
                            <w:szCs w:val="18"/>
                          </w:rPr>
                        </w:pPr>
                        <w:r>
                          <w:rPr>
                            <w:rFonts w:ascii="宋体" w:hAnsi="宋体" w:cs="宋体" w:eastAsia="宋体" w:hint="default"/>
                            <w:sz w:val="18"/>
                            <w:szCs w:val="18"/>
                          </w:rPr>
                          <w:t>《关于 补充确 认关联 交易及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9" w:lineRule="auto"/>
                          <w:ind w:left="23" w:right="65"/>
                          <w:jc w:val="left"/>
                          <w:rPr>
                            <w:rFonts w:ascii="宋体" w:hAnsi="宋体" w:cs="宋体" w:eastAsia="宋体" w:hint="default"/>
                            <w:sz w:val="18"/>
                            <w:szCs w:val="18"/>
                          </w:rPr>
                        </w:pPr>
                        <w:r>
                          <w:rPr>
                            <w:rFonts w:ascii="宋体" w:hAnsi="宋体" w:cs="宋体" w:eastAsia="宋体" w:hint="default"/>
                            <w:sz w:val="18"/>
                            <w:szCs w:val="18"/>
                          </w:rPr>
                          <w:t>度日常 关联交 易预计 的公 告》</w:t>
                        </w:r>
                      </w:p>
                    </w:tc>
                  </w:tr>
                  <w:tr>
                    <w:trPr>
                      <w:trHeight w:val="403"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349.55</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4,070</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8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1"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625" w:hRule="exact"/>
                    </w:trPr>
                    <w:tc>
                      <w:tcPr>
                        <w:tcW w:w="2859"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6711" w:type="dxa"/>
                        <w:gridSpan w:val="10"/>
                        <w:vMerge w:val="restart"/>
                        <w:tcBorders>
                          <w:top w:val="single" w:sz="4" w:space="0" w:color="000000"/>
                          <w:left w:val="single" w:sz="10" w:space="0" w:color="D2D2D2"/>
                          <w:right w:val="single" w:sz="4" w:space="0" w:color="000000"/>
                        </w:tcBorders>
                      </w:tcPr>
                      <w:p>
                        <w:pPr>
                          <w:pStyle w:val="TableParagraph"/>
                          <w:spacing w:line="300" w:lineRule="auto" w:before="49"/>
                          <w:ind w:left="16" w:right="109"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、公司按类别对</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年将发生的日常关联交易进行总金额预计，详见上述公告</w:t>
                        </w:r>
                        <w:r>
                          <w:rPr>
                            <w:rFonts w:ascii="宋体" w:hAnsi="宋体" w:cs="宋体" w:eastAsia="宋体" w:hint="default"/>
                            <w:sz w:val="18"/>
                            <w:szCs w:val="18"/>
                          </w:rPr>
                          <w:t> 实际履行情况列示于上表中，均在预计范围内。</w:t>
                        </w:r>
                      </w:p>
                      <w:p>
                        <w:pPr>
                          <w:pStyle w:val="TableParagraph"/>
                          <w:spacing w:line="240" w:lineRule="auto" w:before="72"/>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日召开第四届董事会第十次会议审议通过《关于公司</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年度日常关联交易预计</w:t>
                        </w:r>
                        <w:r>
                          <w:rPr>
                            <w:rFonts w:ascii="宋体" w:hAnsi="宋体" w:cs="宋体" w:eastAsia="宋体" w:hint="default"/>
                            <w:spacing w:val="-3"/>
                            <w:sz w:val="18"/>
                            <w:szCs w:val="18"/>
                          </w:rPr>
                          <w:t>的</w:t>
                        </w:r>
                        <w:r>
                          <w:rPr>
                            <w:rFonts w:ascii="宋体" w:hAnsi="宋体" w:cs="宋体" w:eastAsia="宋体" w:hint="default"/>
                            <w:sz w:val="18"/>
                            <w:szCs w:val="18"/>
                          </w:rPr>
                          <w:t>议案</w:t>
                        </w:r>
                        <w:r>
                          <w:rPr>
                            <w:rFonts w:ascii="宋体" w:hAnsi="宋体" w:cs="宋体" w:eastAsia="宋体" w:hint="default"/>
                            <w:spacing w:val="-92"/>
                            <w:sz w:val="18"/>
                            <w:szCs w:val="18"/>
                          </w:rPr>
                          <w:t>》</w:t>
                        </w:r>
                        <w:r>
                          <w:rPr>
                            <w:rFonts w:ascii="宋体" w:hAnsi="宋体" w:cs="宋体" w:eastAsia="宋体" w:hint="default"/>
                            <w:spacing w:val="-27"/>
                            <w:sz w:val="18"/>
                            <w:szCs w:val="18"/>
                          </w:rPr>
                          <w:t>，</w:t>
                        </w:r>
                        <w:r>
                          <w:rPr>
                            <w:rFonts w:ascii="宋体" w:hAnsi="宋体" w:cs="宋体" w:eastAsia="宋体" w:hint="default"/>
                            <w:sz w:val="18"/>
                            <w:szCs w:val="18"/>
                          </w:rPr>
                          <w:t>确立公司与关联方盛</w:t>
                        </w:r>
                        <w:r>
                          <w:rPr>
                            <w:rFonts w:ascii="宋体" w:hAnsi="宋体" w:cs="宋体" w:eastAsia="宋体" w:hint="default"/>
                            <w:spacing w:val="2"/>
                            <w:sz w:val="18"/>
                            <w:szCs w:val="18"/>
                          </w:rPr>
                          <w:t>灿</w:t>
                        </w:r>
                        <w:r>
                          <w:rPr>
                            <w:rFonts w:ascii="宋体" w:hAnsi="宋体" w:cs="宋体" w:eastAsia="宋体" w:hint="default"/>
                            <w:sz w:val="18"/>
                            <w:szCs w:val="18"/>
                          </w:rPr>
                          <w:t>科技</w:t>
                        </w:r>
                        <w:r>
                          <w:rPr>
                            <w:rFonts w:ascii="宋体" w:hAnsi="宋体" w:cs="宋体" w:eastAsia="宋体" w:hint="default"/>
                            <w:spacing w:val="-27"/>
                            <w:sz w:val="18"/>
                            <w:szCs w:val="18"/>
                          </w:rPr>
                          <w:t>、</w:t>
                        </w:r>
                        <w:r>
                          <w:rPr>
                            <w:rFonts w:ascii="宋体" w:hAnsi="宋体" w:cs="宋体" w:eastAsia="宋体" w:hint="default"/>
                            <w:sz w:val="18"/>
                            <w:szCs w:val="18"/>
                          </w:rPr>
                          <w:t>益趣科技</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预计累计发生的关联交易金额不超过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3850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240" w:lineRule="auto" w:before="101"/>
                          <w:ind w:left="37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日召开第四届董事会第十三次（临时）会议审议通过</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《关于公司补充确认关联交易及</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年度日常关联交易预</w:t>
                        </w:r>
                        <w:r>
                          <w:rPr>
                            <w:rFonts w:ascii="宋体" w:hAnsi="宋体" w:cs="宋体" w:eastAsia="宋体" w:hint="default"/>
                            <w:spacing w:val="-3"/>
                            <w:sz w:val="18"/>
                            <w:szCs w:val="18"/>
                          </w:rPr>
                          <w:t>计</w:t>
                        </w:r>
                        <w:r>
                          <w:rPr>
                            <w:rFonts w:ascii="宋体" w:hAnsi="宋体" w:cs="宋体" w:eastAsia="宋体" w:hint="default"/>
                            <w:sz w:val="18"/>
                            <w:szCs w:val="18"/>
                          </w:rPr>
                          <w:t>的议案</w:t>
                        </w:r>
                        <w:r>
                          <w:rPr>
                            <w:rFonts w:ascii="宋体" w:hAnsi="宋体" w:cs="宋体" w:eastAsia="宋体" w:hint="default"/>
                            <w:spacing w:val="-92"/>
                            <w:sz w:val="18"/>
                            <w:szCs w:val="18"/>
                          </w:rPr>
                          <w:t>》</w:t>
                        </w:r>
                        <w:r>
                          <w:rPr>
                            <w:rFonts w:ascii="宋体" w:hAnsi="宋体" w:cs="宋体" w:eastAsia="宋体" w:hint="default"/>
                            <w:spacing w:val="-8"/>
                            <w:sz w:val="18"/>
                            <w:szCs w:val="18"/>
                          </w:rPr>
                          <w:t>，</w:t>
                        </w:r>
                        <w:r>
                          <w:rPr>
                            <w:rFonts w:ascii="宋体" w:hAnsi="宋体" w:cs="宋体" w:eastAsia="宋体" w:hint="default"/>
                            <w:sz w:val="18"/>
                            <w:szCs w:val="18"/>
                          </w:rPr>
                          <w:t>补充确认公司</w:t>
                        </w:r>
                      </w:p>
                      <w:p>
                        <w:pPr>
                          <w:pStyle w:val="TableParagraph"/>
                          <w:spacing w:line="240" w:lineRule="auto" w:before="63"/>
                          <w:ind w:left="16" w:right="0"/>
                          <w:jc w:val="left"/>
                          <w:rPr>
                            <w:rFonts w:ascii="宋体" w:hAnsi="宋体" w:cs="宋体" w:eastAsia="宋体" w:hint="default"/>
                            <w:sz w:val="18"/>
                            <w:szCs w:val="18"/>
                          </w:rPr>
                        </w:pPr>
                        <w:r>
                          <w:rPr>
                            <w:rFonts w:ascii="宋体" w:hAnsi="宋体" w:cs="宋体" w:eastAsia="宋体" w:hint="default"/>
                            <w:sz w:val="18"/>
                            <w:szCs w:val="18"/>
                          </w:rPr>
                          <w:t>及全资子公司佳明光电与国溢工程在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年度实际发生的关联交易金额为</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557.65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年关联交易预计金额为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p>
                        <w:pPr>
                          <w:pStyle w:val="TableParagraph"/>
                          <w:spacing w:line="312" w:lineRule="auto" w:before="103"/>
                          <w:ind w:left="16" w:right="2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年度因部分市场环境发生改变，公司局部调整了市场策略，减少了关联 产品的销售。另公司因自身业务需求减少了对关联方劳务服务的需求。以上原因导致 公司与关联方实际发生的关联交易与年初预计金额有一定差异，这属于正常经营行 为，对公司日常经营及业绩不会产生重大影响。</w:t>
                        </w:r>
                      </w:p>
                    </w:tc>
                  </w:tr>
                  <w:tr>
                    <w:trPr>
                      <w:trHeight w:val="1018" w:hRule="exact"/>
                    </w:trPr>
                    <w:tc>
                      <w:tcPr>
                        <w:tcW w:w="2859" w:type="dxa"/>
                        <w:gridSpan w:val="4"/>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1" w:type="dxa"/>
                        <w:gridSpan w:val="10"/>
                        <w:vMerge/>
                        <w:tcBorders>
                          <w:left w:val="single" w:sz="10" w:space="0" w:color="D2D2D2"/>
                          <w:right w:val="single" w:sz="4" w:space="0" w:color="000000"/>
                        </w:tcBorders>
                      </w:tcPr>
                      <w:p>
                        <w:pPr/>
                      </w:p>
                    </w:tc>
                  </w:tr>
                  <w:tr>
                    <w:trPr>
                      <w:trHeight w:val="1625" w:hRule="exact"/>
                    </w:trPr>
                    <w:tc>
                      <w:tcPr>
                        <w:tcW w:w="2859"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6711" w:type="dxa"/>
                        <w:gridSpan w:val="10"/>
                        <w:vMerge/>
                        <w:tcBorders>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p>
      <w:pPr>
        <w:pStyle w:val="BodyText"/>
        <w:spacing w:line="240" w:lineRule="auto"/>
        <w:ind w:left="0" w:right="159"/>
        <w:jc w:val="right"/>
      </w:pPr>
      <w:r>
        <w:rPr/>
        <w:t>，</w:t>
      </w:r>
    </w:p>
    <w:p>
      <w:pPr>
        <w:spacing w:after="0" w:line="240" w:lineRule="auto"/>
        <w:jc w:val="right"/>
        <w:sectPr>
          <w:pgSz w:w="11910" w:h="16840"/>
          <w:pgMar w:header="745" w:footer="980" w:top="1060" w:bottom="1160" w:left="980" w:right="98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858"/>
        <w:gridCol w:w="6711"/>
      </w:tblGrid>
      <w:tr>
        <w:trPr>
          <w:trHeight w:val="334" w:hRule="exact"/>
        </w:trPr>
        <w:tc>
          <w:tcPr>
            <w:tcW w:w="2858" w:type="dxa"/>
            <w:tcBorders>
              <w:top w:val="single" w:sz="6" w:space="0" w:color="000000"/>
              <w:left w:val="nil" w:sz="6" w:space="0" w:color="auto"/>
              <w:bottom w:val="single" w:sz="4" w:space="0" w:color="000000"/>
              <w:right w:val="nil" w:sz="6" w:space="0" w:color="auto"/>
            </w:tcBorders>
          </w:tcPr>
          <w:p>
            <w:pPr/>
          </w:p>
        </w:tc>
        <w:tc>
          <w:tcPr>
            <w:tcW w:w="6711" w:type="dxa"/>
            <w:tcBorders>
              <w:top w:val="single" w:sz="6" w:space="0" w:color="000000"/>
              <w:left w:val="nil" w:sz="6" w:space="0" w:color="auto"/>
              <w:bottom w:val="single" w:sz="4" w:space="0" w:color="000000"/>
              <w:right w:val="nil" w:sz="6" w:space="0" w:color="auto"/>
            </w:tcBorders>
          </w:tcPr>
          <w:p>
            <w:pPr/>
          </w:p>
        </w:tc>
      </w:tr>
      <w:tr>
        <w:trPr>
          <w:trHeight w:val="716" w:hRule="exact"/>
        </w:trPr>
        <w:tc>
          <w:tcPr>
            <w:tcW w:w="2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23"/>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left="112"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112" w:right="54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5"/>
        <w:rPr>
          <w:rFonts w:ascii="宋体" w:hAnsi="宋体" w:cs="宋体" w:eastAsia="宋体" w:hint="default"/>
          <w:sz w:val="21"/>
          <w:szCs w:val="21"/>
        </w:rPr>
      </w:pPr>
    </w:p>
    <w:p>
      <w:pPr>
        <w:pStyle w:val="Heading3"/>
        <w:spacing w:line="240" w:lineRule="auto"/>
        <w:ind w:left="112"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left="112" w:right="62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6"/>
        <w:rPr>
          <w:rFonts w:ascii="宋体" w:hAnsi="宋体" w:cs="宋体" w:eastAsia="宋体" w:hint="default"/>
          <w:sz w:val="21"/>
          <w:szCs w:val="21"/>
        </w:rPr>
      </w:pPr>
    </w:p>
    <w:p>
      <w:pPr>
        <w:pStyle w:val="Heading3"/>
        <w:spacing w:line="240" w:lineRule="auto"/>
        <w:ind w:left="112"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left="112"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7"/>
        <w:rPr>
          <w:rFonts w:ascii="宋体" w:hAnsi="宋体" w:cs="宋体" w:eastAsia="宋体" w:hint="default"/>
          <w:sz w:val="21"/>
          <w:szCs w:val="21"/>
        </w:rPr>
      </w:pPr>
    </w:p>
    <w:p>
      <w:pPr>
        <w:pStyle w:val="Heading3"/>
        <w:spacing w:line="240" w:lineRule="auto"/>
        <w:ind w:left="112"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1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2" w:lineRule="auto" w:before="101"/>
        <w:ind w:left="112" w:right="0" w:firstLine="36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日，经公司第四届董事会第十四次（临时）会议审议通过的《关于公司投资成立互联网小额贷款公司暨关 联交易的议案》，公司拟以自有资金人民币出资</w:t>
      </w:r>
      <w:r>
        <w:rPr>
          <w:rFonts w:ascii="Times New Roman" w:hAnsi="Times New Roman" w:cs="Times New Roman" w:eastAsia="Times New Roman" w:hint="default"/>
        </w:rPr>
        <w:t>17,500</w:t>
      </w:r>
      <w:r>
        <w:rPr/>
        <w:t>万元，作为主发起人与贵州永安金融控股股份有限公司、杭州一骑轻 </w:t>
      </w:r>
      <w:r>
        <w:rPr>
          <w:spacing w:val="-2"/>
        </w:rPr>
        <w:t>尘信息技术有限公司、深圳市和网零售有限公司及公司关联方盛灿科技共同投资设立江西赣江新区证好永盛网络小额贷款有</w:t>
      </w:r>
      <w:r>
        <w:rPr>
          <w:spacing w:val="-64"/>
        </w:rPr>
        <w:t> </w:t>
      </w:r>
      <w:r>
        <w:rPr>
          <w:spacing w:val="-64"/>
        </w:rPr>
      </w:r>
      <w:r>
        <w:rPr/>
        <w:t>限公司（以下简称</w:t>
      </w:r>
      <w:r>
        <w:rPr>
          <w:rFonts w:ascii="Times New Roman" w:hAnsi="Times New Roman" w:cs="Times New Roman" w:eastAsia="Times New Roman" w:hint="default"/>
        </w:rPr>
        <w:t>“</w:t>
      </w:r>
      <w:r>
        <w:rPr/>
        <w:t>小贷公司</w:t>
      </w:r>
      <w:r>
        <w:rPr>
          <w:rFonts w:ascii="Times New Roman" w:hAnsi="Times New Roman" w:cs="Times New Roman" w:eastAsia="Times New Roman" w:hint="default"/>
        </w:rPr>
        <w:t>”</w:t>
      </w:r>
      <w:r>
        <w:rPr/>
        <w:t>）。小贷公司注册资本拟定为人民币</w:t>
      </w:r>
      <w:r>
        <w:rPr>
          <w:rFonts w:ascii="Times New Roman" w:hAnsi="Times New Roman" w:cs="Times New Roman" w:eastAsia="Times New Roman" w:hint="default"/>
        </w:rPr>
        <w:t>50,000</w:t>
      </w:r>
      <w:r>
        <w:rPr/>
        <w:t>万元，公司出资比例为</w:t>
      </w:r>
      <w:r>
        <w:rPr>
          <w:rFonts w:ascii="Times New Roman" w:hAnsi="Times New Roman" w:cs="Times New Roman" w:eastAsia="Times New Roman" w:hint="default"/>
        </w:rPr>
        <w:t>35.00%</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21</w:t>
      </w:r>
      <w:r>
        <w:rPr/>
        <w:t>日，</w:t>
      </w:r>
      <w:r>
        <w:rPr>
          <w:spacing w:val="-42"/>
        </w:rPr>
        <w:t> </w:t>
      </w:r>
      <w:r>
        <w:rPr>
          <w:spacing w:val="-2"/>
        </w:rPr>
        <w:t>互联网金融风险专项整治工作领导小组办公室下发《关于立即暂停批设网络小额贷款公司的通知》，根据文件要求，本次投</w:t>
      </w:r>
      <w:r>
        <w:rPr>
          <w:spacing w:val="-65"/>
        </w:rPr>
        <w:t> </w:t>
      </w:r>
      <w:r>
        <w:rPr>
          <w:spacing w:val="-65"/>
        </w:rPr>
      </w:r>
      <w:r>
        <w:rPr/>
        <w:t>资尚需获得相关政府主管部门的批准，最终的投资方案及该项投资是否能够完成存在不确定</w:t>
      </w:r>
      <w:r>
        <w:rPr>
          <w:spacing w:val="-17"/>
        </w:rPr>
        <w:t> </w:t>
      </w:r>
      <w:r>
        <w:rPr/>
        <w:t>性，经与各相关出资方讨论，</w:t>
      </w:r>
      <w:r>
        <w:rPr/>
        <w:t> </w:t>
      </w:r>
      <w:r>
        <w:rPr>
          <w:spacing w:val="-2"/>
        </w:rPr>
        <w:t>一致决定将投资设立互联网小额贷款公司事项延期搁置，待监管部门有进一步发文公告相关指导政策，公司再根据实际情况</w:t>
      </w:r>
      <w:r>
        <w:rPr>
          <w:spacing w:val="-64"/>
        </w:rPr>
        <w:t> </w:t>
      </w:r>
      <w:r>
        <w:rPr>
          <w:spacing w:val="-64"/>
        </w:rPr>
      </w:r>
      <w:r>
        <w:rPr>
          <w:spacing w:val="-2"/>
        </w:rPr>
        <w:t>推进后续事宜。截至本报告披露日，公司拟设立的小贷相关申报材料已报送至江西省人民政府金融办公室，暂未完成报批程</w:t>
      </w:r>
      <w:r>
        <w:rPr>
          <w:spacing w:val="-63"/>
        </w:rPr>
        <w:t> </w:t>
      </w:r>
      <w:r>
        <w:rPr>
          <w:spacing w:val="-63"/>
        </w:rPr>
      </w:r>
      <w:r>
        <w:rPr/>
        <w:t>序。小贷公司尚未工商注册成立，公司及各相关出资方尚未实质性出资。</w:t>
      </w:r>
    </w:p>
    <w:p>
      <w:pPr>
        <w:pStyle w:val="BodyText"/>
        <w:spacing w:line="240" w:lineRule="auto" w:before="63"/>
        <w:ind w:left="473" w:right="0"/>
        <w:jc w:val="left"/>
      </w:pPr>
      <w:r>
        <w:rPr/>
        <w:t>重大关联交易临时报告披露网站相关查询</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459"/>
        <w:gridCol w:w="2650"/>
        <w:gridCol w:w="3461"/>
      </w:tblGrid>
      <w:tr>
        <w:trPr>
          <w:trHeight w:val="401"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公司关于投资成立互联网小额贷款公司暨 关联交易的公告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公司关于拟投资设立互联网小额贷款公司 的进展公告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after="0" w:line="240" w:lineRule="auto"/>
        <w:jc w:val="left"/>
        <w:rPr>
          <w:rFonts w:ascii="宋体" w:hAnsi="宋体" w:cs="宋体" w:eastAsia="宋体" w:hint="default"/>
          <w:sz w:val="18"/>
          <w:szCs w:val="18"/>
        </w:rPr>
        <w:sectPr>
          <w:pgSz w:w="11910" w:h="16840"/>
          <w:pgMar w:header="745" w:footer="980" w:top="1060" w:bottom="1160" w:left="1020" w:right="94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9"/>
          <w:szCs w:val="19"/>
        </w:rPr>
      </w:pPr>
    </w:p>
    <w:p>
      <w:pPr>
        <w:pStyle w:val="Heading2"/>
        <w:spacing w:line="240" w:lineRule="auto" w:before="26"/>
        <w:ind w:right="0"/>
        <w:jc w:val="left"/>
        <w:rPr>
          <w:b w:val="0"/>
          <w:bCs w:val="0"/>
        </w:rPr>
      </w:pP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公司报告期不存在托管情况。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公司报告期不存在租赁情况。</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单位：万元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703"/>
        <w:gridCol w:w="914"/>
        <w:gridCol w:w="937"/>
        <w:gridCol w:w="1290"/>
        <w:gridCol w:w="1064"/>
        <w:gridCol w:w="1034"/>
        <w:gridCol w:w="1056"/>
        <w:gridCol w:w="786"/>
        <w:gridCol w:w="779"/>
      </w:tblGrid>
      <w:tr>
        <w:trPr>
          <w:trHeight w:val="397"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20"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66" w:hRule="exact"/>
        </w:trPr>
        <w:tc>
          <w:tcPr>
            <w:tcW w:w="1703" w:type="dxa"/>
            <w:vMerge w:val="restart"/>
            <w:tcBorders>
              <w:top w:val="single" w:sz="4" w:space="0" w:color="000000"/>
              <w:left w:val="single" w:sz="4" w:space="0" w:color="000000"/>
              <w:right w:val="single" w:sz="4" w:space="0" w:color="000000"/>
            </w:tcBorders>
            <w:shd w:val="clear" w:color="auto" w:fill="D2D2D2"/>
          </w:tcPr>
          <w:p>
            <w:pPr/>
          </w:p>
        </w:tc>
        <w:tc>
          <w:tcPr>
            <w:tcW w:w="914" w:type="dxa"/>
            <w:vMerge w:val="restart"/>
            <w:tcBorders>
              <w:top w:val="single" w:sz="4" w:space="0" w:color="000000"/>
              <w:left w:val="single" w:sz="4" w:space="0" w:color="000000"/>
              <w:right w:val="single" w:sz="5" w:space="0" w:color="000000"/>
            </w:tcBorders>
            <w:shd w:val="clear" w:color="auto" w:fill="D2D2D2"/>
          </w:tcPr>
          <w:p>
            <w:pPr>
              <w:pStyle w:val="TableParagraph"/>
              <w:spacing w:line="316" w:lineRule="auto" w:before="53"/>
              <w:ind w:left="94" w:right="86"/>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7" w:type="dxa"/>
            <w:vMerge w:val="restart"/>
            <w:tcBorders>
              <w:top w:val="single" w:sz="4" w:space="0" w:color="000000"/>
              <w:left w:val="single" w:sz="5" w:space="0" w:color="000000"/>
              <w:right w:val="single" w:sz="4" w:space="0" w:color="000000"/>
            </w:tcBorders>
            <w:shd w:val="clear" w:color="auto" w:fill="D2D2D2"/>
          </w:tcPr>
          <w:p>
            <w:pPr/>
          </w:p>
        </w:tc>
        <w:tc>
          <w:tcPr>
            <w:tcW w:w="12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4" w:space="0" w:color="000000"/>
              <w:right w:val="single" w:sz="4" w:space="0" w:color="000000"/>
            </w:tcBorders>
            <w:shd w:val="clear" w:color="auto" w:fill="D2D2D2"/>
          </w:tcPr>
          <w:p>
            <w:pPr/>
          </w:p>
        </w:tc>
        <w:tc>
          <w:tcPr>
            <w:tcW w:w="1056"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3" w:type="dxa"/>
            <w:vMerge/>
            <w:tcBorders>
              <w:left w:val="single" w:sz="4" w:space="0" w:color="000000"/>
              <w:bottom w:val="nil" w:sz="6" w:space="0" w:color="auto"/>
              <w:right w:val="single" w:sz="4" w:space="0" w:color="000000"/>
            </w:tcBorders>
            <w:shd w:val="clear" w:color="auto" w:fill="D2D2D2"/>
          </w:tcPr>
          <w:p>
            <w:pPr/>
          </w:p>
        </w:tc>
        <w:tc>
          <w:tcPr>
            <w:tcW w:w="914" w:type="dxa"/>
            <w:vMerge/>
            <w:tcBorders>
              <w:left w:val="single" w:sz="4" w:space="0" w:color="000000"/>
              <w:right w:val="single" w:sz="5" w:space="0" w:color="000000"/>
            </w:tcBorders>
            <w:shd w:val="clear" w:color="auto" w:fill="D2D2D2"/>
          </w:tcPr>
          <w:p>
            <w:pPr/>
          </w:p>
        </w:tc>
        <w:tc>
          <w:tcPr>
            <w:tcW w:w="937" w:type="dxa"/>
            <w:vMerge/>
            <w:tcBorders>
              <w:left w:val="single" w:sz="5" w:space="0" w:color="000000"/>
              <w:bottom w:val="nil" w:sz="6" w:space="0" w:color="auto"/>
              <w:right w:val="single" w:sz="4" w:space="0" w:color="000000"/>
            </w:tcBorders>
            <w:shd w:val="clear" w:color="auto" w:fill="D2D2D2"/>
          </w:tcPr>
          <w:p>
            <w:pPr/>
          </w:p>
        </w:tc>
        <w:tc>
          <w:tcPr>
            <w:tcW w:w="12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vMerge/>
            <w:tcBorders>
              <w:left w:val="single" w:sz="4" w:space="0" w:color="000000"/>
              <w:bottom w:val="nil" w:sz="6" w:space="0" w:color="auto"/>
              <w:right w:val="single" w:sz="4" w:space="0" w:color="000000"/>
            </w:tcBorders>
            <w:shd w:val="clear" w:color="auto" w:fill="D2D2D2"/>
          </w:tcPr>
          <w:p>
            <w:pPr/>
          </w:p>
        </w:tc>
        <w:tc>
          <w:tcPr>
            <w:tcW w:w="1056"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7" w:right="2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1" w:hRule="exact"/>
        </w:trPr>
        <w:tc>
          <w:tcPr>
            <w:tcW w:w="17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13"/>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14" w:type="dxa"/>
            <w:vMerge/>
            <w:tcBorders>
              <w:left w:val="single" w:sz="4" w:space="0" w:color="000000"/>
              <w:right w:val="single" w:sz="5" w:space="0" w:color="000000"/>
            </w:tcBorders>
            <w:shd w:val="clear" w:color="auto" w:fill="D2D2D2"/>
          </w:tcPr>
          <w:p>
            <w:pPr/>
          </w:p>
        </w:tc>
        <w:tc>
          <w:tcPr>
            <w:tcW w:w="937" w:type="dxa"/>
            <w:tcBorders>
              <w:top w:val="nil" w:sz="6" w:space="0" w:color="auto"/>
              <w:left w:val="single" w:sz="5" w:space="0" w:color="000000"/>
              <w:bottom w:val="nil" w:sz="6" w:space="0" w:color="auto"/>
              <w:right w:val="single" w:sz="4" w:space="0" w:color="000000"/>
            </w:tcBorders>
            <w:shd w:val="clear" w:color="auto" w:fill="D2D2D2"/>
          </w:tcPr>
          <w:p>
            <w:pPr>
              <w:pStyle w:val="TableParagraph"/>
              <w:spacing w:line="240" w:lineRule="auto" w:before="49"/>
              <w:ind w:left="106"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0"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79" w:type="dxa"/>
            <w:vMerge/>
            <w:tcBorders>
              <w:left w:val="single" w:sz="4" w:space="0" w:color="000000"/>
              <w:right w:val="single" w:sz="4" w:space="0" w:color="000000"/>
            </w:tcBorders>
            <w:shd w:val="clear" w:color="auto" w:fill="D2D2D2"/>
          </w:tcPr>
          <w:p>
            <w:pPr/>
          </w:p>
        </w:tc>
      </w:tr>
      <w:tr>
        <w:trPr>
          <w:trHeight w:val="156" w:hRule="exact"/>
        </w:trPr>
        <w:tc>
          <w:tcPr>
            <w:tcW w:w="1703" w:type="dxa"/>
            <w:vMerge w:val="restart"/>
            <w:tcBorders>
              <w:top w:val="nil" w:sz="6" w:space="0" w:color="auto"/>
              <w:left w:val="single" w:sz="4" w:space="0" w:color="000000"/>
              <w:right w:val="single" w:sz="4" w:space="0" w:color="000000"/>
            </w:tcBorders>
            <w:shd w:val="clear" w:color="auto" w:fill="D2D2D2"/>
          </w:tcPr>
          <w:p>
            <w:pPr/>
          </w:p>
        </w:tc>
        <w:tc>
          <w:tcPr>
            <w:tcW w:w="914" w:type="dxa"/>
            <w:vMerge/>
            <w:tcBorders>
              <w:left w:val="single" w:sz="4" w:space="0" w:color="000000"/>
              <w:right w:val="single" w:sz="5" w:space="0" w:color="000000"/>
            </w:tcBorders>
            <w:shd w:val="clear" w:color="auto" w:fill="D2D2D2"/>
          </w:tcPr>
          <w:p>
            <w:pPr/>
          </w:p>
        </w:tc>
        <w:tc>
          <w:tcPr>
            <w:tcW w:w="937" w:type="dxa"/>
            <w:vMerge w:val="restart"/>
            <w:tcBorders>
              <w:top w:val="nil" w:sz="6" w:space="0" w:color="auto"/>
              <w:left w:val="single" w:sz="5" w:space="0" w:color="000000"/>
              <w:right w:val="single" w:sz="4" w:space="0" w:color="000000"/>
            </w:tcBorders>
            <w:shd w:val="clear" w:color="auto" w:fill="D2D2D2"/>
          </w:tcPr>
          <w:p>
            <w:pPr/>
          </w:p>
        </w:tc>
        <w:tc>
          <w:tcPr>
            <w:tcW w:w="1290"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34" w:type="dxa"/>
            <w:vMerge w:val="restart"/>
            <w:tcBorders>
              <w:top w:val="nil" w:sz="6" w:space="0" w:color="auto"/>
              <w:left w:val="single" w:sz="4" w:space="0" w:color="000000"/>
              <w:right w:val="single" w:sz="4" w:space="0" w:color="000000"/>
            </w:tcBorders>
            <w:shd w:val="clear" w:color="auto" w:fill="D2D2D2"/>
          </w:tcPr>
          <w:p>
            <w:pPr/>
          </w:p>
        </w:tc>
        <w:tc>
          <w:tcPr>
            <w:tcW w:w="1056"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79" w:type="dxa"/>
            <w:vMerge/>
            <w:tcBorders>
              <w:left w:val="single" w:sz="4" w:space="0" w:color="000000"/>
              <w:bottom w:val="nil" w:sz="6" w:space="0" w:color="auto"/>
              <w:right w:val="single" w:sz="4" w:space="0" w:color="000000"/>
            </w:tcBorders>
            <w:shd w:val="clear" w:color="auto" w:fill="D2D2D2"/>
          </w:tcPr>
          <w:p>
            <w:pPr/>
          </w:p>
        </w:tc>
      </w:tr>
      <w:tr>
        <w:trPr>
          <w:trHeight w:val="162" w:hRule="exact"/>
        </w:trPr>
        <w:tc>
          <w:tcPr>
            <w:tcW w:w="1703" w:type="dxa"/>
            <w:vMerge/>
            <w:tcBorders>
              <w:left w:val="single" w:sz="4" w:space="0" w:color="000000"/>
              <w:bottom w:val="single" w:sz="4" w:space="0" w:color="000000"/>
              <w:right w:val="single" w:sz="4" w:space="0" w:color="000000"/>
            </w:tcBorders>
            <w:shd w:val="clear" w:color="auto" w:fill="D2D2D2"/>
          </w:tcPr>
          <w:p>
            <w:pPr/>
          </w:p>
        </w:tc>
        <w:tc>
          <w:tcPr>
            <w:tcW w:w="914" w:type="dxa"/>
            <w:vMerge/>
            <w:tcBorders>
              <w:left w:val="single" w:sz="4" w:space="0" w:color="000000"/>
              <w:bottom w:val="single" w:sz="4" w:space="0" w:color="000000"/>
              <w:right w:val="single" w:sz="5" w:space="0" w:color="000000"/>
            </w:tcBorders>
            <w:shd w:val="clear" w:color="auto" w:fill="D2D2D2"/>
          </w:tcPr>
          <w:p>
            <w:pPr/>
          </w:p>
        </w:tc>
        <w:tc>
          <w:tcPr>
            <w:tcW w:w="937" w:type="dxa"/>
            <w:vMerge/>
            <w:tcBorders>
              <w:left w:val="single" w:sz="5" w:space="0" w:color="000000"/>
              <w:bottom w:val="single" w:sz="4" w:space="0" w:color="000000"/>
              <w:right w:val="single" w:sz="4" w:space="0" w:color="000000"/>
            </w:tcBorders>
            <w:shd w:val="clear" w:color="auto" w:fill="D2D2D2"/>
          </w:tcPr>
          <w:p>
            <w:pPr/>
          </w:p>
        </w:tc>
        <w:tc>
          <w:tcPr>
            <w:tcW w:w="12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1056"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2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 w:right="75"/>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 w:right="82"/>
              <w:jc w:val="left"/>
              <w:rPr>
                <w:rFonts w:ascii="宋体" w:hAnsi="宋体" w:cs="宋体" w:eastAsia="宋体" w:hint="default"/>
                <w:sz w:val="18"/>
                <w:szCs w:val="18"/>
              </w:rPr>
            </w:pPr>
            <w:r>
              <w:rPr>
                <w:rFonts w:ascii="宋体" w:hAnsi="宋体" w:cs="宋体" w:eastAsia="宋体" w:hint="default"/>
                <w:sz w:val="18"/>
                <w:szCs w:val="18"/>
              </w:rPr>
              <w:t>报告期内对外担保实际发 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26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227"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报告期末实际对外担保余 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6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66" w:hRule="exact"/>
        </w:trPr>
        <w:tc>
          <w:tcPr>
            <w:tcW w:w="1703" w:type="dxa"/>
            <w:vMerge w:val="restart"/>
            <w:tcBorders>
              <w:top w:val="single" w:sz="4" w:space="0" w:color="000000"/>
              <w:left w:val="single" w:sz="4" w:space="0" w:color="000000"/>
              <w:right w:val="single" w:sz="4" w:space="0" w:color="000000"/>
            </w:tcBorders>
            <w:shd w:val="clear" w:color="auto" w:fill="D2D2D2"/>
          </w:tcPr>
          <w:p>
            <w:pPr/>
          </w:p>
        </w:tc>
        <w:tc>
          <w:tcPr>
            <w:tcW w:w="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3"/>
              <w:ind w:left="89"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7" w:type="dxa"/>
            <w:vMerge w:val="restart"/>
            <w:tcBorders>
              <w:top w:val="single" w:sz="4" w:space="0" w:color="000000"/>
              <w:left w:val="single" w:sz="4" w:space="0" w:color="000000"/>
              <w:right w:val="single" w:sz="4" w:space="0" w:color="000000"/>
            </w:tcBorders>
            <w:shd w:val="clear" w:color="auto" w:fill="D2D2D2"/>
          </w:tcPr>
          <w:p>
            <w:pPr/>
          </w:p>
        </w:tc>
        <w:tc>
          <w:tcPr>
            <w:tcW w:w="12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4" w:type="dxa"/>
            <w:vMerge w:val="restart"/>
            <w:tcBorders>
              <w:top w:val="single" w:sz="4" w:space="0" w:color="000000"/>
              <w:left w:val="single" w:sz="4" w:space="0" w:color="000000"/>
              <w:right w:val="single" w:sz="4" w:space="0" w:color="000000"/>
            </w:tcBorders>
            <w:shd w:val="clear" w:color="auto" w:fill="D2D2D2"/>
          </w:tcPr>
          <w:p>
            <w:pPr/>
          </w:p>
        </w:tc>
        <w:tc>
          <w:tcPr>
            <w:tcW w:w="1056" w:type="dxa"/>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03" w:type="dxa"/>
            <w:vMerge/>
            <w:tcBorders>
              <w:left w:val="single" w:sz="4" w:space="0" w:color="000000"/>
              <w:bottom w:val="nil" w:sz="6" w:space="0" w:color="auto"/>
              <w:right w:val="single" w:sz="4" w:space="0" w:color="000000"/>
            </w:tcBorders>
            <w:shd w:val="clear" w:color="auto" w:fill="D2D2D2"/>
          </w:tcPr>
          <w:p>
            <w:pPr/>
          </w:p>
        </w:tc>
        <w:tc>
          <w:tcPr>
            <w:tcW w:w="914" w:type="dxa"/>
            <w:vMerge/>
            <w:tcBorders>
              <w:left w:val="single" w:sz="4" w:space="0" w:color="000000"/>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12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7"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8"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vMerge/>
            <w:tcBorders>
              <w:left w:val="single" w:sz="4" w:space="0" w:color="000000"/>
              <w:bottom w:val="nil" w:sz="6" w:space="0" w:color="auto"/>
              <w:right w:val="single" w:sz="4" w:space="0" w:color="000000"/>
            </w:tcBorders>
            <w:shd w:val="clear" w:color="auto" w:fill="D2D2D2"/>
          </w:tcPr>
          <w:p>
            <w:pPr/>
          </w:p>
        </w:tc>
        <w:tc>
          <w:tcPr>
            <w:tcW w:w="1056" w:type="dxa"/>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4"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7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2" w:hRule="exact"/>
        </w:trPr>
        <w:tc>
          <w:tcPr>
            <w:tcW w:w="17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313"/>
              <w:jc w:val="right"/>
              <w:rPr>
                <w:rFonts w:ascii="宋体" w:hAnsi="宋体" w:cs="宋体" w:eastAsia="宋体" w:hint="default"/>
                <w:sz w:val="18"/>
                <w:szCs w:val="18"/>
              </w:rPr>
            </w:pPr>
            <w:r>
              <w:rPr>
                <w:rFonts w:ascii="宋体" w:hAnsi="宋体" w:cs="宋体" w:eastAsia="宋体" w:hint="default"/>
                <w:sz w:val="18"/>
                <w:szCs w:val="18"/>
              </w:rPr>
              <w:t>担保对象名称</w:t>
            </w:r>
          </w:p>
        </w:tc>
        <w:tc>
          <w:tcPr>
            <w:tcW w:w="914" w:type="dxa"/>
            <w:vMerge/>
            <w:tcBorders>
              <w:left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0" w:type="dxa"/>
            <w:vMerge/>
            <w:tcBorders>
              <w:left w:val="single" w:sz="4" w:space="0" w:color="000000"/>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0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86" w:type="dxa"/>
            <w:vMerge/>
            <w:tcBorders>
              <w:left w:val="single" w:sz="4" w:space="0" w:color="000000"/>
              <w:right w:val="single" w:sz="4" w:space="0" w:color="000000"/>
            </w:tcBorders>
            <w:shd w:val="clear" w:color="auto" w:fill="D2D2D2"/>
          </w:tcPr>
          <w:p>
            <w:pPr/>
          </w:p>
        </w:tc>
        <w:tc>
          <w:tcPr>
            <w:tcW w:w="779" w:type="dxa"/>
            <w:vMerge/>
            <w:tcBorders>
              <w:left w:val="single" w:sz="4" w:space="0" w:color="000000"/>
              <w:right w:val="single" w:sz="4" w:space="0" w:color="000000"/>
            </w:tcBorders>
            <w:shd w:val="clear" w:color="auto" w:fill="D2D2D2"/>
          </w:tcPr>
          <w:p>
            <w:pPr/>
          </w:p>
        </w:tc>
      </w:tr>
      <w:tr>
        <w:trPr>
          <w:trHeight w:val="156" w:hRule="exact"/>
        </w:trPr>
        <w:tc>
          <w:tcPr>
            <w:tcW w:w="1703" w:type="dxa"/>
            <w:vMerge w:val="restart"/>
            <w:tcBorders>
              <w:top w:val="nil" w:sz="6" w:space="0" w:color="auto"/>
              <w:left w:val="single" w:sz="4" w:space="0" w:color="000000"/>
              <w:right w:val="single" w:sz="4" w:space="0" w:color="000000"/>
            </w:tcBorders>
            <w:shd w:val="clear" w:color="auto" w:fill="D2D2D2"/>
          </w:tcPr>
          <w:p>
            <w:pPr/>
          </w:p>
        </w:tc>
        <w:tc>
          <w:tcPr>
            <w:tcW w:w="914" w:type="dxa"/>
            <w:vMerge/>
            <w:tcBorders>
              <w:left w:val="single" w:sz="4" w:space="0" w:color="000000"/>
              <w:right w:val="single" w:sz="4" w:space="0" w:color="000000"/>
            </w:tcBorders>
            <w:shd w:val="clear" w:color="auto" w:fill="D2D2D2"/>
          </w:tcPr>
          <w:p>
            <w:pPr/>
          </w:p>
        </w:tc>
        <w:tc>
          <w:tcPr>
            <w:tcW w:w="937" w:type="dxa"/>
            <w:vMerge w:val="restart"/>
            <w:tcBorders>
              <w:top w:val="nil" w:sz="6" w:space="0" w:color="auto"/>
              <w:left w:val="single" w:sz="4" w:space="0" w:color="000000"/>
              <w:right w:val="single" w:sz="4" w:space="0" w:color="000000"/>
            </w:tcBorders>
            <w:shd w:val="clear" w:color="auto" w:fill="D2D2D2"/>
          </w:tcPr>
          <w:p>
            <w:pPr/>
          </w:p>
        </w:tc>
        <w:tc>
          <w:tcPr>
            <w:tcW w:w="1290"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bottom w:val="nil" w:sz="6" w:space="0" w:color="auto"/>
              <w:right w:val="single" w:sz="4" w:space="0" w:color="000000"/>
            </w:tcBorders>
            <w:shd w:val="clear" w:color="auto" w:fill="D2D2D2"/>
          </w:tcPr>
          <w:p>
            <w:pPr/>
          </w:p>
        </w:tc>
        <w:tc>
          <w:tcPr>
            <w:tcW w:w="1034" w:type="dxa"/>
            <w:vMerge w:val="restart"/>
            <w:tcBorders>
              <w:top w:val="nil" w:sz="6" w:space="0" w:color="auto"/>
              <w:left w:val="single" w:sz="4" w:space="0" w:color="000000"/>
              <w:right w:val="single" w:sz="4" w:space="0" w:color="000000"/>
            </w:tcBorders>
            <w:shd w:val="clear" w:color="auto" w:fill="D2D2D2"/>
          </w:tcPr>
          <w:p>
            <w:pPr/>
          </w:p>
        </w:tc>
        <w:tc>
          <w:tcPr>
            <w:tcW w:w="1056" w:type="dxa"/>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79"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703" w:type="dxa"/>
            <w:vMerge/>
            <w:tcBorders>
              <w:left w:val="single" w:sz="4" w:space="0" w:color="000000"/>
              <w:bottom w:val="single" w:sz="4" w:space="0" w:color="000000"/>
              <w:right w:val="single" w:sz="4" w:space="0" w:color="000000"/>
            </w:tcBorders>
            <w:shd w:val="clear" w:color="auto" w:fill="D2D2D2"/>
          </w:tcPr>
          <w:p>
            <w:pPr/>
          </w:p>
        </w:tc>
        <w:tc>
          <w:tcPr>
            <w:tcW w:w="914" w:type="dxa"/>
            <w:vMerge/>
            <w:tcBorders>
              <w:left w:val="single" w:sz="4" w:space="0" w:color="000000"/>
              <w:bottom w:val="single" w:sz="4" w:space="0" w:color="000000"/>
              <w:right w:val="single" w:sz="4" w:space="0" w:color="000000"/>
            </w:tcBorders>
            <w:shd w:val="clear" w:color="auto" w:fill="D2D2D2"/>
          </w:tcPr>
          <w:p>
            <w:pPr/>
          </w:p>
        </w:tc>
        <w:tc>
          <w:tcPr>
            <w:tcW w:w="937" w:type="dxa"/>
            <w:vMerge/>
            <w:tcBorders>
              <w:left w:val="single" w:sz="4" w:space="0" w:color="000000"/>
              <w:bottom w:val="single" w:sz="4" w:space="0" w:color="000000"/>
              <w:right w:val="single" w:sz="4" w:space="0" w:color="000000"/>
            </w:tcBorders>
            <w:shd w:val="clear" w:color="auto" w:fill="D2D2D2"/>
          </w:tcPr>
          <w:p>
            <w:pPr/>
          </w:p>
        </w:tc>
        <w:tc>
          <w:tcPr>
            <w:tcW w:w="12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1056" w:type="dxa"/>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298" w:hRule="exact"/>
        </w:trPr>
        <w:tc>
          <w:tcPr>
            <w:tcW w:w="17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云硕科技</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13,000</w:t>
            </w:r>
          </w:p>
        </w:tc>
        <w:tc>
          <w:tcPr>
            <w:tcW w:w="1290"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0"/>
              <w:jc w:val="both"/>
              <w:rPr>
                <w:rFonts w:ascii="宋体" w:hAnsi="宋体" w:cs="宋体" w:eastAsia="宋体" w:hint="default"/>
                <w:sz w:val="18"/>
                <w:szCs w:val="18"/>
              </w:rPr>
            </w:pPr>
            <w:r>
              <w:rPr>
                <w:rFonts w:ascii="宋体" w:hAnsi="宋体" w:cs="宋体" w:eastAsia="宋体" w:hint="default"/>
                <w:sz w:val="18"/>
                <w:szCs w:val="18"/>
              </w:rPr>
              <w:t>自本《担保 书》生效之 日起至《融 资租赁合</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09"/>
        <w:gridCol w:w="924"/>
        <w:gridCol w:w="927"/>
        <w:gridCol w:w="1296"/>
        <w:gridCol w:w="1064"/>
        <w:gridCol w:w="1034"/>
        <w:gridCol w:w="1047"/>
        <w:gridCol w:w="794"/>
        <w:gridCol w:w="780"/>
      </w:tblGrid>
      <w:tr>
        <w:trPr>
          <w:trHeight w:val="1299" w:hRule="exact"/>
        </w:trPr>
        <w:tc>
          <w:tcPr>
            <w:tcW w:w="1709"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927"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11"/>
              <w:jc w:val="both"/>
              <w:rPr>
                <w:rFonts w:ascii="宋体" w:hAnsi="宋体" w:cs="宋体" w:eastAsia="宋体" w:hint="default"/>
                <w:sz w:val="18"/>
                <w:szCs w:val="18"/>
              </w:rPr>
            </w:pPr>
            <w:r>
              <w:rPr>
                <w:rFonts w:ascii="宋体" w:hAnsi="宋体" w:cs="宋体" w:eastAsia="宋体" w:hint="default"/>
                <w:sz w:val="18"/>
                <w:szCs w:val="18"/>
              </w:rPr>
              <w:t>同》主合同 履行期限届 满之日后两 年止。</w:t>
            </w:r>
          </w:p>
        </w:tc>
        <w:tc>
          <w:tcPr>
            <w:tcW w:w="794"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97"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云硕科技</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自本《担保 书》生效之 日至《融资 租赁合同》 主合同项下 所负的所有 债务履行期 届满之日起 两年止。</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1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云硕科技</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left"/>
              <w:rPr>
                <w:rFonts w:ascii="宋体" w:hAnsi="宋体" w:cs="宋体" w:eastAsia="宋体" w:hint="default"/>
                <w:sz w:val="18"/>
                <w:szCs w:val="18"/>
              </w:rPr>
            </w:pPr>
            <w:r>
              <w:rPr>
                <w:rFonts w:ascii="宋体" w:hAnsi="宋体" w:cs="宋体" w:eastAsia="宋体" w:hint="default"/>
                <w:sz w:val="18"/>
                <w:szCs w:val="18"/>
              </w:rPr>
              <w:t>自本《保证 合同》生效 之日至《售 后回租赁合 同》主合同 项下所负的 所有债务履 行期届满之 日起两年 止。</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云硕科技</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保证期间为 该合同相应 债务开始之 日起，债务 履行期届满 之日止。</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5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宏达通信</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保证期间为 该合同相应 债务履行期 届满之日起 两年。</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1"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证通佳明</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16" w:lineRule="auto"/>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11"/>
              <w:jc w:val="both"/>
              <w:rPr>
                <w:rFonts w:ascii="宋体" w:hAnsi="宋体" w:cs="宋体" w:eastAsia="宋体" w:hint="default"/>
                <w:sz w:val="18"/>
                <w:szCs w:val="18"/>
              </w:rPr>
            </w:pPr>
            <w:r>
              <w:rPr>
                <w:rFonts w:ascii="宋体" w:hAnsi="宋体" w:cs="宋体" w:eastAsia="宋体" w:hint="default"/>
                <w:sz w:val="18"/>
                <w:szCs w:val="18"/>
              </w:rPr>
              <w:t>保证期间为 该合同相应 债务开始之 日起，债务 履行期届满 之日止。</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证通佳明</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27</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8"/>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3" w:right="111"/>
              <w:jc w:val="left"/>
              <w:rPr>
                <w:rFonts w:ascii="宋体" w:hAnsi="宋体" w:cs="宋体" w:eastAsia="宋体" w:hint="default"/>
                <w:sz w:val="18"/>
                <w:szCs w:val="18"/>
              </w:rPr>
            </w:pPr>
            <w:r>
              <w:rPr>
                <w:rFonts w:ascii="宋体" w:hAnsi="宋体" w:cs="宋体" w:eastAsia="宋体" w:hint="default"/>
                <w:sz w:val="18"/>
                <w:szCs w:val="18"/>
              </w:rPr>
              <w:t>保证期间为 该合同相应</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715"/>
        <w:gridCol w:w="912"/>
        <w:gridCol w:w="931"/>
        <w:gridCol w:w="1299"/>
        <w:gridCol w:w="1048"/>
        <w:gridCol w:w="1046"/>
        <w:gridCol w:w="1057"/>
        <w:gridCol w:w="784"/>
        <w:gridCol w:w="784"/>
      </w:tblGrid>
      <w:tr>
        <w:trPr>
          <w:trHeight w:val="1299" w:hRule="exact"/>
        </w:trPr>
        <w:tc>
          <w:tcPr>
            <w:tcW w:w="1715" w:type="dxa"/>
            <w:tcBorders>
              <w:top w:val="single" w:sz="4" w:space="0" w:color="000000"/>
              <w:left w:val="single" w:sz="4" w:space="0" w:color="000000"/>
              <w:bottom w:val="single" w:sz="4" w:space="0" w:color="000000"/>
              <w:right w:val="single" w:sz="4" w:space="0" w:color="000000"/>
            </w:tcBorders>
          </w:tcPr>
          <w:p>
            <w:pPr/>
          </w:p>
        </w:tc>
        <w:tc>
          <w:tcPr>
            <w:tcW w:w="912"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1299"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7" w:right="117"/>
              <w:jc w:val="both"/>
              <w:rPr>
                <w:rFonts w:ascii="宋体" w:hAnsi="宋体" w:cs="宋体" w:eastAsia="宋体" w:hint="default"/>
                <w:sz w:val="18"/>
                <w:szCs w:val="18"/>
              </w:rPr>
            </w:pPr>
            <w:r>
              <w:rPr>
                <w:rFonts w:ascii="宋体" w:hAnsi="宋体" w:cs="宋体" w:eastAsia="宋体" w:hint="default"/>
                <w:sz w:val="18"/>
                <w:szCs w:val="18"/>
              </w:rPr>
              <w:t>债务开始之 日起，债务 履行期届满 之日止。</w:t>
            </w:r>
          </w:p>
        </w:tc>
        <w:tc>
          <w:tcPr>
            <w:tcW w:w="784"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证通金信</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5,000</w:t>
            </w:r>
          </w:p>
        </w:tc>
        <w:tc>
          <w:tcPr>
            <w:tcW w:w="1299"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7" w:right="117"/>
              <w:jc w:val="both"/>
              <w:rPr>
                <w:rFonts w:ascii="宋体" w:hAnsi="宋体" w:cs="宋体" w:eastAsia="宋体" w:hint="default"/>
                <w:sz w:val="18"/>
                <w:szCs w:val="18"/>
              </w:rPr>
            </w:pPr>
            <w:r>
              <w:rPr>
                <w:rFonts w:ascii="宋体" w:hAnsi="宋体" w:cs="宋体" w:eastAsia="宋体" w:hint="default"/>
                <w:sz w:val="18"/>
                <w:szCs w:val="18"/>
              </w:rPr>
              <w:t>保证期间为 该合同相应 债务开始之 日起，债务 履行期届满 之日止。</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964" w:hRule="exact"/>
        </w:trPr>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证通金信</w:t>
            </w:r>
          </w:p>
        </w:tc>
        <w:tc>
          <w:tcPr>
            <w:tcW w:w="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7"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2,500</w:t>
            </w:r>
          </w:p>
        </w:tc>
        <w:tc>
          <w:tcPr>
            <w:tcW w:w="1299" w:type="dxa"/>
            <w:tcBorders>
              <w:top w:val="single" w:sz="4" w:space="0" w:color="000000"/>
              <w:left w:val="single" w:sz="4" w:space="0" w:color="000000"/>
              <w:bottom w:val="single" w:sz="4" w:space="0" w:color="000000"/>
              <w:right w:val="single" w:sz="4" w:space="0" w:color="000000"/>
            </w:tcBorders>
          </w:tcPr>
          <w:p>
            <w:pPr/>
          </w:p>
        </w:tc>
        <w:tc>
          <w:tcPr>
            <w:tcW w:w="1048"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9" w:lineRule="auto"/>
              <w:ind w:left="38" w:right="95"/>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7" w:right="117"/>
              <w:jc w:val="both"/>
              <w:rPr>
                <w:rFonts w:ascii="宋体" w:hAnsi="宋体" w:cs="宋体" w:eastAsia="宋体" w:hint="default"/>
                <w:sz w:val="18"/>
                <w:szCs w:val="18"/>
              </w:rPr>
            </w:pPr>
            <w:r>
              <w:rPr>
                <w:rFonts w:ascii="宋体" w:hAnsi="宋体" w:cs="宋体" w:eastAsia="宋体" w:hint="default"/>
                <w:sz w:val="18"/>
                <w:szCs w:val="18"/>
              </w:rPr>
              <w:t>保证期间为 该合同相应 债务开始之 日起，债务 履行期届满 之日止。</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17,500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8"/>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20,500</w:t>
            </w:r>
          </w:p>
        </w:tc>
      </w:tr>
      <w:tr>
        <w:trPr>
          <w:trHeight w:val="720"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102,500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8"/>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66" w:hRule="exact"/>
        </w:trPr>
        <w:tc>
          <w:tcPr>
            <w:tcW w:w="1715" w:type="dxa"/>
            <w:vMerge w:val="restart"/>
            <w:tcBorders>
              <w:top w:val="single" w:sz="4" w:space="0" w:color="000000"/>
              <w:left w:val="single" w:sz="4" w:space="0" w:color="000000"/>
              <w:right w:val="single" w:sz="4" w:space="0" w:color="000000"/>
            </w:tcBorders>
            <w:shd w:val="clear" w:color="auto" w:fill="D2D2D2"/>
          </w:tcPr>
          <w:p>
            <w:pPr/>
          </w:p>
        </w:tc>
        <w:tc>
          <w:tcPr>
            <w:tcW w:w="91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7" w:right="92"/>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1" w:type="dxa"/>
            <w:vMerge w:val="restart"/>
            <w:tcBorders>
              <w:top w:val="single" w:sz="4" w:space="0" w:color="000000"/>
              <w:left w:val="single" w:sz="4" w:space="0" w:color="000000"/>
              <w:right w:val="single" w:sz="4" w:space="0" w:color="000000"/>
            </w:tcBorders>
            <w:shd w:val="clear" w:color="auto" w:fill="D2D2D2"/>
          </w:tcPr>
          <w:p>
            <w:pPr/>
          </w:p>
        </w:tc>
        <w:tc>
          <w:tcPr>
            <w:tcW w:w="12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
        </w:tc>
        <w:tc>
          <w:tcPr>
            <w:tcW w:w="1057" w:type="dxa"/>
            <w:vMerge w:val="restart"/>
            <w:tcBorders>
              <w:top w:val="single" w:sz="4" w:space="0" w:color="000000"/>
              <w:left w:val="single" w:sz="4" w:space="0" w:color="000000"/>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715" w:type="dxa"/>
            <w:vMerge/>
            <w:tcBorders>
              <w:left w:val="single" w:sz="4" w:space="0" w:color="000000"/>
              <w:bottom w:val="nil" w:sz="6" w:space="0" w:color="auto"/>
              <w:right w:val="single" w:sz="4" w:space="0" w:color="000000"/>
            </w:tcBorders>
            <w:shd w:val="clear" w:color="auto" w:fill="D2D2D2"/>
          </w:tcPr>
          <w:p>
            <w:pPr/>
          </w:p>
        </w:tc>
        <w:tc>
          <w:tcPr>
            <w:tcW w:w="912" w:type="dxa"/>
            <w:vMerge/>
            <w:tcBorders>
              <w:left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c>
          <w:tcPr>
            <w:tcW w:w="12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9"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4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27" w:right="69"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6" w:type="dxa"/>
            <w:vMerge/>
            <w:tcBorders>
              <w:left w:val="single" w:sz="4" w:space="0" w:color="000000"/>
              <w:bottom w:val="nil" w:sz="6" w:space="0" w:color="auto"/>
              <w:right w:val="single" w:sz="4" w:space="0" w:color="000000"/>
            </w:tcBorders>
            <w:shd w:val="clear" w:color="auto" w:fill="D2D2D2"/>
          </w:tcPr>
          <w:p>
            <w:pPr/>
          </w:p>
        </w:tc>
        <w:tc>
          <w:tcPr>
            <w:tcW w:w="1057" w:type="dxa"/>
            <w:vMerge/>
            <w:tcBorders>
              <w:left w:val="single" w:sz="4" w:space="0" w:color="000000"/>
              <w:bottom w:val="nil" w:sz="6" w:space="0" w:color="auto"/>
              <w:right w:val="single" w:sz="4" w:space="0" w:color="000000"/>
            </w:tcBorders>
            <w:shd w:val="clear" w:color="auto" w:fill="D2D2D2"/>
          </w:tcPr>
          <w:p>
            <w:pP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0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94" w:hRule="exact"/>
        </w:trPr>
        <w:tc>
          <w:tcPr>
            <w:tcW w:w="17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2" w:type="dxa"/>
            <w:vMerge/>
            <w:tcBorders>
              <w:left w:val="single" w:sz="4" w:space="0" w:color="000000"/>
              <w:right w:val="single" w:sz="4" w:space="0" w:color="000000"/>
            </w:tcBorders>
            <w:shd w:val="clear" w:color="auto" w:fill="D2D2D2"/>
          </w:tcPr>
          <w:p>
            <w:pPr/>
          </w:p>
        </w:tc>
        <w:tc>
          <w:tcPr>
            <w:tcW w:w="9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9" w:type="dxa"/>
            <w:vMerge/>
            <w:tcBorders>
              <w:left w:val="single" w:sz="4" w:space="0" w:color="000000"/>
              <w:right w:val="single" w:sz="4" w:space="0" w:color="000000"/>
            </w:tcBorders>
            <w:shd w:val="clear" w:color="auto" w:fill="D2D2D2"/>
          </w:tcPr>
          <w:p>
            <w:pPr/>
          </w:p>
        </w:tc>
        <w:tc>
          <w:tcPr>
            <w:tcW w:w="1048" w:type="dxa"/>
            <w:vMerge/>
            <w:tcBorders>
              <w:left w:val="single" w:sz="4" w:space="0" w:color="000000"/>
              <w:right w:val="single" w:sz="4" w:space="0" w:color="000000"/>
            </w:tcBorders>
            <w:shd w:val="clear" w:color="auto" w:fill="D2D2D2"/>
          </w:tcPr>
          <w:p>
            <w:pPr/>
          </w:p>
        </w:tc>
        <w:tc>
          <w:tcPr>
            <w:tcW w:w="104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5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4" w:type="dxa"/>
            <w:vMerge/>
            <w:tcBorders>
              <w:left w:val="single" w:sz="4" w:space="0" w:color="000000"/>
              <w:right w:val="single" w:sz="4" w:space="0" w:color="000000"/>
            </w:tcBorders>
            <w:shd w:val="clear" w:color="auto" w:fill="D2D2D2"/>
          </w:tcPr>
          <w:p>
            <w:pPr/>
          </w:p>
        </w:tc>
        <w:tc>
          <w:tcPr>
            <w:tcW w:w="784" w:type="dxa"/>
            <w:vMerge/>
            <w:tcBorders>
              <w:left w:val="single" w:sz="4" w:space="0" w:color="000000"/>
              <w:right w:val="single" w:sz="4" w:space="0" w:color="000000"/>
            </w:tcBorders>
            <w:shd w:val="clear" w:color="auto" w:fill="D2D2D2"/>
          </w:tcPr>
          <w:p>
            <w:pPr/>
          </w:p>
        </w:tc>
      </w:tr>
      <w:tr>
        <w:trPr>
          <w:trHeight w:val="156" w:hRule="exact"/>
        </w:trPr>
        <w:tc>
          <w:tcPr>
            <w:tcW w:w="1715" w:type="dxa"/>
            <w:vMerge w:val="restart"/>
            <w:tcBorders>
              <w:top w:val="nil" w:sz="6" w:space="0" w:color="auto"/>
              <w:left w:val="single" w:sz="4" w:space="0" w:color="000000"/>
              <w:right w:val="single" w:sz="4" w:space="0" w:color="000000"/>
            </w:tcBorders>
            <w:shd w:val="clear" w:color="auto" w:fill="D2D2D2"/>
          </w:tcPr>
          <w:p>
            <w:pPr/>
          </w:p>
        </w:tc>
        <w:tc>
          <w:tcPr>
            <w:tcW w:w="912" w:type="dxa"/>
            <w:vMerge/>
            <w:tcBorders>
              <w:left w:val="single" w:sz="4" w:space="0" w:color="000000"/>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c>
          <w:tcPr>
            <w:tcW w:w="1299" w:type="dxa"/>
            <w:vMerge/>
            <w:tcBorders>
              <w:left w:val="single" w:sz="4" w:space="0" w:color="000000"/>
              <w:bottom w:val="nil" w:sz="6" w:space="0" w:color="auto"/>
              <w:right w:val="single" w:sz="4" w:space="0" w:color="000000"/>
            </w:tcBorders>
            <w:shd w:val="clear" w:color="auto" w:fill="D2D2D2"/>
          </w:tcPr>
          <w:p>
            <w:pPr/>
          </w:p>
        </w:tc>
        <w:tc>
          <w:tcPr>
            <w:tcW w:w="1048"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nil" w:sz="6" w:space="0" w:color="auto"/>
              <w:left w:val="single" w:sz="4" w:space="0" w:color="000000"/>
              <w:right w:val="single" w:sz="4" w:space="0" w:color="000000"/>
            </w:tcBorders>
            <w:shd w:val="clear" w:color="auto" w:fill="D2D2D2"/>
          </w:tcPr>
          <w:p>
            <w:pPr/>
          </w:p>
        </w:tc>
        <w:tc>
          <w:tcPr>
            <w:tcW w:w="1057" w:type="dxa"/>
            <w:vMerge w:val="restart"/>
            <w:tcBorders>
              <w:top w:val="nil" w:sz="6" w:space="0" w:color="auto"/>
              <w:left w:val="single" w:sz="4" w:space="0" w:color="000000"/>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c>
          <w:tcPr>
            <w:tcW w:w="784" w:type="dxa"/>
            <w:vMerge/>
            <w:tcBorders>
              <w:left w:val="single" w:sz="4" w:space="0" w:color="000000"/>
              <w:bottom w:val="nil" w:sz="6" w:space="0" w:color="auto"/>
              <w:right w:val="single" w:sz="4" w:space="0" w:color="000000"/>
            </w:tcBorders>
            <w:shd w:val="clear" w:color="auto" w:fill="D2D2D2"/>
          </w:tcPr>
          <w:p>
            <w:pPr/>
          </w:p>
        </w:tc>
      </w:tr>
      <w:tr>
        <w:trPr>
          <w:trHeight w:val="166" w:hRule="exact"/>
        </w:trPr>
        <w:tc>
          <w:tcPr>
            <w:tcW w:w="1715" w:type="dxa"/>
            <w:vMerge/>
            <w:tcBorders>
              <w:left w:val="single" w:sz="4" w:space="0" w:color="000000"/>
              <w:bottom w:val="single" w:sz="4" w:space="0" w:color="000000"/>
              <w:right w:val="single" w:sz="4" w:space="0" w:color="000000"/>
            </w:tcBorders>
            <w:shd w:val="clear" w:color="auto" w:fill="D2D2D2"/>
          </w:tcPr>
          <w:p>
            <w:pPr/>
          </w:p>
        </w:tc>
        <w:tc>
          <w:tcPr>
            <w:tcW w:w="912"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2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1057" w:type="dxa"/>
            <w:vMerge/>
            <w:tcBorders>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20"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17,500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78"/>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20,500</w:t>
            </w:r>
          </w:p>
        </w:tc>
      </w:tr>
      <w:tr>
        <w:trPr>
          <w:trHeight w:val="713" w:hRule="exact"/>
        </w:trPr>
        <w:tc>
          <w:tcPr>
            <w:tcW w:w="2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30" w:type="dxa"/>
            <w:gridSpan w:val="2"/>
            <w:tcBorders>
              <w:top w:val="single" w:sz="4" w:space="0" w:color="000000"/>
              <w:left w:val="single" w:sz="13" w:space="0" w:color="D2D2D2"/>
              <w:bottom w:val="single" w:sz="4" w:space="0" w:color="000000"/>
              <w:right w:val="single" w:sz="13"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102,500</w:t>
            </w:r>
          </w:p>
        </w:tc>
        <w:tc>
          <w:tcPr>
            <w:tcW w:w="20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78"/>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5"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r>
      <w:tr>
        <w:trPr>
          <w:trHeight w:val="408"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w:t>
            </w: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8"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r>
      <w:tr>
        <w:trPr>
          <w:trHeight w:val="403"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w:t>
            </w:r>
          </w:p>
        </w:tc>
      </w:tr>
      <w:tr>
        <w:trPr>
          <w:trHeight w:val="715"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8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3"/>
        <w:rPr>
          <w:rFonts w:ascii="Times New Roman" w:hAnsi="Times New Roman" w:cs="Times New Roman" w:eastAsia="Times New Roman" w:hint="default"/>
          <w:sz w:val="29"/>
          <w:szCs w:val="29"/>
        </w:rPr>
      </w:pPr>
    </w:p>
    <w:p>
      <w:pPr>
        <w:pStyle w:val="BodyText"/>
        <w:spacing w:line="240" w:lineRule="auto" w:before="44"/>
        <w:ind w:right="0"/>
        <w:jc w:val="left"/>
      </w:pPr>
      <w:r>
        <w:rPr/>
        <w:t>采用复合方式担保的具体情况说明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67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line="240" w:lineRule="auto" w:before="6"/>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2"/>
        <w:rPr>
          <w:rFonts w:ascii="宋体" w:hAnsi="宋体" w:cs="宋体" w:eastAsia="宋体" w:hint="default"/>
          <w:b/>
          <w:bCs/>
          <w:sz w:val="26"/>
          <w:szCs w:val="26"/>
        </w:rPr>
      </w:pPr>
    </w:p>
    <w:p>
      <w:pPr>
        <w:pStyle w:val="BodyText"/>
        <w:spacing w:line="340" w:lineRule="auto"/>
        <w:ind w:right="7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423"/>
        <w:gridCol w:w="852"/>
        <w:gridCol w:w="638"/>
        <w:gridCol w:w="444"/>
        <w:gridCol w:w="833"/>
        <w:gridCol w:w="516"/>
        <w:gridCol w:w="758"/>
      </w:tblGrid>
      <w:tr>
        <w:trPr>
          <w:trHeight w:val="2274" w:hRule="exact"/>
        </w:trPr>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43" w:right="41"/>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45" w:right="41"/>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5" w:right="43"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45" w:right="41"/>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5" w:right="41"/>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p>
            <w:pPr>
              <w:pStyle w:val="TableParagraph"/>
              <w:spacing w:line="316" w:lineRule="auto" w:before="19"/>
              <w:ind w:left="24" w:right="22" w:firstLine="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7" w:right="41"/>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p>
            <w:pPr>
              <w:pStyle w:val="TableParagraph"/>
              <w:spacing w:line="316" w:lineRule="auto" w:before="19"/>
              <w:ind w:left="26" w:right="21" w:hanging="1"/>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45" w:right="41"/>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6" w:lineRule="auto" w:before="21"/>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314" w:lineRule="auto"/>
              <w:ind w:left="134" w:right="41" w:hanging="89"/>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6" w:lineRule="auto" w:before="21"/>
              <w:ind w:left="134"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6" w:right="24"/>
              <w:jc w:val="left"/>
              <w:rPr>
                <w:rFonts w:ascii="宋体" w:hAnsi="宋体" w:cs="宋体" w:eastAsia="宋体" w:hint="default"/>
                <w:sz w:val="18"/>
                <w:szCs w:val="18"/>
              </w:rPr>
            </w:pPr>
            <w:r>
              <w:rPr>
                <w:rFonts w:ascii="宋体" w:hAnsi="宋体" w:cs="宋体" w:eastAsia="宋体" w:hint="default"/>
                <w:sz w:val="18"/>
                <w:szCs w:val="18"/>
              </w:rPr>
              <w:t>定价 原则</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64"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4"/>
              <w:ind w:left="6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47" w:right="38"/>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36" w:right="36"/>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316" w:lineRule="auto"/>
              <w:ind w:left="52" w:right="50"/>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c>
          <w:tcPr>
            <w:tcW w:w="5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74" w:right="71"/>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83" w:right="10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4419"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24" w:right="60"/>
              <w:jc w:val="left"/>
              <w:rPr>
                <w:rFonts w:ascii="宋体" w:hAnsi="宋体" w:cs="宋体" w:eastAsia="宋体" w:hint="default"/>
                <w:sz w:val="18"/>
                <w:szCs w:val="18"/>
              </w:rPr>
            </w:pPr>
            <w:r>
              <w:rPr>
                <w:rFonts w:ascii="宋体" w:hAnsi="宋体" w:cs="宋体" w:eastAsia="宋体" w:hint="default"/>
                <w:sz w:val="18"/>
                <w:szCs w:val="18"/>
              </w:rPr>
              <w:t>证通电 子</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316" w:lineRule="auto"/>
              <w:ind w:left="23" w:right="62"/>
              <w:jc w:val="both"/>
              <w:rPr>
                <w:rFonts w:ascii="宋体" w:hAnsi="宋体" w:cs="宋体" w:eastAsia="宋体" w:hint="default"/>
                <w:sz w:val="18"/>
                <w:szCs w:val="18"/>
              </w:rPr>
            </w:pPr>
            <w:r>
              <w:rPr>
                <w:rFonts w:ascii="宋体" w:hAnsi="宋体" w:cs="宋体" w:eastAsia="宋体" w:hint="default"/>
                <w:sz w:val="18"/>
                <w:szCs w:val="18"/>
              </w:rPr>
              <w:t>湖南昭 山未名 生物医 学有限 公司和 湖南北 大未名 生物科 技有限 公司</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97" w:lineRule="auto"/>
              <w:ind w:left="23" w:right="16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北大 未名</w:t>
            </w:r>
          </w:p>
          <w:p>
            <w:pPr>
              <w:pStyle w:val="TableParagraph"/>
              <w:spacing w:line="314" w:lineRule="auto" w:before="33"/>
              <w:ind w:left="23" w:right="65"/>
              <w:jc w:val="left"/>
              <w:rPr>
                <w:rFonts w:ascii="宋体" w:hAnsi="宋体" w:cs="宋体" w:eastAsia="宋体" w:hint="default"/>
                <w:sz w:val="18"/>
                <w:szCs w:val="18"/>
              </w:rPr>
            </w:pPr>
            <w:r>
              <w:rPr>
                <w:rFonts w:ascii="宋体" w:hAnsi="宋体" w:cs="宋体" w:eastAsia="宋体" w:hint="default"/>
                <w:sz w:val="18"/>
                <w:szCs w:val="18"/>
              </w:rPr>
              <w:t>（昭 山）生 物医学 创新示 范园</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项目的 部分工 程</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4" w:right="27"/>
              <w:jc w:val="both"/>
              <w:rPr>
                <w:rFonts w:ascii="宋体" w:hAnsi="宋体" w:cs="宋体" w:eastAsia="宋体" w:hint="default"/>
                <w:sz w:val="18"/>
                <w:szCs w:val="18"/>
              </w:rPr>
            </w:pPr>
            <w:r>
              <w:rPr>
                <w:rFonts w:ascii="宋体" w:hAnsi="宋体" w:cs="宋体" w:eastAsia="宋体" w:hint="default"/>
                <w:sz w:val="18"/>
                <w:szCs w:val="18"/>
              </w:rPr>
              <w:t>公允 协商 价格</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328" w:right="0"/>
              <w:jc w:val="left"/>
              <w:rPr>
                <w:rFonts w:ascii="Times New Roman" w:hAnsi="Times New Roman" w:cs="Times New Roman" w:eastAsia="Times New Roman" w:hint="default"/>
                <w:sz w:val="18"/>
                <w:szCs w:val="18"/>
              </w:rPr>
            </w:pPr>
            <w:r>
              <w:rPr>
                <w:rFonts w:ascii="Times New Roman"/>
                <w:sz w:val="18"/>
              </w:rPr>
              <w:t>40,000</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4" w:right="48"/>
              <w:jc w:val="both"/>
              <w:rPr>
                <w:rFonts w:ascii="宋体" w:hAnsi="宋体" w:cs="宋体" w:eastAsia="宋体" w:hint="default"/>
                <w:sz w:val="18"/>
                <w:szCs w:val="18"/>
              </w:rPr>
            </w:pPr>
            <w:r>
              <w:rPr>
                <w:rFonts w:ascii="宋体" w:hAnsi="宋体" w:cs="宋体" w:eastAsia="宋体" w:hint="default"/>
                <w:sz w:val="18"/>
                <w:szCs w:val="18"/>
              </w:rPr>
              <w:t>不存 在关 联关 系</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已签订了</w:t>
            </w:r>
          </w:p>
          <w:p>
            <w:pPr>
              <w:pStyle w:val="TableParagraph"/>
              <w:spacing w:line="314" w:lineRule="auto" w:before="76"/>
              <w:ind w:left="23" w:right="22"/>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北大 未名（昭 山）生物 医学创新 示范园</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项目合作 </w:t>
            </w:r>
            <w:r>
              <w:rPr>
                <w:rFonts w:ascii="宋体" w:hAnsi="宋体" w:cs="宋体" w:eastAsia="宋体" w:hint="default"/>
                <w:spacing w:val="-26"/>
                <w:sz w:val="18"/>
                <w:szCs w:val="18"/>
              </w:rPr>
              <w:t>协议》，报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告期内支 付履约保 证金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2000 </w:t>
            </w:r>
            <w:r>
              <w:rPr>
                <w:rFonts w:ascii="宋体" w:hAnsi="宋体" w:cs="宋体" w:eastAsia="宋体" w:hint="default"/>
                <w:sz w:val="18"/>
                <w:szCs w:val="18"/>
              </w:rPr>
              <w:t>万，尚未 正式签署 相关项目</w:t>
            </w:r>
          </w:p>
        </w:tc>
        <w:tc>
          <w:tcPr>
            <w:tcW w:w="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2017</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4" w:lineRule="auto"/>
              <w:ind w:left="24" w:right="182"/>
              <w:jc w:val="left"/>
              <w:rPr>
                <w:rFonts w:ascii="宋体" w:hAnsi="宋体" w:cs="宋体" w:eastAsia="宋体" w:hint="default"/>
                <w:sz w:val="18"/>
                <w:szCs w:val="18"/>
              </w:rPr>
            </w:pPr>
            <w:r>
              <w:rPr>
                <w:rFonts w:ascii="宋体" w:hAnsi="宋体" w:cs="宋体" w:eastAsia="宋体" w:hint="default"/>
                <w:sz w:val="18"/>
                <w:szCs w:val="18"/>
              </w:rPr>
              <w:t>巨潮资 讯网及</w:t>
            </w:r>
          </w:p>
          <w:p>
            <w:pPr>
              <w:pStyle w:val="TableParagraph"/>
              <w:spacing w:line="316" w:lineRule="auto" w:before="20"/>
              <w:ind w:left="24" w:right="22"/>
              <w:jc w:val="left"/>
              <w:rPr>
                <w:rFonts w:ascii="宋体" w:hAnsi="宋体" w:cs="宋体" w:eastAsia="宋体" w:hint="default"/>
                <w:sz w:val="18"/>
                <w:szCs w:val="18"/>
              </w:rPr>
            </w:pPr>
            <w:r>
              <w:rPr>
                <w:rFonts w:ascii="宋体" w:hAnsi="宋体" w:cs="宋体" w:eastAsia="宋体" w:hint="default"/>
                <w:sz w:val="18"/>
                <w:szCs w:val="18"/>
              </w:rPr>
              <w:t>《证券 </w:t>
            </w:r>
            <w:r>
              <w:rPr>
                <w:rFonts w:ascii="宋体" w:hAnsi="宋体" w:cs="宋体" w:eastAsia="宋体" w:hint="default"/>
                <w:spacing w:val="-5"/>
                <w:sz w:val="18"/>
                <w:szCs w:val="18"/>
              </w:rPr>
              <w:t>时报》刊</w:t>
            </w:r>
            <w:r>
              <w:rPr>
                <w:rFonts w:ascii="宋体" w:hAnsi="宋体" w:cs="宋体" w:eastAsia="宋体" w:hint="default"/>
                <w:sz w:val="18"/>
                <w:szCs w:val="18"/>
              </w:rPr>
              <w:t> 登的</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z w:val="18"/>
              </w:rPr>
              <w:t>2017-100</w:t>
            </w:r>
          </w:p>
          <w:p>
            <w:pPr>
              <w:pStyle w:val="TableParagraph"/>
              <w:spacing w:line="319" w:lineRule="auto" w:before="63"/>
              <w:ind w:left="24" w:right="91"/>
              <w:jc w:val="left"/>
              <w:rPr>
                <w:rFonts w:ascii="宋体" w:hAnsi="宋体" w:cs="宋体" w:eastAsia="宋体" w:hint="default"/>
                <w:sz w:val="18"/>
                <w:szCs w:val="18"/>
              </w:rPr>
            </w:pPr>
            <w:r>
              <w:rPr>
                <w:rFonts w:ascii="宋体" w:hAnsi="宋体" w:cs="宋体" w:eastAsia="宋体" w:hint="default"/>
                <w:sz w:val="18"/>
                <w:szCs w:val="18"/>
              </w:rPr>
              <w:t>号</w:t>
            </w:r>
            <w:r>
              <w:rPr>
                <w:rFonts w:ascii="宋体" w:hAnsi="宋体" w:cs="宋体" w:eastAsia="宋体" w:hint="default"/>
                <w:spacing w:val="1"/>
                <w:sz w:val="18"/>
                <w:szCs w:val="18"/>
              </w:rPr>
              <w:t> </w:t>
            </w:r>
            <w:r>
              <w:rPr>
                <w:rFonts w:ascii="宋体" w:hAnsi="宋体" w:cs="宋体" w:eastAsia="宋体" w:hint="default"/>
                <w:sz w:val="18"/>
                <w:szCs w:val="18"/>
              </w:rPr>
              <w:t>《关</w:t>
            </w:r>
            <w:r>
              <w:rPr>
                <w:rFonts w:ascii="宋体" w:hAnsi="宋体" w:cs="宋体" w:eastAsia="宋体" w:hint="default"/>
                <w:sz w:val="18"/>
                <w:szCs w:val="18"/>
              </w:rPr>
              <w:t> 于公司 签订项 目合作 协议的 公告》</w:t>
            </w:r>
          </w:p>
        </w:tc>
      </w:tr>
    </w:tbl>
    <w:p>
      <w:pPr>
        <w:spacing w:after="0" w:line="319"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36"/>
        <w:gridCol w:w="638"/>
        <w:gridCol w:w="641"/>
        <w:gridCol w:w="638"/>
        <w:gridCol w:w="639"/>
        <w:gridCol w:w="641"/>
        <w:gridCol w:w="638"/>
        <w:gridCol w:w="638"/>
        <w:gridCol w:w="423"/>
        <w:gridCol w:w="852"/>
        <w:gridCol w:w="638"/>
        <w:gridCol w:w="444"/>
        <w:gridCol w:w="833"/>
        <w:gridCol w:w="516"/>
        <w:gridCol w:w="758"/>
      </w:tblGrid>
      <w:tr>
        <w:trPr>
          <w:trHeight w:val="362" w:hRule="exact"/>
        </w:trPr>
        <w:tc>
          <w:tcPr>
            <w:tcW w:w="636"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42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444"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施工合同</w:t>
            </w:r>
          </w:p>
        </w:tc>
        <w:tc>
          <w:tcPr>
            <w:tcW w:w="516" w:type="dxa"/>
            <w:tcBorders>
              <w:top w:val="single" w:sz="4" w:space="0" w:color="000000"/>
              <w:left w:val="single" w:sz="4" w:space="0" w:color="000000"/>
              <w:bottom w:val="single" w:sz="4" w:space="0" w:color="000000"/>
              <w:right w:val="single" w:sz="4" w:space="0" w:color="000000"/>
            </w:tcBorders>
          </w:tcPr>
          <w:p>
            <w:pPr/>
          </w:p>
        </w:tc>
        <w:tc>
          <w:tcPr>
            <w:tcW w:w="7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2"/>
        <w:spacing w:line="240" w:lineRule="auto" w:before="175"/>
        <w:ind w:left="192" w:right="184"/>
        <w:jc w:val="left"/>
        <w:rPr>
          <w:b w:val="0"/>
          <w:bCs w:val="0"/>
        </w:rPr>
      </w:pP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92" w:right="184"/>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192" w:right="191" w:firstLine="360"/>
        <w:jc w:val="both"/>
      </w:pPr>
      <w:r>
        <w:rPr>
          <w:spacing w:val="-2"/>
        </w:rPr>
        <w:t>作为一家上市公司，公司肩负</w:t>
      </w:r>
      <w:r>
        <w:rPr>
          <w:rFonts w:ascii="Times New Roman" w:hAnsi="Times New Roman" w:cs="Times New Roman" w:eastAsia="Times New Roman" w:hint="default"/>
          <w:spacing w:val="-2"/>
        </w:rPr>
        <w:t>“</w:t>
      </w:r>
      <w:r>
        <w:rPr>
          <w:spacing w:val="-2"/>
        </w:rPr>
        <w:t>客户增值、员工发展、企业进步</w:t>
      </w:r>
      <w:r>
        <w:rPr>
          <w:rFonts w:ascii="Times New Roman" w:hAnsi="Times New Roman" w:cs="Times New Roman" w:eastAsia="Times New Roman" w:hint="default"/>
          <w:spacing w:val="-2"/>
        </w:rPr>
        <w:t>”</w:t>
      </w:r>
      <w:r>
        <w:rPr>
          <w:spacing w:val="-2"/>
        </w:rPr>
        <w:t>的使命，不断追求企业、股东、债权人利益最大化，公</w:t>
      </w:r>
      <w:r>
        <w:rPr/>
        <w:t> 司从以下七个方面落实社会责任的履行：</w:t>
      </w:r>
    </w:p>
    <w:p>
      <w:pPr>
        <w:pStyle w:val="BodyText"/>
        <w:spacing w:line="300" w:lineRule="auto" w:before="31"/>
        <w:ind w:left="553" w:right="184" w:hanging="92"/>
        <w:jc w:val="left"/>
      </w:pPr>
      <w:r>
        <w:rPr/>
        <w:t>（</w:t>
      </w:r>
      <w:r>
        <w:rPr>
          <w:rFonts w:ascii="Times New Roman" w:hAnsi="Times New Roman" w:cs="Times New Roman" w:eastAsia="Times New Roman" w:hint="default"/>
        </w:rPr>
        <w:t>1</w:t>
      </w:r>
      <w:r>
        <w:rPr/>
        <w:t>）股东和债权人权益保护： </w:t>
      </w:r>
      <w:r>
        <w:rPr>
          <w:spacing w:val="-2"/>
        </w:rPr>
        <w:t>公司治理方面，公司根据《公司法》、《证券法》、《上市公司治理准则》等法律法规，不断完善公司治理，建立了以</w:t>
      </w:r>
    </w:p>
    <w:p>
      <w:pPr>
        <w:pStyle w:val="BodyText"/>
        <w:spacing w:line="316" w:lineRule="auto" w:before="31"/>
        <w:ind w:left="192" w:right="186" w:hanging="92"/>
        <w:jc w:val="left"/>
      </w:pPr>
      <w:r>
        <w:rPr/>
        <w:t>《公司章程》为基础的内部治理结构，形成了以股东大会、董事会、监事会及管理层为主体结构的决策与经营体系，切实保 障股东尤其是中小股东的合法权益。</w:t>
      </w:r>
    </w:p>
    <w:p>
      <w:pPr>
        <w:pStyle w:val="BodyText"/>
        <w:spacing w:line="300" w:lineRule="auto" w:before="19"/>
        <w:ind w:left="192" w:right="199" w:firstLine="360"/>
        <w:jc w:val="both"/>
      </w:pPr>
      <w:r>
        <w:rPr/>
        <w:t>信息披露方面，公司严格依据法律法规及公司《信息披露管理制度》</w:t>
      </w:r>
      <w:r>
        <w:rPr>
          <w:rFonts w:ascii="Times New Roman" w:hAnsi="Times New Roman" w:cs="Times New Roman" w:eastAsia="Times New Roman" w:hint="default"/>
        </w:rPr>
        <w:t>,</w:t>
      </w:r>
      <w:r>
        <w:rPr/>
        <w:t>以公开、公平、公正为原则，做到信息披露工作 的及时、准确、完整，</w:t>
      </w:r>
      <w:r>
        <w:rPr>
          <w:rFonts w:ascii="Times New Roman" w:hAnsi="Times New Roman" w:cs="Times New Roman" w:eastAsia="Times New Roman" w:hint="default"/>
        </w:rPr>
        <w:t>2017</w:t>
      </w:r>
      <w:r>
        <w:rPr/>
        <w:t>年累计完成</w:t>
      </w:r>
      <w:r>
        <w:rPr>
          <w:rFonts w:ascii="Times New Roman" w:hAnsi="Times New Roman" w:cs="Times New Roman" w:eastAsia="Times New Roman" w:hint="default"/>
        </w:rPr>
        <w:t>109</w:t>
      </w:r>
      <w:r>
        <w:rPr/>
        <w:t>份公告的信息披露工作，对公司的定期报告、生产经营情况、对外投资等事项进 行了充分的披露，为股东及债权人提供了充分的知情权和投资依据。</w:t>
      </w:r>
    </w:p>
    <w:p>
      <w:pPr>
        <w:pStyle w:val="BodyText"/>
        <w:spacing w:line="316" w:lineRule="auto" w:before="31"/>
        <w:ind w:left="192" w:right="194" w:firstLine="360"/>
        <w:jc w:val="both"/>
      </w:pPr>
      <w:r>
        <w:rPr>
          <w:spacing w:val="-5"/>
        </w:rPr>
        <w:t>投资者关系方面，公司设立了专线电话和专用邮箱，接受投资者的咨询；通过电话交流、业绩说明会、投资者互动平台、</w:t>
      </w:r>
      <w:r>
        <w:rPr/>
        <w:t> 公司官网以及投资者调研接待等多种方式，搭建了与投资者良好的沟通渠道。</w:t>
      </w:r>
    </w:p>
    <w:p>
      <w:pPr>
        <w:pStyle w:val="BodyText"/>
        <w:spacing w:line="312" w:lineRule="auto" w:before="19"/>
        <w:ind w:left="192" w:right="189" w:firstLine="360"/>
        <w:jc w:val="both"/>
      </w:pPr>
      <w:r>
        <w:rPr/>
        <w:t>股东回报方面，公司一贯重视对投资者的合理回报，公司制定了《公司未来三年（</w:t>
      </w:r>
      <w:r>
        <w:rPr>
          <w:rFonts w:ascii="Times New Roman" w:hAnsi="Times New Roman" w:cs="Times New Roman" w:eastAsia="Times New Roman" w:hint="default"/>
        </w:rPr>
        <w:t>2015-2017</w:t>
      </w:r>
      <w:r>
        <w:rPr>
          <w:rFonts w:ascii="Times New Roman" w:hAnsi="Times New Roman" w:cs="Times New Roman" w:eastAsia="Times New Roman" w:hint="default"/>
          <w:spacing w:val="-3"/>
        </w:rPr>
        <w:t> </w:t>
      </w:r>
      <w:r>
        <w:rPr/>
        <w:t>年）股东回报规划》，规 </w:t>
      </w:r>
      <w:r>
        <w:rPr>
          <w:spacing w:val="-2"/>
        </w:rPr>
        <w:t>划中明确规定了差异化的现金分红政策，进一步完善董事会、股东大会对公司利润分配事项的决策程序和机制。以上规划进</w:t>
      </w:r>
      <w:r>
        <w:rPr>
          <w:spacing w:val="-63"/>
        </w:rPr>
        <w:t> </w:t>
      </w:r>
      <w:r>
        <w:rPr>
          <w:spacing w:val="-63"/>
        </w:rPr>
      </w:r>
      <w:r>
        <w:rPr>
          <w:spacing w:val="-2"/>
        </w:rPr>
        <w:t>一步规范了公司分红行为，推动公司建立科学、持续、稳定的分红机制，落实了分红回报股东的理念，从制度上保障了股东</w:t>
      </w:r>
      <w:r>
        <w:rPr>
          <w:spacing w:val="-66"/>
        </w:rPr>
        <w:t> </w:t>
      </w:r>
      <w:r>
        <w:rPr>
          <w:spacing w:val="-66"/>
        </w:rPr>
      </w:r>
      <w:r>
        <w:rPr/>
        <w:t>的良好收益。</w:t>
      </w:r>
      <w:r>
        <w:rPr>
          <w:rFonts w:ascii="Times New Roman" w:hAnsi="Times New Roman" w:cs="Times New Roman" w:eastAsia="Times New Roman" w:hint="default"/>
        </w:rPr>
        <w:t>2014-2016</w:t>
      </w:r>
      <w:r>
        <w:rPr/>
        <w:t>年度公司累计分红达</w:t>
      </w:r>
      <w:r>
        <w:rPr>
          <w:rFonts w:ascii="Times New Roman" w:hAnsi="Times New Roman" w:cs="Times New Roman" w:eastAsia="Times New Roman" w:hint="default"/>
        </w:rPr>
        <w:t>6704.73</w:t>
      </w:r>
      <w:r>
        <w:rPr/>
        <w:t>万元。</w:t>
      </w:r>
    </w:p>
    <w:p>
      <w:pPr>
        <w:pStyle w:val="BodyText"/>
        <w:spacing w:line="312" w:lineRule="auto" w:before="3"/>
        <w:ind w:left="192" w:right="189" w:firstLine="269"/>
        <w:jc w:val="both"/>
      </w:pPr>
      <w:r>
        <w:rPr>
          <w:spacing w:val="-2"/>
        </w:rPr>
        <w:t>（</w:t>
      </w:r>
      <w:r>
        <w:rPr>
          <w:rFonts w:ascii="Times New Roman" w:hAnsi="Times New Roman" w:cs="Times New Roman" w:eastAsia="Times New Roman" w:hint="default"/>
          <w:spacing w:val="-2"/>
        </w:rPr>
        <w:t>2</w:t>
      </w:r>
      <w:r>
        <w:rPr>
          <w:spacing w:val="-2"/>
        </w:rPr>
        <w:t>）职工权益保护：证通电子坚持</w:t>
      </w:r>
      <w:r>
        <w:rPr>
          <w:rFonts w:ascii="Times New Roman" w:hAnsi="Times New Roman" w:cs="Times New Roman" w:eastAsia="Times New Roman" w:hint="default"/>
          <w:spacing w:val="-2"/>
        </w:rPr>
        <w:t>“</w:t>
      </w:r>
      <w:r>
        <w:rPr>
          <w:spacing w:val="-2"/>
        </w:rPr>
        <w:t>以人为本、人尽其才、有为有位</w:t>
      </w:r>
      <w:r>
        <w:rPr>
          <w:rFonts w:ascii="Times New Roman" w:hAnsi="Times New Roman" w:cs="Times New Roman" w:eastAsia="Times New Roman" w:hint="default"/>
          <w:spacing w:val="-2"/>
        </w:rPr>
        <w:t>”</w:t>
      </w:r>
      <w:r>
        <w:rPr>
          <w:spacing w:val="-2"/>
        </w:rPr>
        <w:t>的用人理念。公司严格遵守《劳动法》、保障员工</w:t>
      </w:r>
      <w:r>
        <w:rPr/>
        <w:t> </w:t>
      </w:r>
      <w:r>
        <w:rPr>
          <w:spacing w:val="-2"/>
        </w:rPr>
        <w:t>权益，与所有职工签订规范的《劳动合同》，按时、足额为职工购买和缴纳</w:t>
      </w:r>
      <w:r>
        <w:rPr>
          <w:rFonts w:ascii="Times New Roman" w:hAnsi="Times New Roman" w:cs="Times New Roman" w:eastAsia="Times New Roman" w:hint="default"/>
          <w:spacing w:val="-2"/>
        </w:rPr>
        <w:t>”</w:t>
      </w:r>
      <w:r>
        <w:rPr>
          <w:spacing w:val="-2"/>
        </w:rPr>
        <w:t>五险一金</w:t>
      </w:r>
      <w:r>
        <w:rPr>
          <w:rFonts w:ascii="Times New Roman" w:hAnsi="Times New Roman" w:cs="Times New Roman" w:eastAsia="Times New Roman" w:hint="default"/>
          <w:spacing w:val="-2"/>
        </w:rPr>
        <w:t>“</w:t>
      </w:r>
      <w:r>
        <w:rPr>
          <w:spacing w:val="-2"/>
        </w:rPr>
        <w:t>，充分保障了职工各项权益并实现老</w:t>
      </w:r>
      <w:r>
        <w:rPr>
          <w:spacing w:val="-44"/>
        </w:rPr>
        <w:t> </w:t>
      </w:r>
      <w:r>
        <w:rPr>
          <w:spacing w:val="-44"/>
        </w:rPr>
      </w:r>
      <w:r>
        <w:rPr>
          <w:spacing w:val="-2"/>
        </w:rPr>
        <w:t>有所养；高度重视员工人生安全，制定了《安全教育与培训管理制度》、《安全事故报告与调查处理制度》，开发安全培训</w:t>
      </w:r>
      <w:r>
        <w:rPr>
          <w:spacing w:val="-65"/>
        </w:rPr>
        <w:t> </w:t>
      </w:r>
      <w:r>
        <w:rPr>
          <w:spacing w:val="-65"/>
        </w:rPr>
      </w:r>
      <w:r>
        <w:rPr>
          <w:spacing w:val="-2"/>
        </w:rPr>
        <w:t>教育课程体系，通过入职培训、岗前培训、定期培训等多种形式广泛开展安全教育，对于特种岗位，公司实行资格认证、持</w:t>
      </w:r>
      <w:r>
        <w:rPr>
          <w:spacing w:val="-68"/>
        </w:rPr>
        <w:t> </w:t>
      </w:r>
      <w:r>
        <w:rPr>
          <w:spacing w:val="-68"/>
        </w:rPr>
      </w:r>
      <w:r>
        <w:rPr>
          <w:spacing w:val="-2"/>
        </w:rPr>
        <w:t>证上岗制度；切实关心员工身体健康，每年为员工安排免费体检；提供公司自有宿舍、积极申请政府住房补贴、配租，为员</w:t>
      </w:r>
      <w:r>
        <w:rPr>
          <w:spacing w:val="-68"/>
        </w:rPr>
        <w:t> </w:t>
      </w:r>
      <w:r>
        <w:rPr>
          <w:spacing w:val="-68"/>
        </w:rPr>
      </w:r>
      <w:r>
        <w:rPr>
          <w:spacing w:val="-2"/>
        </w:rPr>
        <w:t>工提供更好的居住条件；通过公开竞聘、推荐和自荐相结合的人才选拔机制，开展工程硕士班，全面提升员工岗位胜任能力</w:t>
      </w:r>
      <w:r>
        <w:rPr>
          <w:spacing w:val="-65"/>
        </w:rPr>
        <w:t> </w:t>
      </w:r>
      <w:r>
        <w:rPr>
          <w:spacing w:val="-65"/>
        </w:rPr>
      </w:r>
      <w:r>
        <w:rPr/>
        <w:t>和综合能力。</w:t>
      </w:r>
    </w:p>
    <w:p>
      <w:pPr>
        <w:pStyle w:val="BodyText"/>
        <w:spacing w:line="309" w:lineRule="auto" w:before="22"/>
        <w:ind w:left="192" w:right="186" w:firstLine="269"/>
        <w:jc w:val="both"/>
      </w:pPr>
      <w:r>
        <w:rPr>
          <w:spacing w:val="-2"/>
        </w:rPr>
        <w:t>（</w:t>
      </w:r>
      <w:r>
        <w:rPr>
          <w:rFonts w:ascii="Times New Roman" w:hAnsi="Times New Roman" w:cs="Times New Roman" w:eastAsia="Times New Roman" w:hint="default"/>
          <w:spacing w:val="-2"/>
        </w:rPr>
        <w:t>3</w:t>
      </w:r>
      <w:r>
        <w:rPr>
          <w:spacing w:val="-2"/>
        </w:rPr>
        <w:t>）客户及供应商权益保护：公司现有售后服务网点</w:t>
      </w:r>
      <w:r>
        <w:rPr>
          <w:rFonts w:ascii="Times New Roman" w:hAnsi="Times New Roman" w:cs="Times New Roman" w:eastAsia="Times New Roman" w:hint="default"/>
          <w:spacing w:val="-2"/>
        </w:rPr>
        <w:t>346</w:t>
      </w:r>
      <w:r>
        <w:rPr>
          <w:spacing w:val="-2"/>
        </w:rPr>
        <w:t>个，覆盖全国</w:t>
      </w:r>
      <w:r>
        <w:rPr>
          <w:rFonts w:ascii="Times New Roman" w:hAnsi="Times New Roman" w:cs="Times New Roman" w:eastAsia="Times New Roman" w:hint="default"/>
          <w:spacing w:val="-2"/>
        </w:rPr>
        <w:t>28</w:t>
      </w:r>
      <w:r>
        <w:rPr>
          <w:spacing w:val="-2"/>
        </w:rPr>
        <w:t>个省、直辖市、自治区，服务团队由</w:t>
      </w:r>
      <w:r>
        <w:rPr>
          <w:rFonts w:ascii="Times New Roman" w:hAnsi="Times New Roman" w:cs="Times New Roman" w:eastAsia="Times New Roman" w:hint="default"/>
          <w:spacing w:val="-2"/>
        </w:rPr>
        <w:t>400</w:t>
      </w:r>
      <w:r>
        <w:rPr>
          <w:spacing w:val="-2"/>
        </w:rPr>
        <w:t>名余名</w:t>
      </w:r>
      <w:r>
        <w:rPr/>
        <w:t> </w:t>
      </w:r>
      <w:r>
        <w:rPr>
          <w:spacing w:val="-5"/>
        </w:rPr>
        <w:t>专业客服人员组成，以满足客户需求为基本出发点，严守服务宗旨，坚持服务原则，遵循服务理念，以服务战略定位为导向，</w:t>
      </w:r>
      <w:r>
        <w:rPr>
          <w:spacing w:val="-80"/>
        </w:rPr>
        <w:t> </w:t>
      </w:r>
      <w:r>
        <w:rPr>
          <w:spacing w:val="-80"/>
        </w:rPr>
      </w:r>
      <w:r>
        <w:rPr/>
        <w:t>并通过规范的流程、严格的实施标准和完善的监控方案，提升服务质量，提高客服满意度。</w:t>
      </w:r>
    </w:p>
    <w:p>
      <w:pPr>
        <w:pStyle w:val="BodyText"/>
        <w:spacing w:line="316" w:lineRule="auto" w:before="24"/>
        <w:ind w:left="192" w:right="190" w:firstLine="360"/>
        <w:jc w:val="both"/>
      </w:pPr>
      <w:r>
        <w:rPr>
          <w:spacing w:val="-5"/>
        </w:rPr>
        <w:t>公司按照供应商评审制度，对供应商的品质、供货能力、管理水平、价格等进行详细的评审，为供应商创造合法、公平、</w:t>
      </w:r>
      <w:r>
        <w:rPr/>
        <w:t> </w:t>
      </w:r>
      <w:r>
        <w:rPr>
          <w:spacing w:val="-2"/>
        </w:rPr>
        <w:t>公正竞争环境。遵循基本的市场法则，保守供应商商业秘密，对供应商的技术信息和经营信息严格保密。公司通过与主要供</w:t>
      </w:r>
      <w:r>
        <w:rPr>
          <w:spacing w:val="-65"/>
        </w:rPr>
        <w:t> </w:t>
      </w:r>
      <w:r>
        <w:rPr>
          <w:spacing w:val="-65"/>
        </w:rPr>
      </w:r>
      <w:r>
        <w:rPr>
          <w:spacing w:val="-2"/>
        </w:rPr>
        <w:t>应商建立战略合作伙伴关系，加强采购计划管理，对材料价格波动提前做出预判，共享需求信息，实施相应对策，与供应商</w:t>
      </w:r>
      <w:r>
        <w:rPr>
          <w:spacing w:val="-67"/>
        </w:rPr>
        <w:t> </w:t>
      </w:r>
      <w:r>
        <w:rPr>
          <w:spacing w:val="-67"/>
        </w:rPr>
      </w:r>
      <w:r>
        <w:rPr/>
        <w:t>实现互利共赢。</w:t>
      </w:r>
    </w:p>
    <w:p>
      <w:pPr>
        <w:pStyle w:val="BodyText"/>
        <w:spacing w:line="307" w:lineRule="auto" w:before="19"/>
        <w:ind w:left="192" w:right="94" w:firstLine="269"/>
        <w:jc w:val="left"/>
      </w:pPr>
      <w:r>
        <w:rPr/>
        <w:t>（</w:t>
      </w:r>
      <w:r>
        <w:rPr>
          <w:rFonts w:ascii="Times New Roman" w:hAnsi="Times New Roman" w:cs="Times New Roman" w:eastAsia="Times New Roman" w:hint="default"/>
        </w:rPr>
        <w:t>4</w:t>
      </w:r>
      <w:r>
        <w:rPr/>
        <w:t>）商品质量：公司以</w:t>
      </w:r>
      <w:r>
        <w:rPr>
          <w:rFonts w:ascii="Times New Roman" w:hAnsi="Times New Roman" w:cs="Times New Roman" w:eastAsia="Times New Roman" w:hint="default"/>
        </w:rPr>
        <w:t>“</w:t>
      </w:r>
      <w:r>
        <w:rPr/>
        <w:t>持续改善、构建价值</w:t>
      </w:r>
      <w:r>
        <w:rPr>
          <w:spacing w:val="-19"/>
        </w:rPr>
        <w:t> </w:t>
      </w:r>
      <w:r>
        <w:rPr/>
        <w:t>和尊严，创行业领先，用品质与世界对话</w:t>
      </w:r>
      <w:r>
        <w:rPr>
          <w:rFonts w:ascii="Times New Roman" w:hAnsi="Times New Roman" w:cs="Times New Roman" w:eastAsia="Times New Roman" w:hint="default"/>
        </w:rPr>
        <w:t>”</w:t>
      </w:r>
      <w:r>
        <w:rPr/>
        <w:t>为质量方针。已通过国际先进 的质量管理体系</w:t>
      </w:r>
      <w:r>
        <w:rPr>
          <w:rFonts w:ascii="Times New Roman" w:hAnsi="Times New Roman" w:cs="Times New Roman" w:eastAsia="Times New Roman" w:hint="default"/>
        </w:rPr>
        <w:t>ISO9001</w:t>
      </w:r>
      <w:r>
        <w:rPr/>
        <w:t>认证，并建立了完善的产品及服务质量管理制度及周到的售后服务体系，设立了包括最高管理者，</w:t>
      </w:r>
      <w:r>
        <w:rPr>
          <w:spacing w:val="-32"/>
        </w:rPr>
        <w:t> </w:t>
      </w:r>
      <w:r>
        <w:rPr>
          <w:spacing w:val="-32"/>
        </w:rPr>
      </w:r>
      <w:r>
        <w:rPr>
          <w:spacing w:val="-2"/>
        </w:rPr>
        <w:t>管理层及职员、员工等各个层级在内的质量管理组织，围绕运营质量提升开展工作并达到预期目的。近年来，公司获深圳质</w:t>
      </w:r>
      <w:r>
        <w:rPr>
          <w:spacing w:val="-64"/>
        </w:rPr>
        <w:t> </w:t>
      </w:r>
      <w:r>
        <w:rPr>
          <w:spacing w:val="-64"/>
        </w:rPr>
      </w:r>
      <w:r>
        <w:rPr/>
        <w:t>量百强企业、深圳市质量强市卓越贡献奖、南山区人民政府质量奖等多个奖项。</w:t>
      </w:r>
    </w:p>
    <w:p>
      <w:pPr>
        <w:pStyle w:val="BodyText"/>
        <w:spacing w:line="300" w:lineRule="auto" w:before="26"/>
        <w:ind w:left="192" w:right="190" w:firstLine="269"/>
        <w:jc w:val="both"/>
      </w:pPr>
      <w:r>
        <w:rPr/>
        <w:t>（</w:t>
      </w:r>
      <w:r>
        <w:rPr>
          <w:rFonts w:ascii="Times New Roman" w:hAnsi="Times New Roman" w:cs="Times New Roman" w:eastAsia="Times New Roman" w:hint="default"/>
        </w:rPr>
        <w:t>5</w:t>
      </w:r>
      <w:r>
        <w:rPr/>
        <w:t>）环境保护和可持续发展：公司高度重视环境管理，已通过</w:t>
      </w:r>
      <w:r>
        <w:rPr>
          <w:rFonts w:ascii="Times New Roman" w:hAnsi="Times New Roman" w:cs="Times New Roman" w:eastAsia="Times New Roman" w:hint="default"/>
        </w:rPr>
        <w:t>ISO14001</w:t>
      </w:r>
      <w:r>
        <w:rPr/>
        <w:t>环境管理国际体系认证，并严格按</w:t>
      </w:r>
      <w:r>
        <w:rPr>
          <w:rFonts w:ascii="Times New Roman" w:hAnsi="Times New Roman" w:cs="Times New Roman" w:eastAsia="Times New Roman" w:hint="default"/>
        </w:rPr>
        <w:t>ISO14001</w:t>
      </w:r>
      <w:r>
        <w:rPr/>
        <w:t>体 </w:t>
      </w:r>
      <w:r>
        <w:rPr>
          <w:spacing w:val="-2"/>
        </w:rPr>
        <w:t>系管理公司的各项生产经营活动，在日常生产经营过程中，通过更新设备、改进工艺等方式治理和降低</w:t>
      </w:r>
      <w:r>
        <w:rPr>
          <w:rFonts w:ascii="Times New Roman" w:hAnsi="Times New Roman" w:cs="Times New Roman" w:eastAsia="Times New Roman" w:hint="default"/>
          <w:spacing w:val="-2"/>
        </w:rPr>
        <w:t>“</w:t>
      </w:r>
      <w:r>
        <w:rPr>
          <w:spacing w:val="-2"/>
        </w:rPr>
        <w:t>废气、废水、废渣</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 </w:t>
      </w:r>
      <w:r>
        <w:rPr/>
        <w:t>的排放，降低生产噪音；通过增加产业园区绿化面积，培育植被、实施综合景观治理，改善产业园区和周边生态环境。</w:t>
      </w:r>
    </w:p>
    <w:p>
      <w:pPr>
        <w:pStyle w:val="BodyText"/>
        <w:spacing w:line="240" w:lineRule="auto" w:before="31"/>
        <w:ind w:left="462" w:right="94"/>
        <w:jc w:val="left"/>
      </w:pPr>
      <w:r>
        <w:rPr>
          <w:spacing w:val="-5"/>
        </w:rPr>
        <w:t>（</w:t>
      </w:r>
      <w:r>
        <w:rPr>
          <w:rFonts w:ascii="Times New Roman" w:hAnsi="Times New Roman" w:cs="Times New Roman" w:eastAsia="Times New Roman" w:hint="default"/>
          <w:spacing w:val="-5"/>
        </w:rPr>
        <w:t>6</w:t>
      </w:r>
      <w:r>
        <w:rPr>
          <w:spacing w:val="-5"/>
        </w:rPr>
        <w:t>）公共事业：公司积极关注国家和地方政府各项政策，积极支持国家和地方财政税收和经济建设，依法缴纳各项税费。</w:t>
      </w:r>
    </w:p>
    <w:p>
      <w:pPr>
        <w:pStyle w:val="BodyText"/>
        <w:spacing w:line="300" w:lineRule="auto" w:before="63"/>
        <w:ind w:left="192" w:right="211" w:firstLine="269"/>
        <w:jc w:val="both"/>
      </w:pPr>
      <w:r>
        <w:rPr/>
        <w:t>（</w:t>
      </w:r>
      <w:r>
        <w:rPr>
          <w:rFonts w:ascii="Times New Roman" w:hAnsi="Times New Roman" w:cs="Times New Roman" w:eastAsia="Times New Roman" w:hint="default"/>
        </w:rPr>
        <w:t>7</w:t>
      </w:r>
      <w:r>
        <w:rPr/>
        <w:t>）积极参与社会公益事业：为更好地履行社会责任，公司成立了爱心互助基金会，以</w:t>
      </w:r>
      <w:r>
        <w:rPr>
          <w:rFonts w:ascii="Times New Roman" w:hAnsi="Times New Roman" w:cs="Times New Roman" w:eastAsia="Times New Roman" w:hint="default"/>
        </w:rPr>
        <w:t>“</w:t>
      </w:r>
      <w:r>
        <w:rPr/>
        <w:t>奉献爱心、传播友爱、扶危帮 困，共创和谐社会</w:t>
      </w:r>
      <w:r>
        <w:rPr>
          <w:rFonts w:ascii="Times New Roman" w:hAnsi="Times New Roman" w:cs="Times New Roman" w:eastAsia="Times New Roman" w:hint="default"/>
        </w:rPr>
        <w:t>”</w:t>
      </w:r>
      <w:r>
        <w:rPr/>
        <w:t>为宗旨，对重大疾病和突发事故、重大自然灾害、贫困山区助学等提供爱与支援，爱心互助基金会自成</w:t>
      </w:r>
    </w:p>
    <w:p>
      <w:pPr>
        <w:spacing w:after="0" w:line="300" w:lineRule="auto"/>
        <w:jc w:val="both"/>
        <w:sectPr>
          <w:pgSz w:w="11910" w:h="16840"/>
          <w:pgMar w:header="745" w:footer="980" w:top="1060" w:bottom="1160" w:left="940" w:right="940"/>
        </w:sectPr>
      </w:pPr>
    </w:p>
    <w:p>
      <w:pPr>
        <w:spacing w:line="240" w:lineRule="auto" w:before="9"/>
        <w:rPr>
          <w:rFonts w:ascii="宋体" w:hAnsi="宋体" w:cs="宋体" w:eastAsia="宋体" w:hint="default"/>
          <w:sz w:val="25"/>
          <w:szCs w:val="25"/>
        </w:rPr>
      </w:pPr>
    </w:p>
    <w:p>
      <w:pPr>
        <w:pStyle w:val="BodyText"/>
        <w:spacing w:line="300" w:lineRule="auto" w:before="44"/>
        <w:ind w:right="0"/>
        <w:jc w:val="left"/>
      </w:pPr>
      <w:r>
        <w:rPr>
          <w:spacing w:val="-2"/>
        </w:rPr>
        <w:t>立以来为员工及其亲属提供救助累计达</w:t>
      </w:r>
      <w:r>
        <w:rPr>
          <w:rFonts w:ascii="Times New Roman" w:hAnsi="Times New Roman" w:cs="Times New Roman" w:eastAsia="Times New Roman" w:hint="default"/>
          <w:spacing w:val="-2"/>
        </w:rPr>
        <w:t>28</w:t>
      </w:r>
      <w:r>
        <w:rPr>
          <w:spacing w:val="-2"/>
        </w:rPr>
        <w:t>人次，其中</w:t>
      </w:r>
      <w:r>
        <w:rPr>
          <w:rFonts w:ascii="Times New Roman" w:hAnsi="Times New Roman" w:cs="Times New Roman" w:eastAsia="Times New Roman" w:hint="default"/>
          <w:spacing w:val="-2"/>
        </w:rPr>
        <w:t>2017</w:t>
      </w:r>
      <w:r>
        <w:rPr>
          <w:spacing w:val="-2"/>
        </w:rPr>
        <w:t>年提供救助</w:t>
      </w:r>
      <w:r>
        <w:rPr>
          <w:rFonts w:ascii="Times New Roman" w:hAnsi="Times New Roman" w:cs="Times New Roman" w:eastAsia="Times New Roman" w:hint="default"/>
          <w:spacing w:val="-2"/>
        </w:rPr>
        <w:t>8</w:t>
      </w:r>
      <w:r>
        <w:rPr>
          <w:spacing w:val="-2"/>
        </w:rPr>
        <w:t>人次，</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7</w:t>
      </w:r>
      <w:r>
        <w:rPr>
          <w:spacing w:val="-2"/>
        </w:rPr>
        <w:t>月湖南部分县市遭受水灾期间，前往受</w:t>
      </w:r>
      <w:r>
        <w:rPr>
          <w:spacing w:val="-57"/>
        </w:rPr>
        <w:t> </w:t>
      </w:r>
      <w:r>
        <w:rPr>
          <w:spacing w:val="-57"/>
        </w:rPr>
      </w:r>
      <w:r>
        <w:rPr/>
        <w:t>灾地开展救助活动并出专项资金为当地贫困学子提供学费资助。公司</w:t>
      </w:r>
      <w:r>
        <w:rPr>
          <w:rFonts w:ascii="Times New Roman" w:hAnsi="Times New Roman" w:cs="Times New Roman" w:eastAsia="Times New Roman" w:hint="default"/>
        </w:rPr>
        <w:t>2017</w:t>
      </w:r>
      <w:r>
        <w:rPr/>
        <w:t>年累计捐赠金额达</w:t>
      </w:r>
      <w:r>
        <w:rPr>
          <w:rFonts w:ascii="Times New Roman" w:hAnsi="Times New Roman" w:cs="Times New Roman" w:eastAsia="Times New Roman" w:hint="default"/>
        </w:rPr>
        <w:t>31.8</w:t>
      </w:r>
      <w:r>
        <w:rPr/>
        <w:t>万元。</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）精准扶贫规划</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报告期内，公司暂未开展精准扶贫工作。</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）年度精准扶贫概要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报告期内，公司暂未开展精准扶贫工作。</w:t>
      </w:r>
    </w:p>
    <w:p>
      <w:pPr>
        <w:spacing w:line="240" w:lineRule="auto" w:before="0"/>
        <w:rPr>
          <w:rFonts w:ascii="宋体" w:hAnsi="宋体" w:cs="宋体" w:eastAsia="宋体" w:hint="default"/>
          <w:sz w:val="18"/>
          <w:szCs w:val="18"/>
        </w:rPr>
      </w:pPr>
    </w:p>
    <w:p>
      <w:pPr>
        <w:pStyle w:val="Heading3"/>
        <w:spacing w:line="240" w:lineRule="auto" w:before="121"/>
        <w:ind w:right="0"/>
        <w:jc w:val="left"/>
        <w:rPr>
          <w:b w:val="0"/>
          <w:bCs w:val="0"/>
        </w:rPr>
      </w:pPr>
      <w:r>
        <w:rPr/>
        <w:t>（</w:t>
      </w:r>
      <w:r>
        <w:rPr>
          <w:rFonts w:ascii="Times New Roman" w:hAnsi="Times New Roman" w:cs="Times New Roman" w:eastAsia="Times New Roman" w:hint="default"/>
        </w:rPr>
        <w:t>3</w:t>
      </w:r>
      <w:r>
        <w:rPr/>
        <w:t>）精准扶贫成效</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5"/>
        <w:gridCol w:w="1459"/>
        <w:gridCol w:w="4515"/>
      </w:tblGrid>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4"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生态保护扶贫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）后续精准扶贫计划</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公司暂无后续精准扶贫计划。</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4734"/>
        <w:jc w:val="left"/>
      </w:pPr>
      <w:r>
        <w:rPr/>
        <w:t>上市公司及其子公司是否属于环境保护部门公布的重点排污单位 否</w:t>
      </w:r>
    </w:p>
    <w:p>
      <w:pPr>
        <w:pStyle w:val="BodyText"/>
        <w:spacing w:line="240" w:lineRule="auto" w:before="25"/>
        <w:ind w:right="0"/>
        <w:jc w:val="left"/>
      </w:pPr>
      <w:r>
        <w:rPr/>
        <w:t>公司及公司子公司不属于环境保护部门公布的重点排污单位。</w:t>
      </w:r>
    </w:p>
    <w:p>
      <w:pPr>
        <w:spacing w:after="0" w:line="240" w:lineRule="auto"/>
        <w:jc w:val="lef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left="192" w:right="184"/>
        <w:jc w:val="left"/>
        <w:rPr>
          <w:b w:val="0"/>
          <w:bCs w:val="0"/>
        </w:rPr>
      </w:pP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192"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7" w:lineRule="auto" w:before="101"/>
        <w:ind w:left="192" w:right="191" w:firstLine="360"/>
        <w:jc w:val="both"/>
      </w:pP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10</w:t>
      </w:r>
      <w:r>
        <w:rPr>
          <w:spacing w:val="-2"/>
        </w:rPr>
        <w:t>日召开的第四届董事会第十次会议及于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w:t>
      </w:r>
      <w:r>
        <w:rPr>
          <w:spacing w:val="-2"/>
        </w:rPr>
        <w:t>日召开的</w:t>
      </w:r>
      <w:r>
        <w:rPr>
          <w:rFonts w:ascii="Times New Roman" w:hAnsi="Times New Roman" w:cs="Times New Roman" w:eastAsia="Times New Roman" w:hint="default"/>
          <w:spacing w:val="-2"/>
        </w:rPr>
        <w:t>2017</w:t>
      </w:r>
      <w:r>
        <w:rPr>
          <w:spacing w:val="-2"/>
        </w:rPr>
        <w:t>年第二次临时股东大会，审议通</w:t>
      </w:r>
      <w:r>
        <w:rPr/>
        <w:t> </w:t>
      </w:r>
      <w:r>
        <w:rPr>
          <w:spacing w:val="-2"/>
        </w:rPr>
        <w:t>过了公司运用闲置自有资金投资银行低风险理财产品的议案，公司及全资子公司深圳市证通金信科技有限公司拟使用任一时</w:t>
      </w:r>
      <w:r>
        <w:rPr>
          <w:spacing w:val="-64"/>
        </w:rPr>
        <w:t> </w:t>
      </w:r>
      <w:r>
        <w:rPr>
          <w:spacing w:val="-64"/>
        </w:rPr>
      </w:r>
      <w:r>
        <w:rPr/>
        <w:t>点合计不超过</w:t>
      </w:r>
      <w:r>
        <w:rPr>
          <w:rFonts w:ascii="Times New Roman" w:hAnsi="Times New Roman" w:cs="Times New Roman" w:eastAsia="Times New Roman" w:hint="default"/>
        </w:rPr>
        <w:t>7</w:t>
      </w:r>
      <w:r>
        <w:rPr/>
        <w:t>亿元人民币的自有闲置资金额度进行投资理财，使用期限自股东大会决议通过之日起一年内有效。相关事项 </w:t>
      </w:r>
      <w:r>
        <w:rPr>
          <w:spacing w:val="-4"/>
        </w:rPr>
        <w:t>详见于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11</w:t>
      </w:r>
      <w:r>
        <w:rPr>
          <w:spacing w:val="-4"/>
        </w:rPr>
        <w:t>日披露于《证券时报》及巨潮资讯网上的《关于公司运用闲置自有资金投资银行低风险理财产品的公告》</w:t>
      </w:r>
    </w:p>
    <w:p>
      <w:pPr>
        <w:pStyle w:val="BodyText"/>
        <w:spacing w:line="240" w:lineRule="auto" w:before="7"/>
        <w:ind w:left="101" w:right="184"/>
        <w:jc w:val="left"/>
      </w:pPr>
      <w:r>
        <w:rPr/>
        <w:t>（编号：</w:t>
      </w:r>
      <w:r>
        <w:rPr>
          <w:rFonts w:ascii="Times New Roman" w:hAnsi="Times New Roman" w:cs="Times New Roman" w:eastAsia="Times New Roman" w:hint="default"/>
        </w:rPr>
        <w:t>2017-008</w:t>
      </w:r>
      <w:r>
        <w:rPr/>
        <w:t>号）。报告期内，公司未使用自有资金投资银行低风险理财产品。</w:t>
      </w:r>
    </w:p>
    <w:p>
      <w:pPr>
        <w:pStyle w:val="BodyText"/>
        <w:spacing w:line="300" w:lineRule="auto" w:before="63"/>
        <w:ind w:left="192" w:right="191"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15</w:t>
      </w:r>
      <w:r>
        <w:rPr>
          <w:spacing w:val="-2"/>
        </w:rPr>
        <w:t>日，公司与湖南昭山未名生物医学有限公司、湖南北大未名生物科技有限公司签订了《</w:t>
      </w:r>
      <w:r>
        <w:rPr>
          <w:rFonts w:ascii="Times New Roman" w:hAnsi="Times New Roman" w:cs="Times New Roman" w:eastAsia="Times New Roman" w:hint="default"/>
          <w:spacing w:val="-2"/>
        </w:rPr>
        <w:t>“</w:t>
      </w:r>
      <w:r>
        <w:rPr>
          <w:spacing w:val="-2"/>
        </w:rPr>
        <w:t>北大未名（昭</w:t>
      </w:r>
      <w:r>
        <w:rPr/>
        <w:t> 山）生物医学创新示范园</w:t>
      </w:r>
      <w:r>
        <w:rPr>
          <w:rFonts w:ascii="Times New Roman" w:hAnsi="Times New Roman" w:cs="Times New Roman" w:eastAsia="Times New Roman" w:hint="default"/>
        </w:rPr>
        <w:t>”</w:t>
      </w:r>
      <w:r>
        <w:rPr/>
        <w:t>项目合作协议》，未名医学承诺在其投资建设的</w:t>
      </w:r>
      <w:r>
        <w:rPr>
          <w:rFonts w:ascii="Times New Roman" w:hAnsi="Times New Roman" w:cs="Times New Roman" w:eastAsia="Times New Roman" w:hint="default"/>
        </w:rPr>
        <w:t>“</w:t>
      </w:r>
      <w:r>
        <w:rPr/>
        <w:t>北大未名（昭山）生物医学创新示范园</w:t>
      </w:r>
      <w:r>
        <w:rPr>
          <w:rFonts w:ascii="Times New Roman" w:hAnsi="Times New Roman" w:cs="Times New Roman" w:eastAsia="Times New Roman" w:hint="default"/>
        </w:rPr>
        <w:t>”</w:t>
      </w:r>
      <w:r>
        <w:rPr/>
        <w:t>项目中 子项目直接发包给公司或公司下属子公司实施，所实施工程量按实结算不低于</w:t>
      </w:r>
      <w:r>
        <w:rPr>
          <w:rFonts w:ascii="Times New Roman" w:hAnsi="Times New Roman" w:cs="Times New Roman" w:eastAsia="Times New Roman" w:hint="default"/>
        </w:rPr>
        <w:t>4</w:t>
      </w:r>
      <w:r>
        <w:rPr/>
        <w:t>亿元。同时未名医学向公司收取协议履约保 </w:t>
      </w:r>
      <w:r>
        <w:rPr>
          <w:spacing w:val="-2"/>
        </w:rPr>
        <w:t>证金</w:t>
      </w:r>
      <w:r>
        <w:rPr>
          <w:rFonts w:ascii="Times New Roman" w:hAnsi="Times New Roman" w:cs="Times New Roman" w:eastAsia="Times New Roman" w:hint="default"/>
          <w:spacing w:val="-2"/>
        </w:rPr>
        <w:t>4,000.00</w:t>
      </w:r>
      <w:r>
        <w:rPr>
          <w:spacing w:val="-2"/>
        </w:rPr>
        <w:t>万元，报告期内公司向未名医学已支付履约保证金</w:t>
      </w:r>
      <w:r>
        <w:rPr>
          <w:rFonts w:ascii="Times New Roman" w:hAnsi="Times New Roman" w:cs="Times New Roman" w:eastAsia="Times New Roman" w:hint="default"/>
          <w:spacing w:val="-2"/>
        </w:rPr>
        <w:t>2,000.00</w:t>
      </w:r>
      <w:r>
        <w:rPr>
          <w:spacing w:val="-2"/>
        </w:rPr>
        <w:t>万元，相关事项详见于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16</w:t>
      </w:r>
      <w:r>
        <w:rPr>
          <w:spacing w:val="-2"/>
        </w:rPr>
        <w:t>日披露于《证券</w:t>
      </w:r>
      <w:r>
        <w:rPr>
          <w:spacing w:val="-51"/>
        </w:rPr>
        <w:t> </w:t>
      </w:r>
      <w:r>
        <w:rPr>
          <w:spacing w:val="-51"/>
        </w:rPr>
      </w:r>
      <w:r>
        <w:rPr/>
        <w:t>时报》</w:t>
      </w:r>
      <w:r>
        <w:rPr>
          <w:spacing w:val="-17"/>
        </w:rPr>
        <w:t> </w:t>
      </w:r>
      <w:r>
        <w:rPr/>
        <w:t>及巨潮资讯网上的《公司关于签订项目合作协议的公告》（编号：</w:t>
      </w:r>
      <w:r>
        <w:rPr>
          <w:rFonts w:ascii="Times New Roman" w:hAnsi="Times New Roman" w:cs="Times New Roman" w:eastAsia="Times New Roman" w:hint="default"/>
        </w:rPr>
        <w:t>2017-100</w:t>
      </w:r>
      <w:r>
        <w:rPr/>
        <w:t>号）。</w:t>
      </w:r>
    </w:p>
    <w:p>
      <w:pPr>
        <w:spacing w:line="240" w:lineRule="auto" w:before="6"/>
        <w:rPr>
          <w:rFonts w:ascii="宋体" w:hAnsi="宋体" w:cs="宋体" w:eastAsia="宋体" w:hint="default"/>
          <w:sz w:val="20"/>
          <w:szCs w:val="20"/>
        </w:rPr>
      </w:pPr>
    </w:p>
    <w:p>
      <w:pPr>
        <w:pStyle w:val="Heading2"/>
        <w:spacing w:line="240" w:lineRule="auto"/>
        <w:ind w:left="192" w:right="184"/>
        <w:jc w:val="left"/>
        <w:rPr>
          <w:b w:val="0"/>
          <w:bCs w:val="0"/>
        </w:rPr>
      </w:pPr>
      <w:r>
        <w:rPr/>
        <w:t>二十、公司子公司重大事项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192" w:right="18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1"/>
        <w:ind w:left="192" w:right="104" w:firstLine="36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日，公司召开第四届董事会第十次会议，审议通过了《关于公司使用募集资金对子公司增资的议案》， 同意公司使用部分募集资金对全资子公司长沙证通云计算增资</w:t>
      </w:r>
      <w:r>
        <w:rPr>
          <w:rFonts w:ascii="Times New Roman" w:hAnsi="Times New Roman" w:cs="Times New Roman" w:eastAsia="Times New Roman" w:hint="default"/>
        </w:rPr>
        <w:t>15,000.00</w:t>
      </w:r>
      <w:r>
        <w:rPr/>
        <w:t>万元。相关事项详见于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11</w:t>
      </w:r>
      <w:r>
        <w:rPr/>
        <w:t>日披露于《证券 时报》及巨潮资讯网上的《公司关于使用募集资金对子公司增资的公告》（编号：</w:t>
      </w:r>
      <w:r>
        <w:rPr>
          <w:rFonts w:ascii="Times New Roman" w:hAnsi="Times New Roman" w:cs="Times New Roman" w:eastAsia="Times New Roman" w:hint="default"/>
        </w:rPr>
        <w:t>2017-007</w:t>
      </w:r>
      <w:r>
        <w:rPr/>
        <w:t>号）。</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日，长沙证 </w:t>
      </w:r>
      <w:r>
        <w:rPr>
          <w:spacing w:val="-2"/>
        </w:rPr>
        <w:t>通云计算办理完成工商变更登记，注册资本增加至</w:t>
      </w:r>
      <w:r>
        <w:rPr>
          <w:rFonts w:ascii="Times New Roman" w:hAnsi="Times New Roman" w:cs="Times New Roman" w:eastAsia="Times New Roman" w:hint="default"/>
          <w:spacing w:val="-2"/>
        </w:rPr>
        <w:t>30,000.00</w:t>
      </w:r>
      <w:r>
        <w:rPr>
          <w:spacing w:val="-2"/>
        </w:rPr>
        <w:t>万元，截至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日，公司实缴长沙证通云计算注册资本</w:t>
      </w:r>
      <w:r>
        <w:rPr>
          <w:spacing w:val="-53"/>
        </w:rPr>
        <w:t> </w:t>
      </w:r>
      <w:r>
        <w:rPr>
          <w:spacing w:val="-53"/>
        </w:rPr>
      </w:r>
      <w:r>
        <w:rPr>
          <w:rFonts w:ascii="Times New Roman" w:hAnsi="Times New Roman" w:cs="Times New Roman" w:eastAsia="Times New Roman" w:hint="default"/>
        </w:rPr>
        <w:t>29,000.00</w:t>
      </w:r>
      <w:r>
        <w:rPr/>
        <w:t>万元，其中公司使用部分募集资金对长沙云计算总计增资</w:t>
      </w:r>
      <w:r>
        <w:rPr>
          <w:rFonts w:ascii="Times New Roman" w:hAnsi="Times New Roman" w:cs="Times New Roman" w:eastAsia="Times New Roman" w:hint="default"/>
        </w:rPr>
        <w:t>24,000.00</w:t>
      </w:r>
      <w:r>
        <w:rPr/>
        <w:t>万元。</w:t>
      </w:r>
    </w:p>
    <w:p>
      <w:pPr>
        <w:pStyle w:val="BodyText"/>
        <w:spacing w:line="300" w:lineRule="auto" w:before="13"/>
        <w:ind w:left="192" w:right="189" w:firstLine="360"/>
        <w:jc w:val="left"/>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20</w:t>
      </w:r>
      <w:r>
        <w:rPr>
          <w:spacing w:val="-2"/>
        </w:rPr>
        <w:t>日，公司召开第四届董事会第十一次会议，审议通过了《关于公司对全资子公司增资的议案》，同意公</w:t>
      </w:r>
      <w:r>
        <w:rPr/>
        <w:t> 司使用自有资金</w:t>
      </w:r>
      <w:r>
        <w:rPr>
          <w:rFonts w:ascii="Times New Roman" w:hAnsi="Times New Roman" w:cs="Times New Roman" w:eastAsia="Times New Roman" w:hint="default"/>
        </w:rPr>
        <w:t>5,500</w:t>
      </w:r>
      <w:r>
        <w:rPr/>
        <w:t>万港币对全资子公司证通国际投资有限公司（以下简称</w:t>
      </w:r>
      <w:r>
        <w:rPr>
          <w:rFonts w:ascii="Times New Roman" w:hAnsi="Times New Roman" w:cs="Times New Roman" w:eastAsia="Times New Roman" w:hint="default"/>
        </w:rPr>
        <w:t>“</w:t>
      </w:r>
      <w:r>
        <w:rPr/>
        <w:t>证通国际</w:t>
      </w:r>
      <w:r>
        <w:rPr>
          <w:rFonts w:ascii="Times New Roman" w:hAnsi="Times New Roman" w:cs="Times New Roman" w:eastAsia="Times New Roman" w:hint="default"/>
        </w:rPr>
        <w:t>”</w:t>
      </w:r>
      <w:r>
        <w:rPr/>
        <w:t>）增资。本次增资完成后，证通国 </w:t>
      </w:r>
      <w:r>
        <w:rPr>
          <w:spacing w:val="-2"/>
        </w:rPr>
        <w:t>际注册资本由</w:t>
      </w:r>
      <w:r>
        <w:rPr>
          <w:rFonts w:ascii="Times New Roman" w:hAnsi="Times New Roman" w:cs="Times New Roman" w:eastAsia="Times New Roman" w:hint="default"/>
          <w:spacing w:val="-2"/>
        </w:rPr>
        <w:t>100</w:t>
      </w:r>
      <w:r>
        <w:rPr>
          <w:spacing w:val="-2"/>
        </w:rPr>
        <w:t>万港币增加至</w:t>
      </w:r>
      <w:r>
        <w:rPr>
          <w:rFonts w:ascii="Times New Roman" w:hAnsi="Times New Roman" w:cs="Times New Roman" w:eastAsia="Times New Roman" w:hint="default"/>
          <w:spacing w:val="-2"/>
        </w:rPr>
        <w:t>5600</w:t>
      </w:r>
      <w:r>
        <w:rPr>
          <w:spacing w:val="-2"/>
        </w:rPr>
        <w:t>万港币。相关事项详见于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21</w:t>
      </w:r>
      <w:r>
        <w:rPr>
          <w:spacing w:val="-2"/>
        </w:rPr>
        <w:t>日披露于《证券时报》及巨潮资讯网上的《公司对</w:t>
      </w:r>
      <w:r>
        <w:rPr>
          <w:spacing w:val="-53"/>
        </w:rPr>
        <w:t> </w:t>
      </w:r>
      <w:r>
        <w:rPr>
          <w:spacing w:val="-53"/>
        </w:rPr>
      </w:r>
      <w:r>
        <w:rPr/>
        <w:t>全资子公司证通国际投资有限公司增资的公告》（编号：</w:t>
      </w:r>
      <w:r>
        <w:rPr>
          <w:rFonts w:ascii="Times New Roman" w:hAnsi="Times New Roman" w:cs="Times New Roman" w:eastAsia="Times New Roman" w:hint="default"/>
        </w:rPr>
        <w:t>2017-013</w:t>
      </w:r>
      <w:r>
        <w:rPr/>
        <w:t>号）。报告期内公司尚未完成对证通国际进行增资。</w:t>
      </w:r>
    </w:p>
    <w:p>
      <w:pPr>
        <w:pStyle w:val="BodyText"/>
        <w:spacing w:line="300" w:lineRule="auto" w:before="13"/>
        <w:ind w:left="192" w:right="188" w:firstLine="360"/>
        <w:jc w:val="both"/>
      </w:pPr>
      <w:r>
        <w:rPr>
          <w:rFonts w:ascii="Times New Roman" w:hAnsi="Times New Roman" w:cs="Times New Roman" w:eastAsia="Times New Roman" w:hint="default"/>
          <w:spacing w:val="-3"/>
        </w:rPr>
        <w:t>3</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29</w:t>
      </w:r>
      <w:r>
        <w:rPr>
          <w:spacing w:val="-3"/>
        </w:rPr>
        <w:t>日，公司在贵州省以自有资金出资人民币</w:t>
      </w:r>
      <w:r>
        <w:rPr>
          <w:rFonts w:ascii="Times New Roman" w:hAnsi="Times New Roman" w:cs="Times New Roman" w:eastAsia="Times New Roman" w:hint="default"/>
          <w:spacing w:val="-3"/>
        </w:rPr>
        <w:t>10</w:t>
      </w:r>
      <w:r>
        <w:rPr>
          <w:spacing w:val="-3"/>
        </w:rPr>
        <w:t>万元，设立全资子公司贵州证通光电有限公司（以下简称</w:t>
      </w:r>
      <w:r>
        <w:rPr>
          <w:rFonts w:ascii="Times New Roman" w:hAnsi="Times New Roman" w:cs="Times New Roman" w:eastAsia="Times New Roman" w:hint="default"/>
          <w:spacing w:val="-3"/>
        </w:rPr>
        <w:t>“</w:t>
      </w:r>
      <w:r>
        <w:rPr>
          <w:spacing w:val="-3"/>
        </w:rPr>
        <w:t>贵</w:t>
      </w:r>
      <w:r>
        <w:rPr/>
        <w:t> </w:t>
      </w:r>
      <w:r>
        <w:rPr>
          <w:spacing w:val="-3"/>
        </w:rPr>
        <w:t>州证通光电</w:t>
      </w:r>
      <w:r>
        <w:rPr>
          <w:rFonts w:ascii="Times New Roman" w:hAnsi="Times New Roman" w:cs="Times New Roman" w:eastAsia="Times New Roman" w:hint="default"/>
          <w:spacing w:val="-3"/>
        </w:rPr>
        <w:t>”</w:t>
      </w:r>
      <w:r>
        <w:rPr>
          <w:spacing w:val="-3"/>
        </w:rPr>
        <w:t>），负责公司在贵州省的照明节能改造、亮化工程业务的拓展及相关业务后期的运营。公司已于</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27 </w:t>
      </w:r>
      <w:r>
        <w:rPr/>
        <w:t>日</w:t>
      </w:r>
      <w:r>
        <w:rPr>
          <w:spacing w:val="-77"/>
        </w:rPr>
        <w:t> </w:t>
      </w:r>
      <w:r>
        <w:rPr>
          <w:spacing w:val="-4"/>
        </w:rPr>
        <w:t>办理完成贵州证通光电的工商注册登记手续，并领取了《营业执照》。相关事项详见于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3</w:t>
      </w:r>
      <w:r>
        <w:rPr>
          <w:spacing w:val="-4"/>
        </w:rPr>
        <w:t>月</w:t>
      </w:r>
      <w:r>
        <w:rPr>
          <w:rFonts w:ascii="Times New Roman" w:hAnsi="Times New Roman" w:cs="Times New Roman" w:eastAsia="Times New Roman" w:hint="default"/>
          <w:spacing w:val="-4"/>
        </w:rPr>
        <w:t>29</w:t>
      </w:r>
      <w:r>
        <w:rPr>
          <w:spacing w:val="-4"/>
        </w:rPr>
        <w:t>日披露于《证券时报》</w:t>
      </w:r>
      <w:r>
        <w:rPr>
          <w:spacing w:val="-41"/>
        </w:rPr>
        <w:t> </w:t>
      </w:r>
      <w:r>
        <w:rPr/>
        <w:t>及</w:t>
      </w:r>
      <w:r>
        <w:rPr>
          <w:spacing w:val="-84"/>
        </w:rPr>
        <w:t> </w:t>
      </w:r>
      <w:r>
        <w:rPr>
          <w:spacing w:val="-84"/>
        </w:rPr>
      </w:r>
      <w:r>
        <w:rPr/>
        <w:t>巨潮资讯网上的《公司关于新设立全资子公司的对外投资公告》（编号：</w:t>
      </w:r>
      <w:r>
        <w:rPr>
          <w:rFonts w:ascii="Times New Roman" w:hAnsi="Times New Roman" w:cs="Times New Roman" w:eastAsia="Times New Roman" w:hint="default"/>
        </w:rPr>
        <w:t>2017-021</w:t>
      </w:r>
      <w:r>
        <w:rPr/>
        <w:t>号）。</w:t>
      </w:r>
    </w:p>
    <w:p>
      <w:pPr>
        <w:pStyle w:val="BodyText"/>
        <w:spacing w:line="302" w:lineRule="auto" w:before="13"/>
        <w:ind w:left="192" w:right="104" w:firstLine="360"/>
        <w:jc w:val="left"/>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日，公司召开第四届董事会第十七次会议，审议通过了《关于公司受让全资孙公司股权的议案》、《公 司关于四川蜀信易电子商务有限公司增资扩股引入投资者的议案》，公司以</w:t>
      </w:r>
      <w:r>
        <w:rPr>
          <w:rFonts w:ascii="Times New Roman" w:hAnsi="Times New Roman" w:cs="Times New Roman" w:eastAsia="Times New Roman" w:hint="default"/>
        </w:rPr>
        <w:t>1</w:t>
      </w:r>
      <w:r>
        <w:rPr/>
        <w:t>元的交易价格，受让全资子公司广州证通网络 科技有限公司持有的全资子公司暨公司全资孙公司四川蜀信易电子商务有限公司</w:t>
      </w:r>
      <w:r>
        <w:rPr>
          <w:rFonts w:ascii="Times New Roman" w:hAnsi="Times New Roman" w:cs="Times New Roman" w:eastAsia="Times New Roman" w:hint="default"/>
        </w:rPr>
        <w:t>100%</w:t>
      </w:r>
      <w:r>
        <w:rPr/>
        <w:t>股权。蜀信易由公司全资孙公司变更 </w:t>
      </w:r>
      <w:r>
        <w:rPr>
          <w:spacing w:val="-4"/>
        </w:rPr>
        <w:t>为全资子公司。在上述股权转让完成后，公司对蜀信易进行增资扩股并引进深圳前海纳鑫控股集团有限公司作为新增投资者，</w:t>
      </w:r>
      <w:r>
        <w:rPr>
          <w:spacing w:val="-44"/>
        </w:rPr>
        <w:t> </w:t>
      </w:r>
      <w:r>
        <w:rPr>
          <w:spacing w:val="-44"/>
        </w:rPr>
      </w:r>
      <w:r>
        <w:rPr/>
        <w:t>本次增资完成后，蜀信易注册资本由</w:t>
      </w:r>
      <w:r>
        <w:rPr>
          <w:rFonts w:ascii="Times New Roman" w:hAnsi="Times New Roman" w:cs="Times New Roman" w:eastAsia="Times New Roman" w:hint="default"/>
        </w:rPr>
        <w:t>3,000.00</w:t>
      </w:r>
      <w:r>
        <w:rPr/>
        <w:t>万元变更为</w:t>
      </w:r>
      <w:r>
        <w:rPr>
          <w:rFonts w:ascii="Times New Roman" w:hAnsi="Times New Roman" w:cs="Times New Roman" w:eastAsia="Times New Roman" w:hint="default"/>
        </w:rPr>
        <w:t>5,000.00</w:t>
      </w:r>
      <w:r>
        <w:rPr/>
        <w:t>万元，公司持有其</w:t>
      </w:r>
      <w:r>
        <w:rPr>
          <w:rFonts w:ascii="Times New Roman" w:hAnsi="Times New Roman" w:cs="Times New Roman" w:eastAsia="Times New Roman" w:hint="default"/>
        </w:rPr>
        <w:t>60%</w:t>
      </w:r>
      <w:r>
        <w:rPr/>
        <w:t>股权。相关事项详见于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9 </w:t>
      </w:r>
      <w:r>
        <w:rPr/>
        <w:t>日披露于《证券时报》 及巨潮资讯网上的《公司第四届董事会第十七次会议决议公告》</w:t>
      </w:r>
      <w:r>
        <w:rPr>
          <w:spacing w:val="-50"/>
        </w:rPr>
        <w:t> </w:t>
      </w:r>
      <w:r>
        <w:rPr/>
        <w:t>（编号：</w:t>
      </w:r>
      <w:r>
        <w:rPr>
          <w:rFonts w:ascii="Times New Roman" w:hAnsi="Times New Roman" w:cs="Times New Roman" w:eastAsia="Times New Roman" w:hint="default"/>
        </w:rPr>
        <w:t>2017-074</w:t>
      </w:r>
      <w:r>
        <w:rPr/>
        <w:t>号）、《公司关 于受让全资孙公司股权的公告》（编号：</w:t>
      </w:r>
      <w:r>
        <w:rPr>
          <w:rFonts w:ascii="Times New Roman" w:hAnsi="Times New Roman" w:cs="Times New Roman" w:eastAsia="Times New Roman" w:hint="default"/>
        </w:rPr>
        <w:t>2017-077</w:t>
      </w:r>
      <w:r>
        <w:rPr/>
        <w:t>号）。报告期内，公司已完成前述股权受让及增资扩股引入股东事宜。</w:t>
      </w:r>
    </w:p>
    <w:p>
      <w:pPr>
        <w:pStyle w:val="BodyText"/>
        <w:spacing w:line="300" w:lineRule="auto" w:before="11"/>
        <w:ind w:left="192" w:right="191" w:firstLine="360"/>
        <w:jc w:val="both"/>
      </w:pP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24</w:t>
      </w:r>
      <w:r>
        <w:rPr>
          <w:spacing w:val="-2"/>
        </w:rPr>
        <w:t>日，公司为促进在金融支付领域的产业发展，深入布局智慧金融和人工智能相关的领域，公司与自然人</w:t>
      </w:r>
      <w:r>
        <w:rPr/>
        <w:t> 于谦共同出资设立证通邦客（广州）信息科技有限公司。注册资本总计</w:t>
      </w:r>
      <w:r>
        <w:rPr>
          <w:rFonts w:ascii="Times New Roman" w:hAnsi="Times New Roman" w:cs="Times New Roman" w:eastAsia="Times New Roman" w:hint="default"/>
        </w:rPr>
        <w:t>1500</w:t>
      </w:r>
      <w:r>
        <w:rPr/>
        <w:t>万元，其中公司以自有资金出资</w:t>
      </w:r>
      <w:r>
        <w:rPr>
          <w:rFonts w:ascii="Times New Roman" w:hAnsi="Times New Roman" w:cs="Times New Roman" w:eastAsia="Times New Roman" w:hint="default"/>
        </w:rPr>
        <w:t>900</w:t>
      </w:r>
      <w:r>
        <w:rPr/>
        <w:t>万元，占证 </w:t>
      </w:r>
      <w:r>
        <w:rPr>
          <w:spacing w:val="-2"/>
        </w:rPr>
        <w:t>通邦客的股权比例为</w:t>
      </w:r>
      <w:r>
        <w:rPr>
          <w:rFonts w:ascii="Times New Roman" w:hAnsi="Times New Roman" w:cs="Times New Roman" w:eastAsia="Times New Roman" w:hint="default"/>
          <w:spacing w:val="-2"/>
        </w:rPr>
        <w:t>60%</w:t>
      </w:r>
      <w:r>
        <w:rPr>
          <w:spacing w:val="-2"/>
        </w:rPr>
        <w:t>，并于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28</w:t>
      </w:r>
      <w:r>
        <w:rPr>
          <w:spacing w:val="-2"/>
        </w:rPr>
        <w:t>日领取了《营业执照》。相关事项详见于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29</w:t>
      </w:r>
      <w:r>
        <w:rPr>
          <w:spacing w:val="-2"/>
        </w:rPr>
        <w:t>日披露于《证券时报》</w:t>
      </w:r>
      <w:r>
        <w:rPr>
          <w:spacing w:val="-31"/>
        </w:rPr>
        <w:t> </w:t>
      </w:r>
      <w:r>
        <w:rPr/>
        <w:t>及</w:t>
      </w:r>
      <w:r>
        <w:rPr>
          <w:spacing w:val="-87"/>
        </w:rPr>
        <w:t> </w:t>
      </w:r>
      <w:r>
        <w:rPr>
          <w:spacing w:val="-87"/>
        </w:rPr>
      </w:r>
      <w:r>
        <w:rPr/>
        <w:t>巨潮资讯网上的《公司关于出资参股成立证通邦客（广州）信息科技有限公司的对外投资公告》（编号：</w:t>
      </w:r>
      <w:r>
        <w:rPr>
          <w:rFonts w:ascii="Times New Roman" w:hAnsi="Times New Roman" w:cs="Times New Roman" w:eastAsia="Times New Roman" w:hint="default"/>
        </w:rPr>
        <w:t>2017-083</w:t>
      </w:r>
      <w:r>
        <w:rPr/>
        <w:t>号）。</w:t>
      </w:r>
    </w:p>
    <w:p>
      <w:pPr>
        <w:pStyle w:val="BodyText"/>
        <w:spacing w:line="300" w:lineRule="auto" w:before="13"/>
        <w:ind w:left="192" w:right="191" w:firstLine="360"/>
        <w:jc w:val="both"/>
      </w:pP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8</w:t>
      </w:r>
      <w:r>
        <w:rPr>
          <w:spacing w:val="-2"/>
        </w:rPr>
        <w:t>月，公司与深圳市保腾创业投资有限公司（以下简称</w:t>
      </w:r>
      <w:r>
        <w:rPr>
          <w:rFonts w:ascii="Times New Roman" w:hAnsi="Times New Roman" w:cs="Times New Roman" w:eastAsia="Times New Roman" w:hint="default"/>
          <w:spacing w:val="-2"/>
        </w:rPr>
        <w:t>“</w:t>
      </w:r>
      <w:r>
        <w:rPr>
          <w:spacing w:val="-2"/>
        </w:rPr>
        <w:t>保腾创业</w:t>
      </w:r>
      <w:r>
        <w:rPr>
          <w:rFonts w:ascii="Times New Roman" w:hAnsi="Times New Roman" w:cs="Times New Roman" w:eastAsia="Times New Roman" w:hint="default"/>
          <w:spacing w:val="-2"/>
        </w:rPr>
        <w:t>”</w:t>
      </w:r>
      <w:r>
        <w:rPr>
          <w:spacing w:val="-2"/>
        </w:rPr>
        <w:t>）签订了《关于对深圳市证通佳明光电有限</w:t>
      </w:r>
      <w:r>
        <w:rPr/>
        <w:t> 公司投资的协议书》，公司全资子公司佳明光电拟进行增资扩股并引进保腾创业作为新增投资者，保腾创业出资</w:t>
      </w:r>
      <w:r>
        <w:rPr>
          <w:rFonts w:ascii="Times New Roman" w:hAnsi="Times New Roman" w:cs="Times New Roman" w:eastAsia="Times New Roman" w:hint="default"/>
        </w:rPr>
        <w:t>3,000.00</w:t>
      </w:r>
      <w:r>
        <w:rPr/>
        <w:t>万 元对公司全资子公司佳明光电进行增资，拟持有佳明光电</w:t>
      </w:r>
      <w:r>
        <w:rPr>
          <w:rFonts w:ascii="Times New Roman" w:hAnsi="Times New Roman" w:cs="Times New Roman" w:eastAsia="Times New Roman" w:hint="default"/>
        </w:rPr>
        <w:t>83.33%</w:t>
      </w:r>
      <w:r>
        <w:rPr/>
        <w:t>的股权。</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月，公司、保腾创业与其新增意向的联</w:t>
      </w:r>
    </w:p>
    <w:p>
      <w:pPr>
        <w:spacing w:after="0" w:line="300" w:lineRule="auto"/>
        <w:jc w:val="both"/>
        <w:sectPr>
          <w:pgSz w:w="11910" w:h="16840"/>
          <w:pgMar w:header="745" w:footer="980" w:top="1060" w:bottom="1160" w:left="940" w:right="940"/>
        </w:sectPr>
      </w:pPr>
    </w:p>
    <w:p>
      <w:pPr>
        <w:spacing w:line="240" w:lineRule="auto" w:before="9"/>
        <w:rPr>
          <w:rFonts w:ascii="宋体" w:hAnsi="宋体" w:cs="宋体" w:eastAsia="宋体" w:hint="default"/>
          <w:sz w:val="25"/>
          <w:szCs w:val="25"/>
        </w:rPr>
      </w:pPr>
    </w:p>
    <w:p>
      <w:pPr>
        <w:pStyle w:val="BodyText"/>
        <w:spacing w:line="302" w:lineRule="auto" w:before="44"/>
        <w:ind w:right="149"/>
        <w:jc w:val="both"/>
      </w:pPr>
      <w:r>
        <w:rPr>
          <w:spacing w:val="-2"/>
        </w:rPr>
        <w:t>合投资人深圳市远致创业投资有限公司（以下简称</w:t>
      </w:r>
      <w:r>
        <w:rPr>
          <w:rFonts w:ascii="Times New Roman" w:hAnsi="Times New Roman" w:cs="Times New Roman" w:eastAsia="Times New Roman" w:hint="default"/>
          <w:spacing w:val="-2"/>
        </w:rPr>
        <w:t>“</w:t>
      </w:r>
      <w:r>
        <w:rPr>
          <w:spacing w:val="-2"/>
        </w:rPr>
        <w:t>远致创业</w:t>
      </w:r>
      <w:r>
        <w:rPr>
          <w:rFonts w:ascii="Times New Roman" w:hAnsi="Times New Roman" w:cs="Times New Roman" w:eastAsia="Times New Roman" w:hint="default"/>
          <w:spacing w:val="-2"/>
        </w:rPr>
        <w:t>”</w:t>
      </w:r>
      <w:r>
        <w:rPr>
          <w:spacing w:val="-2"/>
        </w:rPr>
        <w:t>）达成一致意向：远致创业拟在保腾创业完成上述</w:t>
      </w:r>
      <w:r>
        <w:rPr>
          <w:rFonts w:ascii="Times New Roman" w:hAnsi="Times New Roman" w:cs="Times New Roman" w:eastAsia="Times New Roman" w:hint="default"/>
          <w:spacing w:val="-2"/>
        </w:rPr>
        <w:t>3000</w:t>
      </w:r>
      <w:r>
        <w:rPr>
          <w:spacing w:val="-2"/>
        </w:rPr>
        <w:t>万元增</w:t>
      </w:r>
      <w:r>
        <w:rPr>
          <w:spacing w:val="-40"/>
        </w:rPr>
        <w:t> </w:t>
      </w:r>
      <w:r>
        <w:rPr>
          <w:spacing w:val="-40"/>
        </w:rPr>
      </w:r>
      <w:r>
        <w:rPr>
          <w:spacing w:val="-3"/>
        </w:rPr>
        <w:t>资款支付，同时佳明光电完成相关股权变更的工商登记后，对佳明光电进行增资</w:t>
      </w:r>
      <w:r>
        <w:rPr>
          <w:rFonts w:ascii="Times New Roman" w:hAnsi="Times New Roman" w:cs="Times New Roman" w:eastAsia="Times New Roman" w:hint="default"/>
          <w:spacing w:val="-3"/>
        </w:rPr>
        <w:t>1,500</w:t>
      </w:r>
      <w:r>
        <w:rPr>
          <w:spacing w:val="-3"/>
        </w:rPr>
        <w:t>万元，持有佳明光电</w:t>
      </w:r>
      <w:r>
        <w:rPr>
          <w:rFonts w:ascii="Times New Roman" w:hAnsi="Times New Roman" w:cs="Times New Roman" w:eastAsia="Times New Roman" w:hint="default"/>
          <w:spacing w:val="-3"/>
        </w:rPr>
        <w:t>76.9231%</w:t>
      </w:r>
      <w:r>
        <w:rPr>
          <w:spacing w:val="-3"/>
        </w:rPr>
        <w:t>的股权。</w:t>
      </w:r>
      <w:r>
        <w:rPr>
          <w:spacing w:val="-56"/>
        </w:rPr>
        <w:t> </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28</w:t>
      </w:r>
      <w:r>
        <w:rPr>
          <w:spacing w:val="-2"/>
        </w:rPr>
        <w:t>日，因公司全资子公司佳明光电业务转型、估值及保腾创业资金等综合原因，经公司及全资子公司佳明光电与</w:t>
      </w:r>
      <w:r>
        <w:rPr>
          <w:spacing w:val="-60"/>
        </w:rPr>
        <w:t> </w:t>
      </w:r>
      <w:r>
        <w:rPr>
          <w:spacing w:val="-60"/>
        </w:rPr>
      </w:r>
      <w:r>
        <w:rPr>
          <w:spacing w:val="-2"/>
        </w:rPr>
        <w:t>保腾创业、远致创业、公司实际控制人曾胜强先生多方协商一致，决定终止《关于对深圳市证通佳明光电有限公司投资的协</w:t>
      </w:r>
      <w:r>
        <w:rPr>
          <w:spacing w:val="-66"/>
        </w:rPr>
        <w:t> </w:t>
      </w:r>
      <w:r>
        <w:rPr>
          <w:spacing w:val="-66"/>
        </w:rPr>
      </w:r>
      <w:r>
        <w:rPr>
          <w:spacing w:val="-2"/>
        </w:rPr>
        <w:t>议书》，并签署相关解除协议。故该事项已终止。相关事项详见</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21</w:t>
      </w:r>
      <w:r>
        <w:rPr>
          <w:spacing w:val="-2"/>
        </w:rPr>
        <w:t>日及</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30</w:t>
      </w:r>
      <w:r>
        <w:rPr>
          <w:spacing w:val="-2"/>
        </w:rPr>
        <w:t>日披露于《证券时报》及巨</w:t>
      </w:r>
      <w:r>
        <w:rPr>
          <w:spacing w:val="-56"/>
        </w:rPr>
        <w:t> </w:t>
      </w:r>
      <w:r>
        <w:rPr>
          <w:spacing w:val="-56"/>
        </w:rPr>
      </w:r>
      <w:r>
        <w:rPr>
          <w:spacing w:val="-1"/>
        </w:rPr>
        <w:t>潮资讯网上的《公司关于全资子公司增资扩股引入投资者的公告》（编号：</w:t>
      </w:r>
      <w:r>
        <w:rPr>
          <w:rFonts w:ascii="Times New Roman" w:hAnsi="Times New Roman" w:cs="Times New Roman" w:eastAsia="Times New Roman" w:hint="default"/>
          <w:spacing w:val="-1"/>
        </w:rPr>
        <w:t>2016-115</w:t>
      </w:r>
      <w:r>
        <w:rPr>
          <w:spacing w:val="-1"/>
        </w:rPr>
        <w:t>号）、《公司关于全资子公司增资扩股</w:t>
      </w:r>
      <w:r>
        <w:rPr>
          <w:spacing w:val="-88"/>
        </w:rPr>
        <w:t> </w:t>
      </w:r>
      <w:r>
        <w:rPr>
          <w:spacing w:val="-88"/>
        </w:rPr>
      </w:r>
      <w:r>
        <w:rPr/>
        <w:t>引入投资者事项终止的公告》（编号：</w:t>
      </w:r>
      <w:r>
        <w:rPr>
          <w:rFonts w:ascii="Times New Roman" w:hAnsi="Times New Roman" w:cs="Times New Roman" w:eastAsia="Times New Roman" w:hint="default"/>
        </w:rPr>
        <w:t>2017-109</w:t>
      </w:r>
      <w:r>
        <w:rPr/>
        <w:t>号）。佳明光电仍为公司全资子公司。</w:t>
      </w:r>
    </w:p>
    <w:p>
      <w:pPr>
        <w:spacing w:after="0" w:line="302" w:lineRule="auto"/>
        <w:jc w:val="both"/>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0"/>
        <w:jc w:val="left"/>
        <w:rPr>
          <w:b w:val="0"/>
          <w:bCs w:val="0"/>
        </w:rPr>
      </w:pPr>
      <w:bookmarkStart w:name="_bookmark5" w:id="6"/>
      <w:bookmarkEnd w:id="6"/>
      <w:r>
        <w:rPr>
          <w:b w:val="0"/>
          <w:bCs w:val="0"/>
        </w:rPr>
      </w:r>
      <w:r>
        <w:rPr/>
        <w:t>第六节</w:t>
      </w:r>
      <w:r>
        <w:rPr>
          <w:spacing w:val="-6"/>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05"/>
        <w:gridCol w:w="1067"/>
        <w:gridCol w:w="782"/>
        <w:gridCol w:w="434"/>
        <w:gridCol w:w="384"/>
        <w:gridCol w:w="665"/>
        <w:gridCol w:w="1051"/>
        <w:gridCol w:w="1150"/>
        <w:gridCol w:w="1030"/>
        <w:gridCol w:w="792"/>
      </w:tblGrid>
      <w:tr>
        <w:trPr>
          <w:trHeight w:val="402" w:hRule="exact"/>
        </w:trPr>
        <w:tc>
          <w:tcPr>
            <w:tcW w:w="2205"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68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6"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2" w:hRule="exact"/>
        </w:trPr>
        <w:tc>
          <w:tcPr>
            <w:tcW w:w="2205" w:type="dxa"/>
            <w:vMerge w:val="restart"/>
            <w:tcBorders>
              <w:top w:val="nil" w:sz="6" w:space="0" w:color="auto"/>
              <w:left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43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31" w:right="31"/>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38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98" w:right="95"/>
              <w:jc w:val="left"/>
              <w:rPr>
                <w:rFonts w:ascii="宋体" w:hAnsi="宋体" w:cs="宋体" w:eastAsia="宋体" w:hint="default"/>
                <w:sz w:val="18"/>
                <w:szCs w:val="18"/>
              </w:rPr>
            </w:pPr>
            <w:r>
              <w:rPr>
                <w:rFonts w:ascii="宋体" w:hAnsi="宋体" w:cs="宋体" w:eastAsia="宋体" w:hint="default"/>
                <w:sz w:val="18"/>
                <w:szCs w:val="18"/>
              </w:rPr>
              <w:t>送 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0"/>
              <w:ind w:left="148" w:right="57"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1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30" w:type="dxa"/>
            <w:tcBorders>
              <w:top w:val="single" w:sz="4" w:space="0" w:color="000000"/>
              <w:left w:val="single" w:sz="4" w:space="0" w:color="000000"/>
              <w:bottom w:val="nil" w:sz="6" w:space="0" w:color="auto"/>
              <w:right w:val="single" w:sz="4" w:space="0" w:color="000000"/>
            </w:tcBorders>
            <w:shd w:val="clear" w:color="auto" w:fill="D2D2D2"/>
          </w:tcPr>
          <w:p>
            <w:pP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05" w:type="dxa"/>
            <w:vMerge/>
            <w:tcBorders>
              <w:left w:val="single" w:sz="4" w:space="0" w:color="000000"/>
              <w:bottom w:val="nil" w:sz="6" w:space="0" w:color="auto"/>
              <w:right w:val="single" w:sz="4" w:space="0" w:color="000000"/>
            </w:tcBorders>
            <w:shd w:val="clear" w:color="auto" w:fill="D2D2D2"/>
          </w:tcPr>
          <w:p>
            <w:pPr/>
          </w:p>
        </w:tc>
        <w:tc>
          <w:tcPr>
            <w:tcW w:w="10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34" w:type="dxa"/>
            <w:vMerge/>
            <w:tcBorders>
              <w:left w:val="single" w:sz="4" w:space="0" w:color="000000"/>
              <w:right w:val="single" w:sz="4" w:space="0" w:color="000000"/>
            </w:tcBorders>
            <w:shd w:val="clear" w:color="auto" w:fill="D2D2D2"/>
          </w:tcPr>
          <w:p>
            <w:pPr/>
          </w:p>
        </w:tc>
        <w:tc>
          <w:tcPr>
            <w:tcW w:w="384"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10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05" w:type="dxa"/>
            <w:vMerge w:val="restart"/>
            <w:tcBorders>
              <w:top w:val="nil" w:sz="6" w:space="0" w:color="auto"/>
              <w:left w:val="single" w:sz="4" w:space="0" w:color="000000"/>
              <w:right w:val="single" w:sz="4" w:space="0" w:color="000000"/>
            </w:tcBorders>
            <w:shd w:val="clear" w:color="auto" w:fill="D2D2D2"/>
          </w:tcPr>
          <w:p>
            <w:pPr/>
          </w:p>
        </w:tc>
        <w:tc>
          <w:tcPr>
            <w:tcW w:w="1067" w:type="dxa"/>
            <w:vMerge/>
            <w:tcBorders>
              <w:left w:val="single" w:sz="4" w:space="0" w:color="000000"/>
              <w:bottom w:val="nil" w:sz="6" w:space="0" w:color="auto"/>
              <w:right w:val="single" w:sz="4" w:space="0" w:color="000000"/>
            </w:tcBorders>
            <w:shd w:val="clear" w:color="auto" w:fill="D2D2D2"/>
          </w:tcPr>
          <w:p>
            <w:pPr/>
          </w:p>
        </w:tc>
        <w:tc>
          <w:tcPr>
            <w:tcW w:w="782" w:type="dxa"/>
            <w:vMerge/>
            <w:tcBorders>
              <w:left w:val="single" w:sz="4" w:space="0" w:color="000000"/>
              <w:bottom w:val="nil" w:sz="6" w:space="0" w:color="auto"/>
              <w:right w:val="single" w:sz="4" w:space="0" w:color="000000"/>
            </w:tcBorders>
            <w:shd w:val="clear" w:color="auto" w:fill="D2D2D2"/>
          </w:tcPr>
          <w:p>
            <w:pPr/>
          </w:p>
        </w:tc>
        <w:tc>
          <w:tcPr>
            <w:tcW w:w="434" w:type="dxa"/>
            <w:vMerge/>
            <w:tcBorders>
              <w:left w:val="single" w:sz="4" w:space="0" w:color="000000"/>
              <w:right w:val="single" w:sz="4" w:space="0" w:color="000000"/>
            </w:tcBorders>
            <w:shd w:val="clear" w:color="auto" w:fill="D2D2D2"/>
          </w:tcPr>
          <w:p>
            <w:pPr/>
          </w:p>
        </w:tc>
        <w:tc>
          <w:tcPr>
            <w:tcW w:w="384"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1051" w:type="dxa"/>
            <w:vMerge/>
            <w:tcBorders>
              <w:left w:val="single" w:sz="4" w:space="0" w:color="000000"/>
              <w:bottom w:val="nil" w:sz="6" w:space="0" w:color="auto"/>
              <w:right w:val="single" w:sz="4" w:space="0" w:color="000000"/>
            </w:tcBorders>
            <w:shd w:val="clear" w:color="auto" w:fill="D2D2D2"/>
          </w:tcPr>
          <w:p>
            <w:pPr/>
          </w:p>
        </w:tc>
        <w:tc>
          <w:tcPr>
            <w:tcW w:w="1150" w:type="dxa"/>
            <w:vMerge/>
            <w:tcBorders>
              <w:left w:val="single" w:sz="4" w:space="0" w:color="000000"/>
              <w:bottom w:val="nil" w:sz="6" w:space="0" w:color="auto"/>
              <w:right w:val="single" w:sz="4" w:space="0" w:color="000000"/>
            </w:tcBorders>
            <w:shd w:val="clear" w:color="auto" w:fill="D2D2D2"/>
          </w:tcPr>
          <w:p>
            <w:pPr/>
          </w:p>
        </w:tc>
        <w:tc>
          <w:tcPr>
            <w:tcW w:w="1030" w:type="dxa"/>
            <w:vMerge/>
            <w:tcBorders>
              <w:left w:val="single" w:sz="4" w:space="0" w:color="000000"/>
              <w:bottom w:val="nil" w:sz="6" w:space="0" w:color="auto"/>
              <w:right w:val="single" w:sz="4" w:space="0" w:color="000000"/>
            </w:tcBorders>
            <w:shd w:val="clear" w:color="auto" w:fill="D2D2D2"/>
          </w:tcPr>
          <w:p>
            <w:pPr/>
          </w:p>
        </w:tc>
        <w:tc>
          <w:tcPr>
            <w:tcW w:w="79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205"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c>
          <w:tcPr>
            <w:tcW w:w="434" w:type="dxa"/>
            <w:vMerge/>
            <w:tcBorders>
              <w:left w:val="single" w:sz="4" w:space="0" w:color="000000"/>
              <w:bottom w:val="single" w:sz="4" w:space="0" w:color="000000"/>
              <w:right w:val="single" w:sz="4" w:space="0" w:color="000000"/>
            </w:tcBorders>
            <w:shd w:val="clear" w:color="auto" w:fill="D2D2D2"/>
          </w:tcPr>
          <w:p>
            <w:pPr/>
          </w:p>
        </w:tc>
        <w:tc>
          <w:tcPr>
            <w:tcW w:w="38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1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30" w:type="dxa"/>
            <w:tcBorders>
              <w:top w:val="nil" w:sz="6" w:space="0" w:color="auto"/>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182,089,010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35.04%</w:t>
            </w:r>
          </w:p>
        </w:tc>
        <w:tc>
          <w:tcPr>
            <w:tcW w:w="434"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-101,561,376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-101,561,376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80,527,634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15.63%</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67" w:type="dxa"/>
            <w:tcBorders>
              <w:top w:val="single" w:sz="4" w:space="0" w:color="000000"/>
              <w:left w:val="single" w:sz="9" w:space="0" w:color="D2D2D2"/>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67" w:type="dxa"/>
            <w:tcBorders>
              <w:top w:val="single" w:sz="4" w:space="0" w:color="000000"/>
              <w:left w:val="single" w:sz="9" w:space="0" w:color="D2D2D2"/>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182,089,010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35.04%</w:t>
            </w:r>
          </w:p>
        </w:tc>
        <w:tc>
          <w:tcPr>
            <w:tcW w:w="434"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-101,561,376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-101,561,376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80,527,634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15.63%</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93,888,316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18.07%</w:t>
            </w:r>
          </w:p>
        </w:tc>
        <w:tc>
          <w:tcPr>
            <w:tcW w:w="434"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-93,888,316</w:t>
            </w:r>
            <w:r>
              <w:rPr>
                <w:rFonts w:ascii="Times New Roman"/>
                <w:sz w:val="18"/>
              </w:rPr>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-93,888,316</w:t>
            </w:r>
            <w:r>
              <w:rPr>
                <w:rFonts w:ascii="Times New Roman"/>
                <w:sz w:val="18"/>
              </w:rPr>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10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88,200,694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16.97%</w:t>
            </w:r>
          </w:p>
        </w:tc>
        <w:tc>
          <w:tcPr>
            <w:tcW w:w="434"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-7,673,060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-7,673,060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80,527,634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15.63%</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67" w:type="dxa"/>
            <w:tcBorders>
              <w:top w:val="single" w:sz="4" w:space="0" w:color="000000"/>
              <w:left w:val="single" w:sz="9" w:space="0" w:color="D2D2D2"/>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67" w:type="dxa"/>
            <w:tcBorders>
              <w:top w:val="single" w:sz="4" w:space="0" w:color="000000"/>
              <w:left w:val="single" w:sz="9" w:space="0" w:color="D2D2D2"/>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境外自然人持股</w:t>
            </w:r>
          </w:p>
        </w:tc>
        <w:tc>
          <w:tcPr>
            <w:tcW w:w="1067" w:type="dxa"/>
            <w:tcBorders>
              <w:top w:val="single" w:sz="4" w:space="0" w:color="000000"/>
              <w:left w:val="single" w:sz="9" w:space="0" w:color="D2D2D2"/>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4"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337,589,658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64.96%</w:t>
            </w:r>
          </w:p>
        </w:tc>
        <w:tc>
          <w:tcPr>
            <w:tcW w:w="434"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97,039,656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97,039,656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434,629,314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z w:val="18"/>
              </w:rPr>
              <w:t>84.37%</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337,589,658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64.96%</w:t>
            </w:r>
          </w:p>
        </w:tc>
        <w:tc>
          <w:tcPr>
            <w:tcW w:w="434"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97,039,656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97,039,656</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434,629,314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84.37%</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67" w:type="dxa"/>
            <w:tcBorders>
              <w:top w:val="single" w:sz="4" w:space="0" w:color="000000"/>
              <w:left w:val="single" w:sz="9" w:space="0" w:color="D2D2D2"/>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67" w:type="dxa"/>
            <w:tcBorders>
              <w:top w:val="single" w:sz="4" w:space="0" w:color="000000"/>
              <w:left w:val="single" w:sz="9" w:space="0" w:color="D2D2D2"/>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67" w:type="dxa"/>
            <w:tcBorders>
              <w:top w:val="single" w:sz="4" w:space="0" w:color="000000"/>
              <w:left w:val="single" w:sz="9" w:space="0" w:color="D2D2D2"/>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1030"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6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519,678,668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434"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-4,521,720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-4,521,720</w:t>
            </w:r>
          </w:p>
        </w:tc>
        <w:tc>
          <w:tcPr>
            <w:tcW w:w="1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515,156,948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股份变动的原因</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52" w:firstLine="269"/>
        <w:jc w:val="both"/>
      </w:pP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9</w:t>
      </w:r>
      <w:r>
        <w:rPr>
          <w:spacing w:val="-2"/>
        </w:rPr>
        <w:t>日，公司首期限制性股票激励计划首次授予第二个解锁期及预留授予第一个解锁期限制性股票解锁并上</w:t>
      </w:r>
      <w:r>
        <w:rPr/>
        <w:t> 市流通，此次解锁的限制性股票数量共计</w:t>
      </w:r>
      <w:r>
        <w:rPr>
          <w:rFonts w:ascii="Times New Roman" w:hAnsi="Times New Roman" w:cs="Times New Roman" w:eastAsia="Times New Roman" w:hint="default"/>
        </w:rPr>
        <w:t>3,357,040</w:t>
      </w:r>
      <w:r>
        <w:rPr/>
        <w:t>股。</w:t>
      </w:r>
    </w:p>
    <w:p>
      <w:pPr>
        <w:pStyle w:val="BodyText"/>
        <w:spacing w:line="300" w:lineRule="auto" w:before="13"/>
        <w:ind w:right="154" w:firstLine="269"/>
        <w:jc w:val="both"/>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月，公司根据中国证监督会核发的《关于核准深圳市证通电子股份有限公司非公开发行股票的批复》（证 监许可</w:t>
      </w:r>
      <w:r>
        <w:rPr>
          <w:rFonts w:ascii="Times New Roman" w:hAnsi="Times New Roman" w:cs="Times New Roman" w:eastAsia="Times New Roman" w:hint="default"/>
        </w:rPr>
        <w:t>[2016]1348</w:t>
      </w:r>
      <w:r>
        <w:rPr/>
        <w:t>），公司向</w:t>
      </w:r>
      <w:r>
        <w:rPr>
          <w:rFonts w:ascii="Times New Roman" w:hAnsi="Times New Roman" w:cs="Times New Roman" w:eastAsia="Times New Roman" w:hint="default"/>
        </w:rPr>
        <w:t>5</w:t>
      </w:r>
      <w:r>
        <w:rPr/>
        <w:t>名特定投资者非公开发行人民币普通股（</w:t>
      </w:r>
      <w:r>
        <w:rPr>
          <w:rFonts w:ascii="Times New Roman" w:hAnsi="Times New Roman" w:cs="Times New Roman" w:eastAsia="Times New Roman" w:hint="default"/>
        </w:rPr>
        <w:t>A</w:t>
      </w:r>
      <w:r>
        <w:rPr>
          <w:rFonts w:ascii="Times New Roman" w:hAnsi="Times New Roman" w:cs="Times New Roman" w:eastAsia="Times New Roman" w:hint="default"/>
          <w:spacing w:val="-18"/>
        </w:rPr>
        <w:t> </w:t>
      </w:r>
      <w:r>
        <w:rPr/>
        <w:t>股）</w:t>
      </w:r>
      <w:r>
        <w:rPr>
          <w:rFonts w:ascii="Times New Roman" w:hAnsi="Times New Roman" w:cs="Times New Roman" w:eastAsia="Times New Roman" w:hint="default"/>
        </w:rPr>
        <w:t>93,888,316</w:t>
      </w:r>
      <w:r>
        <w:rPr/>
        <w:t>股，本次发行新增股份为有限售条 件的流通股，上市日为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日，限售期为</w:t>
      </w:r>
      <w:r>
        <w:rPr>
          <w:rFonts w:ascii="Times New Roman" w:hAnsi="Times New Roman" w:cs="Times New Roman" w:eastAsia="Times New Roman" w:hint="default"/>
        </w:rPr>
        <w:t>12</w:t>
      </w:r>
      <w:r>
        <w:rPr/>
        <w:t>个月，该限售股份已于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日上市流通。</w:t>
      </w:r>
    </w:p>
    <w:p>
      <w:pPr>
        <w:pStyle w:val="BodyText"/>
        <w:spacing w:line="309" w:lineRule="auto" w:before="13"/>
        <w:ind w:right="153" w:firstLine="269"/>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月，公司根据《公司首期限制性股票激励计划》，对首期限制性股票股权激励计划中激励对象首次授予的 </w:t>
      </w:r>
      <w:r>
        <w:rPr>
          <w:spacing w:val="-2"/>
        </w:rPr>
        <w:t>未达到第三期解锁条件、预留授予的未达到第二期解锁条件及因离职导致已不符合激励条件的原激励对象已获授但尚未解锁</w:t>
      </w:r>
      <w:r>
        <w:rPr>
          <w:spacing w:val="-64"/>
        </w:rPr>
        <w:t> </w:t>
      </w:r>
      <w:r>
        <w:rPr>
          <w:spacing w:val="-64"/>
        </w:rPr>
      </w:r>
      <w:r>
        <w:rPr/>
        <w:t>的合计</w:t>
      </w:r>
      <w:r>
        <w:rPr>
          <w:rFonts w:ascii="Times New Roman" w:hAnsi="Times New Roman" w:cs="Times New Roman" w:eastAsia="Times New Roman" w:hint="default"/>
        </w:rPr>
        <w:t>4,521,720</w:t>
      </w:r>
      <w:r>
        <w:rPr/>
        <w:t>股限制性股票进行了回购注销。</w:t>
      </w:r>
    </w:p>
    <w:p>
      <w:pPr>
        <w:pStyle w:val="BodyText"/>
        <w:spacing w:line="240" w:lineRule="auto" w:before="5"/>
        <w:ind w:left="422" w:right="0"/>
        <w:jc w:val="left"/>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2017</w:t>
      </w:r>
      <w:r>
        <w:rPr/>
        <w:t>年，根据《上市公司董事、监事和高级管理人员所持本公司股份及其变动管理规则》，因公司原副总经理李国</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00" w:lineRule="auto" w:before="44"/>
        <w:ind w:right="243"/>
        <w:jc w:val="both"/>
      </w:pPr>
      <w:r>
        <w:rPr/>
        <w:t>政和原财务总监麦昊天辞职及其部分股票卖出，高管年初解锁股份调整等原因，合计增加限售流通股</w:t>
      </w:r>
      <w:r>
        <w:rPr>
          <w:rFonts w:ascii="Times New Roman" w:hAnsi="Times New Roman" w:cs="Times New Roman" w:eastAsia="Times New Roman" w:hint="default"/>
        </w:rPr>
        <w:t>205,700</w:t>
      </w:r>
      <w:r>
        <w:rPr/>
        <w:t>股，减少无限 售流通股</w:t>
      </w:r>
      <w:r>
        <w:rPr>
          <w:rFonts w:ascii="Times New Roman" w:hAnsi="Times New Roman" w:cs="Times New Roman" w:eastAsia="Times New Roman" w:hint="default"/>
        </w:rPr>
        <w:t>205,700</w:t>
      </w:r>
      <w:r>
        <w:rPr/>
        <w:t>股</w:t>
      </w:r>
    </w:p>
    <w:p>
      <w:pPr>
        <w:pStyle w:val="BodyText"/>
        <w:spacing w:line="240" w:lineRule="auto" w:before="53"/>
        <w:ind w:right="0"/>
        <w:jc w:val="both"/>
      </w:pPr>
      <w:r>
        <w:rPr/>
        <w:t>股份变动的批准情况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6" w:lineRule="auto" w:before="103"/>
        <w:ind w:left="513" w:right="178" w:hanging="92"/>
        <w:jc w:val="left"/>
      </w:pPr>
      <w:r>
        <w:rPr/>
        <w:t>（</w:t>
      </w:r>
      <w:r>
        <w:rPr>
          <w:rFonts w:ascii="宋体" w:hAnsi="宋体" w:cs="宋体" w:eastAsia="宋体" w:hint="default"/>
        </w:rPr>
        <w:t>1</w:t>
      </w:r>
      <w:r>
        <w:rPr/>
        <w:t>）限制性股票解除限售</w:t>
      </w:r>
      <w:r>
        <w:rPr>
          <w:rFonts w:ascii="宋体" w:hAnsi="宋体" w:cs="宋体" w:eastAsia="宋体" w:hint="default"/>
        </w:rPr>
        <w:t> </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20</w:t>
      </w:r>
      <w:r>
        <w:rPr>
          <w:spacing w:val="-2"/>
        </w:rPr>
        <w:t>日，公司召开的第四届董事会第九次会议和第四届监事会第七次会议审议并通过《关于公司股权激励限制</w:t>
      </w:r>
    </w:p>
    <w:p>
      <w:pPr>
        <w:pStyle w:val="BodyText"/>
        <w:spacing w:line="316" w:lineRule="auto" w:before="19"/>
        <w:ind w:right="193"/>
        <w:jc w:val="both"/>
        <w:rPr>
          <w:rFonts w:ascii="宋体" w:hAnsi="宋体" w:cs="宋体" w:eastAsia="宋体" w:hint="default"/>
        </w:rPr>
      </w:pPr>
      <w:r>
        <w:rPr>
          <w:spacing w:val="-2"/>
        </w:rPr>
        <w:t>性股票首次授予第二个解锁期及预留授予第一个解锁期解锁条件成就的议案》。公司董事会根据《公司首期限制性股票激励</w:t>
      </w:r>
      <w:r>
        <w:rPr>
          <w:spacing w:val="-66"/>
        </w:rPr>
        <w:t> </w:t>
      </w:r>
      <w:r>
        <w:rPr>
          <w:spacing w:val="-66"/>
        </w:rPr>
      </w:r>
      <w:r>
        <w:rPr/>
        <w:t>计划（草案）》的相关规定，对本次符合解锁条件的激励对象可申请解锁的限制性股票</w:t>
      </w:r>
      <w:r>
        <w:rPr>
          <w:rFonts w:ascii="宋体" w:hAnsi="宋体" w:cs="宋体" w:eastAsia="宋体" w:hint="default"/>
        </w:rPr>
        <w:t>3,357,040</w:t>
      </w:r>
      <w:r>
        <w:rPr/>
        <w:t>股进行解锁。</w:t>
      </w:r>
      <w:r>
        <w:rPr>
          <w:rFonts w:ascii="宋体" w:hAnsi="宋体" w:cs="宋体" w:eastAsia="宋体" w:hint="default"/>
        </w:rPr>
        <w:t> </w:t>
      </w:r>
    </w:p>
    <w:p>
      <w:pPr>
        <w:pStyle w:val="BodyText"/>
        <w:spacing w:line="316" w:lineRule="auto" w:before="19"/>
        <w:ind w:left="513" w:right="178" w:hanging="92"/>
        <w:jc w:val="left"/>
      </w:pPr>
      <w:r>
        <w:rPr/>
        <w:t>（</w:t>
      </w:r>
      <w:r>
        <w:rPr>
          <w:rFonts w:ascii="宋体" w:hAnsi="宋体" w:cs="宋体" w:eastAsia="宋体" w:hint="default"/>
        </w:rPr>
        <w:t>2</w:t>
      </w:r>
      <w:r>
        <w:rPr/>
        <w:t>）</w:t>
      </w:r>
      <w:r>
        <w:rPr>
          <w:rFonts w:ascii="宋体" w:hAnsi="宋体" w:cs="宋体" w:eastAsia="宋体" w:hint="default"/>
        </w:rPr>
        <w:t>2015</w:t>
      </w:r>
      <w:r>
        <w:rPr/>
        <w:t>年度非公开发行股票解除限售</w:t>
      </w:r>
      <w:r>
        <w:rPr>
          <w:rFonts w:ascii="宋体" w:hAnsi="宋体" w:cs="宋体" w:eastAsia="宋体" w:hint="default"/>
        </w:rPr>
        <w:t> </w:t>
      </w:r>
      <w:r>
        <w:rPr>
          <w:rFonts w:ascii="宋体" w:hAnsi="宋体" w:cs="宋体" w:eastAsia="宋体" w:hint="default"/>
          <w:spacing w:val="-5"/>
        </w:rPr>
        <w:t>2015</w:t>
      </w:r>
      <w:r>
        <w:rPr>
          <w:spacing w:val="-5"/>
        </w:rPr>
        <w:t>年</w:t>
      </w:r>
      <w:r>
        <w:rPr>
          <w:rFonts w:ascii="宋体" w:hAnsi="宋体" w:cs="宋体" w:eastAsia="宋体" w:hint="default"/>
          <w:spacing w:val="-5"/>
        </w:rPr>
        <w:t>10</w:t>
      </w:r>
      <w:r>
        <w:rPr>
          <w:spacing w:val="-5"/>
        </w:rPr>
        <w:t>月</w:t>
      </w:r>
      <w:r>
        <w:rPr>
          <w:rFonts w:ascii="宋体" w:hAnsi="宋体" w:cs="宋体" w:eastAsia="宋体" w:hint="default"/>
          <w:spacing w:val="-5"/>
        </w:rPr>
        <w:t>22</w:t>
      </w:r>
      <w:r>
        <w:rPr>
          <w:spacing w:val="-5"/>
        </w:rPr>
        <w:t>日和</w:t>
      </w:r>
      <w:r>
        <w:rPr>
          <w:rFonts w:ascii="宋体" w:hAnsi="宋体" w:cs="宋体" w:eastAsia="宋体" w:hint="default"/>
          <w:spacing w:val="-5"/>
        </w:rPr>
        <w:t>2015</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22</w:t>
      </w:r>
      <w:r>
        <w:rPr>
          <w:spacing w:val="-5"/>
        </w:rPr>
        <w:t>日，公司分别召开第三届董事会第二十七次（临时）会议和</w:t>
      </w:r>
      <w:r>
        <w:rPr>
          <w:rFonts w:ascii="宋体" w:hAnsi="宋体" w:cs="宋体" w:eastAsia="宋体" w:hint="default"/>
          <w:spacing w:val="-5"/>
        </w:rPr>
        <w:t>2015</w:t>
      </w:r>
      <w:r>
        <w:rPr>
          <w:spacing w:val="-5"/>
        </w:rPr>
        <w:t>年第六次临时股东大会，</w:t>
      </w:r>
    </w:p>
    <w:p>
      <w:pPr>
        <w:pStyle w:val="BodyText"/>
        <w:spacing w:line="319" w:lineRule="auto" w:before="19"/>
        <w:ind w:right="191"/>
        <w:jc w:val="both"/>
        <w:rPr>
          <w:rFonts w:ascii="宋体" w:hAnsi="宋体" w:cs="宋体" w:eastAsia="宋体" w:hint="default"/>
        </w:rPr>
      </w:pPr>
      <w:r>
        <w:rPr>
          <w:spacing w:val="-2"/>
        </w:rPr>
        <w:t>审议通过了《关于公司符合向特定对象非公开发行股票条件的议案》、《关于公司</w:t>
      </w:r>
      <w:r>
        <w:rPr>
          <w:rFonts w:ascii="宋体" w:hAnsi="宋体" w:cs="宋体" w:eastAsia="宋体" w:hint="default"/>
          <w:spacing w:val="-2"/>
        </w:rPr>
        <w:t>2015</w:t>
      </w:r>
      <w:r>
        <w:rPr>
          <w:spacing w:val="-2"/>
        </w:rPr>
        <w:t>年度非公开发行股票预案的议案》等</w:t>
      </w:r>
      <w:r>
        <w:rPr>
          <w:spacing w:val="-61"/>
        </w:rPr>
        <w:t> </w:t>
      </w:r>
      <w:r>
        <w:rPr>
          <w:spacing w:val="-61"/>
        </w:rPr>
      </w:r>
      <w:r>
        <w:rPr/>
        <w:t>关于本次非公开发行股票的相关议案，并于</w:t>
      </w:r>
      <w:r>
        <w:rPr>
          <w:rFonts w:ascii="宋体" w:hAnsi="宋体" w:cs="宋体" w:eastAsia="宋体" w:hint="default"/>
        </w:rPr>
        <w:t>2016</w:t>
      </w:r>
      <w:r>
        <w:rPr/>
        <w:t>年</w:t>
      </w:r>
      <w:r>
        <w:rPr>
          <w:rFonts w:ascii="宋体" w:hAnsi="宋体" w:cs="宋体" w:eastAsia="宋体" w:hint="default"/>
        </w:rPr>
        <w:t>7</w:t>
      </w:r>
      <w:r>
        <w:rPr/>
        <w:t>月</w:t>
      </w:r>
      <w:r>
        <w:rPr>
          <w:rFonts w:ascii="宋体" w:hAnsi="宋体" w:cs="宋体" w:eastAsia="宋体" w:hint="default"/>
        </w:rPr>
        <w:t>26</w:t>
      </w:r>
      <w:r>
        <w:rPr/>
        <w:t>日公司收到中国证券监督管理委员会核发的《关于核准深圳市证通 </w:t>
      </w:r>
      <w:r>
        <w:rPr>
          <w:spacing w:val="-2"/>
        </w:rPr>
        <w:t>电子股份有限公司非公开发行股票的批复》（证监许可【</w:t>
      </w:r>
      <w:r>
        <w:rPr>
          <w:rFonts w:ascii="宋体" w:hAnsi="宋体" w:cs="宋体" w:eastAsia="宋体" w:hint="default"/>
          <w:spacing w:val="-2"/>
        </w:rPr>
        <w:t>2016</w:t>
      </w:r>
      <w:r>
        <w:rPr>
          <w:spacing w:val="-2"/>
        </w:rPr>
        <w:t>】</w:t>
      </w:r>
      <w:r>
        <w:rPr>
          <w:rFonts w:ascii="宋体" w:hAnsi="宋体" w:cs="宋体" w:eastAsia="宋体" w:hint="default"/>
          <w:spacing w:val="-2"/>
        </w:rPr>
        <w:t>1348</w:t>
      </w:r>
      <w:r>
        <w:rPr>
          <w:spacing w:val="-2"/>
        </w:rPr>
        <w:t>号），根据前述方案，本次非公开发行新增股份为有限</w:t>
      </w:r>
      <w:r>
        <w:rPr>
          <w:spacing w:val="-61"/>
        </w:rPr>
        <w:t> </w:t>
      </w:r>
      <w:r>
        <w:rPr>
          <w:spacing w:val="-61"/>
        </w:rPr>
      </w:r>
      <w:r>
        <w:rPr/>
        <w:t>售条件的流通股，上市日为</w:t>
      </w:r>
      <w:r>
        <w:rPr>
          <w:rFonts w:ascii="宋体" w:hAnsi="宋体" w:cs="宋体" w:eastAsia="宋体" w:hint="default"/>
        </w:rPr>
        <w:t>2016</w:t>
      </w:r>
      <w:r>
        <w:rPr/>
        <w:t>年</w:t>
      </w:r>
      <w:r>
        <w:rPr>
          <w:rFonts w:ascii="宋体" w:hAnsi="宋体" w:cs="宋体" w:eastAsia="宋体" w:hint="default"/>
        </w:rPr>
        <w:t>9</w:t>
      </w:r>
      <w:r>
        <w:rPr/>
        <w:t>月</w:t>
      </w:r>
      <w:r>
        <w:rPr>
          <w:rFonts w:ascii="宋体" w:hAnsi="宋体" w:cs="宋体" w:eastAsia="宋体" w:hint="default"/>
        </w:rPr>
        <w:t>14</w:t>
      </w:r>
      <w:r>
        <w:rPr/>
        <w:t>日，自本次发行的新增股份上市之日起</w:t>
      </w:r>
      <w:r>
        <w:rPr>
          <w:rFonts w:ascii="宋体" w:hAnsi="宋体" w:cs="宋体" w:eastAsia="宋体" w:hint="default"/>
        </w:rPr>
        <w:t>12</w:t>
      </w:r>
      <w:r>
        <w:rPr/>
        <w:t>个月后经公司申请可以上市流通。</w:t>
      </w:r>
      <w:r>
        <w:rPr>
          <w:rFonts w:ascii="宋体" w:hAnsi="宋体" w:cs="宋体" w:eastAsia="宋体" w:hint="default"/>
        </w:rPr>
        <w:t> </w:t>
      </w:r>
    </w:p>
    <w:p>
      <w:pPr>
        <w:pStyle w:val="BodyText"/>
        <w:spacing w:line="316" w:lineRule="auto" w:before="17"/>
        <w:ind w:left="513" w:right="183" w:hanging="92"/>
        <w:jc w:val="left"/>
      </w:pPr>
      <w:r>
        <w:rPr/>
        <w:t>（</w:t>
      </w:r>
      <w:r>
        <w:rPr>
          <w:rFonts w:ascii="宋体" w:hAnsi="宋体" w:cs="宋体" w:eastAsia="宋体" w:hint="default"/>
        </w:rPr>
        <w:t>3</w:t>
      </w:r>
      <w:r>
        <w:rPr/>
        <w:t>）股权激励限制性股票部分回购注销</w:t>
      </w:r>
      <w:r>
        <w:rPr>
          <w:rFonts w:ascii="宋体" w:hAnsi="宋体" w:cs="宋体" w:eastAsia="宋体" w:hint="default"/>
        </w:rPr>
        <w:t> 2017</w:t>
      </w:r>
      <w:r>
        <w:rPr/>
        <w:t>年</w:t>
      </w:r>
      <w:r>
        <w:rPr>
          <w:rFonts w:ascii="宋体" w:hAnsi="宋体" w:cs="宋体" w:eastAsia="宋体" w:hint="default"/>
        </w:rPr>
        <w:t>6</w:t>
      </w:r>
      <w:r>
        <w:rPr/>
        <w:t>月</w:t>
      </w:r>
      <w:r>
        <w:rPr>
          <w:rFonts w:ascii="宋体" w:hAnsi="宋体" w:cs="宋体" w:eastAsia="宋体" w:hint="default"/>
        </w:rPr>
        <w:t>16</w:t>
      </w:r>
      <w:r>
        <w:rPr/>
        <w:t>日，公司召开第四届董事会第十四次会议审议通过了《关于公司回购注销未达到解锁条件及部分已不符合</w:t>
      </w:r>
    </w:p>
    <w:p>
      <w:pPr>
        <w:pStyle w:val="BodyText"/>
        <w:spacing w:line="316" w:lineRule="auto" w:before="19"/>
        <w:ind w:right="193"/>
        <w:jc w:val="both"/>
        <w:rPr>
          <w:rFonts w:ascii="宋体" w:hAnsi="宋体" w:cs="宋体" w:eastAsia="宋体" w:hint="default"/>
        </w:rPr>
      </w:pPr>
      <w:r>
        <w:rPr>
          <w:spacing w:val="-2"/>
        </w:rPr>
        <w:t>激励条件的激励对象已获授但尚未解锁的限制性股票的议案》。董事会同意对首期限制性股票股权激励计划中激励对象首次</w:t>
      </w:r>
      <w:r>
        <w:rPr>
          <w:spacing w:val="-64"/>
        </w:rPr>
        <w:t> </w:t>
      </w:r>
      <w:r>
        <w:rPr>
          <w:spacing w:val="-64"/>
        </w:rPr>
      </w:r>
      <w:r>
        <w:rPr>
          <w:spacing w:val="-2"/>
        </w:rPr>
        <w:t>授予的未达到第三期解锁条件、预留授予的未达到第二期解锁条件及因离职导致已不符合激励条件的原激励对象已获授但尚</w:t>
      </w:r>
      <w:r>
        <w:rPr>
          <w:spacing w:val="-64"/>
        </w:rPr>
        <w:t> </w:t>
      </w:r>
      <w:r>
        <w:rPr>
          <w:spacing w:val="-64"/>
        </w:rPr>
      </w:r>
      <w:r>
        <w:rPr/>
        <w:t>未解锁的合计</w:t>
      </w:r>
      <w:r>
        <w:rPr>
          <w:rFonts w:ascii="宋体" w:hAnsi="宋体" w:cs="宋体" w:eastAsia="宋体" w:hint="default"/>
        </w:rPr>
        <w:t>4,521,720</w:t>
      </w:r>
      <w:r>
        <w:rPr/>
        <w:t>股限制性股票进行了回购注销。</w:t>
      </w:r>
      <w:r>
        <w:rPr>
          <w:rFonts w:ascii="宋体" w:hAnsi="宋体" w:cs="宋体" w:eastAsia="宋体" w:hint="default"/>
        </w:rPr>
        <w:t> </w:t>
      </w:r>
    </w:p>
    <w:p>
      <w:pPr>
        <w:pStyle w:val="BodyText"/>
        <w:spacing w:line="240" w:lineRule="auto" w:before="19"/>
        <w:ind w:left="513" w:right="6754"/>
        <w:jc w:val="left"/>
        <w:rPr>
          <w:rFonts w:ascii="宋体" w:hAnsi="宋体" w:cs="宋体" w:eastAsia="宋体" w:hint="default"/>
        </w:rPr>
      </w:pPr>
      <w:r>
        <w:rPr/>
        <w:t>股份变动的过户情况</w:t>
      </w:r>
      <w:r>
        <w:rPr>
          <w:rFonts w:ascii="宋体" w:hAnsi="宋体" w:cs="宋体" w:eastAsia="宋体" w:hint="default"/>
        </w:rPr>
        <w:t> </w:t>
      </w:r>
    </w:p>
    <w:p>
      <w:pPr>
        <w:pStyle w:val="BodyText"/>
        <w:spacing w:line="240" w:lineRule="auto" w:before="117"/>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16" w:lineRule="auto" w:before="101"/>
        <w:ind w:right="178" w:firstLine="269"/>
        <w:jc w:val="left"/>
        <w:rPr>
          <w:rFonts w:ascii="宋体" w:hAnsi="宋体" w:cs="宋体" w:eastAsia="宋体" w:hint="default"/>
        </w:rPr>
      </w:pPr>
      <w:r>
        <w:rPr>
          <w:spacing w:val="-2"/>
        </w:rPr>
        <w:t>（</w:t>
      </w:r>
      <w:r>
        <w:rPr>
          <w:rFonts w:ascii="宋体" w:hAnsi="宋体" w:cs="宋体" w:eastAsia="宋体" w:hint="default"/>
          <w:spacing w:val="-2"/>
        </w:rPr>
        <w:t>1</w:t>
      </w:r>
      <w:r>
        <w:rPr>
          <w:spacing w:val="-2"/>
        </w:rPr>
        <w:t>）</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月，公司在中国证券登记结算有限公司深圳分公司办理完成了满足首期限制性股票激励计划首次授予第二</w:t>
      </w:r>
      <w:r>
        <w:rPr/>
        <w:t> 个解锁期及预留授予第一个解锁期解锁条件的限制性股票总计</w:t>
      </w:r>
      <w:r>
        <w:rPr>
          <w:rFonts w:ascii="宋体" w:hAnsi="宋体" w:cs="宋体" w:eastAsia="宋体" w:hint="default"/>
        </w:rPr>
        <w:t>3,357,040</w:t>
      </w:r>
      <w:r>
        <w:rPr/>
        <w:t>股的解锁工作，本次限制性股票的上市流通日为 </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9</w:t>
      </w:r>
      <w:r>
        <w:rPr/>
        <w:t>日。</w:t>
      </w:r>
      <w:r>
        <w:rPr>
          <w:rFonts w:ascii="宋体" w:hAnsi="宋体" w:cs="宋体" w:eastAsia="宋体" w:hint="default"/>
        </w:rPr>
        <w:t> </w:t>
      </w:r>
    </w:p>
    <w:p>
      <w:pPr>
        <w:pStyle w:val="BodyText"/>
        <w:spacing w:line="319" w:lineRule="auto" w:before="19"/>
        <w:ind w:right="178" w:firstLine="269"/>
        <w:jc w:val="left"/>
        <w:rPr>
          <w:rFonts w:ascii="宋体" w:hAnsi="宋体" w:cs="宋体" w:eastAsia="宋体" w:hint="default"/>
        </w:rPr>
      </w:pPr>
      <w:r>
        <w:rPr>
          <w:spacing w:val="-3"/>
        </w:rPr>
        <w:t>（</w:t>
      </w:r>
      <w:r>
        <w:rPr>
          <w:rFonts w:ascii="宋体" w:hAnsi="宋体" w:cs="宋体" w:eastAsia="宋体" w:hint="default"/>
          <w:spacing w:val="-3"/>
        </w:rPr>
        <w:t>2</w:t>
      </w:r>
      <w:r>
        <w:rPr>
          <w:spacing w:val="-3"/>
        </w:rPr>
        <w:t>）</w:t>
      </w:r>
      <w:r>
        <w:rPr>
          <w:rFonts w:ascii="宋体" w:hAnsi="宋体" w:cs="宋体" w:eastAsia="宋体" w:hint="default"/>
          <w:spacing w:val="-3"/>
        </w:rPr>
        <w:t>2017</w:t>
      </w:r>
      <w:r>
        <w:rPr>
          <w:spacing w:val="-3"/>
        </w:rPr>
        <w:t>年</w:t>
      </w:r>
      <w:r>
        <w:rPr>
          <w:rFonts w:ascii="宋体" w:hAnsi="宋体" w:cs="宋体" w:eastAsia="宋体" w:hint="default"/>
          <w:spacing w:val="-3"/>
        </w:rPr>
        <w:t>9</w:t>
      </w:r>
      <w:r>
        <w:rPr>
          <w:spacing w:val="-3"/>
        </w:rPr>
        <w:t>月，公司在中国证券登记结算有限公司深圳分公司办理完毕公司</w:t>
      </w:r>
      <w:r>
        <w:rPr>
          <w:rFonts w:ascii="宋体" w:hAnsi="宋体" w:cs="宋体" w:eastAsia="宋体" w:hint="default"/>
          <w:spacing w:val="-3"/>
        </w:rPr>
        <w:t>2015</w:t>
      </w:r>
      <w:r>
        <w:rPr>
          <w:spacing w:val="-3"/>
        </w:rPr>
        <w:t>年度非公开发行的限售股份</w:t>
      </w:r>
      <w:r>
        <w:rPr>
          <w:rFonts w:ascii="宋体" w:hAnsi="宋体" w:cs="宋体" w:eastAsia="宋体" w:hint="default"/>
          <w:spacing w:val="-3"/>
        </w:rPr>
        <w:t>93,888,316</w:t>
      </w:r>
      <w:r>
        <w:rPr>
          <w:rFonts w:ascii="宋体" w:hAnsi="宋体" w:cs="宋体" w:eastAsia="宋体" w:hint="default"/>
        </w:rPr>
        <w:t> </w:t>
      </w:r>
      <w:r>
        <w:rPr/>
        <w:t>股解除限售上市流通登记托管手续，本次限制性股票的上市流通日为</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14</w:t>
      </w:r>
      <w:r>
        <w:rPr/>
        <w:t>日。</w:t>
      </w:r>
      <w:r>
        <w:rPr>
          <w:rFonts w:ascii="宋体" w:hAnsi="宋体" w:cs="宋体" w:eastAsia="宋体" w:hint="default"/>
        </w:rPr>
        <w:t> </w:t>
      </w:r>
    </w:p>
    <w:p>
      <w:pPr>
        <w:pStyle w:val="BodyText"/>
        <w:spacing w:line="316" w:lineRule="auto" w:before="17"/>
        <w:ind w:right="193" w:firstLine="269"/>
        <w:jc w:val="both"/>
        <w:rPr>
          <w:rFonts w:ascii="宋体" w:hAnsi="宋体" w:cs="宋体" w:eastAsia="宋体" w:hint="default"/>
        </w:rPr>
      </w:pPr>
      <w:r>
        <w:rPr/>
        <w:t>（</w:t>
      </w:r>
      <w:r>
        <w:rPr>
          <w:rFonts w:ascii="宋体" w:hAnsi="宋体" w:cs="宋体" w:eastAsia="宋体" w:hint="default"/>
        </w:rPr>
        <w:t>3</w:t>
      </w:r>
      <w:r>
        <w:rPr/>
        <w:t>）</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20</w:t>
      </w:r>
      <w:r>
        <w:rPr/>
        <w:t>日，公司在中国登记结算有限公司深圳分公司完成了对首期限制性股票股权激励计划中激励对象首次 </w:t>
      </w:r>
      <w:r>
        <w:rPr>
          <w:spacing w:val="-2"/>
        </w:rPr>
        <w:t>授予的未达到第三期解锁条件、预留授予的未达到第二期解锁条件及因离职导致已不符合激励条件的原激励对象已获授但尚</w:t>
      </w:r>
      <w:r>
        <w:rPr>
          <w:spacing w:val="-64"/>
        </w:rPr>
        <w:t> </w:t>
      </w:r>
      <w:r>
        <w:rPr>
          <w:spacing w:val="-64"/>
        </w:rPr>
      </w:r>
      <w:r>
        <w:rPr/>
        <w:t>未解锁的合计</w:t>
      </w:r>
      <w:r>
        <w:rPr>
          <w:rFonts w:ascii="宋体" w:hAnsi="宋体" w:cs="宋体" w:eastAsia="宋体" w:hint="default"/>
        </w:rPr>
        <w:t>4,521,720</w:t>
      </w:r>
      <w:r>
        <w:rPr/>
        <w:t>股的回购和注销登记手续。</w:t>
      </w:r>
      <w:r>
        <w:rPr>
          <w:rFonts w:ascii="宋体" w:hAnsi="宋体" w:cs="宋体" w:eastAsia="宋体" w:hint="default"/>
        </w:rPr>
        <w:t> </w:t>
      </w:r>
    </w:p>
    <w:p>
      <w:pPr>
        <w:pStyle w:val="BodyText"/>
        <w:spacing w:line="240" w:lineRule="auto" w:before="19"/>
        <w:ind w:left="513" w:right="93"/>
        <w:jc w:val="left"/>
        <w:rPr>
          <w:rFonts w:ascii="宋体" w:hAnsi="宋体" w:cs="宋体" w:eastAsia="宋体" w:hint="default"/>
        </w:rPr>
      </w:pPr>
      <w:r>
        <w:rPr/>
        <w:t>股份变动对最近一年和最近一期基本每股收益和稀释每股收益</w:t>
      </w:r>
      <w:r>
        <w:rPr>
          <w:spacing w:val="-82"/>
        </w:rPr>
        <w:t>、</w:t>
      </w:r>
      <w:r>
        <w:rPr/>
        <w:t>归属于公司普通股股东的每股净资产等财务指标的影</w:t>
      </w:r>
      <w:r>
        <w:rPr>
          <w:spacing w:val="1"/>
        </w:rPr>
        <w:t>响</w:t>
      </w:r>
      <w:r>
        <w:rPr>
          <w:rFonts w:ascii="宋体" w:hAnsi="宋体" w:cs="宋体" w:eastAsia="宋体" w:hint="default"/>
        </w:rPr>
        <w:t> </w:t>
      </w:r>
    </w:p>
    <w:p>
      <w:pPr>
        <w:pStyle w:val="BodyText"/>
        <w:spacing w:line="340" w:lineRule="auto" w:before="117"/>
        <w:ind w:right="58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39"/>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2"/>
        <w:ind w:left="192" w:right="191"/>
        <w:jc w:val="right"/>
      </w:pPr>
      <w:r>
        <w:rPr/>
        <w:t>单位：股</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49"/>
        <w:gridCol w:w="1388"/>
        <w:gridCol w:w="1114"/>
        <w:gridCol w:w="1183"/>
        <w:gridCol w:w="1217"/>
        <w:gridCol w:w="1217"/>
        <w:gridCol w:w="2105"/>
      </w:tblGrid>
      <w:tr>
        <w:trPr>
          <w:trHeight w:val="715" w:hRule="exact"/>
        </w:trPr>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1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0" w:right="101"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7" w:right="43"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63"/>
              <w:jc w:val="right"/>
              <w:rPr>
                <w:rFonts w:ascii="宋体" w:hAnsi="宋体" w:cs="宋体" w:eastAsia="宋体" w:hint="default"/>
                <w:sz w:val="18"/>
                <w:szCs w:val="18"/>
              </w:rPr>
            </w:pPr>
            <w:r>
              <w:rPr>
                <w:rFonts w:ascii="宋体" w:hAnsi="宋体" w:cs="宋体" w:eastAsia="宋体" w:hint="default"/>
                <w:sz w:val="18"/>
                <w:szCs w:val="18"/>
              </w:rPr>
              <w:t>期末限售股数</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40"/>
              <w:jc w:val="right"/>
              <w:rPr>
                <w:rFonts w:ascii="宋体" w:hAnsi="宋体" w:cs="宋体" w:eastAsia="宋体" w:hint="default"/>
                <w:sz w:val="18"/>
                <w:szCs w:val="18"/>
              </w:rPr>
            </w:pPr>
            <w:r>
              <w:rPr>
                <w:rFonts w:ascii="宋体" w:hAnsi="宋体" w:cs="宋体" w:eastAsia="宋体" w:hint="default"/>
                <w:sz w:val="18"/>
                <w:szCs w:val="18"/>
              </w:rPr>
              <w:t>限售原因</w:t>
            </w:r>
          </w:p>
        </w:tc>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9"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78,507,878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78,507,878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z w:val="18"/>
                <w:szCs w:val="18"/>
              </w:rPr>
              <w:t>高管锁定股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bl>
    <w:p>
      <w:pPr>
        <w:spacing w:after="0" w:line="297"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49"/>
        <w:gridCol w:w="1388"/>
        <w:gridCol w:w="1114"/>
        <w:gridCol w:w="1183"/>
        <w:gridCol w:w="1217"/>
        <w:gridCol w:w="1217"/>
        <w:gridCol w:w="2105"/>
      </w:tblGrid>
      <w:tr>
        <w:trPr>
          <w:trHeight w:val="1337"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50"/>
              <w:jc w:val="left"/>
              <w:rPr>
                <w:rFonts w:ascii="宋体" w:hAnsi="宋体" w:cs="宋体" w:eastAsia="宋体" w:hint="default"/>
                <w:sz w:val="18"/>
                <w:szCs w:val="18"/>
              </w:rPr>
            </w:pPr>
            <w:r>
              <w:rPr>
                <w:rFonts w:ascii="宋体" w:hAnsi="宋体" w:cs="宋体" w:eastAsia="宋体" w:hint="default"/>
                <w:sz w:val="18"/>
                <w:szCs w:val="18"/>
              </w:rPr>
              <w:t>东海基金－上海 银行－盈科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00" w:lineRule="auto"/>
              <w:ind w:left="24" w:right="50"/>
              <w:jc w:val="left"/>
              <w:rPr>
                <w:rFonts w:ascii="宋体" w:hAnsi="宋体" w:cs="宋体" w:eastAsia="宋体" w:hint="default"/>
                <w:sz w:val="18"/>
                <w:szCs w:val="18"/>
              </w:rPr>
            </w:pPr>
            <w:r>
              <w:rPr>
                <w:rFonts w:ascii="宋体" w:hAnsi="宋体" w:cs="宋体" w:eastAsia="宋体" w:hint="default"/>
                <w:sz w:val="18"/>
                <w:szCs w:val="18"/>
              </w:rPr>
              <w:t>－鑫龙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185 </w:t>
            </w:r>
            <w:r>
              <w:rPr>
                <w:rFonts w:ascii="宋体" w:hAnsi="宋体" w:cs="宋体" w:eastAsia="宋体" w:hint="default"/>
                <w:sz w:val="18"/>
                <w:szCs w:val="18"/>
              </w:rPr>
              <w:t>号资 产管理计划</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11,667,701</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11,667,701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01"/>
              <w:jc w:val="left"/>
              <w:rPr>
                <w:rFonts w:ascii="宋体" w:hAnsi="宋体" w:cs="宋体" w:eastAsia="宋体" w:hint="default"/>
                <w:sz w:val="18"/>
                <w:szCs w:val="18"/>
              </w:rPr>
            </w:pPr>
            <w:r>
              <w:rPr>
                <w:rFonts w:ascii="宋体" w:hAnsi="宋体" w:cs="宋体" w:eastAsia="宋体" w:hint="default"/>
                <w:sz w:val="18"/>
                <w:szCs w:val="18"/>
              </w:rPr>
              <w:t>首发后机构类 限售股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r>
        <w:trPr>
          <w:trHeight w:val="196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both"/>
              <w:rPr>
                <w:rFonts w:ascii="宋体" w:hAnsi="宋体" w:cs="宋体" w:eastAsia="宋体" w:hint="default"/>
                <w:sz w:val="18"/>
                <w:szCs w:val="18"/>
              </w:rPr>
            </w:pPr>
            <w:r>
              <w:rPr>
                <w:rFonts w:ascii="宋体" w:hAnsi="宋体" w:cs="宋体" w:eastAsia="宋体" w:hint="default"/>
                <w:sz w:val="18"/>
                <w:szCs w:val="18"/>
              </w:rPr>
              <w:t>申万菱信资产－ 招商银行－华润 深国投信托－瑞 华定增对冲基金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号集合资金信 托计划</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9,941,627</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9,941,627</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4" w:lineRule="auto"/>
              <w:ind w:left="23" w:right="101"/>
              <w:jc w:val="left"/>
              <w:rPr>
                <w:rFonts w:ascii="宋体" w:hAnsi="宋体" w:cs="宋体" w:eastAsia="宋体" w:hint="default"/>
                <w:sz w:val="18"/>
                <w:szCs w:val="18"/>
              </w:rPr>
            </w:pPr>
            <w:r>
              <w:rPr>
                <w:rFonts w:ascii="宋体" w:hAnsi="宋体" w:cs="宋体" w:eastAsia="宋体" w:hint="default"/>
                <w:sz w:val="18"/>
                <w:szCs w:val="18"/>
              </w:rPr>
              <w:t>首发后机构类 限售股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r>
        <w:trPr>
          <w:trHeight w:val="1025"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深圳市和星信息 投资管理中心</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9,426,099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9,426,099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首发后机构类 限售股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r>
        <w:trPr>
          <w:trHeight w:val="715"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西藏泓涵股权投 资管理有限公司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9,388,832</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9,388,832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01"/>
              <w:jc w:val="left"/>
              <w:rPr>
                <w:rFonts w:ascii="宋体" w:hAnsi="宋体" w:cs="宋体" w:eastAsia="宋体" w:hint="default"/>
                <w:sz w:val="18"/>
                <w:szCs w:val="18"/>
              </w:rPr>
            </w:pPr>
            <w:r>
              <w:rPr>
                <w:rFonts w:ascii="宋体" w:hAnsi="宋体" w:cs="宋体" w:eastAsia="宋体" w:hint="default"/>
                <w:sz w:val="18"/>
                <w:szCs w:val="18"/>
              </w:rPr>
              <w:t>首发后机构类 限售股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r>
        <w:trPr>
          <w:trHeight w:val="1649"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both"/>
              <w:rPr>
                <w:rFonts w:ascii="宋体" w:hAnsi="宋体" w:cs="宋体" w:eastAsia="宋体" w:hint="default"/>
                <w:sz w:val="18"/>
                <w:szCs w:val="18"/>
              </w:rPr>
            </w:pPr>
            <w:r>
              <w:rPr>
                <w:rFonts w:ascii="宋体" w:hAnsi="宋体" w:cs="宋体" w:eastAsia="宋体" w:hint="default"/>
                <w:sz w:val="18"/>
                <w:szCs w:val="18"/>
              </w:rPr>
              <w:t>财通基金－中国 银行－财通基金</w:t>
            </w:r>
          </w:p>
          <w:p>
            <w:pPr>
              <w:pStyle w:val="TableParagraph"/>
              <w:spacing w:line="309" w:lineRule="auto" w:before="19"/>
              <w:ind w:left="24" w:right="53"/>
              <w:jc w:val="both"/>
              <w:rPr>
                <w:rFonts w:ascii="宋体" w:hAnsi="宋体" w:cs="宋体" w:eastAsia="宋体" w:hint="default"/>
                <w:sz w:val="18"/>
                <w:szCs w:val="18"/>
              </w:rPr>
            </w:pPr>
            <w:r>
              <w:rPr>
                <w:rFonts w:ascii="宋体" w:hAnsi="宋体" w:cs="宋体" w:eastAsia="宋体" w:hint="default"/>
                <w:sz w:val="18"/>
                <w:szCs w:val="18"/>
              </w:rPr>
              <w:t>－富春中益定增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号资产管理计 划</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6,498,574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6,498,574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首发后机构类 限售股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r>
        <w:trPr>
          <w:trHeight w:val="1340"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50"/>
              <w:jc w:val="left"/>
              <w:rPr>
                <w:rFonts w:ascii="宋体" w:hAnsi="宋体" w:cs="宋体" w:eastAsia="宋体" w:hint="default"/>
                <w:sz w:val="18"/>
                <w:szCs w:val="18"/>
              </w:rPr>
            </w:pPr>
            <w:r>
              <w:rPr>
                <w:rFonts w:ascii="宋体" w:hAnsi="宋体" w:cs="宋体" w:eastAsia="宋体" w:hint="default"/>
                <w:sz w:val="18"/>
                <w:szCs w:val="18"/>
              </w:rPr>
              <w:t>东海基金－上海 银行－盈科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00" w:lineRule="auto" w:before="1"/>
              <w:ind w:left="24" w:right="50"/>
              <w:jc w:val="left"/>
              <w:rPr>
                <w:rFonts w:ascii="宋体" w:hAnsi="宋体" w:cs="宋体" w:eastAsia="宋体" w:hint="default"/>
                <w:sz w:val="18"/>
                <w:szCs w:val="18"/>
              </w:rPr>
            </w:pPr>
            <w:r>
              <w:rPr>
                <w:rFonts w:ascii="宋体" w:hAnsi="宋体" w:cs="宋体" w:eastAsia="宋体" w:hint="default"/>
                <w:sz w:val="18"/>
                <w:szCs w:val="18"/>
              </w:rPr>
              <w:t>－鑫龙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186 </w:t>
            </w:r>
            <w:r>
              <w:rPr>
                <w:rFonts w:ascii="宋体" w:hAnsi="宋体" w:cs="宋体" w:eastAsia="宋体" w:hint="default"/>
                <w:sz w:val="18"/>
                <w:szCs w:val="18"/>
              </w:rPr>
              <w:t>号资 产管理计划</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6,282,609</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6,282,609</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3"/>
              <w:jc w:val="right"/>
              <w:rPr>
                <w:rFonts w:ascii="Times New Roman" w:hAnsi="Times New Roman" w:cs="Times New Roman" w:eastAsia="Times New Roman" w:hint="default"/>
                <w:sz w:val="18"/>
                <w:szCs w:val="18"/>
              </w:rPr>
            </w:pPr>
            <w:r>
              <w:rPr>
                <w:rFonts w:ascii="Times New Roman"/>
                <w:sz w:val="18"/>
              </w:rPr>
              <w:t>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01"/>
              <w:jc w:val="left"/>
              <w:rPr>
                <w:rFonts w:ascii="宋体" w:hAnsi="宋体" w:cs="宋体" w:eastAsia="宋体" w:hint="default"/>
                <w:sz w:val="18"/>
                <w:szCs w:val="18"/>
              </w:rPr>
            </w:pPr>
            <w:r>
              <w:rPr>
                <w:rFonts w:ascii="宋体" w:hAnsi="宋体" w:cs="宋体" w:eastAsia="宋体" w:hint="default"/>
                <w:sz w:val="18"/>
                <w:szCs w:val="18"/>
              </w:rPr>
              <w:t>首发后机构类 限售股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r>
        <w:trPr>
          <w:trHeight w:val="1025"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53"/>
              <w:jc w:val="both"/>
              <w:rPr>
                <w:rFonts w:ascii="宋体" w:hAnsi="宋体" w:cs="宋体" w:eastAsia="宋体" w:hint="default"/>
                <w:sz w:val="18"/>
                <w:szCs w:val="18"/>
              </w:rPr>
            </w:pPr>
            <w:r>
              <w:rPr>
                <w:rFonts w:ascii="宋体" w:hAnsi="宋体" w:cs="宋体" w:eastAsia="宋体" w:hint="default"/>
                <w:sz w:val="18"/>
                <w:szCs w:val="18"/>
              </w:rPr>
              <w:t>财通基金－工商 银行－国海证券 股份有限公司</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4,332,383</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4,332,383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首发后机构类 限售股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r>
        <w:trPr>
          <w:trHeight w:val="1339"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财通基金－工商 银行－富春定增 宝利</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 管理计划</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1,624,644</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1,624,644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z w:val="18"/>
              </w:rPr>
              <w:t>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3"/>
              <w:jc w:val="right"/>
              <w:rPr>
                <w:rFonts w:ascii="Times New Roman" w:hAnsi="Times New Roman" w:cs="Times New Roman" w:eastAsia="Times New Roman" w:hint="default"/>
                <w:sz w:val="18"/>
                <w:szCs w:val="18"/>
              </w:rPr>
            </w:pPr>
            <w:r>
              <w:rPr>
                <w:rFonts w:ascii="Times New Roman"/>
                <w:sz w:val="18"/>
              </w:rPr>
              <w:t>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23" w:right="101"/>
              <w:jc w:val="left"/>
              <w:rPr>
                <w:rFonts w:ascii="宋体" w:hAnsi="宋体" w:cs="宋体" w:eastAsia="宋体" w:hint="default"/>
                <w:sz w:val="18"/>
                <w:szCs w:val="18"/>
              </w:rPr>
            </w:pPr>
            <w:r>
              <w:rPr>
                <w:rFonts w:ascii="宋体" w:hAnsi="宋体" w:cs="宋体" w:eastAsia="宋体" w:hint="default"/>
                <w:sz w:val="18"/>
                <w:szCs w:val="18"/>
              </w:rPr>
              <w:t>首发后机构类 限售股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r>
        <w:trPr>
          <w:trHeight w:val="713"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1,543,488</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1,543,488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每年首个交易日按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 除限售</w:t>
            </w:r>
          </w:p>
        </w:tc>
      </w:tr>
      <w:tr>
        <w:trPr>
          <w:trHeight w:val="2547" w:hRule="exact"/>
        </w:trPr>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其他限售股份</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19"/>
              <w:jc w:val="right"/>
              <w:rPr>
                <w:rFonts w:ascii="Times New Roman" w:hAnsi="Times New Roman" w:cs="Times New Roman" w:eastAsia="Times New Roman" w:hint="default"/>
                <w:sz w:val="18"/>
                <w:szCs w:val="18"/>
              </w:rPr>
            </w:pPr>
            <w:r>
              <w:rPr>
                <w:rFonts w:ascii="Times New Roman"/>
                <w:spacing w:val="-1"/>
                <w:sz w:val="18"/>
              </w:rPr>
              <w:t>42,875,175</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42,398,907</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z w:val="18"/>
              </w:rPr>
              <w:t>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right="21"/>
              <w:jc w:val="right"/>
              <w:rPr>
                <w:rFonts w:ascii="Times New Roman" w:hAnsi="Times New Roman" w:cs="Times New Roman" w:eastAsia="Times New Roman" w:hint="default"/>
                <w:sz w:val="18"/>
                <w:szCs w:val="18"/>
              </w:rPr>
            </w:pPr>
            <w:r>
              <w:rPr>
                <w:rFonts w:ascii="Times New Roman"/>
                <w:spacing w:val="-1"/>
                <w:sz w:val="18"/>
              </w:rPr>
              <w:t>476,268</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高管锁定股， 股权激励限售 股，首发后机 构类限售股</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高管锁定股每年首个交易 日按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解除限售及部分 高管离职时；股权激励股 份按激励计划部分股份于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日解锁，股 权激励股份按激励计划部 分股份于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日完成回购注销；首发后</w:t>
            </w:r>
          </w:p>
        </w:tc>
      </w:tr>
    </w:tbl>
    <w:p>
      <w:pPr>
        <w:spacing w:after="0" w:line="309"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49"/>
        <w:gridCol w:w="1388"/>
        <w:gridCol w:w="1114"/>
        <w:gridCol w:w="1183"/>
        <w:gridCol w:w="1217"/>
        <w:gridCol w:w="1217"/>
        <w:gridCol w:w="2105"/>
      </w:tblGrid>
      <w:tr>
        <w:trPr>
          <w:trHeight w:val="675" w:hRule="exact"/>
        </w:trPr>
        <w:tc>
          <w:tcPr>
            <w:tcW w:w="1349"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114" w:type="dxa"/>
            <w:tcBorders>
              <w:top w:val="single" w:sz="4" w:space="0" w:color="000000"/>
              <w:left w:val="single" w:sz="4" w:space="0" w:color="000000"/>
              <w:bottom w:val="single" w:sz="4" w:space="0" w:color="000000"/>
              <w:right w:val="single" w:sz="4" w:space="0" w:color="000000"/>
            </w:tcBorders>
          </w:tcPr>
          <w:p>
            <w:pPr/>
          </w:p>
        </w:tc>
        <w:tc>
          <w:tcPr>
            <w:tcW w:w="1183"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1217"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机构类限售股于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日解锁</w:t>
            </w:r>
          </w:p>
        </w:tc>
      </w:tr>
      <w:tr>
        <w:trPr>
          <w:trHeight w:val="401" w:hRule="exact"/>
        </w:trPr>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5" w:right="0"/>
              <w:jc w:val="left"/>
              <w:rPr>
                <w:rFonts w:ascii="Times New Roman" w:hAnsi="Times New Roman" w:cs="Times New Roman" w:eastAsia="Times New Roman" w:hint="default"/>
                <w:sz w:val="18"/>
                <w:szCs w:val="18"/>
              </w:rPr>
            </w:pPr>
            <w:r>
              <w:rPr>
                <w:rFonts w:ascii="Times New Roman"/>
                <w:sz w:val="18"/>
              </w:rPr>
              <w:t>182,089,010</w:t>
            </w:r>
          </w:p>
        </w:tc>
        <w:tc>
          <w:tcPr>
            <w:tcW w:w="1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9" w:right="0"/>
              <w:jc w:val="left"/>
              <w:rPr>
                <w:rFonts w:ascii="Times New Roman" w:hAnsi="Times New Roman" w:cs="Times New Roman" w:eastAsia="Times New Roman" w:hint="default"/>
                <w:sz w:val="18"/>
                <w:szCs w:val="18"/>
              </w:rPr>
            </w:pPr>
            <w:r>
              <w:rPr>
                <w:rFonts w:ascii="Times New Roman"/>
                <w:sz w:val="18"/>
              </w:rPr>
              <w:t>101,561,376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80,527,634</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513"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1"/>
        </w:rPr>
        <w:t>公司第四届董事会第十四次</w:t>
      </w:r>
      <w:r>
        <w:rPr>
          <w:rFonts w:ascii="Times New Roman" w:hAnsi="Times New Roman" w:cs="Times New Roman" w:eastAsia="Times New Roman" w:hint="default"/>
          <w:spacing w:val="-1"/>
        </w:rPr>
        <w:t>(</w:t>
      </w:r>
      <w:r>
        <w:rPr>
          <w:spacing w:val="-1"/>
        </w:rPr>
        <w:t>临时</w:t>
      </w:r>
      <w:r>
        <w:rPr>
          <w:rFonts w:ascii="Times New Roman" w:hAnsi="Times New Roman" w:cs="Times New Roman" w:eastAsia="Times New Roman" w:hint="default"/>
          <w:spacing w:val="-1"/>
        </w:rPr>
        <w:t>)</w:t>
      </w:r>
      <w:r>
        <w:rPr>
          <w:spacing w:val="-1"/>
        </w:rPr>
        <w:t>会议审议通过《关于公司回购注销未达到解锁条件及部分已不符合激励条件的激励对</w:t>
      </w:r>
    </w:p>
    <w:p>
      <w:pPr>
        <w:pStyle w:val="BodyText"/>
        <w:spacing w:line="228" w:lineRule="exact"/>
        <w:ind w:right="0"/>
        <w:jc w:val="left"/>
      </w:pPr>
      <w:r>
        <w:rPr/>
        <w:t>象已获授但尚未解锁的限制性股票的议案》，</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月对首期限制性股票股权激励计划中激励对象首次授予的未达到第三</w:t>
      </w:r>
    </w:p>
    <w:p>
      <w:pPr>
        <w:pStyle w:val="BodyText"/>
        <w:spacing w:line="302" w:lineRule="auto" w:before="63"/>
        <w:ind w:right="0"/>
        <w:jc w:val="left"/>
      </w:pPr>
      <w:r>
        <w:rPr/>
        <w:t>期解锁条件、预留授予的未达到第二期解锁条件及因离职导致已不符合激励条件的原激励对象已获授但尚未解锁的合计 </w:t>
      </w:r>
      <w:r>
        <w:rPr>
          <w:rFonts w:ascii="Times New Roman" w:hAnsi="Times New Roman" w:cs="Times New Roman" w:eastAsia="Times New Roman" w:hint="default"/>
          <w:spacing w:val="-2"/>
        </w:rPr>
        <w:t>4,521,720</w:t>
      </w:r>
      <w:r>
        <w:rPr>
          <w:spacing w:val="-2"/>
        </w:rPr>
        <w:t>股限制性股票进行了回购注销。本次减少股份数为</w:t>
      </w:r>
      <w:r>
        <w:rPr>
          <w:rFonts w:ascii="Times New Roman" w:hAnsi="Times New Roman" w:cs="Times New Roman" w:eastAsia="Times New Roman" w:hint="default"/>
          <w:spacing w:val="-2"/>
        </w:rPr>
        <w:t>4,521,720</w:t>
      </w:r>
      <w:r>
        <w:rPr>
          <w:spacing w:val="-2"/>
        </w:rPr>
        <w:t>股，减少实收资本</w:t>
      </w:r>
      <w:r>
        <w:rPr>
          <w:rFonts w:ascii="Times New Roman" w:hAnsi="Times New Roman" w:cs="Times New Roman" w:eastAsia="Times New Roman" w:hint="default"/>
          <w:spacing w:val="-2"/>
        </w:rPr>
        <w:t>(</w:t>
      </w:r>
      <w:r>
        <w:rPr>
          <w:spacing w:val="-2"/>
        </w:rPr>
        <w:t>股本</w:t>
      </w:r>
      <w:r>
        <w:rPr>
          <w:rFonts w:ascii="Times New Roman" w:hAnsi="Times New Roman" w:cs="Times New Roman" w:eastAsia="Times New Roman" w:hint="default"/>
          <w:spacing w:val="-2"/>
        </w:rPr>
        <w:t>)</w:t>
      </w:r>
      <w:r>
        <w:rPr>
          <w:spacing w:val="-2"/>
        </w:rPr>
        <w:t>人民币</w:t>
      </w:r>
      <w:r>
        <w:rPr>
          <w:rFonts w:ascii="Times New Roman" w:hAnsi="Times New Roman" w:cs="Times New Roman" w:eastAsia="Times New Roman" w:hint="default"/>
          <w:spacing w:val="-2"/>
        </w:rPr>
        <w:t>4,521,720.00</w:t>
      </w:r>
      <w:r>
        <w:rPr>
          <w:spacing w:val="-2"/>
        </w:rPr>
        <w:t>元，减少的</w:t>
      </w:r>
      <w:r>
        <w:rPr>
          <w:spacing w:val="-22"/>
        </w:rPr>
        <w:t> </w:t>
      </w:r>
      <w:r>
        <w:rPr>
          <w:spacing w:val="-22"/>
        </w:rPr>
      </w:r>
      <w:r>
        <w:rPr/>
        <w:t>资本公积</w:t>
      </w:r>
      <w:r>
        <w:rPr>
          <w:rFonts w:ascii="Times New Roman" w:hAnsi="Times New Roman" w:cs="Times New Roman" w:eastAsia="Times New Roman" w:hint="default"/>
        </w:rPr>
        <w:t>18,494,478.33</w:t>
      </w:r>
      <w:r>
        <w:rPr/>
        <w:t>元，附有回购义务的限制性股票收到的款项减少</w:t>
      </w:r>
      <w:r>
        <w:rPr>
          <w:rFonts w:ascii="Times New Roman" w:hAnsi="Times New Roman" w:cs="Times New Roman" w:eastAsia="Times New Roman" w:hint="default"/>
        </w:rPr>
        <w:t>23,016,198.33</w:t>
      </w:r>
      <w:r>
        <w:rPr/>
        <w:t>元，即库存股减少</w:t>
      </w:r>
      <w:r>
        <w:rPr>
          <w:rFonts w:ascii="Times New Roman" w:hAnsi="Times New Roman" w:cs="Times New Roman" w:eastAsia="Times New Roman" w:hint="default"/>
        </w:rPr>
        <w:t>23,016,198.33</w:t>
      </w:r>
      <w:r>
        <w:rPr/>
        <w:t>。该减 </w:t>
      </w:r>
      <w:r>
        <w:rPr>
          <w:spacing w:val="-2"/>
        </w:rPr>
        <w:t>资业经中勤万信会计师事务所（特殊普通合伙）验证，并出具了勤信验字【</w:t>
      </w:r>
      <w:r>
        <w:rPr>
          <w:rFonts w:ascii="Times New Roman" w:hAnsi="Times New Roman" w:cs="Times New Roman" w:eastAsia="Times New Roman" w:hint="default"/>
          <w:spacing w:val="-2"/>
        </w:rPr>
        <w:t>2017</w:t>
      </w:r>
      <w:r>
        <w:rPr>
          <w:spacing w:val="-2"/>
        </w:rPr>
        <w:t>】第</w:t>
      </w:r>
      <w:r>
        <w:rPr>
          <w:rFonts w:ascii="Times New Roman" w:hAnsi="Times New Roman" w:cs="Times New Roman" w:eastAsia="Times New Roman" w:hint="default"/>
          <w:spacing w:val="-2"/>
        </w:rPr>
        <w:t>1097</w:t>
      </w:r>
      <w:r>
        <w:rPr>
          <w:spacing w:val="-2"/>
        </w:rPr>
        <w:t>号验资报告。另因公司股权激励限</w:t>
      </w:r>
      <w:r>
        <w:rPr>
          <w:spacing w:val="-61"/>
        </w:rPr>
        <w:t> </w:t>
      </w:r>
      <w:r>
        <w:rPr>
          <w:spacing w:val="-61"/>
        </w:rPr>
      </w:r>
      <w:r>
        <w:rPr>
          <w:spacing w:val="-2"/>
        </w:rPr>
        <w:t>制性股票首次授予第二个解锁期及预留授予第一个解锁期解锁条件成就解除限售、</w:t>
      </w:r>
      <w:r>
        <w:rPr>
          <w:rFonts w:ascii="Times New Roman" w:hAnsi="Times New Roman" w:cs="Times New Roman" w:eastAsia="Times New Roman" w:hint="default"/>
          <w:spacing w:val="-2"/>
        </w:rPr>
        <w:t>2015</w:t>
      </w:r>
      <w:r>
        <w:rPr>
          <w:spacing w:val="-2"/>
        </w:rPr>
        <w:t>年度非公开发行股票解除限售上市流</w:t>
      </w:r>
      <w:r>
        <w:rPr>
          <w:spacing w:val="-61"/>
        </w:rPr>
        <w:t> </w:t>
      </w:r>
      <w:r>
        <w:rPr>
          <w:spacing w:val="-61"/>
        </w:rPr>
      </w:r>
      <w:r>
        <w:rPr>
          <w:spacing w:val="-3"/>
        </w:rPr>
        <w:t>通、部分高管离职变动及减持因素的影响，报告期内公司有限售条件股份减少</w:t>
      </w:r>
      <w:r>
        <w:rPr>
          <w:rFonts w:ascii="Times New Roman" w:hAnsi="Times New Roman" w:cs="Times New Roman" w:eastAsia="Times New Roman" w:hint="default"/>
          <w:spacing w:val="-3"/>
        </w:rPr>
        <w:t>101,561,376</w:t>
      </w:r>
      <w:r>
        <w:rPr>
          <w:spacing w:val="-3"/>
        </w:rPr>
        <w:t>股，无限售条件股份增加</w:t>
      </w:r>
      <w:r>
        <w:rPr>
          <w:rFonts w:ascii="Times New Roman" w:hAnsi="Times New Roman" w:cs="Times New Roman" w:eastAsia="Times New Roman" w:hint="default"/>
          <w:spacing w:val="-3"/>
        </w:rPr>
        <w:t>97,039,656</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股。</w:t>
      </w:r>
    </w:p>
    <w:p>
      <w:pPr>
        <w:spacing w:line="240" w:lineRule="auto" w:before="8"/>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单位：股</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274"/>
        <w:gridCol w:w="934"/>
        <w:gridCol w:w="478"/>
        <w:gridCol w:w="697"/>
        <w:gridCol w:w="92"/>
        <w:gridCol w:w="786"/>
        <w:gridCol w:w="340"/>
        <w:gridCol w:w="450"/>
        <w:gridCol w:w="755"/>
        <w:gridCol w:w="860"/>
        <w:gridCol w:w="328"/>
        <w:gridCol w:w="1033"/>
        <w:gridCol w:w="140"/>
        <w:gridCol w:w="1208"/>
      </w:tblGrid>
      <w:tr>
        <w:trPr>
          <w:trHeight w:val="161" w:hRule="exact"/>
        </w:trPr>
        <w:tc>
          <w:tcPr>
            <w:tcW w:w="1184" w:type="dxa"/>
            <w:vMerge w:val="restart"/>
            <w:tcBorders>
              <w:top w:val="single" w:sz="4" w:space="0" w:color="000000"/>
              <w:left w:val="single" w:sz="4" w:space="0" w:color="000000"/>
              <w:right w:val="single" w:sz="4" w:space="0" w:color="000000"/>
            </w:tcBorders>
            <w:shd w:val="clear" w:color="auto" w:fill="D2D2D2"/>
          </w:tcPr>
          <w:p>
            <w:pPr/>
          </w:p>
        </w:tc>
        <w:tc>
          <w:tcPr>
            <w:tcW w:w="12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3" w:right="0"/>
              <w:jc w:val="left"/>
              <w:rPr>
                <w:rFonts w:ascii="Times New Roman" w:hAnsi="Times New Roman" w:cs="Times New Roman" w:eastAsia="Times New Roman" w:hint="default"/>
                <w:sz w:val="18"/>
                <w:szCs w:val="18"/>
              </w:rPr>
            </w:pPr>
            <w:r>
              <w:rPr>
                <w:rFonts w:ascii="Times New Roman"/>
                <w:sz w:val="18"/>
              </w:rPr>
              <w:t>50,070</w:t>
            </w:r>
          </w:p>
        </w:tc>
        <w:tc>
          <w:tcPr>
            <w:tcW w:w="1175" w:type="dxa"/>
            <w:gridSpan w:val="2"/>
            <w:vMerge w:val="restart"/>
            <w:tcBorders>
              <w:top w:val="single" w:sz="4" w:space="0" w:color="000000"/>
              <w:left w:val="single" w:sz="4" w:space="0" w:color="000000"/>
              <w:right w:val="single" w:sz="4" w:space="0" w:color="000000"/>
            </w:tcBorders>
            <w:shd w:val="clear" w:color="auto" w:fill="D2D2D2"/>
          </w:tcPr>
          <w:p>
            <w:pPr/>
          </w:p>
        </w:tc>
        <w:tc>
          <w:tcPr>
            <w:tcW w:w="1218" w:type="dxa"/>
            <w:gridSpan w:val="3"/>
            <w:vMerge w:val="restart"/>
            <w:tcBorders>
              <w:top w:val="single" w:sz="4" w:space="0" w:color="000000"/>
              <w:left w:val="single" w:sz="9" w:space="0" w:color="D2D2D2"/>
              <w:right w:val="single" w:sz="10"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74" w:right="0"/>
              <w:jc w:val="left"/>
              <w:rPr>
                <w:rFonts w:ascii="Times New Roman" w:hAnsi="Times New Roman" w:cs="Times New Roman" w:eastAsia="Times New Roman" w:hint="default"/>
                <w:sz w:val="18"/>
                <w:szCs w:val="18"/>
              </w:rPr>
            </w:pPr>
            <w:r>
              <w:rPr>
                <w:rFonts w:ascii="Times New Roman"/>
                <w:sz w:val="18"/>
              </w:rPr>
              <w:t>50,885</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88"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 w:right="9"/>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84"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5"/>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8"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1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1" w:right="71"/>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706"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1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31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tcBorders>
              <w:left w:val="single" w:sz="4" w:space="0" w:color="000000"/>
              <w:bottom w:val="nil" w:sz="6" w:space="0" w:color="auto"/>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right w:val="single" w:sz="4" w:space="0" w:color="000000"/>
            </w:tcBorders>
            <w:shd w:val="clear" w:color="auto" w:fill="D2D2D2"/>
          </w:tcPr>
          <w:p>
            <w:pPr/>
          </w:p>
        </w:tc>
        <w:tc>
          <w:tcPr>
            <w:tcW w:w="1188"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157" w:hRule="exact"/>
        </w:trPr>
        <w:tc>
          <w:tcPr>
            <w:tcW w:w="1184" w:type="dxa"/>
            <w:vMerge/>
            <w:tcBorders>
              <w:left w:val="single" w:sz="4" w:space="0" w:color="000000"/>
              <w:right w:val="single" w:sz="4" w:space="0" w:color="000000"/>
            </w:tcBorders>
            <w:shd w:val="clear" w:color="auto" w:fill="D2D2D2"/>
          </w:tcPr>
          <w:p>
            <w:pPr/>
          </w:p>
        </w:tc>
        <w:tc>
          <w:tcPr>
            <w:tcW w:w="1207" w:type="dxa"/>
            <w:gridSpan w:val="2"/>
            <w:vMerge/>
            <w:tcBorders>
              <w:left w:val="single" w:sz="9" w:space="0" w:color="D2D2D2"/>
              <w:right w:val="single" w:sz="9" w:space="0" w:color="D2D2D2"/>
            </w:tcBorders>
          </w:tcPr>
          <w:p>
            <w:pPr/>
          </w:p>
        </w:tc>
        <w:tc>
          <w:tcPr>
            <w:tcW w:w="1175" w:type="dxa"/>
            <w:gridSpan w:val="2"/>
            <w:vMerge w:val="restart"/>
            <w:tcBorders>
              <w:top w:val="nil" w:sz="6" w:space="0" w:color="auto"/>
              <w:left w:val="single" w:sz="4" w:space="0" w:color="000000"/>
              <w:right w:val="single" w:sz="4" w:space="0" w:color="000000"/>
            </w:tcBorders>
            <w:shd w:val="clear" w:color="auto" w:fill="D2D2D2"/>
          </w:tcPr>
          <w:p>
            <w:pPr/>
          </w:p>
        </w:tc>
        <w:tc>
          <w:tcPr>
            <w:tcW w:w="1218" w:type="dxa"/>
            <w:gridSpan w:val="3"/>
            <w:vMerge/>
            <w:tcBorders>
              <w:left w:val="single" w:sz="9" w:space="0" w:color="D2D2D2"/>
              <w:right w:val="single" w:sz="10" w:space="0" w:color="D2D2D2"/>
            </w:tcBorders>
          </w:tcPr>
          <w:p>
            <w:pPr/>
          </w:p>
        </w:tc>
        <w:tc>
          <w:tcPr>
            <w:tcW w:w="1205" w:type="dxa"/>
            <w:gridSpan w:val="2"/>
            <w:vMerge/>
            <w:tcBorders>
              <w:left w:val="single" w:sz="4" w:space="0" w:color="000000"/>
              <w:bottom w:val="nil" w:sz="6" w:space="0" w:color="auto"/>
              <w:right w:val="single" w:sz="4" w:space="0" w:color="000000"/>
            </w:tcBorders>
            <w:shd w:val="clear" w:color="auto" w:fill="D2D2D2"/>
          </w:tcPr>
          <w:p>
            <w:pPr/>
          </w:p>
        </w:tc>
        <w:tc>
          <w:tcPr>
            <w:tcW w:w="1188" w:type="dxa"/>
            <w:gridSpan w:val="2"/>
            <w:vMerge/>
            <w:tcBorders>
              <w:left w:val="single" w:sz="10" w:space="0" w:color="D2D2D2"/>
              <w:right w:val="single" w:sz="13"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8" w:type="dxa"/>
            <w:vMerge/>
            <w:tcBorders>
              <w:left w:val="single" w:sz="10" w:space="0" w:color="D2D2D2"/>
              <w:right w:val="single" w:sz="4" w:space="0" w:color="000000"/>
            </w:tcBorders>
          </w:tcPr>
          <w:p>
            <w:pPr/>
          </w:p>
        </w:tc>
      </w:tr>
      <w:tr>
        <w:trPr>
          <w:trHeight w:val="166" w:hRule="exact"/>
        </w:trPr>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9" w:space="0" w:color="D2D2D2"/>
              <w:bottom w:val="single" w:sz="4" w:space="0" w:color="000000"/>
              <w:right w:val="single" w:sz="9" w:space="0" w:color="D2D2D2"/>
            </w:tcBorders>
          </w:tcPr>
          <w:p>
            <w:pPr/>
          </w:p>
        </w:tc>
        <w:tc>
          <w:tcPr>
            <w:tcW w:w="1175" w:type="dxa"/>
            <w:gridSpan w:val="2"/>
            <w:vMerge/>
            <w:tcBorders>
              <w:left w:val="single" w:sz="4" w:space="0" w:color="000000"/>
              <w:bottom w:val="single" w:sz="4" w:space="0" w:color="000000"/>
              <w:right w:val="single" w:sz="4" w:space="0" w:color="000000"/>
            </w:tcBorders>
            <w:shd w:val="clear" w:color="auto" w:fill="D2D2D2"/>
          </w:tcPr>
          <w:p>
            <w:pPr/>
          </w:p>
        </w:tc>
        <w:tc>
          <w:tcPr>
            <w:tcW w:w="1218" w:type="dxa"/>
            <w:gridSpan w:val="3"/>
            <w:vMerge/>
            <w:tcBorders>
              <w:left w:val="single" w:sz="9" w:space="0" w:color="D2D2D2"/>
              <w:bottom w:val="single" w:sz="4" w:space="0" w:color="000000"/>
              <w:right w:val="single" w:sz="10" w:space="0" w:color="D2D2D2"/>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88" w:type="dxa"/>
            <w:gridSpan w:val="2"/>
            <w:vMerge/>
            <w:tcBorders>
              <w:left w:val="single" w:sz="10" w:space="0" w:color="D2D2D2"/>
              <w:bottom w:val="single" w:sz="4" w:space="0" w:color="000000"/>
              <w:right w:val="single" w:sz="13"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8" w:type="dxa"/>
            <w:vMerge/>
            <w:tcBorders>
              <w:left w:val="single" w:sz="10" w:space="0" w:color="D2D2D2"/>
              <w:bottom w:val="single" w:sz="4" w:space="0" w:color="000000"/>
              <w:right w:val="single" w:sz="4" w:space="0" w:color="000000"/>
            </w:tcBorders>
          </w:tcPr>
          <w:p>
            <w:pPr/>
          </w:p>
        </w:tc>
      </w:tr>
      <w:tr>
        <w:trPr>
          <w:trHeight w:val="391" w:hRule="exact"/>
        </w:trPr>
        <w:tc>
          <w:tcPr>
            <w:tcW w:w="9559"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5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57" w:type="dxa"/>
            <w:gridSpan w:val="2"/>
            <w:vMerge w:val="restart"/>
            <w:tcBorders>
              <w:top w:val="single" w:sz="4" w:space="0" w:color="000000"/>
              <w:left w:val="single" w:sz="4" w:space="0" w:color="000000"/>
              <w:right w:val="single" w:sz="4" w:space="0" w:color="000000"/>
            </w:tcBorders>
            <w:shd w:val="clear" w:color="auto" w:fill="D2D2D2"/>
          </w:tcPr>
          <w:p>
            <w:pPr/>
          </w:p>
        </w:tc>
        <w:tc>
          <w:tcPr>
            <w:tcW w:w="1412" w:type="dxa"/>
            <w:gridSpan w:val="2"/>
            <w:vMerge w:val="restart"/>
            <w:tcBorders>
              <w:top w:val="single" w:sz="4" w:space="0" w:color="000000"/>
              <w:left w:val="single" w:sz="4" w:space="0" w:color="000000"/>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7" w:right="30"/>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27" w:right="-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86" w:right="42"/>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09"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23"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57"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8" w:right="25"/>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60" w:type="dxa"/>
            <w:vMerge/>
            <w:tcBorders>
              <w:left w:val="single" w:sz="4" w:space="0" w:color="000000"/>
              <w:right w:val="single" w:sz="4" w:space="0" w:color="000000"/>
            </w:tcBorders>
            <w:shd w:val="clear" w:color="auto" w:fill="D2D2D2"/>
          </w:tcPr>
          <w:p>
            <w:pPr/>
          </w:p>
        </w:tc>
        <w:tc>
          <w:tcPr>
            <w:tcW w:w="2709" w:type="dxa"/>
            <w:gridSpan w:val="4"/>
            <w:vMerge/>
            <w:tcBorders>
              <w:left w:val="single" w:sz="4" w:space="0" w:color="000000"/>
              <w:right w:val="single" w:sz="4" w:space="0" w:color="000000"/>
            </w:tcBorders>
            <w:shd w:val="clear" w:color="auto" w:fill="D2D2D2"/>
          </w:tcPr>
          <w:p>
            <w:pPr/>
          </w:p>
        </w:tc>
      </w:tr>
      <w:tr>
        <w:trPr>
          <w:trHeight w:val="142" w:hRule="exact"/>
        </w:trPr>
        <w:tc>
          <w:tcPr>
            <w:tcW w:w="145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0"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60" w:type="dxa"/>
            <w:vMerge/>
            <w:tcBorders>
              <w:left w:val="single" w:sz="4" w:space="0" w:color="000000"/>
              <w:right w:val="single" w:sz="4" w:space="0" w:color="000000"/>
            </w:tcBorders>
            <w:shd w:val="clear" w:color="auto" w:fill="D2D2D2"/>
          </w:tcPr>
          <w:p>
            <w:pPr/>
          </w:p>
        </w:tc>
        <w:tc>
          <w:tcPr>
            <w:tcW w:w="2709" w:type="dxa"/>
            <w:gridSpan w:val="4"/>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457" w:type="dxa"/>
            <w:gridSpan w:val="2"/>
            <w:vMerge/>
            <w:tcBorders>
              <w:left w:val="single" w:sz="4" w:space="0" w:color="000000"/>
              <w:bottom w:val="nil" w:sz="6" w:space="0" w:color="auto"/>
              <w:right w:val="single" w:sz="4" w:space="0" w:color="000000"/>
            </w:tcBorders>
            <w:shd w:val="clear" w:color="auto" w:fill="D2D2D2"/>
          </w:tcPr>
          <w:p>
            <w:pPr/>
          </w:p>
        </w:tc>
        <w:tc>
          <w:tcPr>
            <w:tcW w:w="1412" w:type="dxa"/>
            <w:gridSpan w:val="2"/>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bottom w:val="nil" w:sz="6" w:space="0" w:color="auto"/>
              <w:right w:val="single" w:sz="4" w:space="0" w:color="000000"/>
            </w:tcBorders>
            <w:shd w:val="clear" w:color="auto" w:fill="D2D2D2"/>
          </w:tcPr>
          <w:p>
            <w:pPr/>
          </w:p>
        </w:tc>
        <w:tc>
          <w:tcPr>
            <w:tcW w:w="786" w:type="dxa"/>
            <w:vMerge/>
            <w:tcBorders>
              <w:left w:val="single" w:sz="4" w:space="0" w:color="000000"/>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60" w:type="dxa"/>
            <w:vMerge/>
            <w:tcBorders>
              <w:left w:val="single" w:sz="4" w:space="0" w:color="000000"/>
              <w:right w:val="single" w:sz="4" w:space="0" w:color="000000"/>
            </w:tcBorders>
            <w:shd w:val="clear" w:color="auto" w:fill="D2D2D2"/>
          </w:tcPr>
          <w:p>
            <w:pPr/>
          </w:p>
        </w:tc>
        <w:tc>
          <w:tcPr>
            <w:tcW w:w="136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left="32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4"/>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57" w:type="dxa"/>
            <w:gridSpan w:val="2"/>
            <w:vMerge w:val="restart"/>
            <w:tcBorders>
              <w:top w:val="nil" w:sz="6" w:space="0" w:color="auto"/>
              <w:left w:val="single" w:sz="4" w:space="0" w:color="000000"/>
              <w:right w:val="single" w:sz="4" w:space="0" w:color="000000"/>
            </w:tcBorders>
            <w:shd w:val="clear" w:color="auto" w:fill="D2D2D2"/>
          </w:tcPr>
          <w:p>
            <w:pPr/>
          </w:p>
        </w:tc>
        <w:tc>
          <w:tcPr>
            <w:tcW w:w="1412" w:type="dxa"/>
            <w:gridSpan w:val="2"/>
            <w:vMerge w:val="restart"/>
            <w:tcBorders>
              <w:top w:val="nil" w:sz="6" w:space="0" w:color="auto"/>
              <w:left w:val="single" w:sz="4" w:space="0" w:color="000000"/>
              <w:right w:val="single" w:sz="4" w:space="0" w:color="000000"/>
            </w:tcBorders>
            <w:shd w:val="clear" w:color="auto" w:fill="D2D2D2"/>
          </w:tcPr>
          <w:p>
            <w:pPr/>
          </w:p>
        </w:tc>
        <w:tc>
          <w:tcPr>
            <w:tcW w:w="790" w:type="dxa"/>
            <w:gridSpan w:val="2"/>
            <w:vMerge w:val="restart"/>
            <w:tcBorders>
              <w:top w:val="nil" w:sz="6" w:space="0" w:color="auto"/>
              <w:left w:val="single" w:sz="4" w:space="0" w:color="000000"/>
              <w:right w:val="single" w:sz="4" w:space="0" w:color="000000"/>
            </w:tcBorders>
            <w:shd w:val="clear" w:color="auto" w:fill="D2D2D2"/>
          </w:tcPr>
          <w:p>
            <w:pPr/>
          </w:p>
        </w:tc>
        <w:tc>
          <w:tcPr>
            <w:tcW w:w="786" w:type="dxa"/>
            <w:vMerge/>
            <w:tcBorders>
              <w:left w:val="single" w:sz="4" w:space="0" w:color="000000"/>
              <w:bottom w:val="nil" w:sz="6" w:space="0" w:color="auto"/>
              <w:right w:val="single" w:sz="4" w:space="0" w:color="000000"/>
            </w:tcBorders>
            <w:shd w:val="clear" w:color="auto" w:fill="D2D2D2"/>
          </w:tcPr>
          <w:p>
            <w:pPr/>
          </w:p>
        </w:tc>
        <w:tc>
          <w:tcPr>
            <w:tcW w:w="790" w:type="dxa"/>
            <w:gridSpan w:val="2"/>
            <w:vMerge/>
            <w:tcBorders>
              <w:left w:val="single" w:sz="4" w:space="0" w:color="000000"/>
              <w:right w:val="single" w:sz="4" w:space="0" w:color="000000"/>
            </w:tcBorders>
            <w:shd w:val="clear" w:color="auto" w:fill="D2D2D2"/>
          </w:tcPr>
          <w:p>
            <w:pPr/>
          </w:p>
        </w:tc>
        <w:tc>
          <w:tcPr>
            <w:tcW w:w="755" w:type="dxa"/>
            <w:vMerge/>
            <w:tcBorders>
              <w:left w:val="single" w:sz="4" w:space="0" w:color="000000"/>
              <w:right w:val="single" w:sz="4" w:space="0" w:color="000000"/>
            </w:tcBorders>
            <w:shd w:val="clear" w:color="auto" w:fill="D2D2D2"/>
          </w:tcPr>
          <w:p>
            <w:pPr/>
          </w:p>
        </w:tc>
        <w:tc>
          <w:tcPr>
            <w:tcW w:w="860" w:type="dxa"/>
            <w:vMerge/>
            <w:tcBorders>
              <w:left w:val="single" w:sz="4" w:space="0" w:color="000000"/>
              <w:right w:val="single" w:sz="4" w:space="0" w:color="000000"/>
            </w:tcBorders>
            <w:shd w:val="clear" w:color="auto" w:fill="D2D2D2"/>
          </w:tcPr>
          <w:p>
            <w:pPr/>
          </w:p>
        </w:tc>
        <w:tc>
          <w:tcPr>
            <w:tcW w:w="1360" w:type="dxa"/>
            <w:gridSpan w:val="2"/>
            <w:vMerge/>
            <w:tcBorders>
              <w:left w:val="single" w:sz="4" w:space="0" w:color="000000"/>
              <w:right w:val="single" w:sz="4" w:space="0" w:color="000000"/>
            </w:tcBorders>
            <w:shd w:val="clear" w:color="auto" w:fill="D2D2D2"/>
          </w:tcPr>
          <w:p>
            <w:pPr/>
          </w:p>
        </w:tc>
        <w:tc>
          <w:tcPr>
            <w:tcW w:w="1349" w:type="dxa"/>
            <w:gridSpan w:val="2"/>
            <w:vMerge/>
            <w:tcBorders>
              <w:left w:val="single" w:sz="4" w:space="0" w:color="000000"/>
              <w:right w:val="single" w:sz="4" w:space="0" w:color="000000"/>
            </w:tcBorders>
            <w:shd w:val="clear" w:color="auto" w:fill="D2D2D2"/>
          </w:tcPr>
          <w:p>
            <w:pPr/>
          </w:p>
        </w:tc>
      </w:tr>
      <w:tr>
        <w:trPr>
          <w:trHeight w:val="161" w:hRule="exact"/>
        </w:trPr>
        <w:tc>
          <w:tcPr>
            <w:tcW w:w="1457" w:type="dxa"/>
            <w:gridSpan w:val="2"/>
            <w:vMerge/>
            <w:tcBorders>
              <w:left w:val="single" w:sz="4" w:space="0" w:color="000000"/>
              <w:bottom w:val="single" w:sz="4" w:space="0" w:color="000000"/>
              <w:right w:val="single" w:sz="4" w:space="0" w:color="000000"/>
            </w:tcBorders>
            <w:shd w:val="clear" w:color="auto" w:fill="D2D2D2"/>
          </w:tcPr>
          <w:p>
            <w:pPr/>
          </w:p>
        </w:tc>
        <w:tc>
          <w:tcPr>
            <w:tcW w:w="1412" w:type="dxa"/>
            <w:gridSpan w:val="2"/>
            <w:vMerge/>
            <w:tcBorders>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0" w:type="dxa"/>
            <w:gridSpan w:val="2"/>
            <w:vMerge/>
            <w:tcBorders>
              <w:left w:val="single" w:sz="4" w:space="0" w:color="000000"/>
              <w:bottom w:val="single" w:sz="4" w:space="0" w:color="000000"/>
              <w:right w:val="single" w:sz="4" w:space="0" w:color="000000"/>
            </w:tcBorders>
            <w:shd w:val="clear" w:color="auto" w:fill="D2D2D2"/>
          </w:tcPr>
          <w:p>
            <w:pPr/>
          </w:p>
        </w:tc>
        <w:tc>
          <w:tcPr>
            <w:tcW w:w="755" w:type="dxa"/>
            <w:vMerge/>
            <w:tcBorders>
              <w:left w:val="single" w:sz="4" w:space="0" w:color="000000"/>
              <w:bottom w:val="single" w:sz="4" w:space="0" w:color="000000"/>
              <w:right w:val="single" w:sz="4" w:space="0" w:color="000000"/>
            </w:tcBorders>
            <w:shd w:val="clear" w:color="auto" w:fill="D2D2D2"/>
          </w:tcPr>
          <w:p>
            <w:pPr/>
          </w:p>
        </w:tc>
        <w:tc>
          <w:tcPr>
            <w:tcW w:w="860" w:type="dxa"/>
            <w:vMerge/>
            <w:tcBorders>
              <w:left w:val="single" w:sz="4" w:space="0" w:color="000000"/>
              <w:bottom w:val="single" w:sz="4" w:space="0" w:color="000000"/>
              <w:right w:val="single" w:sz="4" w:space="0" w:color="000000"/>
            </w:tcBorders>
            <w:shd w:val="clear" w:color="auto" w:fill="D2D2D2"/>
          </w:tcPr>
          <w:p>
            <w:pPr/>
          </w:p>
        </w:tc>
        <w:tc>
          <w:tcPr>
            <w:tcW w:w="1360"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 w:right="0"/>
              <w:jc w:val="left"/>
              <w:rPr>
                <w:rFonts w:ascii="Times New Roman" w:hAnsi="Times New Roman" w:cs="Times New Roman" w:eastAsia="Times New Roman" w:hint="default"/>
                <w:sz w:val="18"/>
                <w:szCs w:val="18"/>
              </w:rPr>
            </w:pPr>
            <w:r>
              <w:rPr>
                <w:rFonts w:ascii="Times New Roman"/>
                <w:sz w:val="18"/>
              </w:rPr>
              <w:t>20.32%</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3" w:right="0"/>
              <w:jc w:val="left"/>
              <w:rPr>
                <w:rFonts w:ascii="Times New Roman" w:hAnsi="Times New Roman" w:cs="Times New Roman" w:eastAsia="Times New Roman" w:hint="default"/>
                <w:sz w:val="18"/>
                <w:szCs w:val="18"/>
              </w:rPr>
            </w:pPr>
            <w:r>
              <w:rPr>
                <w:rFonts w:ascii="Times New Roman"/>
                <w:sz w:val="18"/>
              </w:rPr>
              <w:t>104,677,1</w:t>
            </w:r>
          </w:p>
        </w:tc>
        <w:tc>
          <w:tcPr>
            <w:tcW w:w="790" w:type="dxa"/>
            <w:gridSpan w:val="2"/>
            <w:tcBorders>
              <w:top w:val="single" w:sz="4" w:space="0" w:color="000000"/>
              <w:left w:val="single" w:sz="4" w:space="0" w:color="000000"/>
              <w:bottom w:val="single" w:sz="4" w:space="0" w:color="000000"/>
              <w:right w:val="single" w:sz="4" w:space="0" w:color="000000"/>
            </w:tcBorders>
          </w:tcPr>
          <w:p>
            <w:pPr/>
          </w:p>
        </w:tc>
        <w:tc>
          <w:tcPr>
            <w:tcW w:w="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4" w:right="-10"/>
              <w:jc w:val="left"/>
              <w:rPr>
                <w:rFonts w:ascii="Times New Roman" w:hAnsi="Times New Roman" w:cs="Times New Roman" w:eastAsia="Times New Roman" w:hint="default"/>
                <w:sz w:val="18"/>
                <w:szCs w:val="18"/>
              </w:rPr>
            </w:pPr>
            <w:r>
              <w:rPr>
                <w:rFonts w:ascii="Times New Roman"/>
                <w:sz w:val="18"/>
              </w:rPr>
              <w:t>78,507,87</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20" w:right="0"/>
              <w:jc w:val="left"/>
              <w:rPr>
                <w:rFonts w:ascii="Times New Roman" w:hAnsi="Times New Roman" w:cs="Times New Roman" w:eastAsia="Times New Roman" w:hint="default"/>
                <w:sz w:val="18"/>
                <w:szCs w:val="18"/>
              </w:rPr>
            </w:pPr>
            <w:r>
              <w:rPr>
                <w:rFonts w:ascii="Times New Roman"/>
                <w:sz w:val="18"/>
              </w:rPr>
              <w:t>26,169,29</w:t>
            </w:r>
          </w:p>
        </w:tc>
        <w:tc>
          <w:tcPr>
            <w:tcW w:w="1360" w:type="dxa"/>
            <w:gridSpan w:val="2"/>
            <w:tcBorders>
              <w:top w:val="single" w:sz="49" w:space="0" w:color="D2D2D2"/>
              <w:left w:val="single" w:sz="4" w:space="0" w:color="000000"/>
              <w:bottom w:val="single" w:sz="4" w:space="0" w:color="000000"/>
              <w:right w:val="single" w:sz="4" w:space="0" w:color="000000"/>
            </w:tcBorders>
          </w:tcPr>
          <w:p>
            <w:pPr>
              <w:pStyle w:val="TableParagraph"/>
              <w:spacing w:line="228" w:lineRule="exact"/>
              <w:ind w:left="3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gridSpan w:val="2"/>
            <w:tcBorders>
              <w:top w:val="single" w:sz="49" w:space="0" w:color="D2D2D2"/>
              <w:left w:val="single" w:sz="4" w:space="0" w:color="000000"/>
              <w:bottom w:val="single" w:sz="4" w:space="0" w:color="000000"/>
              <w:right w:val="single" w:sz="4" w:space="0" w:color="000000"/>
            </w:tcBorders>
          </w:tcPr>
          <w:p>
            <w:pPr>
              <w:pStyle w:val="TableParagraph"/>
              <w:spacing w:line="240" w:lineRule="auto" w:before="34"/>
              <w:ind w:left="503" w:right="0"/>
              <w:jc w:val="left"/>
              <w:rPr>
                <w:rFonts w:ascii="Times New Roman" w:hAnsi="Times New Roman" w:cs="Times New Roman" w:eastAsia="Times New Roman" w:hint="default"/>
                <w:sz w:val="18"/>
                <w:szCs w:val="18"/>
              </w:rPr>
            </w:pPr>
            <w:r>
              <w:rPr>
                <w:rFonts w:ascii="Times New Roman"/>
                <w:sz w:val="18"/>
              </w:rPr>
              <w:t>66,560,000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69"/>
        <w:gridCol w:w="1412"/>
        <w:gridCol w:w="790"/>
        <w:gridCol w:w="785"/>
        <w:gridCol w:w="790"/>
        <w:gridCol w:w="787"/>
        <w:gridCol w:w="840"/>
        <w:gridCol w:w="1349"/>
        <w:gridCol w:w="1349"/>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71</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3</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曾胜辉</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30,032,40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30,032,40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25,000,400</w:t>
            </w: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许忠桂</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30,020,69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30,020,69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2,030,000</w:t>
            </w:r>
          </w:p>
        </w:tc>
      </w:tr>
      <w:tr>
        <w:trPr>
          <w:trHeight w:val="164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华澳国际信托有 限公司－华澳</w:t>
            </w:r>
            <w:r>
              <w:rPr>
                <w:rFonts w:ascii="Times New Roman" w:hAnsi="Times New Roman" w:cs="Times New Roman" w:eastAsia="Times New Roman" w:hint="default"/>
                <w:sz w:val="18"/>
                <w:szCs w:val="18"/>
              </w:rPr>
              <w:t>·</w:t>
            </w:r>
            <w:r>
              <w:rPr>
                <w:rFonts w:ascii="宋体" w:hAnsi="宋体" w:cs="宋体" w:eastAsia="宋体" w:hint="default"/>
                <w:sz w:val="18"/>
                <w:szCs w:val="18"/>
              </w:rPr>
              <w:t>臻 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号－证通电 子第一期员工持 股集合信托计划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23,121,02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23,121,02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东海基金－上海 银行－盈科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w:t>
            </w:r>
          </w:p>
          <w:p>
            <w:pPr>
              <w:pStyle w:val="TableParagraph"/>
              <w:spacing w:line="300" w:lineRule="auto"/>
              <w:ind w:left="24" w:right="17"/>
              <w:jc w:val="left"/>
              <w:rPr>
                <w:rFonts w:ascii="宋体" w:hAnsi="宋体" w:cs="宋体" w:eastAsia="宋体" w:hint="default"/>
                <w:sz w:val="18"/>
                <w:szCs w:val="18"/>
              </w:rPr>
            </w:pPr>
            <w:r>
              <w:rPr>
                <w:rFonts w:ascii="宋体" w:hAnsi="宋体" w:cs="宋体" w:eastAsia="宋体" w:hint="default"/>
                <w:sz w:val="18"/>
                <w:szCs w:val="18"/>
              </w:rPr>
              <w:t>鑫龙</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185</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号资产管 理计划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2.26%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11,667,70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11,667,70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西藏泓涵股权投 资管理有限公司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10,302,26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10,302,26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9,388,832</w:t>
            </w:r>
          </w:p>
        </w:tc>
      </w:tr>
      <w:tr>
        <w:trPr>
          <w:trHeight w:val="102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z w:val="18"/>
                <w:szCs w:val="18"/>
              </w:rPr>
              <w:t>深圳市和星信息 </w:t>
            </w:r>
            <w:r>
              <w:rPr>
                <w:rFonts w:ascii="宋体" w:hAnsi="宋体" w:cs="宋体" w:eastAsia="宋体" w:hint="default"/>
                <w:spacing w:val="-4"/>
                <w:sz w:val="18"/>
                <w:szCs w:val="18"/>
              </w:rPr>
              <w:t>投资管理中心（有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限合伙）</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9,426,099</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9,426,099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9,426,099</w:t>
            </w:r>
          </w:p>
        </w:tc>
      </w:tr>
      <w:tr>
        <w:trPr>
          <w:trHeight w:val="196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长安国际信托股 份有限公司－长 安信托－长安投 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974</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号（浙银资</w:t>
            </w:r>
            <w:r>
              <w:rPr>
                <w:rFonts w:ascii="宋体" w:hAnsi="宋体" w:cs="宋体" w:eastAsia="宋体" w:hint="default"/>
                <w:sz w:val="18"/>
                <w:szCs w:val="18"/>
              </w:rPr>
              <w:t> </w:t>
            </w:r>
            <w:r>
              <w:rPr>
                <w:rFonts w:ascii="宋体" w:hAnsi="宋体" w:cs="宋体" w:eastAsia="宋体" w:hint="default"/>
                <w:spacing w:val="-4"/>
                <w:sz w:val="18"/>
                <w:szCs w:val="18"/>
              </w:rPr>
              <w:t>本）证券投资集合</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资金信托计划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8,963,747</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8,963,747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3"/>
              <w:jc w:val="left"/>
              <w:rPr>
                <w:rFonts w:ascii="宋体" w:hAnsi="宋体" w:cs="宋体" w:eastAsia="宋体" w:hint="default"/>
                <w:sz w:val="18"/>
                <w:szCs w:val="18"/>
              </w:rPr>
            </w:pPr>
            <w:r>
              <w:rPr>
                <w:rFonts w:ascii="宋体" w:hAnsi="宋体" w:cs="宋体" w:eastAsia="宋体" w:hint="default"/>
                <w:sz w:val="18"/>
                <w:szCs w:val="18"/>
              </w:rPr>
              <w:t>财通基金－中国 银行－财通基金</w:t>
            </w:r>
          </w:p>
          <w:p>
            <w:pPr>
              <w:pStyle w:val="TableParagraph"/>
              <w:spacing w:line="240" w:lineRule="auto" w:before="1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－富春中益定增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号资产管理计划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1.26%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6,498,574</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6,498,574</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left"/>
              <w:rPr>
                <w:rFonts w:ascii="宋体" w:hAnsi="宋体" w:cs="宋体" w:eastAsia="宋体" w:hint="default"/>
                <w:sz w:val="18"/>
                <w:szCs w:val="18"/>
              </w:rPr>
            </w:pPr>
            <w:r>
              <w:rPr>
                <w:rFonts w:ascii="宋体" w:hAnsi="宋体" w:cs="宋体" w:eastAsia="宋体" w:hint="default"/>
                <w:sz w:val="18"/>
                <w:szCs w:val="18"/>
              </w:rPr>
              <w:t>东海基金－上海 银行－盈科</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w:t>
            </w:r>
          </w:p>
          <w:p>
            <w:pPr>
              <w:pStyle w:val="TableParagraph"/>
              <w:spacing w:line="300" w:lineRule="auto"/>
              <w:ind w:left="24" w:right="17"/>
              <w:jc w:val="left"/>
              <w:rPr>
                <w:rFonts w:ascii="宋体" w:hAnsi="宋体" w:cs="宋体" w:eastAsia="宋体" w:hint="default"/>
                <w:sz w:val="18"/>
                <w:szCs w:val="18"/>
              </w:rPr>
            </w:pPr>
            <w:r>
              <w:rPr>
                <w:rFonts w:ascii="宋体" w:hAnsi="宋体" w:cs="宋体" w:eastAsia="宋体" w:hint="default"/>
                <w:sz w:val="18"/>
                <w:szCs w:val="18"/>
              </w:rPr>
              <w:t>鑫龙</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186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号资产管 理计划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1.22%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6,282,609</w:t>
            </w:r>
          </w:p>
        </w:tc>
        <w:tc>
          <w:tcPr>
            <w:tcW w:w="790"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6,282,609</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54"/>
              <w:ind w:left="24" w:right="21"/>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0" w:type="dxa"/>
            <w:gridSpan w:val="7"/>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7" w:firstLine="360"/>
              <w:jc w:val="both"/>
              <w:rPr>
                <w:rFonts w:ascii="宋体" w:hAnsi="宋体" w:cs="宋体" w:eastAsia="宋体" w:hint="default"/>
                <w:sz w:val="18"/>
                <w:szCs w:val="18"/>
              </w:rPr>
            </w:pPr>
            <w:r>
              <w:rPr>
                <w:rFonts w:ascii="宋体" w:hAnsi="宋体" w:cs="宋体" w:eastAsia="宋体" w:hint="default"/>
                <w:sz w:val="18"/>
                <w:szCs w:val="18"/>
              </w:rPr>
              <w:t>东海基金－上海银行－盈科</w:t>
            </w:r>
            <w:r>
              <w:rPr>
                <w:rFonts w:ascii="宋体" w:hAnsi="宋体" w:cs="宋体" w:eastAsia="宋体" w:hint="default"/>
                <w:spacing w:val="-52"/>
                <w:sz w:val="18"/>
                <w:szCs w:val="18"/>
              </w:rPr>
              <w:t> </w:t>
            </w:r>
            <w:r>
              <w:rPr>
                <w:rFonts w:ascii="宋体" w:hAnsi="宋体" w:cs="宋体" w:eastAsia="宋体" w:hint="default"/>
                <w:sz w:val="18"/>
                <w:szCs w:val="18"/>
              </w:rPr>
              <w:t>2</w:t>
            </w:r>
            <w:r>
              <w:rPr>
                <w:rFonts w:ascii="宋体" w:hAnsi="宋体" w:cs="宋体" w:eastAsia="宋体" w:hint="default"/>
                <w:spacing w:val="-54"/>
                <w:sz w:val="18"/>
                <w:szCs w:val="18"/>
              </w:rPr>
              <w:t> </w:t>
            </w:r>
            <w:r>
              <w:rPr>
                <w:rFonts w:ascii="宋体" w:hAnsi="宋体" w:cs="宋体" w:eastAsia="宋体" w:hint="default"/>
                <w:sz w:val="18"/>
                <w:szCs w:val="18"/>
              </w:rPr>
              <w:t>号－鑫龙</w:t>
            </w:r>
            <w:r>
              <w:rPr>
                <w:rFonts w:ascii="宋体" w:hAnsi="宋体" w:cs="宋体" w:eastAsia="宋体" w:hint="default"/>
                <w:spacing w:val="-53"/>
                <w:sz w:val="18"/>
                <w:szCs w:val="18"/>
              </w:rPr>
              <w:t> </w:t>
            </w:r>
            <w:r>
              <w:rPr>
                <w:rFonts w:ascii="宋体" w:hAnsi="宋体" w:cs="宋体" w:eastAsia="宋体" w:hint="default"/>
                <w:sz w:val="18"/>
                <w:szCs w:val="18"/>
              </w:rPr>
              <w:t>185</w:t>
            </w:r>
            <w:r>
              <w:rPr>
                <w:rFonts w:ascii="宋体" w:hAnsi="宋体" w:cs="宋体" w:eastAsia="宋体" w:hint="default"/>
                <w:spacing w:val="-52"/>
                <w:sz w:val="18"/>
                <w:szCs w:val="18"/>
              </w:rPr>
              <w:t> </w:t>
            </w:r>
            <w:r>
              <w:rPr>
                <w:rFonts w:ascii="宋体" w:hAnsi="宋体" w:cs="宋体" w:eastAsia="宋体" w:hint="default"/>
                <w:sz w:val="18"/>
                <w:szCs w:val="18"/>
              </w:rPr>
              <w:t>号资产管理计划、西藏泓涵股权投资 </w:t>
            </w:r>
            <w:r>
              <w:rPr>
                <w:rFonts w:ascii="宋体" w:hAnsi="宋体" w:cs="宋体" w:eastAsia="宋体" w:hint="default"/>
                <w:spacing w:val="-1"/>
                <w:sz w:val="18"/>
                <w:szCs w:val="18"/>
              </w:rPr>
              <w:t>管理有限公司、深圳市和星信息投资管理中心（有限合伙）、财通基金－中国银行－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财通基金－富春中益定增</w:t>
            </w:r>
            <w:r>
              <w:rPr>
                <w:rFonts w:ascii="宋体" w:hAnsi="宋体" w:cs="宋体" w:eastAsia="宋体" w:hint="default"/>
                <w:spacing w:val="-53"/>
                <w:sz w:val="18"/>
                <w:szCs w:val="18"/>
              </w:rPr>
              <w:t> </w:t>
            </w:r>
            <w:r>
              <w:rPr>
                <w:rFonts w:ascii="宋体" w:hAnsi="宋体" w:cs="宋体" w:eastAsia="宋体" w:hint="default"/>
                <w:sz w:val="18"/>
                <w:szCs w:val="18"/>
              </w:rPr>
              <w:t>8</w:t>
            </w:r>
            <w:r>
              <w:rPr>
                <w:rFonts w:ascii="宋体" w:hAnsi="宋体" w:cs="宋体" w:eastAsia="宋体" w:hint="default"/>
                <w:spacing w:val="-53"/>
                <w:sz w:val="18"/>
                <w:szCs w:val="18"/>
              </w:rPr>
              <w:t> </w:t>
            </w:r>
            <w:r>
              <w:rPr>
                <w:rFonts w:ascii="宋体" w:hAnsi="宋体" w:cs="宋体" w:eastAsia="宋体" w:hint="default"/>
                <w:sz w:val="18"/>
                <w:szCs w:val="18"/>
              </w:rPr>
              <w:t>号资产管理计划、东海基金－上海银行－盈科</w:t>
            </w:r>
            <w:r>
              <w:rPr>
                <w:rFonts w:ascii="宋体" w:hAnsi="宋体" w:cs="宋体" w:eastAsia="宋体" w:hint="default"/>
                <w:spacing w:val="-53"/>
                <w:sz w:val="18"/>
                <w:szCs w:val="18"/>
              </w:rPr>
              <w:t> </w:t>
            </w:r>
            <w:r>
              <w:rPr>
                <w:rFonts w:ascii="宋体" w:hAnsi="宋体" w:cs="宋体" w:eastAsia="宋体" w:hint="default"/>
                <w:sz w:val="18"/>
                <w:szCs w:val="18"/>
              </w:rPr>
              <w:t>3</w:t>
            </w:r>
            <w:r>
              <w:rPr>
                <w:rFonts w:ascii="宋体" w:hAnsi="宋体" w:cs="宋体" w:eastAsia="宋体" w:hint="default"/>
                <w:spacing w:val="-53"/>
                <w:sz w:val="18"/>
                <w:szCs w:val="18"/>
              </w:rPr>
              <w:t> </w:t>
            </w:r>
            <w:r>
              <w:rPr>
                <w:rFonts w:ascii="宋体" w:hAnsi="宋体" w:cs="宋体" w:eastAsia="宋体" w:hint="default"/>
                <w:sz w:val="18"/>
                <w:szCs w:val="18"/>
              </w:rPr>
              <w:t>号－鑫龙</w:t>
            </w:r>
          </w:p>
          <w:p>
            <w:pPr>
              <w:pStyle w:val="TableParagraph"/>
              <w:spacing w:line="316" w:lineRule="auto" w:before="17"/>
              <w:ind w:left="26" w:right="20"/>
              <w:jc w:val="left"/>
              <w:rPr>
                <w:rFonts w:ascii="宋体" w:hAnsi="宋体" w:cs="宋体" w:eastAsia="宋体" w:hint="default"/>
                <w:sz w:val="18"/>
                <w:szCs w:val="18"/>
              </w:rPr>
            </w:pPr>
            <w:r>
              <w:rPr>
                <w:rFonts w:ascii="宋体" w:hAnsi="宋体" w:cs="宋体" w:eastAsia="宋体" w:hint="default"/>
                <w:spacing w:val="-1"/>
                <w:sz w:val="18"/>
                <w:szCs w:val="18"/>
              </w:rPr>
              <w:t>186</w:t>
            </w:r>
            <w:r>
              <w:rPr>
                <w:rFonts w:ascii="宋体" w:hAnsi="宋体" w:cs="宋体" w:eastAsia="宋体" w:hint="default"/>
                <w:spacing w:val="-36"/>
                <w:sz w:val="18"/>
                <w:szCs w:val="18"/>
              </w:rPr>
              <w:t> </w:t>
            </w:r>
            <w:r>
              <w:rPr>
                <w:rFonts w:ascii="宋体" w:hAnsi="宋体" w:cs="宋体" w:eastAsia="宋体" w:hint="default"/>
                <w:spacing w:val="-5"/>
                <w:sz w:val="18"/>
                <w:szCs w:val="18"/>
              </w:rPr>
              <w:t>号资产管理计划，以上五位股东因参与公司</w:t>
            </w:r>
            <w:r>
              <w:rPr>
                <w:rFonts w:ascii="宋体" w:hAnsi="宋体" w:cs="宋体" w:eastAsia="宋体" w:hint="default"/>
                <w:spacing w:val="-37"/>
                <w:sz w:val="18"/>
                <w:szCs w:val="18"/>
              </w:rPr>
              <w:t> </w:t>
            </w:r>
            <w:r>
              <w:rPr>
                <w:rFonts w:ascii="宋体" w:hAnsi="宋体" w:cs="宋体" w:eastAsia="宋体" w:hint="default"/>
                <w:sz w:val="18"/>
                <w:szCs w:val="18"/>
              </w:rPr>
              <w:t>2015</w:t>
            </w:r>
            <w:r>
              <w:rPr>
                <w:rFonts w:ascii="宋体" w:hAnsi="宋体" w:cs="宋体" w:eastAsia="宋体" w:hint="default"/>
                <w:spacing w:val="-34"/>
                <w:sz w:val="18"/>
                <w:szCs w:val="18"/>
              </w:rPr>
              <w:t> </w:t>
            </w:r>
            <w:r>
              <w:rPr>
                <w:rFonts w:ascii="宋体" w:hAnsi="宋体" w:cs="宋体" w:eastAsia="宋体" w:hint="default"/>
                <w:spacing w:val="-1"/>
                <w:sz w:val="18"/>
                <w:szCs w:val="18"/>
              </w:rPr>
              <w:t>年度非公开发行股票而成为公司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前十名股东。</w:t>
            </w:r>
          </w:p>
        </w:tc>
      </w:tr>
      <w:tr>
        <w:trPr>
          <w:trHeight w:val="986"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4" w:lineRule="auto"/>
              <w:ind w:left="24" w:right="145"/>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90"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0" w:firstLine="360"/>
              <w:jc w:val="left"/>
              <w:rPr>
                <w:rFonts w:ascii="宋体" w:hAnsi="宋体" w:cs="宋体" w:eastAsia="宋体" w:hint="default"/>
                <w:sz w:val="18"/>
                <w:szCs w:val="18"/>
              </w:rPr>
            </w:pPr>
            <w:r>
              <w:rPr>
                <w:rFonts w:ascii="宋体" w:hAnsi="宋体" w:cs="宋体" w:eastAsia="宋体" w:hint="default"/>
                <w:spacing w:val="-1"/>
                <w:sz w:val="18"/>
                <w:szCs w:val="18"/>
              </w:rPr>
              <w:t>上述股东中，曾胜强与许忠桂是配偶关系，曾胜辉为曾胜强之弟，前述股东为一</w:t>
            </w:r>
            <w:r>
              <w:rPr>
                <w:rFonts w:ascii="宋体" w:hAnsi="宋体" w:cs="宋体" w:eastAsia="宋体" w:hint="default"/>
                <w:sz w:val="18"/>
                <w:szCs w:val="18"/>
              </w:rPr>
              <w:t> 致行动人；东海基金－上海银行－盈科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号－鑫龙</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号资产管理计划和东海基金－</w:t>
            </w:r>
          </w:p>
          <w:p>
            <w:pPr>
              <w:pStyle w:val="TableParagraph"/>
              <w:spacing w:line="248" w:lineRule="exact"/>
              <w:ind w:left="26" w:right="0"/>
              <w:jc w:val="left"/>
              <w:rPr>
                <w:rFonts w:ascii="宋体" w:hAnsi="宋体" w:cs="宋体" w:eastAsia="宋体" w:hint="default"/>
                <w:sz w:val="18"/>
                <w:szCs w:val="18"/>
              </w:rPr>
            </w:pPr>
            <w:r>
              <w:rPr>
                <w:rFonts w:ascii="宋体" w:hAnsi="宋体" w:cs="宋体" w:eastAsia="宋体" w:hint="default"/>
                <w:sz w:val="18"/>
                <w:szCs w:val="18"/>
              </w:rPr>
              <w:t>上海银行－盈科</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号－鑫龙</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号资产管理计划同为东海基金管理有限公司产品；其</w:t>
            </w:r>
          </w:p>
        </w:tc>
      </w:tr>
    </w:tbl>
    <w:p>
      <w:pPr>
        <w:spacing w:after="0" w:line="248" w:lineRule="exact"/>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881"/>
        <w:gridCol w:w="3992"/>
        <w:gridCol w:w="1349"/>
        <w:gridCol w:w="1349"/>
      </w:tblGrid>
      <w:tr>
        <w:trPr>
          <w:trHeight w:val="362"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6" w:right="0"/>
              <w:jc w:val="left"/>
              <w:rPr>
                <w:rFonts w:ascii="宋体" w:hAnsi="宋体" w:cs="宋体" w:eastAsia="宋体" w:hint="default"/>
                <w:sz w:val="18"/>
                <w:szCs w:val="18"/>
              </w:rPr>
            </w:pPr>
            <w:r>
              <w:rPr>
                <w:rFonts w:ascii="宋体" w:hAnsi="宋体" w:cs="宋体" w:eastAsia="宋体" w:hint="default"/>
                <w:sz w:val="18"/>
                <w:szCs w:val="18"/>
              </w:rPr>
              <w:t>余股东未知其关联关系或是否为一致行动人。</w:t>
            </w:r>
          </w:p>
        </w:tc>
      </w:tr>
      <w:tr>
        <w:trPr>
          <w:trHeight w:val="401"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8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6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8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881" w:type="dxa"/>
            <w:vMerge/>
            <w:tcBorders>
              <w:left w:val="single" w:sz="4" w:space="0" w:color="000000"/>
              <w:bottom w:val="nil" w:sz="6" w:space="0" w:color="auto"/>
              <w:right w:val="single" w:sz="4" w:space="0" w:color="000000"/>
            </w:tcBorders>
            <w:shd w:val="clear" w:color="auto" w:fill="D2D2D2"/>
          </w:tcPr>
          <w:p>
            <w:pPr/>
          </w:p>
        </w:tc>
        <w:tc>
          <w:tcPr>
            <w:tcW w:w="3992" w:type="dxa"/>
            <w:vMerge/>
            <w:tcBorders>
              <w:left w:val="single" w:sz="4" w:space="0" w:color="000000"/>
              <w:bottom w:val="nil" w:sz="6" w:space="0" w:color="auto"/>
              <w:right w:val="single" w:sz="4" w:space="0" w:color="000000"/>
            </w:tcBorders>
            <w:shd w:val="clear" w:color="auto" w:fill="D2D2D2"/>
          </w:tcPr>
          <w:p>
            <w:pP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881" w:type="dxa"/>
            <w:tcBorders>
              <w:top w:val="nil" w:sz="6" w:space="0" w:color="auto"/>
              <w:left w:val="single" w:sz="4" w:space="0" w:color="000000"/>
              <w:bottom w:val="single" w:sz="4" w:space="0" w:color="000000"/>
              <w:right w:val="single" w:sz="4" w:space="0" w:color="000000"/>
            </w:tcBorders>
            <w:shd w:val="clear" w:color="auto" w:fill="D2D2D2"/>
          </w:tcPr>
          <w:p>
            <w:pPr/>
          </w:p>
        </w:tc>
        <w:tc>
          <w:tcPr>
            <w:tcW w:w="3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c>
          <w:tcPr>
            <w:tcW w:w="134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曾胜辉</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30,032,403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30,032,403</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许忠桂</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30,020,698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30,020,698</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26,169,293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26,169,293</w:t>
            </w:r>
          </w:p>
        </w:tc>
      </w:tr>
      <w:tr>
        <w:trPr>
          <w:trHeight w:val="102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6"/>
              <w:jc w:val="both"/>
              <w:rPr>
                <w:rFonts w:ascii="宋体" w:hAnsi="宋体" w:cs="宋体" w:eastAsia="宋体" w:hint="default"/>
                <w:sz w:val="18"/>
                <w:szCs w:val="18"/>
              </w:rPr>
            </w:pPr>
            <w:r>
              <w:rPr>
                <w:rFonts w:ascii="宋体" w:hAnsi="宋体" w:cs="宋体" w:eastAsia="宋体" w:hint="default"/>
                <w:sz w:val="18"/>
                <w:szCs w:val="18"/>
              </w:rPr>
              <w:t>华澳国际信托有限公司－华澳</w:t>
            </w:r>
            <w:r>
              <w:rPr>
                <w:rFonts w:ascii="Times New Roman" w:hAnsi="Times New Roman" w:cs="Times New Roman" w:eastAsia="Times New Roman" w:hint="default"/>
                <w:sz w:val="18"/>
                <w:szCs w:val="18"/>
              </w:rPr>
              <w:t>·</w:t>
            </w:r>
            <w:r>
              <w:rPr>
                <w:rFonts w:ascii="宋体" w:hAnsi="宋体" w:cs="宋体" w:eastAsia="宋体" w:hint="default"/>
                <w:sz w:val="18"/>
                <w:szCs w:val="18"/>
              </w:rPr>
              <w:t>臻智 </w:t>
            </w:r>
            <w:r>
              <w:rPr>
                <w:rFonts w:ascii="Times New Roman" w:hAnsi="Times New Roman" w:cs="Times New Roman" w:eastAsia="Times New Roman" w:hint="default"/>
                <w:sz w:val="18"/>
                <w:szCs w:val="18"/>
              </w:rPr>
              <w:t>57 </w:t>
            </w:r>
            <w:r>
              <w:rPr>
                <w:rFonts w:ascii="宋体" w:hAnsi="宋体" w:cs="宋体" w:eastAsia="宋体" w:hint="default"/>
                <w:sz w:val="18"/>
                <w:szCs w:val="18"/>
              </w:rPr>
              <w:t>号－证通电子第一期员工持股集 合信托计划</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23,121,021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23,121,021</w:t>
            </w:r>
          </w:p>
        </w:tc>
      </w:tr>
      <w:tr>
        <w:trPr>
          <w:trHeight w:val="716"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东海基金－上海银行－盈科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鑫龙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185 </w:t>
            </w:r>
            <w:r>
              <w:rPr>
                <w:rFonts w:ascii="宋体" w:hAnsi="宋体" w:cs="宋体" w:eastAsia="宋体" w:hint="default"/>
                <w:sz w:val="18"/>
                <w:szCs w:val="18"/>
              </w:rPr>
              <w:t>号资产管理计划</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11,667,701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11,667,701</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西藏泓涵股权投资管理有限公司</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10,302,263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10,302,263</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4"/>
                <w:sz w:val="18"/>
                <w:szCs w:val="18"/>
              </w:rPr>
              <w:t>深圳市和星信息投资管理中心（有限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合伙）</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9,426,099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9,426,099</w:t>
            </w:r>
          </w:p>
        </w:tc>
      </w:tr>
      <w:tr>
        <w:trPr>
          <w:trHeight w:val="102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长安国际信托股份有限公司－长安 信托－长安投资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号（浙银资本） 证券投资集合资金信托计划</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8,963,747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8,963,747</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5"/>
              <w:jc w:val="left"/>
              <w:rPr>
                <w:rFonts w:ascii="宋体" w:hAnsi="宋体" w:cs="宋体" w:eastAsia="宋体" w:hint="default"/>
                <w:sz w:val="18"/>
                <w:szCs w:val="18"/>
              </w:rPr>
            </w:pPr>
            <w:r>
              <w:rPr>
                <w:rFonts w:ascii="宋体" w:hAnsi="宋体" w:cs="宋体" w:eastAsia="宋体" w:hint="default"/>
                <w:sz w:val="18"/>
                <w:szCs w:val="18"/>
              </w:rPr>
              <w:t>财通基金－中国银行－财通基金－ 富春中益定增</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6,498,574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6,498,574</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东海基金－上海银行－盈科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鑫龙</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186 </w:t>
            </w:r>
            <w:r>
              <w:rPr>
                <w:rFonts w:ascii="宋体" w:hAnsi="宋体" w:cs="宋体" w:eastAsia="宋体" w:hint="default"/>
                <w:sz w:val="18"/>
                <w:szCs w:val="18"/>
              </w:rPr>
              <w:t>号资产管理计划</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6,282,609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6,282,609</w:t>
            </w:r>
          </w:p>
        </w:tc>
      </w:tr>
      <w:tr>
        <w:trPr>
          <w:trHeight w:val="1339"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9" w:lineRule="auto" w:before="63"/>
              <w:ind w:left="24" w:right="17"/>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名股东之间关联关系或一致行动的 说明</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20" w:firstLine="360"/>
              <w:jc w:val="left"/>
              <w:rPr>
                <w:rFonts w:ascii="宋体" w:hAnsi="宋体" w:cs="宋体" w:eastAsia="宋体" w:hint="default"/>
                <w:sz w:val="18"/>
                <w:szCs w:val="18"/>
              </w:rPr>
            </w:pPr>
            <w:r>
              <w:rPr>
                <w:rFonts w:ascii="宋体" w:hAnsi="宋体" w:cs="宋体" w:eastAsia="宋体" w:hint="default"/>
                <w:spacing w:val="-1"/>
                <w:sz w:val="18"/>
                <w:szCs w:val="18"/>
              </w:rPr>
              <w:t>上述股东中，曾胜强与许忠桂是配偶关系，曾胜辉为曾胜强之弟，前述股东为一</w:t>
            </w:r>
            <w:r>
              <w:rPr>
                <w:rFonts w:ascii="宋体" w:hAnsi="宋体" w:cs="宋体" w:eastAsia="宋体" w:hint="default"/>
                <w:sz w:val="18"/>
                <w:szCs w:val="18"/>
              </w:rPr>
              <w:t> 致行动人；东海基金－上海银行－盈科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号－鑫龙</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号资产管理计划和东海基金－</w:t>
            </w:r>
          </w:p>
          <w:p>
            <w:pPr>
              <w:pStyle w:val="TableParagraph"/>
              <w:spacing w:line="300" w:lineRule="auto"/>
              <w:ind w:left="26" w:right="20"/>
              <w:jc w:val="left"/>
              <w:rPr>
                <w:rFonts w:ascii="宋体" w:hAnsi="宋体" w:cs="宋体" w:eastAsia="宋体" w:hint="default"/>
                <w:sz w:val="18"/>
                <w:szCs w:val="18"/>
              </w:rPr>
            </w:pPr>
            <w:r>
              <w:rPr>
                <w:rFonts w:ascii="宋体" w:hAnsi="宋体" w:cs="宋体" w:eastAsia="宋体" w:hint="default"/>
                <w:sz w:val="18"/>
                <w:szCs w:val="18"/>
              </w:rPr>
              <w:t>上海银行－盈科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号－鑫龙</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号资产管理计划同为东海基金管理有限公司产品；其 余股东未知其关联关系或是否为一致行动人。</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53"/>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8"/>
                <w:sz w:val="18"/>
                <w:szCs w:val="18"/>
              </w:rPr>
              <w:t>务情况说明（如有）（参见注</w:t>
            </w:r>
            <w:r>
              <w:rPr>
                <w:rFonts w:ascii="宋体" w:hAnsi="宋体" w:cs="宋体" w:eastAsia="宋体" w:hint="default"/>
                <w:spacing w:val="-3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right="7614"/>
        <w:jc w:val="left"/>
      </w:pPr>
      <w:r>
        <w:rPr/>
        <w:t>控股股东性质：自然人控股 控股股东类型：自然人</w:t>
      </w:r>
    </w:p>
    <w:tbl>
      <w:tblPr>
        <w:tblW w:w="0" w:type="auto"/>
        <w:jc w:val="left"/>
        <w:tblInd w:w="148" w:type="dxa"/>
        <w:tblLayout w:type="fixed"/>
        <w:tblCellMar>
          <w:top w:w="0" w:type="dxa"/>
          <w:left w:w="0" w:type="dxa"/>
          <w:bottom w:w="0" w:type="dxa"/>
          <w:right w:w="0" w:type="dxa"/>
        </w:tblCellMar>
        <w:tblLook w:val="01E0"/>
      </w:tblPr>
      <w:tblGrid>
        <w:gridCol w:w="3419"/>
        <w:gridCol w:w="2302"/>
        <w:gridCol w:w="3850"/>
      </w:tblGrid>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7"/>
        <w:gridCol w:w="6152"/>
      </w:tblGrid>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曾胜强先生自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年起在本公司任职，现担任公司董事长、总裁职务。</w:t>
            </w:r>
          </w:p>
        </w:tc>
      </w:tr>
      <w:tr>
        <w:trPr>
          <w:trHeight w:val="716"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曾胜强先生除本公司外，过去十年未控股其他境内外上市公司。</w:t>
            </w:r>
          </w:p>
        </w:tc>
      </w:tr>
    </w:tbl>
    <w:p>
      <w:pPr>
        <w:pStyle w:val="BodyText"/>
        <w:spacing w:line="240" w:lineRule="auto" w:before="49"/>
        <w:ind w:right="0"/>
        <w:jc w:val="left"/>
      </w:pPr>
      <w:r>
        <w:rPr/>
        <w:t>控股股东报告期内变更</w:t>
      </w:r>
    </w:p>
    <w:p>
      <w:pPr>
        <w:pStyle w:val="BodyText"/>
        <w:spacing w:line="340" w:lineRule="auto" w:before="115"/>
        <w:ind w:right="70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7434"/>
        <w:jc w:val="left"/>
      </w:pPr>
      <w:r>
        <w:rPr/>
        <w:t>实际控制人性质：境内自然人 实际控制人类型：自然人</w:t>
      </w:r>
    </w:p>
    <w:tbl>
      <w:tblPr>
        <w:tblW w:w="0" w:type="auto"/>
        <w:jc w:val="left"/>
        <w:tblInd w:w="148" w:type="dxa"/>
        <w:tblLayout w:type="fixed"/>
        <w:tblCellMar>
          <w:top w:w="0" w:type="dxa"/>
          <w:left w:w="0" w:type="dxa"/>
          <w:bottom w:w="0" w:type="dxa"/>
          <w:right w:w="0" w:type="dxa"/>
        </w:tblCellMar>
        <w:tblLook w:val="01E0"/>
      </w:tblPr>
      <w:tblGrid>
        <w:gridCol w:w="3419"/>
        <w:gridCol w:w="2302"/>
        <w:gridCol w:w="3850"/>
      </w:tblGrid>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9"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许忠桂</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85"/>
              <w:jc w:val="left"/>
              <w:rPr>
                <w:rFonts w:ascii="宋体" w:hAnsi="宋体" w:cs="宋体" w:eastAsia="宋体" w:hint="default"/>
                <w:sz w:val="18"/>
                <w:szCs w:val="18"/>
              </w:rPr>
            </w:pPr>
            <w:r>
              <w:rPr>
                <w:rFonts w:ascii="宋体" w:hAnsi="宋体" w:cs="宋体" w:eastAsia="宋体" w:hint="default"/>
                <w:sz w:val="18"/>
                <w:szCs w:val="18"/>
              </w:rPr>
              <w:t>曾胜强先生自</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年起在本公司任职，现担任公司董事长、总裁职务；许忠 桂女士目前未在公司任职。</w:t>
            </w:r>
          </w:p>
        </w:tc>
      </w:tr>
      <w:tr>
        <w:trPr>
          <w:trHeight w:val="403" w:hRule="exact"/>
        </w:trPr>
        <w:tc>
          <w:tcPr>
            <w:tcW w:w="3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年曾控股的境内外上市公司情况</w:t>
            </w:r>
          </w:p>
        </w:tc>
        <w:tc>
          <w:tcPr>
            <w:tcW w:w="6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2"/>
              <w:jc w:val="left"/>
              <w:rPr>
                <w:rFonts w:ascii="宋体" w:hAnsi="宋体" w:cs="宋体" w:eastAsia="宋体" w:hint="default"/>
                <w:sz w:val="18"/>
                <w:szCs w:val="18"/>
              </w:rPr>
            </w:pPr>
            <w:r>
              <w:rPr>
                <w:rFonts w:ascii="宋体" w:hAnsi="宋体" w:cs="宋体" w:eastAsia="宋体" w:hint="default"/>
                <w:sz w:val="18"/>
                <w:szCs w:val="18"/>
              </w:rPr>
              <w:t>曾胜强先生和许忠桂女士除本公司外，过去十年未控股其他境内外上市公司。</w:t>
            </w:r>
          </w:p>
        </w:tc>
      </w:tr>
    </w:tbl>
    <w:p>
      <w:pPr>
        <w:pStyle w:val="BodyText"/>
        <w:spacing w:line="240" w:lineRule="auto" w:before="70"/>
        <w:ind w:right="0"/>
        <w:jc w:val="left"/>
      </w:pPr>
      <w:r>
        <w:rPr/>
        <w:t>实际控制人报告期内变更</w:t>
      </w:r>
    </w:p>
    <w:p>
      <w:pPr>
        <w:pStyle w:val="BodyText"/>
        <w:spacing w:line="348" w:lineRule="auto" w:before="11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11"/>
        <w:rPr>
          <w:rFonts w:ascii="宋体" w:hAnsi="宋体" w:cs="宋体" w:eastAsia="宋体" w:hint="default"/>
          <w:sz w:val="24"/>
          <w:szCs w:val="24"/>
        </w:rPr>
      </w:pPr>
    </w:p>
    <w:p>
      <w:pPr>
        <w:spacing w:line="3765" w:lineRule="exact"/>
        <w:ind w:left="1356" w:right="0" w:firstLine="0"/>
        <w:rPr>
          <w:rFonts w:ascii="宋体" w:hAnsi="宋体" w:cs="宋体" w:eastAsia="宋体" w:hint="default"/>
          <w:sz w:val="20"/>
          <w:szCs w:val="20"/>
        </w:rPr>
      </w:pPr>
      <w:r>
        <w:rPr>
          <w:rFonts w:ascii="宋体" w:hAnsi="宋体" w:cs="宋体" w:eastAsia="宋体" w:hint="default"/>
          <w:position w:val="-74"/>
          <w:sz w:val="20"/>
          <w:szCs w:val="20"/>
        </w:rPr>
        <w:drawing>
          <wp:inline distT="0" distB="0" distL="0" distR="0">
            <wp:extent cx="4591735" cy="2390775"/>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0" cstate="print"/>
                    <a:stretch>
                      <a:fillRect/>
                    </a:stretch>
                  </pic:blipFill>
                  <pic:spPr>
                    <a:xfrm>
                      <a:off x="0" y="0"/>
                      <a:ext cx="4591735" cy="2390775"/>
                    </a:xfrm>
                    <a:prstGeom prst="rect">
                      <a:avLst/>
                    </a:prstGeom>
                  </pic:spPr>
                </pic:pic>
              </a:graphicData>
            </a:graphic>
          </wp:inline>
        </w:drawing>
      </w:r>
      <w:r>
        <w:rPr>
          <w:rFonts w:ascii="宋体" w:hAnsi="宋体" w:cs="宋体" w:eastAsia="宋体" w:hint="default"/>
          <w:position w:val="-74"/>
          <w:sz w:val="20"/>
          <w:szCs w:val="20"/>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spacing w:before="0"/>
        <w:ind w:left="152" w:right="0" w:firstLine="0"/>
        <w:jc w:val="left"/>
        <w:rPr>
          <w:rFonts w:ascii="等线" w:hAnsi="等线" w:cs="等线" w:eastAsia="等线" w:hint="default"/>
          <w:sz w:val="24"/>
          <w:szCs w:val="24"/>
        </w:rPr>
      </w:pPr>
      <w:r>
        <w:rPr>
          <w:rFonts w:ascii="等线" w:hAnsi="等线" w:cs="等线" w:eastAsia="等线" w:hint="default"/>
          <w:sz w:val="24"/>
          <w:szCs w:val="24"/>
        </w:rPr>
        <w:t>实际控制人通过信托或其他资产管理方式控制公司</w:t>
      </w:r>
    </w:p>
    <w:p>
      <w:pPr>
        <w:spacing w:line="240" w:lineRule="auto" w:before="10"/>
        <w:rPr>
          <w:rFonts w:ascii="等线" w:hAnsi="等线" w:cs="等线" w:eastAsia="等线" w:hint="default"/>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285" w:right="0"/>
        <w:jc w:val="left"/>
        <w:rPr>
          <w:b w:val="0"/>
          <w:bCs w:val="0"/>
        </w:rPr>
      </w:pPr>
      <w:bookmarkStart w:name="_bookmark6" w:id="7"/>
      <w:bookmarkEnd w:id="7"/>
      <w:r>
        <w:rPr>
          <w:b w:val="0"/>
          <w:bCs w:val="0"/>
        </w:rPr>
      </w:r>
      <w:r>
        <w:rPr/>
        <w:t>第七节</w:t>
      </w:r>
      <w:r>
        <w:rPr>
          <w:spacing w:val="-6"/>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76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679" w:right="0"/>
        <w:jc w:val="left"/>
        <w:rPr>
          <w:b w:val="0"/>
          <w:bCs w:val="0"/>
        </w:rPr>
      </w:pPr>
      <w:bookmarkStart w:name="_bookmark7" w:id="8"/>
      <w:bookmarkEnd w:id="8"/>
      <w:r>
        <w:rPr>
          <w:b w:val="0"/>
          <w:bCs w:val="0"/>
        </w:rPr>
      </w:r>
      <w:r>
        <w:rPr/>
        <w:t>第八节</w:t>
      </w:r>
      <w:r>
        <w:rPr>
          <w:spacing w:val="-9"/>
        </w:rPr>
        <w:t> </w:t>
      </w:r>
      <w:r>
        <w:rPr/>
        <w:t>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457"/>
        <w:gridCol w:w="451"/>
        <w:gridCol w:w="934"/>
        <w:gridCol w:w="950"/>
        <w:gridCol w:w="1016"/>
        <w:gridCol w:w="785"/>
        <w:gridCol w:w="800"/>
        <w:gridCol w:w="833"/>
        <w:gridCol w:w="955"/>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3"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8"/>
              <w:jc w:val="right"/>
              <w:rPr>
                <w:rFonts w:ascii="宋体" w:hAnsi="宋体" w:cs="宋体" w:eastAsia="宋体" w:hint="default"/>
                <w:sz w:val="18"/>
                <w:szCs w:val="18"/>
              </w:rPr>
            </w:pPr>
            <w:r>
              <w:rPr>
                <w:rFonts w:ascii="宋体" w:hAnsi="宋体" w:cs="宋体" w:eastAsia="宋体" w:hint="default"/>
                <w:sz w:val="18"/>
                <w:szCs w:val="18"/>
              </w:rPr>
              <w:t>年龄</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83" w:right="9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90" w:right="10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6"/>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1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8" w:firstLine="28"/>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9"/>
                <w:sz w:val="18"/>
                <w:szCs w:val="18"/>
              </w:rPr>
              <w:t>变动（股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期末持股数</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6"/>
                <w:sz w:val="18"/>
                <w:szCs w:val="18"/>
              </w:rPr>
              <w:t> </w:t>
            </w:r>
            <w:r>
              <w:rPr>
                <w:rFonts w:ascii="宋体" w:hAnsi="宋体" w:cs="宋体" w:eastAsia="宋体" w:hint="default"/>
                <w:sz w:val="18"/>
                <w:szCs w:val="18"/>
              </w:rPr>
              <w:t>（股）</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董事长、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104,677,171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104,677,171</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董事、常 务副总裁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2,057,984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2,057,984</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-96,000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72,000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张跃华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马映冰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孙海法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邓鸿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薛宁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钟艳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黄洪</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48,000</w:t>
            </w: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傅德亮</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41"/>
              <w:jc w:val="both"/>
              <w:rPr>
                <w:rFonts w:ascii="宋体" w:hAnsi="宋体" w:cs="宋体" w:eastAsia="宋体" w:hint="default"/>
                <w:sz w:val="18"/>
                <w:szCs w:val="18"/>
              </w:rPr>
            </w:pPr>
            <w:r>
              <w:rPr>
                <w:rFonts w:ascii="宋体" w:hAnsi="宋体" w:cs="宋体" w:eastAsia="宋体" w:hint="default"/>
                <w:sz w:val="18"/>
                <w:szCs w:val="18"/>
              </w:rPr>
              <w:t>副总裁、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杨义仁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134,400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134,400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457"/>
        <w:gridCol w:w="451"/>
        <w:gridCol w:w="934"/>
        <w:gridCol w:w="950"/>
        <w:gridCol w:w="1016"/>
        <w:gridCol w:w="785"/>
        <w:gridCol w:w="800"/>
        <w:gridCol w:w="833"/>
        <w:gridCol w:w="955"/>
      </w:tblGrid>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黄毅</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李国政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270,400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-103,600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159,200</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麦昊天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15,000</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周青伟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493,024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-76,800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416,224</w:t>
            </w: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108,070,979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247,000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-378,400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107,445,579</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3"/>
        <w:gridCol w:w="1330"/>
        <w:gridCol w:w="4246"/>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麦昊天</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麦昊天先生因个人原因，辞去财务总监职务，不再担 任公司任何职务。</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李国政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李国政先生因个人原因，辞去副总裁职务。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许忠慈先生因公司内部工作调整，辞去董事会秘书职 务，在公司担任董事兼常务副总裁。</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周青伟</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周青伟先生因个人原因，辞去副总裁职务，担任客户 服务部总监职务。</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傅德亮</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经公司第四届董事会第十九次（临时）会议审议，同 意聘任傅德亮先生为公司副总裁兼董事会秘书。</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张忠</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经公司第四届董事会第十九次（临时）会议审议，同 意聘任张忠先生为公司副总裁。</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黄毅</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0"/>
              <w:jc w:val="left"/>
              <w:rPr>
                <w:rFonts w:ascii="宋体" w:hAnsi="宋体" w:cs="宋体" w:eastAsia="宋体" w:hint="default"/>
                <w:sz w:val="18"/>
                <w:szCs w:val="18"/>
              </w:rPr>
            </w:pPr>
            <w:r>
              <w:rPr>
                <w:rFonts w:ascii="宋体" w:hAnsi="宋体" w:cs="宋体" w:eastAsia="宋体" w:hint="default"/>
                <w:sz w:val="18"/>
                <w:szCs w:val="18"/>
              </w:rPr>
              <w:t>经公司第四届董事会第十九次（临时）会议审议，同 意聘任黄毅先生为公司财务总监。</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三、任职情况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pStyle w:val="BodyText"/>
        <w:spacing w:line="316" w:lineRule="auto" w:before="115"/>
        <w:ind w:left="441" w:right="4265" w:hanging="72"/>
        <w:jc w:val="left"/>
      </w:pPr>
      <w:r>
        <w:rPr/>
        <w:t>（一）现任董事简介 公司现有董事</w:t>
      </w:r>
      <w:r>
        <w:rPr>
          <w:rFonts w:ascii="Times New Roman" w:hAnsi="Times New Roman" w:cs="Times New Roman" w:eastAsia="Times New Roman" w:hint="default"/>
        </w:rPr>
        <w:t>7</w:t>
      </w:r>
      <w:r>
        <w:rPr/>
        <w:t>名，任期至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日，各位董事的简介如下：</w:t>
      </w:r>
    </w:p>
    <w:p>
      <w:pPr>
        <w:pStyle w:val="BodyText"/>
        <w:spacing w:line="300" w:lineRule="auto"/>
        <w:ind w:right="155" w:firstLine="288"/>
        <w:jc w:val="both"/>
      </w:pPr>
      <w:r>
        <w:rPr>
          <w:spacing w:val="-1"/>
        </w:rPr>
        <w:t>曾胜强：男，</w:t>
      </w:r>
      <w:r>
        <w:rPr>
          <w:rFonts w:ascii="Times New Roman" w:hAnsi="Times New Roman" w:cs="Times New Roman" w:eastAsia="Times New Roman" w:hint="default"/>
          <w:spacing w:val="-1"/>
        </w:rPr>
        <w:t>55</w:t>
      </w:r>
      <w:r>
        <w:rPr>
          <w:spacing w:val="-1"/>
        </w:rPr>
        <w:t>岁，研究生学历，中国国籍，无境外永久居留权。曾任湖南省建南机器厂研发部经理、深圳市建博公司</w:t>
      </w:r>
      <w:r>
        <w:rPr/>
        <w:t> 总经理，</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9</w:t>
      </w:r>
      <w:r>
        <w:rPr/>
        <w:t>月创建深圳市证通电子有限公司。现任公司董事长兼总裁，主持公司全面工作。</w:t>
      </w:r>
    </w:p>
    <w:p>
      <w:pPr>
        <w:pStyle w:val="BodyText"/>
        <w:spacing w:line="309" w:lineRule="auto" w:before="13"/>
        <w:ind w:right="152" w:firstLine="288"/>
        <w:jc w:val="both"/>
      </w:pPr>
      <w:r>
        <w:rPr>
          <w:spacing w:val="-1"/>
        </w:rPr>
        <w:t>许忠慈：男，</w:t>
      </w:r>
      <w:r>
        <w:rPr>
          <w:rFonts w:ascii="Times New Roman" w:hAnsi="Times New Roman" w:cs="Times New Roman" w:eastAsia="Times New Roman" w:hint="default"/>
          <w:spacing w:val="-1"/>
        </w:rPr>
        <w:t>61</w:t>
      </w:r>
      <w:r>
        <w:rPr>
          <w:spacing w:val="-1"/>
        </w:rPr>
        <w:t>岁，本科学历，中国国籍，无境外永久居留权。高级工程师。曾任湖南省古丈县邮电局局长，广东省东</w:t>
      </w:r>
      <w:r>
        <w:rPr/>
        <w:t> </w:t>
      </w:r>
      <w:r>
        <w:rPr>
          <w:spacing w:val="-2"/>
        </w:rPr>
        <w:t>莞市市内电话局局长，广东省电信实业集团东莞市有限公司总经理。现任公司董事、常务副总裁、协助总裁管理公司日常经</w:t>
      </w:r>
      <w:r>
        <w:rPr>
          <w:spacing w:val="-64"/>
        </w:rPr>
        <w:t> </w:t>
      </w:r>
      <w:r>
        <w:rPr>
          <w:spacing w:val="-64"/>
        </w:rPr>
      </w:r>
      <w:r>
        <w:rPr/>
        <w:t>营工作、分管</w:t>
      </w:r>
      <w:r>
        <w:rPr>
          <w:rFonts w:ascii="Times New Roman" w:hAnsi="Times New Roman" w:cs="Times New Roman" w:eastAsia="Times New Roman" w:hint="default"/>
        </w:rPr>
        <w:t>IDC</w:t>
      </w:r>
      <w:r>
        <w:rPr/>
        <w:t>业务。</w:t>
      </w:r>
    </w:p>
    <w:p>
      <w:pPr>
        <w:pStyle w:val="BodyText"/>
        <w:spacing w:line="240" w:lineRule="auto" w:before="5"/>
        <w:ind w:left="441" w:right="0"/>
        <w:jc w:val="left"/>
      </w:pPr>
      <w:r>
        <w:rPr/>
        <w:t>方进：男，</w:t>
      </w:r>
      <w:r>
        <w:rPr>
          <w:rFonts w:ascii="Times New Roman" w:hAnsi="Times New Roman" w:cs="Times New Roman" w:eastAsia="Times New Roman" w:hint="default"/>
        </w:rPr>
        <w:t>40</w:t>
      </w:r>
      <w:r>
        <w:rPr/>
        <w:t>岁，本科学历，中国国籍，无境外永久居留权。曾任江苏泛太科技有限公司总经理；深圳市证通数码科技</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left="441" w:right="255" w:hanging="289"/>
        <w:jc w:val="left"/>
      </w:pPr>
      <w:r>
        <w:rPr/>
        <w:t>有限公司副总经理，公司总经理助理职务。现任公司董事、副总裁，自助设备事业部总经理。 张跃华：男，</w:t>
      </w:r>
      <w:r>
        <w:rPr>
          <w:rFonts w:ascii="Times New Roman" w:hAnsi="Times New Roman" w:cs="Times New Roman" w:eastAsia="Times New Roman" w:hint="default"/>
        </w:rPr>
        <w:t>54</w:t>
      </w:r>
      <w:r>
        <w:rPr/>
        <w:t>岁，博士学历，中国国籍，无境外永久居留权。高级职业经理人。</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8</w:t>
      </w:r>
      <w:r>
        <w:rPr/>
        <w:t>月加入深圳安华集团公司，</w:t>
      </w:r>
    </w:p>
    <w:p>
      <w:pPr>
        <w:pStyle w:val="BodyText"/>
        <w:spacing w:line="316" w:lineRule="auto"/>
        <w:ind w:right="178"/>
        <w:jc w:val="left"/>
      </w:pPr>
      <w:r>
        <w:rPr>
          <w:spacing w:val="-2"/>
        </w:rPr>
        <w:t>任副总经理、总经理，现任深圳市安华企业发展有限公司执行董事、总经理，深圳市长商投资管理有限公司执行董事，深圳</w:t>
      </w:r>
      <w:r>
        <w:rPr>
          <w:spacing w:val="-67"/>
        </w:rPr>
        <w:t> </w:t>
      </w:r>
      <w:r>
        <w:rPr>
          <w:spacing w:val="-67"/>
        </w:rPr>
      </w:r>
      <w:r>
        <w:rPr/>
        <w:t>市警业实业发展有限公司董事、湘华华松房地产开发有限公司、深圳市长沙商会会长，本公司董事。</w:t>
      </w:r>
    </w:p>
    <w:p>
      <w:pPr>
        <w:pStyle w:val="BodyText"/>
        <w:spacing w:line="300" w:lineRule="auto" w:before="19"/>
        <w:ind w:right="178" w:firstLine="288"/>
        <w:jc w:val="left"/>
      </w:pPr>
      <w:r>
        <w:rPr>
          <w:spacing w:val="-1"/>
        </w:rPr>
        <w:t>马映冰：男，</w:t>
      </w:r>
      <w:r>
        <w:rPr>
          <w:rFonts w:ascii="Times New Roman" w:hAnsi="Times New Roman" w:cs="Times New Roman" w:eastAsia="Times New Roman" w:hint="default"/>
          <w:spacing w:val="-1"/>
        </w:rPr>
        <w:t>49</w:t>
      </w:r>
      <w:r>
        <w:rPr>
          <w:spacing w:val="-1"/>
        </w:rPr>
        <w:t>岁，研究生学历，中国国籍，无境外永久居留权。曾任甲骨文（中国）软件系统有限公司华南区区域经</w:t>
      </w:r>
      <w:r>
        <w:rPr/>
        <w:t> 理，科森信息科技（亚洲）有限公司华南区总经理。现任文思海辉技术有限公司副总裁，本公司独立董事。</w:t>
      </w:r>
    </w:p>
    <w:p>
      <w:pPr>
        <w:pStyle w:val="BodyText"/>
        <w:spacing w:line="309" w:lineRule="auto" w:before="31"/>
        <w:ind w:right="191" w:firstLine="288"/>
        <w:jc w:val="both"/>
      </w:pPr>
      <w:r>
        <w:rPr>
          <w:spacing w:val="-3"/>
        </w:rPr>
        <w:t>孙海法：男，</w:t>
      </w:r>
      <w:r>
        <w:rPr>
          <w:rFonts w:ascii="Times New Roman" w:hAnsi="Times New Roman" w:cs="Times New Roman" w:eastAsia="Times New Roman" w:hint="default"/>
          <w:spacing w:val="-3"/>
        </w:rPr>
        <w:t>62</w:t>
      </w:r>
      <w:r>
        <w:rPr>
          <w:spacing w:val="-3"/>
        </w:rPr>
        <w:t>岁，博士学历，教授，博士生导师，中国国籍，无境外永久居留权。</w:t>
      </w:r>
      <w:r>
        <w:rPr>
          <w:rFonts w:ascii="Times New Roman" w:hAnsi="Times New Roman" w:cs="Times New Roman" w:eastAsia="Times New Roman" w:hint="default"/>
          <w:spacing w:val="-3"/>
        </w:rPr>
        <w:t>2000</w:t>
      </w:r>
      <w:r>
        <w:rPr>
          <w:rFonts w:ascii="Times New Roman" w:hAnsi="Times New Roman" w:cs="Times New Roman" w:eastAsia="Times New Roman" w:hint="default"/>
          <w:spacing w:val="15"/>
        </w:rPr>
        <w:t> </w:t>
      </w:r>
      <w:r>
        <w:rPr/>
        <w:t>年至今任职于中山大学管理学 </w:t>
      </w:r>
      <w:r>
        <w:rPr>
          <w:spacing w:val="-2"/>
        </w:rPr>
        <w:t>院，曾任工商管理系副主任，主任，现任人力资源开发与管理研究中心主任，广东省人社厅顾问，广东省组织与人力资源管</w:t>
      </w:r>
      <w:r>
        <w:rPr>
          <w:spacing w:val="-67"/>
        </w:rPr>
        <w:t> </w:t>
      </w:r>
      <w:r>
        <w:rPr>
          <w:spacing w:val="-67"/>
        </w:rPr>
      </w:r>
      <w:r>
        <w:rPr/>
        <w:t>理学会会长，本公司独立董事。</w:t>
      </w:r>
    </w:p>
    <w:p>
      <w:pPr>
        <w:pStyle w:val="BodyText"/>
        <w:spacing w:line="300" w:lineRule="auto" w:before="24"/>
        <w:ind w:right="93" w:firstLine="288"/>
        <w:jc w:val="left"/>
      </w:pPr>
      <w:r>
        <w:rPr/>
        <w:t>邓鸿：男，</w:t>
      </w:r>
      <w:r>
        <w:rPr>
          <w:rFonts w:ascii="Times New Roman" w:hAnsi="Times New Roman" w:cs="Times New Roman" w:eastAsia="Times New Roman" w:hint="default"/>
        </w:rPr>
        <w:t>54</w:t>
      </w:r>
      <w:r>
        <w:rPr/>
        <w:t>岁，研究生学历，中国国籍，无境外永久居留权。注册会计师。曾任中磊会计师事务所深圳分所合伙人、 深圳正一会计师事务所合伙人、亚太</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t>会计师事务所深圳分所合伙人，深圳市联建光电股份有限公司独立董事。现任本 公司独立董事。</w:t>
      </w:r>
    </w:p>
    <w:p>
      <w:pPr>
        <w:pStyle w:val="BodyText"/>
        <w:spacing w:line="319" w:lineRule="auto" w:before="31"/>
        <w:ind w:left="441" w:right="4305" w:hanging="289"/>
        <w:jc w:val="left"/>
      </w:pPr>
      <w:r>
        <w:rPr/>
        <w:t>（二）监事简介 公司现有监事</w:t>
      </w:r>
      <w:r>
        <w:rPr>
          <w:rFonts w:ascii="Times New Roman" w:hAnsi="Times New Roman" w:cs="Times New Roman" w:eastAsia="Times New Roman" w:hint="default"/>
        </w:rPr>
        <w:t>3</w:t>
      </w:r>
      <w:r>
        <w:rPr/>
        <w:t>名，任期至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日，各位监事的简介如下：</w:t>
      </w:r>
    </w:p>
    <w:p>
      <w:pPr>
        <w:pStyle w:val="BodyText"/>
        <w:spacing w:line="300" w:lineRule="auto"/>
        <w:ind w:right="178" w:firstLine="288"/>
        <w:jc w:val="left"/>
      </w:pPr>
      <w:r>
        <w:rPr>
          <w:spacing w:val="-1"/>
        </w:rPr>
        <w:t>薛宁：男，</w:t>
      </w:r>
      <w:r>
        <w:rPr>
          <w:rFonts w:ascii="Times New Roman" w:hAnsi="Times New Roman" w:cs="Times New Roman" w:eastAsia="Times New Roman" w:hint="default"/>
          <w:spacing w:val="-1"/>
        </w:rPr>
        <w:t>38</w:t>
      </w:r>
      <w:r>
        <w:rPr>
          <w:spacing w:val="-1"/>
        </w:rPr>
        <w:t>岁，大专学历，中国国籍，无境外永久居留权。曾任公司自助产品线总监、华北分公司总经理、大客户部</w:t>
      </w:r>
      <w:r>
        <w:rPr/>
        <w:t> 总经理、市场总监、营销总监，现任深圳市证通云计算有限公司副总经理，监事会主席。</w:t>
      </w:r>
    </w:p>
    <w:p>
      <w:pPr>
        <w:pStyle w:val="BodyText"/>
        <w:spacing w:line="300" w:lineRule="auto" w:before="31"/>
        <w:ind w:right="178" w:firstLine="288"/>
        <w:jc w:val="left"/>
      </w:pPr>
      <w:r>
        <w:rPr>
          <w:spacing w:val="-1"/>
        </w:rPr>
        <w:t>钟艳：女，</w:t>
      </w:r>
      <w:r>
        <w:rPr>
          <w:rFonts w:ascii="Times New Roman" w:hAnsi="Times New Roman" w:cs="Times New Roman" w:eastAsia="Times New Roman" w:hint="default"/>
          <w:spacing w:val="-1"/>
        </w:rPr>
        <w:t>39</w:t>
      </w:r>
      <w:r>
        <w:rPr>
          <w:spacing w:val="-1"/>
        </w:rPr>
        <w:t>岁，，中国大陆国籍，公共关系专科学历。</w:t>
      </w:r>
      <w:r>
        <w:rPr>
          <w:rFonts w:ascii="Times New Roman" w:hAnsi="Times New Roman" w:cs="Times New Roman" w:eastAsia="Times New Roman" w:hint="default"/>
          <w:spacing w:val="-1"/>
        </w:rPr>
        <w:t>2007</w:t>
      </w:r>
      <w:r>
        <w:rPr>
          <w:spacing w:val="-1"/>
        </w:rPr>
        <w:t>年</w:t>
      </w:r>
      <w:r>
        <w:rPr>
          <w:rFonts w:ascii="Times New Roman" w:hAnsi="Times New Roman" w:cs="Times New Roman" w:eastAsia="Times New Roman" w:hint="default"/>
          <w:spacing w:val="-1"/>
        </w:rPr>
        <w:t>10</w:t>
      </w:r>
      <w:r>
        <w:rPr>
          <w:spacing w:val="-1"/>
        </w:rPr>
        <w:t>月至今就职于深圳市证通电子股份公司，曾任公司研</w:t>
      </w:r>
      <w:r>
        <w:rPr/>
        <w:t> 发管理部主管，现任公司安全支付事业部主管、监事。</w:t>
      </w:r>
    </w:p>
    <w:p>
      <w:pPr>
        <w:pStyle w:val="BodyText"/>
        <w:spacing w:line="300" w:lineRule="auto" w:before="31"/>
        <w:ind w:right="178" w:firstLine="288"/>
        <w:jc w:val="left"/>
      </w:pPr>
      <w:r>
        <w:rPr>
          <w:spacing w:val="-1"/>
        </w:rPr>
        <w:t>黄洪：男，</w:t>
      </w:r>
      <w:r>
        <w:rPr>
          <w:rFonts w:ascii="Times New Roman" w:hAnsi="Times New Roman" w:cs="Times New Roman" w:eastAsia="Times New Roman" w:hint="default"/>
          <w:spacing w:val="-1"/>
        </w:rPr>
        <w:t>61</w:t>
      </w:r>
      <w:r>
        <w:rPr>
          <w:spacing w:val="-1"/>
        </w:rPr>
        <w:t>岁，本科学历，工程师，中国国籍，无境外永久居留权。曾任公司总工程师、研发部经理、技术顾问等职</w:t>
      </w:r>
      <w:r>
        <w:rPr/>
        <w:t> 务，现任公司职工代表监事。</w:t>
      </w:r>
    </w:p>
    <w:p>
      <w:pPr>
        <w:pStyle w:val="BodyText"/>
        <w:spacing w:line="314" w:lineRule="auto" w:before="31"/>
        <w:ind w:left="441" w:right="2865" w:hanging="289"/>
        <w:jc w:val="left"/>
      </w:pPr>
      <w:r>
        <w:rPr/>
        <w:t>（三）高级管理人员简介 公司现有高级管理人员</w:t>
      </w:r>
      <w:r>
        <w:rPr>
          <w:rFonts w:ascii="Times New Roman" w:hAnsi="Times New Roman" w:cs="Times New Roman" w:eastAsia="Times New Roman" w:hint="default"/>
        </w:rPr>
        <w:t>8</w:t>
      </w:r>
      <w:r>
        <w:rPr/>
        <w:t>名，任期至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日，各位高级管理人员的简介如下： 曾胜强：总裁，简历参见现任董事简介中介绍。 许忠慈：常务副总裁，简历参见现任董事简介中介绍。 方进：副总裁，简历参见现任董事简介中介绍。</w:t>
      </w:r>
    </w:p>
    <w:p>
      <w:pPr>
        <w:pStyle w:val="BodyText"/>
        <w:spacing w:line="300" w:lineRule="auto" w:before="21"/>
        <w:ind w:right="178" w:firstLine="288"/>
        <w:jc w:val="left"/>
      </w:pPr>
      <w:r>
        <w:rPr>
          <w:spacing w:val="-1"/>
        </w:rPr>
        <w:t>张锦鸿：男，</w:t>
      </w:r>
      <w:r>
        <w:rPr>
          <w:rFonts w:ascii="Times New Roman" w:hAnsi="Times New Roman" w:cs="Times New Roman" w:eastAsia="Times New Roman" w:hint="default"/>
          <w:spacing w:val="-1"/>
        </w:rPr>
        <w:t>49</w:t>
      </w:r>
      <w:r>
        <w:rPr>
          <w:spacing w:val="-1"/>
        </w:rPr>
        <w:t>岁，本科学历，工程师，中国国籍，无境外永久居留权。</w:t>
      </w:r>
      <w:r>
        <w:rPr>
          <w:rFonts w:ascii="Times New Roman" w:hAnsi="Times New Roman" w:cs="Times New Roman" w:eastAsia="Times New Roman" w:hint="default"/>
          <w:spacing w:val="-1"/>
        </w:rPr>
        <w:t>2000</w:t>
      </w:r>
      <w:r>
        <w:rPr>
          <w:spacing w:val="-1"/>
        </w:rPr>
        <w:t>年</w:t>
      </w:r>
      <w:r>
        <w:rPr>
          <w:rFonts w:ascii="Times New Roman" w:hAnsi="Times New Roman" w:cs="Times New Roman" w:eastAsia="Times New Roman" w:hint="default"/>
          <w:spacing w:val="-1"/>
        </w:rPr>
        <w:t>5</w:t>
      </w:r>
      <w:r>
        <w:rPr>
          <w:spacing w:val="-1"/>
        </w:rPr>
        <w:t>月后至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4</w:t>
      </w:r>
      <w:r>
        <w:rPr>
          <w:spacing w:val="-1"/>
        </w:rPr>
        <w:t>月在云南南天电子信息</w:t>
      </w:r>
      <w:r>
        <w:rPr/>
        <w:t> 产业股份有限公司任职，历任董事，副总裁，总裁，副董事长。现任公司副总裁兼金融服务事业部总经理。</w:t>
      </w:r>
    </w:p>
    <w:p>
      <w:pPr>
        <w:pStyle w:val="BodyText"/>
        <w:spacing w:line="300" w:lineRule="auto" w:before="31"/>
        <w:ind w:right="191" w:firstLine="288"/>
        <w:jc w:val="both"/>
      </w:pPr>
      <w:r>
        <w:rPr>
          <w:spacing w:val="-2"/>
        </w:rPr>
        <w:t>杨义仁：男，</w:t>
      </w:r>
      <w:r>
        <w:rPr>
          <w:rFonts w:ascii="Times New Roman" w:hAnsi="Times New Roman" w:cs="Times New Roman" w:eastAsia="Times New Roman" w:hint="default"/>
          <w:spacing w:val="-2"/>
        </w:rPr>
        <w:t>47</w:t>
      </w:r>
      <w:r>
        <w:rPr>
          <w:spacing w:val="-2"/>
        </w:rPr>
        <w:t>岁，硕士研究生学历，高级工程师。</w:t>
      </w:r>
      <w:r>
        <w:rPr>
          <w:rFonts w:ascii="Times New Roman" w:hAnsi="Times New Roman" w:cs="Times New Roman" w:eastAsia="Times New Roman" w:hint="default"/>
          <w:spacing w:val="-2"/>
        </w:rPr>
        <w:t>2010</w:t>
      </w:r>
      <w:r>
        <w:rPr>
          <w:spacing w:val="-2"/>
        </w:rPr>
        <w:t>年出任中通服软件科技有限公司总经理；</w:t>
      </w:r>
      <w:r>
        <w:rPr>
          <w:rFonts w:ascii="Times New Roman" w:hAnsi="Times New Roman" w:cs="Times New Roman" w:eastAsia="Times New Roman" w:hint="default"/>
          <w:spacing w:val="-2"/>
        </w:rPr>
        <w:t>2011</w:t>
      </w:r>
      <w:r>
        <w:rPr>
          <w:rFonts w:ascii="Times New Roman" w:hAnsi="Times New Roman" w:cs="Times New Roman" w:eastAsia="Times New Roman" w:hint="default"/>
          <w:spacing w:val="44"/>
        </w:rPr>
        <w:t> </w:t>
      </w:r>
      <w:r>
        <w:rPr>
          <w:spacing w:val="-1"/>
        </w:rPr>
        <w:t>年担任广东省通</w:t>
      </w:r>
      <w:r>
        <w:rPr/>
        <w:t> 信产业服务有限公司信息中心主任，</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月至今担任广东宏达通信有限公司总经理兼董事。现任公司副总裁，</w:t>
      </w:r>
      <w:r>
        <w:rPr>
          <w:rFonts w:ascii="Times New Roman" w:hAnsi="Times New Roman" w:cs="Times New Roman" w:eastAsia="Times New Roman" w:hint="default"/>
        </w:rPr>
        <w:t>IDC</w:t>
      </w:r>
      <w:r>
        <w:rPr/>
        <w:t>云计 算事业部总经理。</w:t>
      </w:r>
    </w:p>
    <w:p>
      <w:pPr>
        <w:pStyle w:val="BodyText"/>
        <w:spacing w:line="300" w:lineRule="auto" w:before="31"/>
        <w:ind w:right="93" w:firstLine="288"/>
        <w:jc w:val="left"/>
      </w:pPr>
      <w:r>
        <w:rPr>
          <w:spacing w:val="-4"/>
        </w:rPr>
        <w:t>傅德亮：男，硕士研究生学历，</w:t>
      </w:r>
      <w:r>
        <w:rPr>
          <w:rFonts w:ascii="Times New Roman" w:hAnsi="Times New Roman" w:cs="Times New Roman" w:eastAsia="Times New Roman" w:hint="default"/>
          <w:spacing w:val="-4"/>
        </w:rPr>
        <w:t>55</w:t>
      </w:r>
      <w:r>
        <w:rPr>
          <w:spacing w:val="-4"/>
        </w:rPr>
        <w:t>岁，中国大陆国籍，无永久境外居留权。</w:t>
      </w:r>
      <w:r>
        <w:rPr>
          <w:rFonts w:ascii="Times New Roman" w:hAnsi="Times New Roman" w:cs="Times New Roman" w:eastAsia="Times New Roman" w:hint="default"/>
          <w:spacing w:val="-4"/>
        </w:rPr>
        <w:t>1989</w:t>
      </w:r>
      <w:r>
        <w:rPr>
          <w:spacing w:val="-4"/>
        </w:rPr>
        <w:t>年毕业于湖南大学计算机应用专业。</w:t>
      </w:r>
      <w:r>
        <w:rPr>
          <w:rFonts w:ascii="Times New Roman" w:hAnsi="Times New Roman" w:cs="Times New Roman" w:eastAsia="Times New Roman" w:hint="default"/>
          <w:spacing w:val="-4"/>
        </w:rPr>
        <w:t>2007</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6</w:t>
      </w:r>
      <w:r>
        <w:rPr>
          <w:spacing w:val="-2"/>
        </w:rPr>
        <w:t>月，就职云南南天信息产业股份有限公司，任总裁特别助理；</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月，就职公司全资子公司</w:t>
      </w:r>
      <w:r>
        <w:rPr>
          <w:spacing w:val="-53"/>
        </w:rPr>
        <w:t> </w:t>
      </w:r>
      <w:r>
        <w:rPr>
          <w:spacing w:val="-53"/>
        </w:rPr>
      </w:r>
      <w:r>
        <w:rPr>
          <w:spacing w:val="-4"/>
        </w:rPr>
        <w:t>广州证通网络科技有限公司任总经理；于</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10</w:t>
      </w:r>
      <w:r>
        <w:rPr>
          <w:spacing w:val="-4"/>
        </w:rPr>
        <w:t>月参加深交所董事会秘书培训并获董事会秘书任职资格，现任公司副总裁、</w:t>
      </w:r>
      <w:r>
        <w:rPr>
          <w:spacing w:val="-34"/>
        </w:rPr>
        <w:t> </w:t>
      </w:r>
      <w:r>
        <w:rPr>
          <w:spacing w:val="-34"/>
        </w:rPr>
      </w:r>
      <w:r>
        <w:rPr/>
        <w:t>董事会秘书。</w:t>
      </w:r>
    </w:p>
    <w:p>
      <w:pPr>
        <w:pStyle w:val="BodyText"/>
        <w:spacing w:line="300" w:lineRule="auto" w:before="31"/>
        <w:ind w:right="178" w:firstLine="288"/>
        <w:jc w:val="left"/>
      </w:pPr>
      <w:r>
        <w:rPr>
          <w:spacing w:val="-1"/>
        </w:rPr>
        <w:t>张忠：男，</w:t>
      </w:r>
      <w:r>
        <w:rPr>
          <w:rFonts w:ascii="Times New Roman" w:hAnsi="Times New Roman" w:cs="Times New Roman" w:eastAsia="Times New Roman" w:hint="default"/>
          <w:spacing w:val="-1"/>
        </w:rPr>
        <w:t>48</w:t>
      </w:r>
      <w:r>
        <w:rPr>
          <w:spacing w:val="-1"/>
        </w:rPr>
        <w:t>岁，大专学历，中国大陆国籍，无永久境外居留权。</w:t>
      </w:r>
      <w:r>
        <w:rPr>
          <w:rFonts w:ascii="Times New Roman" w:hAnsi="Times New Roman" w:cs="Times New Roman" w:eastAsia="Times New Roman" w:hint="default"/>
          <w:spacing w:val="-1"/>
        </w:rPr>
        <w:t>1991</w:t>
      </w:r>
      <w:r>
        <w:rPr>
          <w:spacing w:val="-1"/>
        </w:rPr>
        <w:t>年毕业于长沙铁道学院（现中南大学）工业企业</w:t>
      </w:r>
      <w:r>
        <w:rPr/>
        <w:t> 管理专业，</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月任公司销售经理职务，</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月，任公司总部销售总经理职务；</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 </w:t>
      </w:r>
      <w:r>
        <w:rPr/>
        <w:t>月至今，任公司全资子公司证通佳明总经理职务，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w:t>
      </w:r>
      <w:r>
        <w:rPr/>
        <w:t>月至今，任</w:t>
      </w:r>
      <w:r>
        <w:rPr>
          <w:rFonts w:ascii="Times New Roman" w:hAnsi="Times New Roman" w:cs="Times New Roman" w:eastAsia="Times New Roman" w:hint="default"/>
        </w:rPr>
        <w:t>LED</w:t>
      </w:r>
      <w:r>
        <w:rPr/>
        <w:t>照明事业部总经理，现任公司副总裁。</w:t>
      </w:r>
    </w:p>
    <w:p>
      <w:pPr>
        <w:pStyle w:val="BodyText"/>
        <w:spacing w:line="309" w:lineRule="auto" w:before="13"/>
        <w:ind w:right="107" w:firstLine="288"/>
        <w:jc w:val="both"/>
      </w:pPr>
      <w:r>
        <w:rPr>
          <w:spacing w:val="-4"/>
        </w:rPr>
        <w:t>黄毅：男，</w:t>
      </w:r>
      <w:r>
        <w:rPr>
          <w:rFonts w:ascii="Times New Roman" w:hAnsi="Times New Roman" w:cs="Times New Roman" w:eastAsia="Times New Roman" w:hint="default"/>
          <w:spacing w:val="-4"/>
        </w:rPr>
        <w:t>42</w:t>
      </w:r>
      <w:r>
        <w:rPr>
          <w:spacing w:val="-4"/>
        </w:rPr>
        <w:t>岁，硕士研究生学历，中国大陆国籍，无永久境外居留权。</w:t>
      </w:r>
      <w:r>
        <w:rPr>
          <w:rFonts w:ascii="Times New Roman" w:hAnsi="Times New Roman" w:cs="Times New Roman" w:eastAsia="Times New Roman" w:hint="default"/>
          <w:spacing w:val="-4"/>
        </w:rPr>
        <w:t>1998</w:t>
      </w:r>
      <w:r>
        <w:rPr>
          <w:spacing w:val="-4"/>
        </w:rPr>
        <w:t>年毕业于湖南财经学院财务管理专业，</w:t>
      </w:r>
      <w:r>
        <w:rPr>
          <w:rFonts w:ascii="Times New Roman" w:hAnsi="Times New Roman" w:cs="Times New Roman" w:eastAsia="Times New Roman" w:hint="default"/>
          <w:spacing w:val="-4"/>
        </w:rPr>
        <w:t>2015</w:t>
      </w:r>
      <w:r>
        <w:rPr>
          <w:rFonts w:ascii="Times New Roman" w:hAnsi="Times New Roman" w:cs="Times New Roman" w:eastAsia="Times New Roman" w:hint="default"/>
        </w:rPr>
        <w:t> </w:t>
      </w:r>
      <w:r>
        <w:rPr>
          <w:spacing w:val="-5"/>
        </w:rPr>
        <w:t>年毕业于上海财经大学工商管理专业，获硕士研究生学历，拥有中国注册会计师。曾任彩乐糖果（东莞）有限公司副总经理、</w:t>
      </w:r>
      <w:r>
        <w:rPr>
          <w:spacing w:val="-80"/>
        </w:rPr>
        <w:t> </w:t>
      </w:r>
      <w:r>
        <w:rPr>
          <w:spacing w:val="-80"/>
        </w:rPr>
      </w:r>
      <w:r>
        <w:rPr/>
        <w:t>深圳左右家私有限公司、深圳市讯方技术股份有限公司、深圳市桑格尔科技股份有限公司财务总监，现任本公司财务总监。</w:t>
      </w:r>
    </w:p>
    <w:p>
      <w:pPr>
        <w:pStyle w:val="BodyText"/>
        <w:spacing w:line="240" w:lineRule="auto" w:before="65"/>
        <w:ind w:right="6754"/>
        <w:jc w:val="left"/>
      </w:pPr>
      <w:r>
        <w:rPr/>
        <w:t>在股东单位任职情况</w:t>
      </w:r>
    </w:p>
    <w:p>
      <w:pPr>
        <w:pStyle w:val="BodyText"/>
        <w:spacing w:line="340" w:lineRule="auto" w:before="115"/>
        <w:ind w:right="81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在其他单位任职情况</w:t>
      </w:r>
    </w:p>
    <w:p>
      <w:pPr>
        <w:pStyle w:val="BodyText"/>
        <w:spacing w:line="240" w:lineRule="auto" w:before="41"/>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pgSz w:w="11910" w:h="16840"/>
          <w:pgMar w:header="745" w:footer="980"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深圳市证通金信科技有限公司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49"/>
              <w:ind w:left="24" w:right="-34"/>
              <w:jc w:val="left"/>
              <w:rPr>
                <w:rFonts w:ascii="宋体" w:hAnsi="宋体" w:cs="宋体" w:eastAsia="宋体" w:hint="default"/>
                <w:sz w:val="18"/>
                <w:szCs w:val="18"/>
              </w:rPr>
            </w:pPr>
            <w:r>
              <w:rPr>
                <w:rFonts w:ascii="宋体" w:hAnsi="宋体" w:cs="宋体" w:eastAsia="宋体" w:hint="default"/>
                <w:sz w:val="18"/>
                <w:szCs w:val="18"/>
              </w:rPr>
              <w:t>执行（常务） 董事</w:t>
            </w:r>
          </w:p>
        </w:tc>
        <w:tc>
          <w:tcPr>
            <w:tcW w:w="122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49"/>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深圳市证通普润电子有限公司</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4" w:lineRule="auto" w:before="51"/>
              <w:ind w:left="24" w:right="-34"/>
              <w:jc w:val="left"/>
              <w:rPr>
                <w:rFonts w:ascii="宋体" w:hAnsi="宋体" w:cs="宋体" w:eastAsia="宋体" w:hint="default"/>
                <w:sz w:val="18"/>
                <w:szCs w:val="18"/>
              </w:rPr>
            </w:pPr>
            <w:r>
              <w:rPr>
                <w:rFonts w:ascii="宋体" w:hAnsi="宋体" w:cs="宋体" w:eastAsia="宋体" w:hint="default"/>
                <w:sz w:val="18"/>
                <w:szCs w:val="18"/>
              </w:rPr>
              <w:t>执行（常务） 董事</w:t>
            </w:r>
          </w:p>
        </w:tc>
        <w:tc>
          <w:tcPr>
            <w:tcW w:w="1229"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证通国际投资有限公司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四川蜀信易电子商务有限公司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广州证通网络科技有限公司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证通邦客（广州）信息科技有限公司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深圳市证通佳明光电有限公司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长沙证通云计算有限公司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深圳市证通云计算有限公司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广州云硕科技发展有限公司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四川蜀信易电子商务有限公司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广东宏达通信有限公司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方进</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深圳市证通金信科技有限公司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28</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杨义仁</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广东宏达通信有限公司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杨义仁</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深圳市证通云计算有限公司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四川蜀信易电子商务有限公司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广州证通网络科技有限公司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证通邦客（广州）信息科技有限公司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傅德亮</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深圳盛灿科技股份有限公司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傅德亮</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杭州益趣科技有限公司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傅德亮</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广州证通网络科技有限公司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傅德亮</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深圳领头羊投资合伙企业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傅德亮</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0"/>
              <w:jc w:val="left"/>
              <w:rPr>
                <w:rFonts w:ascii="宋体" w:hAnsi="宋体" w:cs="宋体" w:eastAsia="宋体" w:hint="default"/>
                <w:sz w:val="18"/>
                <w:szCs w:val="18"/>
              </w:rPr>
            </w:pPr>
            <w:r>
              <w:rPr>
                <w:rFonts w:ascii="宋体" w:hAnsi="宋体" w:cs="宋体" w:eastAsia="宋体" w:hint="default"/>
                <w:spacing w:val="-2"/>
                <w:sz w:val="18"/>
                <w:szCs w:val="18"/>
              </w:rPr>
              <w:t>惠州启航壹号股权投资合伙企业（有限合</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伙）</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执行合伙人</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张忠</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贵州证通光电有限公司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首席代表</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张忠</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深圳市证通佳明光电有限公司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8"/>
                <w:sz w:val="18"/>
                <w:szCs w:val="18"/>
              </w:rPr>
              <w:t>董事、总经理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孙海法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中山大学管理学院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人力资源开 发与管理研 究中心主任</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孙海法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广州若羽臣科技股份有限公司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孙海法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广州市华苑园林股份有限公司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孙海法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广州港集团有限公司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孙海法</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广州凡拓数字创意科技股份有限公司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张跃华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深圳安华企业发展有限公司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1"/>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9"/>
                <w:sz w:val="18"/>
                <w:szCs w:val="18"/>
              </w:rPr>
              <w:t> </w:t>
            </w:r>
            <w:r>
              <w:rPr>
                <w:rFonts w:ascii="Times New Roman" w:hAnsi="Times New Roman" w:cs="Times New Roman" w:eastAsia="Times New Roman" w:hint="default"/>
                <w:sz w:val="18"/>
                <w:szCs w:val="18"/>
              </w:rPr>
              <w:t>13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张跃华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深圳市长商投资管理有限公司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34"/>
        <w:gridCol w:w="3277"/>
        <w:gridCol w:w="1092"/>
        <w:gridCol w:w="1229"/>
        <w:gridCol w:w="1361"/>
        <w:gridCol w:w="1375"/>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张跃华</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湘乡华松房地产开发有限公司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1"/>
              <w:jc w:val="left"/>
              <w:rPr>
                <w:rFonts w:ascii="宋体" w:hAnsi="宋体" w:cs="宋体" w:eastAsia="宋体" w:hint="default"/>
                <w:sz w:val="18"/>
                <w:szCs w:val="18"/>
              </w:rPr>
            </w:pPr>
            <w:r>
              <w:rPr>
                <w:rFonts w:ascii="宋体" w:hAnsi="宋体" w:cs="宋体" w:eastAsia="宋体" w:hint="default"/>
                <w:spacing w:val="-8"/>
                <w:sz w:val="18"/>
                <w:szCs w:val="18"/>
              </w:rPr>
              <w:t>董事长、总经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理</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马映冰</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文思海辉技术有限公司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2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1"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0"/>
        <w:jc w:val="left"/>
      </w:pPr>
      <w:r>
        <w:rPr/>
        <w:t>公司现任及报告期内离任董事、监事和高级管理人员近三年证券监管机构处罚的情况</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ind w:left="441" w:right="0" w:hanging="289"/>
        <w:jc w:val="left"/>
      </w:pPr>
      <w:r>
        <w:rPr/>
        <w:t>董事、监事、高级管理人员报酬的决策程序、确定依据、实际支付情况 </w:t>
      </w:r>
      <w:r>
        <w:rPr>
          <w:spacing w:val="-1"/>
        </w:rPr>
        <w:t>董事会薪酬与考核委员会在董事会的授权下，负责拟订董事、监事及高级管理人员的薪酬标准，负责审查董事、高级管</w:t>
      </w:r>
    </w:p>
    <w:p>
      <w:pPr>
        <w:pStyle w:val="BodyText"/>
        <w:spacing w:line="222" w:lineRule="exact"/>
        <w:ind w:right="0"/>
        <w:jc w:val="left"/>
      </w:pPr>
      <w:r>
        <w:rPr/>
        <w:t>理人员的年度薪酬方案。公司内部高级管理人员的绩效薪酬必须经董事会审议通过后才可发放，公司内部董事、监事及兼任</w:t>
      </w:r>
    </w:p>
    <w:p>
      <w:pPr>
        <w:pStyle w:val="BodyText"/>
        <w:spacing w:line="316" w:lineRule="auto" w:before="77"/>
        <w:ind w:left="441" w:right="0" w:hanging="289"/>
        <w:jc w:val="left"/>
      </w:pPr>
      <w:r>
        <w:rPr/>
        <w:t>董事、监事的高级管理人员的绩效薪酬必须经董事会、监事会、股东大会审议通过后才可发放。 </w:t>
      </w:r>
      <w:r>
        <w:rPr>
          <w:spacing w:val="-4"/>
        </w:rPr>
        <w:t>董事、监事、高级管理人员的薪酬按其在公司担任的最高职务，按照职系与岗位责任等级、能力等级，根据公司《董事、</w:t>
      </w:r>
    </w:p>
    <w:p>
      <w:pPr>
        <w:pStyle w:val="BodyText"/>
        <w:spacing w:line="309" w:lineRule="auto" w:before="19"/>
        <w:ind w:right="153"/>
        <w:jc w:val="both"/>
      </w:pPr>
      <w:r>
        <w:rPr>
          <w:spacing w:val="-5"/>
        </w:rPr>
        <w:t>监事、高级管理人员薪酬管理制度》及《高层绩效管理制度》确定，公司内部董事、监事、高级管理人员的薪酬由基本薪酬、</w:t>
      </w:r>
      <w:r>
        <w:rPr>
          <w:spacing w:val="-82"/>
        </w:rPr>
        <w:t> </w:t>
      </w:r>
      <w:r>
        <w:rPr>
          <w:spacing w:val="-82"/>
        </w:rPr>
      </w:r>
      <w:r>
        <w:rPr>
          <w:spacing w:val="-1"/>
        </w:rPr>
        <w:t>季度绩效奖金及年度绩效奖金组成，计算公式为：年度薪酬</w:t>
      </w:r>
      <w:r>
        <w:rPr>
          <w:rFonts w:ascii="Times New Roman" w:hAnsi="Times New Roman" w:cs="Times New Roman" w:eastAsia="Times New Roman" w:hint="default"/>
          <w:spacing w:val="-1"/>
        </w:rPr>
        <w:t>=</w:t>
      </w:r>
      <w:r>
        <w:rPr>
          <w:spacing w:val="-1"/>
        </w:rPr>
        <w:t>基本薪酬</w:t>
      </w:r>
      <w:r>
        <w:rPr>
          <w:rFonts w:ascii="Times New Roman" w:hAnsi="Times New Roman" w:cs="Times New Roman" w:eastAsia="Times New Roman" w:hint="default"/>
          <w:spacing w:val="-1"/>
        </w:rPr>
        <w:t>+</w:t>
      </w:r>
      <w:r>
        <w:rPr>
          <w:spacing w:val="-1"/>
        </w:rPr>
        <w:t>季度绩效奖金</w:t>
      </w:r>
      <w:r>
        <w:rPr>
          <w:rFonts w:ascii="Times New Roman" w:hAnsi="Times New Roman" w:cs="Times New Roman" w:eastAsia="Times New Roman" w:hint="default"/>
          <w:spacing w:val="-1"/>
        </w:rPr>
        <w:t>+</w:t>
      </w:r>
      <w:r>
        <w:rPr>
          <w:spacing w:val="-1"/>
        </w:rPr>
        <w:t>年度绩效奖金。考核方式分为年度考</w:t>
      </w:r>
      <w:r>
        <w:rPr>
          <w:spacing w:val="-64"/>
        </w:rPr>
        <w:t> </w:t>
      </w:r>
      <w:r>
        <w:rPr>
          <w:spacing w:val="-64"/>
        </w:rPr>
      </w:r>
      <w:r>
        <w:rPr/>
        <w:t>核与季度考核。</w:t>
      </w:r>
    </w:p>
    <w:p>
      <w:pPr>
        <w:pStyle w:val="BodyText"/>
        <w:spacing w:line="300" w:lineRule="auto" w:before="24"/>
        <w:ind w:right="144" w:firstLine="288"/>
        <w:jc w:val="left"/>
      </w:pPr>
      <w:r>
        <w:rPr/>
        <w:t>根据公司《董事、监事、高级管理人员薪酬管理制度》，公司对独立董事每年给予固定津贴</w:t>
      </w:r>
      <w:r>
        <w:rPr>
          <w:rFonts w:ascii="Times New Roman" w:hAnsi="Times New Roman" w:cs="Times New Roman" w:eastAsia="Times New Roman" w:hint="default"/>
        </w:rPr>
        <w:t>5</w:t>
      </w:r>
      <w:r>
        <w:rPr/>
        <w:t>万元；非公司任职且不直 接参与经营管理的外部董事、外部监事每年给予固定津贴</w:t>
      </w:r>
      <w:r>
        <w:rPr>
          <w:rFonts w:ascii="Times New Roman" w:hAnsi="Times New Roman" w:cs="Times New Roman" w:eastAsia="Times New Roman" w:hint="default"/>
        </w:rPr>
        <w:t>3</w:t>
      </w:r>
      <w:r>
        <w:rPr/>
        <w:t>万元。上述人员按《公司法》和《公司章程》相关规定行使其他 职责或出席公司董事会、监事会、股东大会等所需的合理费用由公司承担。</w:t>
      </w:r>
    </w:p>
    <w:p>
      <w:pPr>
        <w:pStyle w:val="BodyText"/>
        <w:spacing w:line="340" w:lineRule="auto" w:before="31"/>
        <w:ind w:right="4491" w:firstLine="288"/>
        <w:jc w:val="left"/>
      </w:pPr>
      <w:r>
        <w:rPr>
          <w:rFonts w:ascii="Times New Roman" w:hAnsi="Times New Roman" w:cs="Times New Roman" w:eastAsia="Times New Roman" w:hint="default"/>
        </w:rPr>
        <w:t>2017</w:t>
      </w:r>
      <w:r>
        <w:rPr/>
        <w:t>年公司共支付董事、监事和高级管理人员报酬</w:t>
      </w:r>
      <w:r>
        <w:rPr>
          <w:rFonts w:ascii="Times New Roman" w:hAnsi="Times New Roman" w:cs="Times New Roman" w:eastAsia="Times New Roman" w:hint="default"/>
        </w:rPr>
        <w:t>579.99</w:t>
      </w:r>
      <w:r>
        <w:rPr/>
        <w:t>万元。 公司报告期内董事、监事和高级管理人员报酬情况</w:t>
      </w:r>
    </w:p>
    <w:p>
      <w:pPr>
        <w:pStyle w:val="BodyText"/>
        <w:spacing w:line="240" w:lineRule="auto" w:before="39"/>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曾胜强</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总裁、董事长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许忠慈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董事、常务副总 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59.18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方进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43.26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张跃华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马映冰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孙海法</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邓鸿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薛宁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钟艳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黄洪</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58.76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杨义仁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70.33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傅德亮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70"/>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61.99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21.05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李国政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麦昊天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周青伟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36.64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579.99</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pPr>
      <w:r>
        <w:rPr/>
        <w:t>公司董事、高级管理人员报告期内被授予的股权激励情况</w:t>
      </w:r>
    </w:p>
    <w:p>
      <w:pPr>
        <w:pStyle w:val="BodyText"/>
        <w:spacing w:line="240" w:lineRule="auto" w:before="11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right="-19"/>
        <w:jc w:val="left"/>
      </w:pPr>
      <w:r>
        <w:rPr/>
        <w:t>单位：股</w:t>
      </w:r>
    </w:p>
    <w:p>
      <w:pPr>
        <w:spacing w:after="0" w:line="240" w:lineRule="auto"/>
        <w:jc w:val="left"/>
        <w:sectPr>
          <w:type w:val="continuous"/>
          <w:pgSz w:w="11910" w:h="16840"/>
          <w:pgMar w:top="1060" w:bottom="1160" w:left="980" w:right="980"/>
          <w:cols w:num="2" w:equalWidth="0">
            <w:col w:w="4653" w:space="4267"/>
            <w:col w:w="1030"/>
          </w:cols>
        </w:sectPr>
      </w:pP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1003"/>
        <w:gridCol w:w="665"/>
        <w:gridCol w:w="699"/>
        <w:gridCol w:w="869"/>
        <w:gridCol w:w="816"/>
        <w:gridCol w:w="1100"/>
        <w:gridCol w:w="850"/>
        <w:gridCol w:w="751"/>
        <w:gridCol w:w="965"/>
        <w:gridCol w:w="1116"/>
      </w:tblGrid>
      <w:tr>
        <w:trPr>
          <w:trHeight w:val="1649"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57" w:right="55"/>
              <w:jc w:val="both"/>
              <w:rPr>
                <w:rFonts w:ascii="宋体" w:hAnsi="宋体" w:cs="宋体" w:eastAsia="宋体" w:hint="default"/>
                <w:sz w:val="18"/>
                <w:szCs w:val="18"/>
              </w:rPr>
            </w:pPr>
            <w:r>
              <w:rPr>
                <w:rFonts w:ascii="宋体" w:hAnsi="宋体" w:cs="宋体" w:eastAsia="宋体" w:hint="default"/>
                <w:sz w:val="18"/>
                <w:szCs w:val="18"/>
              </w:rPr>
              <w:t>报告期 内可行 权股数</w:t>
            </w:r>
          </w:p>
        </w:tc>
        <w:tc>
          <w:tcPr>
            <w:tcW w:w="6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74" w:right="74"/>
              <w:jc w:val="both"/>
              <w:rPr>
                <w:rFonts w:ascii="宋体" w:hAnsi="宋体" w:cs="宋体" w:eastAsia="宋体" w:hint="default"/>
                <w:sz w:val="18"/>
                <w:szCs w:val="18"/>
              </w:rPr>
            </w:pPr>
            <w:r>
              <w:rPr>
                <w:rFonts w:ascii="宋体" w:hAnsi="宋体" w:cs="宋体" w:eastAsia="宋体" w:hint="default"/>
                <w:sz w:val="18"/>
                <w:szCs w:val="18"/>
              </w:rPr>
              <w:t>报告期 内已行 权股数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67" w:firstLine="45"/>
              <w:jc w:val="both"/>
              <w:rPr>
                <w:rFonts w:ascii="宋体" w:hAnsi="宋体" w:cs="宋体" w:eastAsia="宋体" w:hint="default"/>
                <w:sz w:val="18"/>
                <w:szCs w:val="18"/>
              </w:rPr>
            </w:pPr>
            <w:r>
              <w:rPr>
                <w:rFonts w:ascii="宋体" w:hAnsi="宋体" w:cs="宋体" w:eastAsia="宋体" w:hint="default"/>
                <w:sz w:val="18"/>
                <w:szCs w:val="18"/>
              </w:rPr>
              <w:t>报告期内 已行权股 数行权价 </w:t>
            </w:r>
            <w:r>
              <w:rPr>
                <w:rFonts w:ascii="宋体" w:hAnsi="宋体" w:cs="宋体" w:eastAsia="宋体" w:hint="default"/>
                <w:spacing w:val="-10"/>
                <w:sz w:val="18"/>
                <w:szCs w:val="18"/>
              </w:rPr>
              <w:t>格（元</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股</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23" w:right="21" w:hanging="2"/>
              <w:jc w:val="center"/>
              <w:rPr>
                <w:rFonts w:ascii="宋体" w:hAnsi="宋体" w:cs="宋体" w:eastAsia="宋体" w:hint="default"/>
                <w:sz w:val="18"/>
                <w:szCs w:val="18"/>
              </w:rPr>
            </w:pPr>
            <w:r>
              <w:rPr>
                <w:rFonts w:ascii="宋体" w:hAnsi="宋体" w:cs="宋体" w:eastAsia="宋体" w:hint="default"/>
                <w:sz w:val="18"/>
                <w:szCs w:val="18"/>
              </w:rPr>
              <w:t>报告期末 </w:t>
            </w:r>
            <w:r>
              <w:rPr>
                <w:rFonts w:ascii="宋体" w:hAnsi="宋体" w:cs="宋体" w:eastAsia="宋体" w:hint="default"/>
                <w:spacing w:val="-3"/>
                <w:sz w:val="18"/>
                <w:szCs w:val="18"/>
              </w:rPr>
              <w:t>市价（元</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p>
            <w:pPr>
              <w:pStyle w:val="TableParagraph"/>
              <w:spacing w:line="119"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95" w:right="93"/>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60" w:right="59"/>
              <w:jc w:val="center"/>
              <w:rPr>
                <w:rFonts w:ascii="宋体" w:hAnsi="宋体" w:cs="宋体" w:eastAsia="宋体" w:hint="default"/>
                <w:sz w:val="18"/>
                <w:szCs w:val="18"/>
              </w:rPr>
            </w:pPr>
            <w:r>
              <w:rPr>
                <w:rFonts w:ascii="宋体" w:hAnsi="宋体" w:cs="宋体" w:eastAsia="宋体" w:hint="default"/>
                <w:sz w:val="18"/>
                <w:szCs w:val="18"/>
              </w:rPr>
              <w:t>本期已解 锁股份数 量</w:t>
            </w:r>
          </w:p>
        </w:tc>
        <w:tc>
          <w:tcPr>
            <w:tcW w:w="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96"/>
              <w:jc w:val="center"/>
              <w:rPr>
                <w:rFonts w:ascii="宋体" w:hAnsi="宋体" w:cs="宋体" w:eastAsia="宋体" w:hint="default"/>
                <w:sz w:val="18"/>
                <w:szCs w:val="18"/>
              </w:rPr>
            </w:pPr>
            <w:r>
              <w:rPr>
                <w:rFonts w:ascii="宋体" w:hAnsi="宋体" w:cs="宋体" w:eastAsia="宋体" w:hint="default"/>
                <w:sz w:val="18"/>
                <w:szCs w:val="18"/>
              </w:rPr>
              <w:t>报告期 新授予 限制性 股票数 量</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8" w:right="26"/>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19"/>
              <w:ind w:left="9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5" w:right="98"/>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方进</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5"/>
              <w:jc w:val="left"/>
              <w:rPr>
                <w:rFonts w:ascii="宋体" w:hAnsi="宋体" w:cs="宋体" w:eastAsia="宋体" w:hint="default"/>
                <w:sz w:val="18"/>
                <w:szCs w:val="18"/>
              </w:rPr>
            </w:pPr>
            <w:r>
              <w:rPr>
                <w:rFonts w:ascii="宋体" w:hAnsi="宋体" w:cs="宋体" w:eastAsia="宋体" w:hint="default"/>
                <w:sz w:val="18"/>
                <w:szCs w:val="18"/>
              </w:rPr>
              <w:t>董事、副总 裁</w:t>
            </w:r>
          </w:p>
        </w:tc>
        <w:tc>
          <w:tcPr>
            <w:tcW w:w="66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12.41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168,000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72,000</w:t>
            </w:r>
          </w:p>
        </w:tc>
        <w:tc>
          <w:tcPr>
            <w:tcW w:w="75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4.5938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30,000</w:t>
            </w:r>
          </w:p>
        </w:tc>
      </w:tr>
      <w:tr>
        <w:trPr>
          <w:trHeight w:val="40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张锦鸿</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6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9" w:right="0"/>
              <w:jc w:val="left"/>
              <w:rPr>
                <w:rFonts w:ascii="Times New Roman" w:hAnsi="Times New Roman" w:cs="Times New Roman" w:eastAsia="Times New Roman" w:hint="default"/>
                <w:sz w:val="18"/>
                <w:szCs w:val="18"/>
              </w:rPr>
            </w:pPr>
            <w:r>
              <w:rPr>
                <w:rFonts w:ascii="Times New Roman"/>
                <w:sz w:val="18"/>
              </w:rPr>
              <w:t>12.41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48,000</w:t>
            </w:r>
          </w:p>
        </w:tc>
        <w:tc>
          <w:tcPr>
            <w:tcW w:w="75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10.35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18,000</w:t>
            </w:r>
          </w:p>
        </w:tc>
      </w:tr>
      <w:tr>
        <w:trPr>
          <w:trHeight w:val="40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张忠</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6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9" w:right="0"/>
              <w:jc w:val="left"/>
              <w:rPr>
                <w:rFonts w:ascii="Times New Roman" w:hAnsi="Times New Roman" w:cs="Times New Roman" w:eastAsia="Times New Roman" w:hint="default"/>
                <w:sz w:val="18"/>
                <w:szCs w:val="18"/>
              </w:rPr>
            </w:pPr>
            <w:r>
              <w:rPr>
                <w:rFonts w:ascii="Times New Roman"/>
                <w:sz w:val="18"/>
              </w:rPr>
              <w:t>12.41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57,600</w:t>
            </w:r>
          </w:p>
        </w:tc>
        <w:tc>
          <w:tcPr>
            <w:tcW w:w="75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4.5938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傅德亮</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65"/>
              <w:jc w:val="left"/>
              <w:rPr>
                <w:rFonts w:ascii="宋体" w:hAnsi="宋体" w:cs="宋体" w:eastAsia="宋体" w:hint="default"/>
                <w:sz w:val="18"/>
                <w:szCs w:val="18"/>
              </w:rPr>
            </w:pPr>
            <w:r>
              <w:rPr>
                <w:rFonts w:ascii="宋体" w:hAnsi="宋体" w:cs="宋体" w:eastAsia="宋体" w:hint="default"/>
                <w:sz w:val="18"/>
                <w:szCs w:val="18"/>
              </w:rPr>
              <w:t>副总裁、董 事会秘书</w:t>
            </w:r>
          </w:p>
        </w:tc>
        <w:tc>
          <w:tcPr>
            <w:tcW w:w="66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9" w:right="0"/>
              <w:jc w:val="left"/>
              <w:rPr>
                <w:rFonts w:ascii="Times New Roman" w:hAnsi="Times New Roman" w:cs="Times New Roman" w:eastAsia="Times New Roman" w:hint="default"/>
                <w:sz w:val="18"/>
                <w:szCs w:val="18"/>
              </w:rPr>
            </w:pPr>
            <w:r>
              <w:rPr>
                <w:rFonts w:ascii="Times New Roman"/>
                <w:sz w:val="18"/>
              </w:rPr>
              <w:t>12.41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w:t>
            </w:r>
          </w:p>
        </w:tc>
        <w:tc>
          <w:tcPr>
            <w:tcW w:w="75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10.35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李国政</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6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9" w:right="0"/>
              <w:jc w:val="left"/>
              <w:rPr>
                <w:rFonts w:ascii="Times New Roman" w:hAnsi="Times New Roman" w:cs="Times New Roman" w:eastAsia="Times New Roman" w:hint="default"/>
                <w:sz w:val="18"/>
                <w:szCs w:val="18"/>
              </w:rPr>
            </w:pPr>
            <w:r>
              <w:rPr>
                <w:rFonts w:ascii="Times New Roman"/>
                <w:sz w:val="18"/>
              </w:rPr>
              <w:t>12.41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72,000</w:t>
            </w:r>
          </w:p>
        </w:tc>
        <w:tc>
          <w:tcPr>
            <w:tcW w:w="75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4.5938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125,100</w:t>
            </w:r>
          </w:p>
        </w:tc>
      </w:tr>
      <w:tr>
        <w:trPr>
          <w:trHeight w:val="40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麦昊天</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66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9" w:right="0"/>
              <w:jc w:val="left"/>
              <w:rPr>
                <w:rFonts w:ascii="Times New Roman" w:hAnsi="Times New Roman" w:cs="Times New Roman" w:eastAsia="Times New Roman" w:hint="default"/>
                <w:sz w:val="18"/>
                <w:szCs w:val="18"/>
              </w:rPr>
            </w:pPr>
            <w:r>
              <w:rPr>
                <w:rFonts w:ascii="Times New Roman"/>
                <w:sz w:val="18"/>
              </w:rPr>
              <w:t>12.41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75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10.35</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周青伟</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665" w:type="dxa"/>
            <w:tcBorders>
              <w:top w:val="single" w:sz="4" w:space="0" w:color="000000"/>
              <w:left w:val="single" w:sz="4" w:space="0" w:color="000000"/>
              <w:bottom w:val="single" w:sz="4" w:space="0" w:color="000000"/>
              <w:right w:val="single" w:sz="4" w:space="0" w:color="000000"/>
            </w:tcBorders>
          </w:tcPr>
          <w:p>
            <w:pPr/>
          </w:p>
        </w:tc>
        <w:tc>
          <w:tcPr>
            <w:tcW w:w="69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9" w:right="0"/>
              <w:jc w:val="left"/>
              <w:rPr>
                <w:rFonts w:ascii="Times New Roman" w:hAnsi="Times New Roman" w:cs="Times New Roman" w:eastAsia="Times New Roman" w:hint="default"/>
                <w:sz w:val="18"/>
                <w:szCs w:val="18"/>
              </w:rPr>
            </w:pPr>
            <w:r>
              <w:rPr>
                <w:rFonts w:ascii="Times New Roman"/>
                <w:sz w:val="18"/>
              </w:rPr>
              <w:t>12.41</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134,400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57,600</w:t>
            </w:r>
          </w:p>
        </w:tc>
        <w:tc>
          <w:tcPr>
            <w:tcW w:w="751"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4.5938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292,968</w:t>
            </w:r>
          </w:p>
        </w:tc>
      </w:tr>
      <w:tr>
        <w:trPr>
          <w:trHeight w:val="401"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874,800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367,200</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1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476,068</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五、公司员工情况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7"/>
        <w:gridCol w:w="4791"/>
      </w:tblGrid>
      <w:tr>
        <w:trPr>
          <w:trHeight w:val="401"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1,570</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w:t>
            </w:r>
          </w:p>
        </w:tc>
      </w:tr>
      <w:tr>
        <w:trPr>
          <w:trHeight w:val="401"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2,028</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2,028</w:t>
            </w:r>
          </w:p>
        </w:tc>
      </w:tr>
      <w:tr>
        <w:trPr>
          <w:trHeight w:val="406"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394"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6"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4"/>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581"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60" w:type="dxa"/>
        <w:tblLayout w:type="fixed"/>
        <w:tblCellMar>
          <w:top w:w="0" w:type="dxa"/>
          <w:left w:w="0" w:type="dxa"/>
          <w:bottom w:w="0" w:type="dxa"/>
          <w:right w:w="0" w:type="dxa"/>
        </w:tblCellMar>
        <w:tblLook w:val="01E0"/>
      </w:tblPr>
      <w:tblGrid>
        <w:gridCol w:w="4767"/>
        <w:gridCol w:w="4792"/>
      </w:tblGrid>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644</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254</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818</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w:t>
            </w:r>
          </w:p>
        </w:tc>
      </w:tr>
      <w:tr>
        <w:trPr>
          <w:trHeight w:val="402"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w:t>
            </w:r>
          </w:p>
        </w:tc>
      </w:tr>
      <w:tr>
        <w:trPr>
          <w:trHeight w:val="407"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2,028</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 w:right="12"/>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8"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9"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66</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492</w:t>
            </w:r>
          </w:p>
        </w:tc>
      </w:tr>
      <w:tr>
        <w:trPr>
          <w:trHeight w:val="401"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605</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865</w:t>
            </w:r>
          </w:p>
        </w:tc>
      </w:tr>
      <w:tr>
        <w:trPr>
          <w:trHeight w:val="403" w:hRule="exact"/>
        </w:trPr>
        <w:tc>
          <w:tcPr>
            <w:tcW w:w="4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2,028</w:t>
            </w:r>
          </w:p>
        </w:tc>
      </w:tr>
    </w:tbl>
    <w:p>
      <w:pPr>
        <w:spacing w:line="240" w:lineRule="auto" w:before="3"/>
        <w:rPr>
          <w:rFonts w:ascii="宋体" w:hAnsi="宋体" w:cs="宋体" w:eastAsia="宋体" w:hint="default"/>
          <w:b/>
          <w:bCs/>
          <w:sz w:val="19"/>
          <w:szCs w:val="19"/>
        </w:rPr>
      </w:pPr>
    </w:p>
    <w:p>
      <w:pPr>
        <w:pStyle w:val="Heading3"/>
        <w:spacing w:line="240" w:lineRule="auto" w:before="36"/>
        <w:ind w:right="11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14" w:lineRule="auto"/>
        <w:ind w:right="210" w:firstLine="288"/>
        <w:jc w:val="both"/>
      </w:pPr>
      <w:r>
        <w:rPr>
          <w:rFonts w:ascii="Times New Roman" w:hAnsi="Times New Roman" w:cs="Times New Roman" w:eastAsia="Times New Roman" w:hint="default"/>
        </w:rPr>
        <w:t>2017</w:t>
      </w:r>
      <w:r>
        <w:rPr/>
        <w:t>年，公司引进专业咨询顾问开展</w:t>
      </w:r>
      <w:r>
        <w:rPr>
          <w:rFonts w:ascii="Times New Roman" w:hAnsi="Times New Roman" w:cs="Times New Roman" w:eastAsia="Times New Roman" w:hint="default"/>
        </w:rPr>
        <w:t>“</w:t>
      </w:r>
      <w:r>
        <w:rPr/>
        <w:t>人力资源管理体系提升项目</w:t>
      </w:r>
      <w:r>
        <w:rPr>
          <w:rFonts w:ascii="Times New Roman" w:hAnsi="Times New Roman" w:cs="Times New Roman" w:eastAsia="Times New Roman" w:hint="default"/>
        </w:rPr>
        <w:t>”</w:t>
      </w:r>
      <w:r>
        <w:rPr/>
        <w:t>，结合公司对人才的定位策略，对薪酬改革、绩效管 </w:t>
      </w:r>
      <w:r>
        <w:rPr>
          <w:spacing w:val="-2"/>
        </w:rPr>
        <w:t>理等模块进行了优化和提升，经过一年的探索和实践，初步形成了事业部制绩效管理体系和架构。年初根据公司预算自上而</w:t>
      </w:r>
      <w:r>
        <w:rPr>
          <w:spacing w:val="-63"/>
        </w:rPr>
        <w:t> </w:t>
      </w:r>
      <w:r>
        <w:rPr>
          <w:spacing w:val="-63"/>
        </w:rPr>
      </w:r>
      <w:r>
        <w:rPr>
          <w:spacing w:val="-2"/>
        </w:rPr>
        <w:t>下编制年度任务和责任目标，与各事业部、各部门签署经营责任状，事业部将年度目标结合业务和内部管理实际情况从下到</w:t>
      </w:r>
      <w:r>
        <w:rPr>
          <w:spacing w:val="-63"/>
        </w:rPr>
        <w:t> </w:t>
      </w:r>
      <w:r>
        <w:rPr>
          <w:spacing w:val="-63"/>
        </w:rPr>
      </w:r>
      <w:r>
        <w:rPr>
          <w:spacing w:val="-5"/>
        </w:rPr>
        <w:t>下层层分解，按月、季、年开展绩效评价；通过更新《中层绩效管理制度》、《薪酬管理制度》及以明确规范绩效考核工作，</w:t>
      </w:r>
      <w:r>
        <w:rPr>
          <w:spacing w:val="-76"/>
        </w:rPr>
        <w:t> </w:t>
      </w:r>
      <w:r>
        <w:rPr>
          <w:spacing w:val="-76"/>
        </w:rPr>
      </w:r>
      <w:r>
        <w:rPr>
          <w:spacing w:val="-2"/>
        </w:rPr>
        <w:t>坚持客观公正、规范透明、绩效导向原则；在绩效考核过程中，通过将管理人员日常绩效计划与年度组织绩效挂钩，个人绩</w:t>
      </w:r>
      <w:r>
        <w:rPr>
          <w:spacing w:val="-67"/>
        </w:rPr>
        <w:t> </w:t>
      </w:r>
      <w:r>
        <w:rPr>
          <w:spacing w:val="-67"/>
        </w:rPr>
      </w:r>
      <w:r>
        <w:rPr/>
        <w:t>效与团队绩效挂钩，培养团队内部形成绩效合作伙伴关系，促进员工既关注个人绩效，也关注团队绩效。</w:t>
      </w:r>
    </w:p>
    <w:p>
      <w:pPr>
        <w:pStyle w:val="BodyText"/>
        <w:spacing w:line="316" w:lineRule="auto" w:before="21"/>
        <w:ind w:right="212" w:firstLine="288"/>
        <w:jc w:val="both"/>
      </w:pPr>
      <w:r>
        <w:rPr>
          <w:spacing w:val="-1"/>
        </w:rPr>
        <w:t>对公司高层和事业部管理团队以及核心骨干的激励进行了如年薪制和持股计划的探索及实践，同时配套考核，形成以经</w:t>
      </w:r>
      <w:r>
        <w:rPr/>
        <w:t> 济效益为导向的激励模式。</w:t>
      </w:r>
    </w:p>
    <w:p>
      <w:pPr>
        <w:spacing w:line="240" w:lineRule="auto" w:before="10"/>
        <w:rPr>
          <w:rFonts w:ascii="宋体" w:hAnsi="宋体" w:cs="宋体" w:eastAsia="宋体" w:hint="default"/>
          <w:sz w:val="22"/>
          <w:szCs w:val="22"/>
        </w:rPr>
      </w:pPr>
    </w:p>
    <w:p>
      <w:pPr>
        <w:pStyle w:val="Heading3"/>
        <w:spacing w:line="240" w:lineRule="auto"/>
        <w:ind w:right="11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210" w:firstLine="288"/>
        <w:jc w:val="both"/>
      </w:pPr>
      <w:r>
        <w:rPr>
          <w:spacing w:val="-1"/>
        </w:rPr>
        <w:t>公司历来重视各层面员工的学习和发展，努力为员工的成长创造必要的条件。遵循科学性和合理性的基本原则，将公司</w:t>
      </w:r>
      <w:r>
        <w:rPr/>
        <w:t> </w:t>
      </w:r>
      <w:r>
        <w:rPr>
          <w:spacing w:val="-2"/>
        </w:rPr>
        <w:t>的职位体系划分管理、职能、技术、生产、销售等不同的序列，建立了各职位序列的任职资格标准。每个职位序列分为初做</w:t>
      </w:r>
      <w:r>
        <w:rPr>
          <w:spacing w:val="-68"/>
        </w:rPr>
        <w:t> </w:t>
      </w:r>
      <w:r>
        <w:rPr>
          <w:spacing w:val="-68"/>
        </w:rPr>
      </w:r>
      <w:r>
        <w:rPr>
          <w:spacing w:val="-2"/>
        </w:rPr>
        <w:t>者、有经验者、骨干、专家、资深专家五个能力层级，对每个每个级别进行具体的等级定义。对不同能力级别的员工所表现</w:t>
      </w:r>
      <w:r>
        <w:rPr>
          <w:spacing w:val="-69"/>
        </w:rPr>
        <w:t> </w:t>
      </w:r>
      <w:r>
        <w:rPr>
          <w:spacing w:val="-69"/>
        </w:rPr>
      </w:r>
      <w:r>
        <w:rPr>
          <w:spacing w:val="-2"/>
        </w:rPr>
        <w:t>出来的特征，如知识、技能、能够承担的责任和经验进行描述，既可衡量员工在专业领域中所处的能力等级，也明确了员工</w:t>
      </w:r>
      <w:r>
        <w:rPr>
          <w:spacing w:val="-65"/>
        </w:rPr>
        <w:t> </w:t>
      </w:r>
      <w:r>
        <w:rPr>
          <w:spacing w:val="-65"/>
        </w:rPr>
      </w:r>
      <w:r>
        <w:rPr/>
        <w:t>的职业发展通道。</w:t>
      </w:r>
    </w:p>
    <w:p>
      <w:pPr>
        <w:pStyle w:val="BodyText"/>
        <w:spacing w:line="314" w:lineRule="auto" w:before="19"/>
        <w:ind w:right="113" w:firstLine="288"/>
        <w:jc w:val="left"/>
      </w:pPr>
      <w:r>
        <w:rPr/>
        <w:t>为了实现公司的战略发展目标，针对公司的核心竞争力、中长期战略目标，合理设计覆盖各层面员工的学习提升内容。 </w:t>
      </w:r>
      <w:r>
        <w:rPr>
          <w:spacing w:val="-2"/>
        </w:rPr>
        <w:t>公司根据岗位特征和员工的多样性开展培训。内容包括了管理、研发、供应链、生产、销售、人力资源，安全、职业素养等</w:t>
      </w:r>
      <w:r>
        <w:rPr>
          <w:spacing w:val="-68"/>
        </w:rPr>
        <w:t> </w:t>
      </w:r>
      <w:r>
        <w:rPr>
          <w:spacing w:val="-68"/>
        </w:rPr>
      </w:r>
      <w:r>
        <w:rPr>
          <w:spacing w:val="-2"/>
        </w:rPr>
        <w:t>方面，制定并实施了一系列的培训教育计划，包括在新进磨合计划、在职辅导计划、集中培训计划、交流学习计划、绩效考</w:t>
      </w:r>
      <w:r>
        <w:rPr>
          <w:spacing w:val="-68"/>
        </w:rPr>
        <w:t> </w:t>
      </w:r>
      <w:r>
        <w:rPr>
          <w:spacing w:val="-68"/>
        </w:rPr>
      </w:r>
      <w:r>
        <w:rPr/>
        <w:t>评计划等，全面提升员工的综合素质和技能水平，建立员工的职业发展体系与平台。</w:t>
      </w:r>
      <w:r>
        <w:rPr>
          <w:rFonts w:ascii="Times New Roman" w:hAnsi="Times New Roman" w:cs="Times New Roman" w:eastAsia="Times New Roman" w:hint="default"/>
        </w:rPr>
        <w:t>2017</w:t>
      </w:r>
      <w:r>
        <w:rPr/>
        <w:t>年公司计划培训</w:t>
      </w:r>
      <w:r>
        <w:rPr>
          <w:rFonts w:ascii="Times New Roman" w:hAnsi="Times New Roman" w:cs="Times New Roman" w:eastAsia="Times New Roman" w:hint="default"/>
        </w:rPr>
        <w:t>217</w:t>
      </w:r>
      <w:r>
        <w:rPr/>
        <w:t>门课程，实际</w:t>
      </w:r>
      <w:r>
        <w:rPr>
          <w:spacing w:val="-85"/>
        </w:rPr>
        <w:t> </w:t>
      </w:r>
      <w:r>
        <w:rPr>
          <w:spacing w:val="-85"/>
        </w:rPr>
      </w:r>
      <w:r>
        <w:rPr/>
        <w:t>培训</w:t>
      </w:r>
      <w:r>
        <w:rPr>
          <w:rFonts w:ascii="Times New Roman" w:hAnsi="Times New Roman" w:cs="Times New Roman" w:eastAsia="Times New Roman" w:hint="default"/>
        </w:rPr>
        <w:t>188</w:t>
      </w:r>
      <w:r>
        <w:rPr/>
        <w:t>门课程，其中内部培训课程</w:t>
      </w:r>
      <w:r>
        <w:rPr>
          <w:rFonts w:ascii="Times New Roman" w:hAnsi="Times New Roman" w:cs="Times New Roman" w:eastAsia="Times New Roman" w:hint="default"/>
        </w:rPr>
        <w:t>150</w:t>
      </w:r>
      <w:r>
        <w:rPr/>
        <w:t>门，外训课程</w:t>
      </w:r>
      <w:r>
        <w:rPr>
          <w:rFonts w:ascii="Times New Roman" w:hAnsi="Times New Roman" w:cs="Times New Roman" w:eastAsia="Times New Roman" w:hint="default"/>
        </w:rPr>
        <w:t>37</w:t>
      </w:r>
      <w:r>
        <w:rPr/>
        <w:t>门，大学生拓展培训</w:t>
      </w:r>
      <w:r>
        <w:rPr>
          <w:rFonts w:ascii="Times New Roman" w:hAnsi="Times New Roman" w:cs="Times New Roman" w:eastAsia="Times New Roman" w:hint="default"/>
        </w:rPr>
        <w:t>1</w:t>
      </w:r>
      <w:r>
        <w:rPr/>
        <w:t>期，取消培训课程</w:t>
      </w:r>
      <w:r>
        <w:rPr>
          <w:rFonts w:ascii="Times New Roman" w:hAnsi="Times New Roman" w:cs="Times New Roman" w:eastAsia="Times New Roman" w:hint="default"/>
        </w:rPr>
        <w:t>29</w:t>
      </w:r>
      <w:r>
        <w:rPr/>
        <w:t>门，培训达成率</w:t>
      </w:r>
      <w:r>
        <w:rPr>
          <w:rFonts w:ascii="Times New Roman" w:hAnsi="Times New Roman" w:cs="Times New Roman" w:eastAsia="Times New Roman" w:hint="default"/>
        </w:rPr>
        <w:t>84%</w:t>
      </w:r>
      <w:r>
        <w:rPr/>
        <w:t>。</w:t>
      </w:r>
    </w:p>
    <w:p>
      <w:pPr>
        <w:pStyle w:val="BodyText"/>
        <w:spacing w:line="300" w:lineRule="auto" w:before="1"/>
        <w:ind w:right="117" w:firstLine="288"/>
        <w:jc w:val="both"/>
      </w:pPr>
      <w:r>
        <w:rPr>
          <w:rFonts w:ascii="Times New Roman" w:hAnsi="Times New Roman" w:cs="Times New Roman" w:eastAsia="Times New Roman" w:hint="default"/>
        </w:rPr>
        <w:t>2018</w:t>
      </w:r>
      <w:r>
        <w:rPr/>
        <w:t>年，基础培训方面将进一步完善内训师队伍建设，丰富内训课程库，有针对性地开展基层员工在岗培训；领导力、 管理能力提升方面，将通过织组内训、外训、参加外部公开课、</w:t>
      </w:r>
      <w:r>
        <w:rPr>
          <w:rFonts w:ascii="Times New Roman" w:hAnsi="Times New Roman" w:cs="Times New Roman" w:eastAsia="Times New Roman" w:hint="default"/>
        </w:rPr>
        <w:t>EMBA</w:t>
      </w:r>
      <w:r>
        <w:rPr/>
        <w:t>班学习，到著名企业去考察交流等方面开展。</w:t>
      </w:r>
    </w:p>
    <w:p>
      <w:pPr>
        <w:spacing w:after="0" w:line="300" w:lineRule="auto"/>
        <w:jc w:val="both"/>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789" w:right="3788"/>
        <w:jc w:val="center"/>
        <w:rPr>
          <w:b w:val="0"/>
          <w:bCs w:val="0"/>
        </w:rPr>
      </w:pPr>
      <w:bookmarkStart w:name="_bookmark8" w:id="9"/>
      <w:bookmarkEnd w:id="9"/>
      <w:r>
        <w:rPr>
          <w:b w:val="0"/>
          <w:bCs w:val="0"/>
        </w:rPr>
      </w:r>
      <w:r>
        <w:rPr/>
        <w:t>第九节</w:t>
      </w:r>
      <w:r>
        <w:rPr>
          <w:spacing w:val="-2"/>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left="192" w:right="184"/>
        <w:jc w:val="left"/>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192" w:right="191" w:firstLine="360"/>
        <w:jc w:val="right"/>
      </w:pPr>
      <w:r>
        <w:rPr>
          <w:spacing w:val="-2"/>
        </w:rPr>
        <w:t>报告期内，公司严格按照《公司法》、《证券法》、《上市公司治理准则》、《深圳证券交易所股票上市规则》和《深</w:t>
      </w:r>
      <w:r>
        <w:rPr/>
        <w:t> </w:t>
      </w:r>
      <w:r>
        <w:rPr>
          <w:spacing w:val="-2"/>
        </w:rPr>
        <w:t>圳证券交易所中小板上市公司规范运作指引》等相关法律、法规的规定，不断完善公司法人治理结构，进一步提高公司治理</w:t>
      </w:r>
      <w:r>
        <w:rPr>
          <w:spacing w:val="-73"/>
        </w:rPr>
        <w:t> </w:t>
      </w:r>
      <w:r>
        <w:rPr>
          <w:spacing w:val="-73"/>
        </w:rPr>
      </w:r>
      <w:r>
        <w:rPr>
          <w:spacing w:val="-5"/>
        </w:rPr>
        <w:t>水平，严格按照规定对公司的重大事项进行信息披露，确保真实、准确、完整、及时、公平披露，有效保护广大投资者利益。</w:t>
      </w:r>
      <w:r>
        <w:rPr/>
        <w:t> </w:t>
      </w:r>
      <w:r>
        <w:rPr>
          <w:spacing w:val="-2"/>
        </w:rPr>
        <w:t>公司形成了以股东大会、董事会、监事会及管理层为架构的法律决策、执行及监督体系，董事、监事和高级管理人员均</w:t>
      </w:r>
    </w:p>
    <w:p>
      <w:pPr>
        <w:pStyle w:val="BodyText"/>
        <w:spacing w:line="316" w:lineRule="auto" w:before="19"/>
        <w:ind w:left="192" w:right="94"/>
        <w:jc w:val="left"/>
      </w:pPr>
      <w:r>
        <w:rPr/>
        <w:t>按照有关法律、法规和深交所相关业务规则的要求履行职责；公司股东大会、董事会、监事会、经营管理层职能划分明确，</w:t>
      </w:r>
      <w:r>
        <w:rPr>
          <w:spacing w:val="-86"/>
        </w:rPr>
        <w:t> </w:t>
      </w:r>
      <w:r>
        <w:rPr>
          <w:spacing w:val="-86"/>
        </w:rPr>
      </w:r>
      <w:r>
        <w:rPr>
          <w:spacing w:val="-2"/>
        </w:rPr>
        <w:t>权责分明，各司其职；公司建立健全议事规则、决策机制、责任追究机制及各项内部管控制度，有效地保证了公司的规范运</w:t>
      </w:r>
      <w:r>
        <w:rPr>
          <w:spacing w:val="-67"/>
        </w:rPr>
        <w:t> </w:t>
      </w:r>
      <w:r>
        <w:rPr>
          <w:spacing w:val="-67"/>
        </w:rPr>
      </w:r>
      <w:r>
        <w:rPr/>
        <w:t>行。截至报告期末，公司治理的实际状况符合相关法规和规则制度的要求，具体情况如下：</w:t>
      </w:r>
    </w:p>
    <w:p>
      <w:pPr>
        <w:pStyle w:val="BodyText"/>
        <w:spacing w:line="300" w:lineRule="auto" w:before="19"/>
        <w:ind w:left="553" w:right="184"/>
        <w:jc w:val="left"/>
      </w:pPr>
      <w:r>
        <w:rPr/>
        <w:t>报告期内，公司对《公司章程》进行了</w:t>
      </w:r>
      <w:r>
        <w:rPr>
          <w:rFonts w:ascii="Times New Roman" w:hAnsi="Times New Roman" w:cs="Times New Roman" w:eastAsia="Times New Roman" w:hint="default"/>
        </w:rPr>
        <w:t>2</w:t>
      </w:r>
      <w:r>
        <w:rPr/>
        <w:t>次修订，对相关内容加以完善，以使《公司章程》更加符合公司发展现状。 </w:t>
      </w:r>
      <w:r>
        <w:rPr>
          <w:rFonts w:ascii="Times New Roman" w:hAnsi="Times New Roman" w:cs="Times New Roman" w:eastAsia="Times New Roman" w:hint="default"/>
        </w:rPr>
        <w:t>1</w:t>
      </w:r>
      <w:r>
        <w:rPr/>
        <w:t>、关于股东与股东大会 </w:t>
      </w:r>
      <w:r>
        <w:rPr>
          <w:spacing w:val="-2"/>
        </w:rPr>
        <w:t>公司严格按照《上市公司股东大会规范意见》、《公司章程》及《股东大会议事规则》等相关法律规定及公司的规定和</w:t>
      </w:r>
    </w:p>
    <w:p>
      <w:pPr>
        <w:pStyle w:val="BodyText"/>
        <w:spacing w:line="316" w:lineRule="auto" w:before="31"/>
        <w:ind w:left="192" w:right="184"/>
        <w:jc w:val="left"/>
      </w:pPr>
      <w:r>
        <w:rPr>
          <w:spacing w:val="-2"/>
        </w:rPr>
        <w:t>要求，召集召开股东大会，公平、公正地对待每一位股东，确保所有股东享有平等地位，能充分行使其权利，不存在任何损</w:t>
      </w:r>
      <w:r>
        <w:rPr>
          <w:spacing w:val="-68"/>
        </w:rPr>
        <w:t> </w:t>
      </w:r>
      <w:r>
        <w:rPr>
          <w:spacing w:val="-68"/>
        </w:rPr>
      </w:r>
      <w:r>
        <w:rPr/>
        <w:t>害股东利益的情形。同时聘请律师进行见证，保证会议召集、召开和表决程序的合法性。</w:t>
      </w:r>
    </w:p>
    <w:p>
      <w:pPr>
        <w:pStyle w:val="BodyText"/>
        <w:spacing w:line="314" w:lineRule="auto" w:before="19"/>
        <w:ind w:left="192" w:right="107" w:firstLine="360"/>
        <w:jc w:val="both"/>
      </w:pPr>
      <w:r>
        <w:rPr/>
        <w:t>报告期内，公司共召开</w:t>
      </w:r>
      <w:r>
        <w:rPr>
          <w:rFonts w:ascii="Times New Roman" w:hAnsi="Times New Roman" w:cs="Times New Roman" w:eastAsia="Times New Roman" w:hint="default"/>
        </w:rPr>
        <w:t>6</w:t>
      </w:r>
      <w:r>
        <w:rPr/>
        <w:t>次股东大会，为方便股东行使表决权，公司以现场与网络投票相结合的方式召开股东大会，在 </w:t>
      </w:r>
      <w:r>
        <w:rPr>
          <w:spacing w:val="-2"/>
        </w:rPr>
        <w:t>股东大会召开过程中，公司充分保障股东的发言权，并积极认真地回复股东的提问，确保所有股东充分享有平等地位，并能</w:t>
      </w:r>
      <w:r>
        <w:rPr>
          <w:spacing w:val="-64"/>
        </w:rPr>
        <w:t> </w:t>
      </w:r>
      <w:r>
        <w:rPr>
          <w:spacing w:val="-64"/>
        </w:rPr>
      </w:r>
      <w:r>
        <w:rPr>
          <w:spacing w:val="-2"/>
        </w:rPr>
        <w:t>够充分行使对公司重大事项的知情权、参与权和表决权，各股东通过公司股东大会认真负责地履行职责，行使权力，保障公</w:t>
      </w:r>
      <w:r>
        <w:rPr>
          <w:spacing w:val="-66"/>
        </w:rPr>
        <w:t> </w:t>
      </w:r>
      <w:r>
        <w:rPr>
          <w:spacing w:val="-66"/>
        </w:rPr>
      </w:r>
      <w:r>
        <w:rPr>
          <w:spacing w:val="-2"/>
        </w:rPr>
        <w:t>司的规范运作；公司股东大会根据现阶段公司实际情况及未来战略规划，公司对相关制度内容进行修订，包括《股东大会议</w:t>
      </w:r>
      <w:r>
        <w:rPr>
          <w:spacing w:val="-64"/>
        </w:rPr>
        <w:t> </w:t>
      </w:r>
      <w:r>
        <w:rPr>
          <w:spacing w:val="-64"/>
        </w:rPr>
      </w:r>
      <w:r>
        <w:rPr/>
        <w:t>事规则》、《董事会议事规则》、《监事会议事规则》、《总裁工作细则》、《独立董事制度》、《信息披露管理制度》、</w:t>
      </w:r>
    </w:p>
    <w:p>
      <w:pPr>
        <w:pStyle w:val="BodyText"/>
        <w:spacing w:line="319" w:lineRule="auto" w:before="20"/>
        <w:ind w:left="192" w:right="190" w:hanging="92"/>
        <w:jc w:val="both"/>
      </w:pPr>
      <w:r>
        <w:rPr/>
        <w:t>《年报信息披露重大差错责任追究制度》、《内部审计制度》、《董事、监事、高级管理人员薪酬管理制度》、《财务会计 </w:t>
      </w:r>
      <w:r>
        <w:rPr>
          <w:spacing w:val="-2"/>
        </w:rPr>
        <w:t>相关负责人管理制度》、《募集资金专项存储及使用管理制度》、《关联交易决策制度》、《内部问责制度》、《董事会薪</w:t>
      </w:r>
      <w:r>
        <w:rPr/>
        <w:t> 酬与考核委员会工作细则》。</w:t>
      </w:r>
    </w:p>
    <w:p>
      <w:pPr>
        <w:pStyle w:val="BodyText"/>
        <w:spacing w:line="300" w:lineRule="auto" w:before="17"/>
        <w:ind w:left="553" w:right="184"/>
        <w:jc w:val="left"/>
      </w:pPr>
      <w:r>
        <w:rPr>
          <w:rFonts w:ascii="Times New Roman" w:hAnsi="Times New Roman" w:cs="Times New Roman" w:eastAsia="Times New Roman" w:hint="default"/>
        </w:rPr>
        <w:t>2</w:t>
      </w:r>
      <w:r>
        <w:rPr/>
        <w:t>、关于董事与董事会 </w:t>
      </w:r>
      <w:r>
        <w:rPr>
          <w:spacing w:val="-2"/>
        </w:rPr>
        <w:t>公司董事会由</w:t>
      </w:r>
      <w:r>
        <w:rPr>
          <w:rFonts w:ascii="Times New Roman" w:hAnsi="Times New Roman" w:cs="Times New Roman" w:eastAsia="Times New Roman" w:hint="default"/>
          <w:spacing w:val="-2"/>
        </w:rPr>
        <w:t>7</w:t>
      </w:r>
      <w:r>
        <w:rPr>
          <w:spacing w:val="-2"/>
        </w:rPr>
        <w:t>名董事组成，其中独立董事</w:t>
      </w:r>
      <w:r>
        <w:rPr>
          <w:rFonts w:ascii="Times New Roman" w:hAnsi="Times New Roman" w:cs="Times New Roman" w:eastAsia="Times New Roman" w:hint="default"/>
          <w:spacing w:val="-2"/>
        </w:rPr>
        <w:t>3</w:t>
      </w:r>
      <w:r>
        <w:rPr>
          <w:spacing w:val="-2"/>
        </w:rPr>
        <w:t>名，董事会的人数、构成及选聘程序符合相关法律法规、《公司章程》的规</w:t>
      </w:r>
    </w:p>
    <w:p>
      <w:pPr>
        <w:pStyle w:val="BodyText"/>
        <w:spacing w:line="314" w:lineRule="auto" w:before="13"/>
        <w:ind w:left="0" w:right="190"/>
        <w:jc w:val="right"/>
      </w:pPr>
      <w:r>
        <w:rPr>
          <w:spacing w:val="-2"/>
        </w:rPr>
        <w:t>定。公司全体董事认真执行股东大会决议，勤勉尽责地履行职责。公司董事会下设战略委员会、审计委员会、薪酬与考核委</w:t>
      </w:r>
      <w:r>
        <w:rPr>
          <w:spacing w:val="-80"/>
        </w:rPr>
        <w:t> </w:t>
      </w:r>
      <w:r>
        <w:rPr>
          <w:spacing w:val="-80"/>
        </w:rPr>
      </w:r>
      <w:r>
        <w:rPr>
          <w:spacing w:val="-2"/>
        </w:rPr>
        <w:t>员会三个专门委员会，并制定工作细则，各委员会分工明确，充分发挥了各专门委员会在发展战略规划、薪酬体系、高管选</w:t>
      </w:r>
      <w:r>
        <w:rPr>
          <w:spacing w:val="-80"/>
        </w:rPr>
        <w:t> </w:t>
      </w:r>
      <w:r>
        <w:rPr>
          <w:spacing w:val="-80"/>
        </w:rPr>
      </w:r>
      <w:r>
        <w:rPr>
          <w:spacing w:val="-5"/>
        </w:rPr>
        <w:t>聘、内审工作等方面的作用，建立健全了公司内部控制体系，充分利用专业知识提出建设性意见，保证了公司决策的科学性。</w:t>
      </w:r>
      <w:r>
        <w:rPr/>
        <w:t> </w:t>
      </w:r>
      <w:r>
        <w:rPr>
          <w:spacing w:val="-2"/>
        </w:rPr>
        <w:t>董事会召开情况。报告期内，公司共召开</w:t>
      </w:r>
      <w:r>
        <w:rPr>
          <w:rFonts w:ascii="Times New Roman" w:hAnsi="Times New Roman" w:cs="Times New Roman" w:eastAsia="Times New Roman" w:hint="default"/>
          <w:spacing w:val="-2"/>
        </w:rPr>
        <w:t>10</w:t>
      </w:r>
      <w:r>
        <w:rPr>
          <w:spacing w:val="-2"/>
        </w:rPr>
        <w:t>次董事会，公司董事会会议程序符合规定，会议记录完整、真实，会议相关</w:t>
      </w:r>
      <w:r>
        <w:rPr/>
        <w:t> </w:t>
      </w:r>
      <w:r>
        <w:rPr>
          <w:spacing w:val="-2"/>
        </w:rPr>
        <w:t>信息披露及时、准确、充分。公司独立董事能严格按照公司《独立董事制度》的要求履行职责，对公司重大决策能发表个人</w:t>
      </w:r>
      <w:r>
        <w:rPr>
          <w:spacing w:val="-82"/>
        </w:rPr>
        <w:t> </w:t>
      </w:r>
      <w:r>
        <w:rPr>
          <w:spacing w:val="-82"/>
        </w:rPr>
      </w:r>
      <w:r>
        <w:rPr>
          <w:spacing w:val="-2"/>
        </w:rPr>
        <w:t>的独立意见。各位董事均能按照《公司章程》及《董事会议事规则》等有关规定，出席董事会，认真审议各项议案，履行董</w:t>
      </w:r>
    </w:p>
    <w:p>
      <w:pPr>
        <w:pStyle w:val="BodyText"/>
        <w:spacing w:line="240" w:lineRule="auto" w:before="20"/>
        <w:ind w:left="192" w:right="184"/>
        <w:jc w:val="left"/>
      </w:pPr>
      <w:r>
        <w:rPr/>
        <w:t>事职责。</w:t>
      </w:r>
    </w:p>
    <w:p>
      <w:pPr>
        <w:pStyle w:val="BodyText"/>
        <w:spacing w:line="300" w:lineRule="auto" w:before="76"/>
        <w:ind w:left="553" w:right="183"/>
        <w:jc w:val="left"/>
      </w:pPr>
      <w:r>
        <w:rPr>
          <w:rFonts w:ascii="Times New Roman" w:hAnsi="Times New Roman" w:cs="Times New Roman" w:eastAsia="Times New Roman" w:hint="default"/>
        </w:rPr>
        <w:t>3</w:t>
      </w:r>
      <w:r>
        <w:rPr/>
        <w:t>、关于监事与监事会 公司严格按照《公司章程》和《监事会议事规则》的规定，规范监事会的召集、召开和表决程序。公司监事会由</w:t>
      </w:r>
      <w:r>
        <w:rPr>
          <w:rFonts w:ascii="Times New Roman" w:hAnsi="Times New Roman" w:cs="Times New Roman" w:eastAsia="Times New Roman" w:hint="default"/>
        </w:rPr>
        <w:t>3</w:t>
      </w:r>
      <w:r>
        <w:rPr/>
        <w:t>名监</w:t>
      </w:r>
    </w:p>
    <w:p>
      <w:pPr>
        <w:pStyle w:val="BodyText"/>
        <w:spacing w:line="240" w:lineRule="auto" w:before="13"/>
        <w:ind w:left="192" w:right="94"/>
        <w:jc w:val="left"/>
      </w:pPr>
      <w:r>
        <w:rPr/>
        <w:t>事组成，其中职工代表监事</w:t>
      </w:r>
      <w:r>
        <w:rPr>
          <w:rFonts w:ascii="Times New Roman" w:hAnsi="Times New Roman" w:cs="Times New Roman" w:eastAsia="Times New Roman" w:hint="default"/>
        </w:rPr>
        <w:t>1</w:t>
      </w:r>
      <w:r>
        <w:rPr/>
        <w:t>名。监事会的人数、构成及选聘程序均符合法律、法规和《公司章程》的规定。公司监事按照</w:t>
      </w:r>
    </w:p>
    <w:p>
      <w:pPr>
        <w:pStyle w:val="BodyText"/>
        <w:spacing w:line="316" w:lineRule="auto" w:before="63"/>
        <w:ind w:left="192" w:right="186" w:hanging="92"/>
        <w:jc w:val="left"/>
      </w:pPr>
      <w:r>
        <w:rPr/>
        <w:t>《监事会议事规则》的要求，认真履行自己的职责，对公司重大事项、关联交易、财务状况以及董事、高级管理人员履行职 责的合法合规性进行监督。</w:t>
      </w:r>
    </w:p>
    <w:p>
      <w:pPr>
        <w:pStyle w:val="BodyText"/>
        <w:spacing w:line="300" w:lineRule="auto" w:before="19"/>
        <w:ind w:left="192" w:right="201" w:firstLine="360"/>
        <w:jc w:val="both"/>
      </w:pPr>
      <w:r>
        <w:rPr/>
        <w:t>报告期内，公司共召开</w:t>
      </w:r>
      <w:r>
        <w:rPr>
          <w:rFonts w:ascii="Times New Roman" w:hAnsi="Times New Roman" w:cs="Times New Roman" w:eastAsia="Times New Roman" w:hint="default"/>
        </w:rPr>
        <w:t>9</w:t>
      </w:r>
      <w:r>
        <w:rPr/>
        <w:t>次监事会，各位监事均能按照《公司章程》及《监事会议事规则》等有关规定，出席监事会， 勤勉尽责，认真审议各项议案，并独立发表意见，维护了公司和股东的合法权益。</w:t>
      </w:r>
    </w:p>
    <w:p>
      <w:pPr>
        <w:pStyle w:val="BodyText"/>
        <w:spacing w:line="300" w:lineRule="auto" w:before="31"/>
        <w:ind w:left="553" w:right="184"/>
        <w:jc w:val="left"/>
      </w:pPr>
      <w:r>
        <w:rPr>
          <w:rFonts w:ascii="Times New Roman" w:hAnsi="Times New Roman" w:cs="Times New Roman" w:eastAsia="Times New Roman" w:hint="default"/>
        </w:rPr>
        <w:t>4</w:t>
      </w:r>
      <w:r>
        <w:rPr/>
        <w:t>、关于公司与控股股东 </w:t>
      </w:r>
      <w:r>
        <w:rPr>
          <w:spacing w:val="-2"/>
        </w:rPr>
        <w:t>公司拥有独立的、完整的业务和自主经营能力。公司董事会、监事会和内部机构独立运作。公司控股股东能严格规范自</w:t>
      </w:r>
    </w:p>
    <w:p>
      <w:pPr>
        <w:spacing w:after="0" w:line="300" w:lineRule="auto"/>
        <w:jc w:val="left"/>
        <w:sectPr>
          <w:pgSz w:w="11910" w:h="16840"/>
          <w:pgMar w:header="745" w:footer="980" w:top="1060" w:bottom="1160" w:left="940" w:right="940"/>
        </w:sectPr>
      </w:pPr>
    </w:p>
    <w:p>
      <w:pPr>
        <w:spacing w:line="240" w:lineRule="auto" w:before="9"/>
        <w:rPr>
          <w:rFonts w:ascii="宋体" w:hAnsi="宋体" w:cs="宋体" w:eastAsia="宋体" w:hint="default"/>
          <w:sz w:val="25"/>
          <w:szCs w:val="25"/>
        </w:rPr>
      </w:pPr>
    </w:p>
    <w:p>
      <w:pPr>
        <w:pStyle w:val="BodyText"/>
        <w:spacing w:line="319" w:lineRule="auto" w:before="44"/>
        <w:ind w:right="178"/>
        <w:jc w:val="left"/>
      </w:pPr>
      <w:r>
        <w:rPr>
          <w:spacing w:val="-2"/>
        </w:rPr>
        <w:t>己的行为，通过股东大会行使股东权利，没有超越股东大会直接或间接干预公司的决策和经营活动。公司控股股东不存在占</w:t>
      </w:r>
      <w:r>
        <w:rPr>
          <w:spacing w:val="-63"/>
        </w:rPr>
        <w:t> </w:t>
      </w:r>
      <w:r>
        <w:rPr>
          <w:spacing w:val="-63"/>
        </w:rPr>
      </w:r>
      <w:r>
        <w:rPr/>
        <w:t>用公司资金的情况，公司也没有为控股股东提供过担保。</w:t>
      </w:r>
    </w:p>
    <w:p>
      <w:pPr>
        <w:pStyle w:val="BodyText"/>
        <w:spacing w:line="300" w:lineRule="auto" w:before="17"/>
        <w:ind w:left="513" w:right="178"/>
        <w:jc w:val="left"/>
      </w:pPr>
      <w:r>
        <w:rPr>
          <w:rFonts w:ascii="Times New Roman" w:hAnsi="Times New Roman" w:cs="Times New Roman" w:eastAsia="Times New Roman" w:hint="default"/>
        </w:rPr>
        <w:t>5</w:t>
      </w:r>
      <w:r>
        <w:rPr/>
        <w:t>、公司与投资者 </w:t>
      </w:r>
      <w:r>
        <w:rPr>
          <w:spacing w:val="-2"/>
        </w:rPr>
        <w:t>公司自上市以来，一直高度重视投资者保护工作，持续优化投资者回报长效机制，严格履行相关承诺，完善内部治理结</w:t>
      </w:r>
    </w:p>
    <w:p>
      <w:pPr>
        <w:pStyle w:val="BodyText"/>
        <w:spacing w:line="316" w:lineRule="auto" w:before="31"/>
        <w:ind w:right="178"/>
        <w:jc w:val="left"/>
      </w:pPr>
      <w:r>
        <w:rPr>
          <w:spacing w:val="-2"/>
        </w:rPr>
        <w:t>构；严格按照监管要求履行信息披露义务，多渠道多方式搭建投资者沟通交流平台；引导投资者树立长期投资和理性投资的</w:t>
      </w:r>
      <w:r>
        <w:rPr>
          <w:spacing w:val="-63"/>
        </w:rPr>
        <w:t> </w:t>
      </w:r>
      <w:r>
        <w:rPr>
          <w:spacing w:val="-63"/>
        </w:rPr>
      </w:r>
      <w:r>
        <w:rPr/>
        <w:t>理念，切实保护广大投资者特别是中小投资者的合法权益。</w:t>
      </w:r>
    </w:p>
    <w:p>
      <w:pPr>
        <w:pStyle w:val="BodyText"/>
        <w:spacing w:line="309" w:lineRule="auto" w:before="19"/>
        <w:ind w:right="190" w:firstLine="360"/>
        <w:jc w:val="both"/>
      </w:pPr>
      <w:r>
        <w:rPr>
          <w:spacing w:val="-2"/>
        </w:rPr>
        <w:t>公司在</w:t>
      </w:r>
      <w:r>
        <w:rPr>
          <w:rFonts w:ascii="Times New Roman" w:hAnsi="Times New Roman" w:cs="Times New Roman" w:eastAsia="Times New Roman" w:hint="default"/>
          <w:spacing w:val="-2"/>
        </w:rPr>
        <w:t>2017</w:t>
      </w:r>
      <w:r>
        <w:rPr>
          <w:spacing w:val="-2"/>
        </w:rPr>
        <w:t>年度</w:t>
      </w:r>
      <w:r>
        <w:rPr>
          <w:rFonts w:ascii="Times New Roman" w:hAnsi="Times New Roman" w:cs="Times New Roman" w:eastAsia="Times New Roman" w:hint="default"/>
          <w:spacing w:val="-2"/>
        </w:rPr>
        <w:t>“</w:t>
      </w:r>
      <w:r>
        <w:rPr>
          <w:spacing w:val="-2"/>
        </w:rPr>
        <w:t>蓝天行动</w:t>
      </w:r>
      <w:r>
        <w:rPr>
          <w:rFonts w:ascii="Times New Roman" w:hAnsi="Times New Roman" w:cs="Times New Roman" w:eastAsia="Times New Roman" w:hint="default"/>
          <w:spacing w:val="-2"/>
        </w:rPr>
        <w:t>”</w:t>
      </w:r>
      <w:r>
        <w:rPr>
          <w:spacing w:val="-2"/>
        </w:rPr>
        <w:t>专项工作中，通过积极完善公司官网投资者关系栏目，持续对外发布最新动态；公司报告期</w:t>
      </w:r>
      <w:r>
        <w:rPr/>
        <w:t> 内接待机构投资者现场调研</w:t>
      </w:r>
      <w:r>
        <w:rPr>
          <w:rFonts w:ascii="Times New Roman" w:hAnsi="Times New Roman" w:cs="Times New Roman" w:eastAsia="Times New Roman" w:hint="default"/>
        </w:rPr>
        <w:t>2</w:t>
      </w:r>
      <w:r>
        <w:rPr/>
        <w:t>次共</w:t>
      </w:r>
      <w:r>
        <w:rPr>
          <w:rFonts w:ascii="Times New Roman" w:hAnsi="Times New Roman" w:cs="Times New Roman" w:eastAsia="Times New Roman" w:hint="default"/>
        </w:rPr>
        <w:t>11</w:t>
      </w:r>
      <w:r>
        <w:rPr/>
        <w:t>家机构代表，并就本公司的各业务板块经营情况、发展战略、行业发展状况等情况向来 </w:t>
      </w:r>
      <w:r>
        <w:rPr>
          <w:spacing w:val="-2"/>
        </w:rPr>
        <w:t>访的代表作了介绍；公司继续从多渠道、多层次地展开投资者关系管理工作及时解答投资者提出的问题，进行整理并做出反</w:t>
      </w:r>
      <w:r>
        <w:rPr>
          <w:spacing w:val="-63"/>
        </w:rPr>
        <w:t> </w:t>
      </w:r>
      <w:r>
        <w:rPr>
          <w:spacing w:val="-63"/>
        </w:rPr>
      </w:r>
      <w:r>
        <w:rPr>
          <w:spacing w:val="-2"/>
        </w:rPr>
        <w:t>馈；</w:t>
      </w:r>
      <w:r>
        <w:rPr>
          <w:rFonts w:ascii="Times New Roman" w:hAnsi="Times New Roman" w:cs="Times New Roman" w:eastAsia="Times New Roman" w:hint="default"/>
          <w:spacing w:val="-2"/>
        </w:rPr>
        <w:t>2017</w:t>
      </w:r>
      <w:r>
        <w:rPr>
          <w:spacing w:val="-2"/>
        </w:rPr>
        <w:t>年度公司董事会办公室部门会定期向公司董事、监事及高级管理人员发送监管部门公布的违规操作案例，及时根据</w:t>
      </w:r>
      <w:r>
        <w:rPr>
          <w:spacing w:val="-60"/>
        </w:rPr>
        <w:t> </w:t>
      </w:r>
      <w:r>
        <w:rPr>
          <w:spacing w:val="-60"/>
        </w:rPr>
      </w:r>
      <w:r>
        <w:rPr>
          <w:spacing w:val="-2"/>
        </w:rPr>
        <w:t>相关法律法规规定，整理提醒董监高人员注意的相关文件；同时积极安排公司董事、监事及高级管理人员参与上市公司协会</w:t>
      </w:r>
      <w:r>
        <w:rPr>
          <w:spacing w:val="-63"/>
        </w:rPr>
        <w:t> </w:t>
      </w:r>
      <w:r>
        <w:rPr>
          <w:spacing w:val="-63"/>
        </w:rPr>
      </w:r>
      <w:r>
        <w:rPr>
          <w:spacing w:val="-2"/>
        </w:rPr>
        <w:t>等单位组织的培训及活动，以此督促公司高层人员，加强公司治理合法合规意识。以上措施及行动加强公司董事、监事及高</w:t>
      </w:r>
      <w:r>
        <w:rPr>
          <w:spacing w:val="-65"/>
        </w:rPr>
        <w:t> </w:t>
      </w:r>
      <w:r>
        <w:rPr>
          <w:spacing w:val="-65"/>
        </w:rPr>
      </w:r>
      <w:r>
        <w:rPr>
          <w:spacing w:val="-2"/>
        </w:rPr>
        <w:t>级管理人员诚信教育等方面，促进投资者对公司的了解，进一步完善公司法人治理结构，实现公司价值最大化和股东利益最</w:t>
      </w:r>
      <w:r>
        <w:rPr>
          <w:spacing w:val="-63"/>
        </w:rPr>
        <w:t> </w:t>
      </w:r>
      <w:r>
        <w:rPr>
          <w:spacing w:val="-63"/>
        </w:rPr>
      </w:r>
      <w:r>
        <w:rPr/>
        <w:t>大化。</w:t>
      </w:r>
    </w:p>
    <w:p>
      <w:pPr>
        <w:pStyle w:val="BodyText"/>
        <w:spacing w:line="300" w:lineRule="auto" w:before="24"/>
        <w:ind w:left="513" w:right="178"/>
        <w:jc w:val="left"/>
      </w:pPr>
      <w:r>
        <w:rPr>
          <w:rFonts w:ascii="Times New Roman" w:hAnsi="Times New Roman" w:cs="Times New Roman" w:eastAsia="Times New Roman" w:hint="default"/>
        </w:rPr>
        <w:t>6</w:t>
      </w:r>
      <w:r>
        <w:rPr/>
        <w:t>、关于相关利益者 </w:t>
      </w:r>
      <w:r>
        <w:rPr>
          <w:spacing w:val="-2"/>
        </w:rPr>
        <w:t>公司在保持稳健发展、实现股东利益最大化的同时，充分尊重和维护相关利益者的合法权益，重视社会责任，加强与各</w:t>
      </w:r>
    </w:p>
    <w:p>
      <w:pPr>
        <w:pStyle w:val="BodyText"/>
        <w:spacing w:line="309" w:lineRule="auto" w:before="31"/>
        <w:ind w:left="513" w:right="178" w:hanging="361"/>
        <w:jc w:val="left"/>
      </w:pPr>
      <w:r>
        <w:rPr/>
        <w:t>方的沟通和交流，实现股东、员工、特别是中小投资者等各方面利益的均衡，共同推动公司持续、稳定、健康地发展。 </w:t>
      </w:r>
      <w:r>
        <w:rPr>
          <w:rFonts w:ascii="Times New Roman" w:hAnsi="Times New Roman" w:cs="Times New Roman" w:eastAsia="Times New Roman" w:hint="default"/>
        </w:rPr>
        <w:t>7</w:t>
      </w:r>
      <w:r>
        <w:rPr/>
        <w:t>、关于信息披露与透明度 </w:t>
      </w:r>
      <w:r>
        <w:rPr>
          <w:spacing w:val="-2"/>
        </w:rPr>
        <w:t>公司已建立《信息披露事务管理制度》，并指定董事会秘书和专门机构负责公司上市后的信息披露工作，协调公司与投</w:t>
      </w:r>
    </w:p>
    <w:p>
      <w:pPr>
        <w:pStyle w:val="BodyText"/>
        <w:spacing w:line="316" w:lineRule="auto" w:before="24"/>
        <w:ind w:right="195"/>
        <w:jc w:val="both"/>
      </w:pPr>
      <w:r>
        <w:rPr>
          <w:spacing w:val="-2"/>
        </w:rPr>
        <w:t>资者的关系，接待投资者来访，回答投资者咨询；指定《证券时报》和巨潮资讯网为公司上市后信息披露的报纸和网站，真</w:t>
      </w:r>
      <w:r>
        <w:rPr>
          <w:spacing w:val="-70"/>
        </w:rPr>
        <w:t> </w:t>
      </w:r>
      <w:r>
        <w:rPr>
          <w:spacing w:val="-70"/>
        </w:rPr>
      </w:r>
      <w:r>
        <w:rPr>
          <w:spacing w:val="-2"/>
        </w:rPr>
        <w:t>实、准确、及时的披露公司信息，确保公司所有股东公平地获得公司相关信息，为公司更加规范，透明的运作打好基础。报</w:t>
      </w:r>
      <w:r>
        <w:rPr>
          <w:spacing w:val="-70"/>
        </w:rPr>
        <w:t> </w:t>
      </w:r>
      <w:r>
        <w:rPr>
          <w:spacing w:val="-70"/>
        </w:rPr>
      </w:r>
      <w:r>
        <w:rPr/>
        <w:t>告期内，公司共对外披露公告</w:t>
      </w:r>
      <w:r>
        <w:rPr>
          <w:rFonts w:ascii="Times New Roman" w:hAnsi="Times New Roman" w:cs="Times New Roman" w:eastAsia="Times New Roman" w:hint="default"/>
        </w:rPr>
        <w:t>109</w:t>
      </w:r>
      <w:r>
        <w:rPr/>
        <w:t>份。</w:t>
      </w:r>
    </w:p>
    <w:p>
      <w:pPr>
        <w:pStyle w:val="BodyText"/>
        <w:spacing w:line="314" w:lineRule="auto"/>
        <w:ind w:right="188" w:firstLine="360"/>
        <w:jc w:val="both"/>
      </w:pPr>
      <w:r>
        <w:rPr>
          <w:rFonts w:ascii="Times New Roman" w:hAnsi="Times New Roman" w:cs="Times New Roman" w:eastAsia="Times New Roman" w:hint="default"/>
          <w:spacing w:val="-2"/>
        </w:rPr>
        <w:t>2017</w:t>
      </w:r>
      <w:r>
        <w:rPr>
          <w:spacing w:val="-2"/>
        </w:rPr>
        <w:t>年公司核查发现存在如下问题：公司会计基础工作薄弱导致</w:t>
      </w:r>
      <w:r>
        <w:rPr>
          <w:rFonts w:ascii="Times New Roman" w:hAnsi="Times New Roman" w:cs="Times New Roman" w:eastAsia="Times New Roman" w:hint="default"/>
          <w:spacing w:val="-2"/>
        </w:rPr>
        <w:t>2016</w:t>
      </w:r>
      <w:r>
        <w:rPr>
          <w:spacing w:val="-2"/>
        </w:rPr>
        <w:t>年度业绩快报修正；关联关系管理不到位，导致事</w:t>
      </w:r>
      <w:r>
        <w:rPr/>
        <w:t> </w:t>
      </w:r>
      <w:r>
        <w:rPr>
          <w:spacing w:val="-2"/>
        </w:rPr>
        <w:t>项披露不及时；对子公司核算及业务管理水平不强导致使用资金不规范，并收到深圳证监局责令改正决定。公司对所涉问题</w:t>
      </w:r>
      <w:r>
        <w:rPr>
          <w:spacing w:val="-61"/>
        </w:rPr>
        <w:t> </w:t>
      </w:r>
      <w:r>
        <w:rPr>
          <w:spacing w:val="-61"/>
        </w:rPr>
      </w:r>
      <w:r>
        <w:rPr>
          <w:spacing w:val="-2"/>
        </w:rPr>
        <w:t>认真对照有关法律法规的规定和内部管理制度进行梳理和分析，积极查找问题根源，并进行了整改。公司将在今后日常经营</w:t>
      </w:r>
      <w:r>
        <w:rPr>
          <w:spacing w:val="-66"/>
        </w:rPr>
        <w:t> </w:t>
      </w:r>
      <w:r>
        <w:rPr>
          <w:spacing w:val="-66"/>
        </w:rPr>
      </w:r>
      <w:r>
        <w:rPr>
          <w:spacing w:val="-2"/>
        </w:rPr>
        <w:t>及公司治理中长期坚持，以切实采取有效措施加强财务会计基础工作，涉及的会计政策、会计核算制度及方法进行梳理；完</w:t>
      </w:r>
      <w:r>
        <w:rPr>
          <w:spacing w:val="-66"/>
        </w:rPr>
        <w:t> </w:t>
      </w:r>
      <w:r>
        <w:rPr>
          <w:spacing w:val="-66"/>
        </w:rPr>
      </w:r>
      <w:r>
        <w:rPr>
          <w:spacing w:val="-2"/>
        </w:rPr>
        <w:t>善全体董事、监事和高级管理人员加强对证券法律法规的学习，强化规范运作意识；建立健全公司内部管理制度，加强对子</w:t>
      </w:r>
      <w:r>
        <w:rPr>
          <w:spacing w:val="-64"/>
        </w:rPr>
        <w:t> </w:t>
      </w:r>
      <w:r>
        <w:rPr>
          <w:spacing w:val="-64"/>
        </w:rPr>
      </w:r>
      <w:r>
        <w:rPr/>
        <w:t>公司的管控，提高对子公司的核算及业务管理水平。</w:t>
      </w:r>
    </w:p>
    <w:p>
      <w:pPr>
        <w:pStyle w:val="BodyText"/>
        <w:spacing w:line="300" w:lineRule="auto" w:before="20"/>
        <w:ind w:left="513" w:right="93"/>
        <w:jc w:val="left"/>
      </w:pPr>
      <w:r>
        <w:rPr>
          <w:rFonts w:ascii="Times New Roman" w:hAnsi="Times New Roman" w:cs="Times New Roman" w:eastAsia="Times New Roman" w:hint="default"/>
        </w:rPr>
        <w:t>8</w:t>
      </w:r>
      <w:r>
        <w:rPr/>
        <w:t>、关于绩效评价与考核 </w:t>
      </w:r>
      <w:r>
        <w:rPr>
          <w:spacing w:val="-4"/>
        </w:rPr>
        <w:t>公司针对高层和中基层分别建立绩效考评制度，对公司高层绩效考核：在年初由公司战略投资部组织制定公司绩效指标，</w:t>
      </w:r>
    </w:p>
    <w:p>
      <w:pPr>
        <w:pStyle w:val="BodyText"/>
        <w:spacing w:line="316" w:lineRule="auto" w:before="31"/>
        <w:ind w:right="94"/>
        <w:jc w:val="left"/>
      </w:pPr>
      <w:r>
        <w:rPr>
          <w:spacing w:val="-2"/>
        </w:rPr>
        <w:t>与各事业部及职能部门拟订年度目标责任书，每季度由分管负责人把重点工作任务完成情况，提交高层会议中审议并进行评</w:t>
      </w:r>
      <w:r>
        <w:rPr>
          <w:spacing w:val="-64"/>
        </w:rPr>
        <w:t> </w:t>
      </w:r>
      <w:r>
        <w:rPr>
          <w:spacing w:val="-64"/>
        </w:rPr>
      </w:r>
      <w:r>
        <w:rPr/>
        <w:t>分，考核结果与高层管理人员薪酬挂钩；对公司中基层绩效考核：由各部门负责人将绩效目标组织员工分解到月度、季度、</w:t>
      </w:r>
      <w:r>
        <w:rPr>
          <w:spacing w:val="-86"/>
        </w:rPr>
        <w:t> </w:t>
      </w:r>
      <w:r>
        <w:rPr>
          <w:spacing w:val="-86"/>
        </w:rPr>
      </w:r>
      <w:r>
        <w:rPr>
          <w:spacing w:val="-2"/>
        </w:rPr>
        <w:t>半年度，并签订目标责任书，由人事部门对考核结果进行集中核算后，作为确定薪酬、职位晋升的量化依据。公司科学规范</w:t>
      </w:r>
      <w:r>
        <w:rPr>
          <w:spacing w:val="-67"/>
        </w:rPr>
        <w:t> </w:t>
      </w:r>
      <w:r>
        <w:rPr>
          <w:spacing w:val="-67"/>
        </w:rPr>
      </w:r>
      <w:r>
        <w:rPr/>
        <w:t>绩效管理和公平评价机制，为价值分配提供依据。落实公司目标责任工作，确保各部门实际开展工作和公司要求的一致性，</w:t>
      </w:r>
      <w:r>
        <w:rPr>
          <w:spacing w:val="-86"/>
        </w:rPr>
        <w:t> </w:t>
      </w:r>
      <w:r>
        <w:rPr>
          <w:spacing w:val="-86"/>
        </w:rPr>
      </w:r>
      <w:r>
        <w:rPr/>
        <w:t>保障公司战略和经营目标的达成。</w:t>
      </w:r>
    </w:p>
    <w:p>
      <w:pPr>
        <w:spacing w:line="240" w:lineRule="auto" w:before="0"/>
        <w:rPr>
          <w:rFonts w:ascii="宋体" w:hAnsi="宋体" w:cs="宋体" w:eastAsia="宋体" w:hint="default"/>
          <w:sz w:val="18"/>
          <w:szCs w:val="18"/>
        </w:rPr>
      </w:pPr>
    </w:p>
    <w:p>
      <w:pPr>
        <w:pStyle w:val="BodyText"/>
        <w:spacing w:line="240" w:lineRule="auto" w:before="136"/>
        <w:ind w:right="178"/>
        <w:jc w:val="left"/>
      </w:pPr>
      <w:r>
        <w:rPr/>
        <w:t>公司治理的实际状况与中国证监会发布的有关上市公司治理的规范性文件是否存在重大差异</w:t>
      </w:r>
    </w:p>
    <w:p>
      <w:pPr>
        <w:pStyle w:val="BodyText"/>
        <w:spacing w:line="340" w:lineRule="auto" w:before="115"/>
        <w:ind w:right="26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78"/>
        <w:jc w:val="left"/>
        <w:rPr>
          <w:b w:val="0"/>
          <w:bCs w:val="0"/>
        </w:rPr>
      </w:pPr>
      <w:r>
        <w:rPr/>
        <w:t>二、公司相对于控股股东在业务、人员、资产、机构、财务等方面的独立情况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5" w:firstLine="360"/>
        <w:jc w:val="both"/>
      </w:pPr>
      <w:r>
        <w:rPr>
          <w:spacing w:val="-2"/>
        </w:rPr>
        <w:t>公司与控股股东在业务、资产、人员、机构、财务等方面完全分开。公司建立了独立完整的经营体系，具有独立完整的</w:t>
      </w:r>
      <w:r>
        <w:rPr/>
        <w:t> 业务自主经营能力。具体情况如下：</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left="513" w:right="0" w:hanging="92"/>
        <w:jc w:val="left"/>
      </w:pPr>
      <w:r>
        <w:rPr/>
        <w:t>（一）业务独立 </w:t>
      </w:r>
      <w:r>
        <w:rPr>
          <w:spacing w:val="-2"/>
        </w:rPr>
        <w:t>公司拥有完整的业务流程和独立生产经营场所，拥有独立的生产系统、辅助生产系统和配套设施，拥有独立的采购和销</w:t>
      </w:r>
    </w:p>
    <w:p>
      <w:pPr>
        <w:pStyle w:val="BodyText"/>
        <w:spacing w:line="240" w:lineRule="auto" w:before="17"/>
        <w:ind w:right="0"/>
        <w:jc w:val="both"/>
      </w:pPr>
      <w:r>
        <w:rPr/>
        <w:t>售系统，在业务上与控股股东、实际控制人及其控制的其他企业不存在同业竞争及依赖于控股股东的问题。</w:t>
      </w:r>
    </w:p>
    <w:p>
      <w:pPr>
        <w:pStyle w:val="BodyText"/>
        <w:spacing w:line="316" w:lineRule="auto" w:before="76"/>
        <w:ind w:left="513" w:right="0" w:hanging="92"/>
        <w:jc w:val="left"/>
      </w:pPr>
      <w:r>
        <w:rPr/>
        <w:t>（二）资产独立 </w:t>
      </w:r>
      <w:r>
        <w:rPr>
          <w:spacing w:val="-2"/>
        </w:rPr>
        <w:t>公司生产经营所需的厂房建筑物、机器设备、交通工具等固定资产和土地使用权、专利权、商标权等无形资产的权属清</w:t>
      </w:r>
    </w:p>
    <w:p>
      <w:pPr>
        <w:pStyle w:val="BodyText"/>
        <w:spacing w:line="316" w:lineRule="auto" w:before="19"/>
        <w:ind w:right="151"/>
        <w:jc w:val="both"/>
      </w:pPr>
      <w:r>
        <w:rPr>
          <w:spacing w:val="-2"/>
        </w:rPr>
        <w:t>晰，不存在重大法律纠纷或潜在纠纷，不存在股东单位违规占用上市公司资金、资产及其他资源的情况；公司对所拥有的资</w:t>
      </w:r>
      <w:r>
        <w:rPr>
          <w:spacing w:val="-65"/>
        </w:rPr>
        <w:t> </w:t>
      </w:r>
      <w:r>
        <w:rPr>
          <w:spacing w:val="-65"/>
        </w:rPr>
      </w:r>
      <w:r>
        <w:rPr>
          <w:spacing w:val="-5"/>
        </w:rPr>
        <w:t>产拥有完全的控制权和支配权，不存在以承包、委托经营、租赁或其它类似方式依赖控股股东及其它关联方开展经营的情况。</w:t>
      </w:r>
    </w:p>
    <w:p>
      <w:pPr>
        <w:pStyle w:val="BodyText"/>
        <w:spacing w:line="240" w:lineRule="auto" w:before="19"/>
        <w:ind w:left="422" w:right="0"/>
        <w:jc w:val="left"/>
      </w:pPr>
      <w:r>
        <w:rPr/>
        <w:t>（三）人员独立</w:t>
      </w:r>
    </w:p>
    <w:p>
      <w:pPr>
        <w:pStyle w:val="BodyText"/>
        <w:spacing w:line="300" w:lineRule="auto" w:before="76"/>
        <w:ind w:right="144" w:firstLine="360"/>
        <w:jc w:val="left"/>
      </w:pPr>
      <w:r>
        <w:rPr>
          <w:rFonts w:ascii="Times New Roman" w:hAnsi="Times New Roman" w:cs="Times New Roman" w:eastAsia="Times New Roman" w:hint="default"/>
        </w:rPr>
        <w:t>1</w:t>
      </w:r>
      <w:r>
        <w:rPr/>
        <w:t>、公司的高级管理人员在公司或子公司担任行政管理职务，在公司或子公司领取薪酬，不存在控股股东、实际控制人 及其控制的其他企业担任除董事、监事以外的其他职务或领薪的情形。</w:t>
      </w:r>
    </w:p>
    <w:p>
      <w:pPr>
        <w:pStyle w:val="BodyText"/>
        <w:spacing w:line="300" w:lineRule="auto" w:before="31"/>
        <w:ind w:right="144" w:firstLine="360"/>
        <w:jc w:val="left"/>
      </w:pPr>
      <w:r>
        <w:rPr>
          <w:rFonts w:ascii="Times New Roman" w:hAnsi="Times New Roman" w:cs="Times New Roman" w:eastAsia="Times New Roman" w:hint="default"/>
        </w:rPr>
        <w:t>2</w:t>
      </w:r>
      <w:r>
        <w:rPr/>
        <w:t>、公司主要股东推荐董事、监事以及由董事会聘请高级管理人员等行为均按照《公司章程》有关规定通过合法程序进 行，公司主要股东不存在干预董事会和股东大会已经作出的人事任免决定的情况。</w:t>
      </w:r>
    </w:p>
    <w:p>
      <w:pPr>
        <w:pStyle w:val="BodyText"/>
        <w:spacing w:line="300" w:lineRule="auto" w:before="31"/>
        <w:ind w:left="513" w:right="0"/>
        <w:jc w:val="left"/>
      </w:pPr>
      <w:r>
        <w:rPr>
          <w:rFonts w:ascii="Times New Roman" w:hAnsi="Times New Roman" w:cs="Times New Roman" w:eastAsia="Times New Roman" w:hint="default"/>
        </w:rPr>
        <w:t>3</w:t>
      </w:r>
      <w:r>
        <w:rPr/>
        <w:t>、公司财务人员不存在控股股东、实际控制人及其控制的其他企业兼职的情况。 </w:t>
      </w:r>
      <w:r>
        <w:rPr>
          <w:spacing w:val="-2"/>
        </w:rPr>
        <w:t>公司员工的劳动、人事、工资薪酬以及相应的社会保障均独立管理；公司高级管理人员未在控股股东、实际控制人及其</w:t>
      </w:r>
    </w:p>
    <w:p>
      <w:pPr>
        <w:pStyle w:val="BodyText"/>
        <w:spacing w:line="316" w:lineRule="auto" w:before="31"/>
        <w:ind w:right="151"/>
        <w:jc w:val="both"/>
      </w:pPr>
      <w:r>
        <w:rPr>
          <w:spacing w:val="-2"/>
        </w:rPr>
        <w:t>控制的其他企业中担任除董事、监事以外的其他职务，并未在控股股东、实际控制人及其控制的其他企业领取薪酬；公司财</w:t>
      </w:r>
      <w:r>
        <w:rPr>
          <w:spacing w:val="-64"/>
        </w:rPr>
        <w:t> </w:t>
      </w:r>
      <w:r>
        <w:rPr>
          <w:spacing w:val="-64"/>
        </w:rPr>
      </w:r>
      <w:r>
        <w:rPr/>
        <w:t>务人员不存在控股股东、实际控制人及其控制的其他企业兼职的情况。</w:t>
      </w:r>
    </w:p>
    <w:p>
      <w:pPr>
        <w:pStyle w:val="BodyText"/>
        <w:spacing w:line="316" w:lineRule="auto" w:before="19"/>
        <w:ind w:left="513" w:right="0" w:hanging="92"/>
        <w:jc w:val="left"/>
      </w:pPr>
      <w:r>
        <w:rPr/>
        <w:t>（四）机构独立 </w:t>
      </w:r>
      <w:r>
        <w:rPr>
          <w:spacing w:val="-2"/>
        </w:rPr>
        <w:t>公司建立和完善了内部经营管理机构及法人治理结构，</w:t>
      </w:r>
      <w:r>
        <w:rPr>
          <w:rFonts w:ascii="Times New Roman" w:hAnsi="Times New Roman" w:cs="Times New Roman" w:eastAsia="Times New Roman" w:hint="default"/>
          <w:spacing w:val="-2"/>
        </w:rPr>
        <w:t>“</w:t>
      </w:r>
      <w:r>
        <w:rPr>
          <w:spacing w:val="-2"/>
        </w:rPr>
        <w:t>三会</w:t>
      </w:r>
      <w:r>
        <w:rPr>
          <w:rFonts w:ascii="Times New Roman" w:hAnsi="Times New Roman" w:cs="Times New Roman" w:eastAsia="Times New Roman" w:hint="default"/>
          <w:spacing w:val="-2"/>
        </w:rPr>
        <w:t>”</w:t>
      </w:r>
      <w:r>
        <w:rPr>
          <w:spacing w:val="-2"/>
        </w:rPr>
        <w:t>运作良好，公司办公和生产经营场所与控股股东、实际控</w:t>
      </w:r>
    </w:p>
    <w:p>
      <w:pPr>
        <w:pStyle w:val="BodyText"/>
        <w:spacing w:line="316" w:lineRule="auto"/>
        <w:ind w:right="151"/>
        <w:jc w:val="both"/>
      </w:pPr>
      <w:r>
        <w:rPr>
          <w:spacing w:val="-2"/>
        </w:rPr>
        <w:t>制人及其控制的其他企业严格分开，不存在混合经营、合署办公的情况。公司根据经营需要设置了完善的组织架构，并制定</w:t>
      </w:r>
      <w:r>
        <w:rPr>
          <w:spacing w:val="-64"/>
        </w:rPr>
        <w:t> </w:t>
      </w:r>
      <w:r>
        <w:rPr>
          <w:spacing w:val="-64"/>
        </w:rPr>
      </w:r>
      <w:r>
        <w:rPr/>
        <w:t>了一系列规章制度，对各部门进行了明确分工，各部门依照规章制度行使各自职能。</w:t>
      </w:r>
    </w:p>
    <w:p>
      <w:pPr>
        <w:pStyle w:val="BodyText"/>
        <w:spacing w:line="316" w:lineRule="auto" w:before="19"/>
        <w:ind w:right="0" w:firstLine="360"/>
        <w:jc w:val="left"/>
      </w:pPr>
      <w:r>
        <w:rPr>
          <w:spacing w:val="-2"/>
        </w:rPr>
        <w:t>公司与控股股东、实际控制人及其控制的其他企业不存在上下级关系，也不存在控股股东、实际控制人及其控制的其他</w:t>
      </w:r>
      <w:r>
        <w:rPr/>
        <w:t> 企业直接干预公司经营活动的情形。</w:t>
      </w:r>
    </w:p>
    <w:p>
      <w:pPr>
        <w:pStyle w:val="BodyText"/>
        <w:spacing w:line="240" w:lineRule="auto" w:before="19"/>
        <w:ind w:left="422" w:right="0"/>
        <w:jc w:val="left"/>
      </w:pPr>
      <w:r>
        <w:rPr/>
        <w:t>（五）财务独立</w:t>
      </w:r>
    </w:p>
    <w:p>
      <w:pPr>
        <w:pStyle w:val="BodyText"/>
        <w:spacing w:line="300" w:lineRule="auto" w:before="76"/>
        <w:ind w:right="144" w:firstLine="360"/>
        <w:jc w:val="left"/>
      </w:pPr>
      <w:r>
        <w:rPr>
          <w:rFonts w:ascii="Times New Roman" w:hAnsi="Times New Roman" w:cs="Times New Roman" w:eastAsia="Times New Roman" w:hint="default"/>
        </w:rPr>
        <w:t>1</w:t>
      </w:r>
      <w:r>
        <w:rPr/>
        <w:t>、公司设有独立的财务部门，配备了专门的财务人员，建立了独立完整的会计核算体系，具有较为规范、独立的财务 会计制度。</w:t>
      </w:r>
    </w:p>
    <w:p>
      <w:pPr>
        <w:pStyle w:val="BodyText"/>
        <w:spacing w:line="240" w:lineRule="auto" w:before="32"/>
        <w:ind w:left="513" w:right="0"/>
        <w:jc w:val="left"/>
      </w:pPr>
      <w:r>
        <w:rPr>
          <w:rFonts w:ascii="Times New Roman" w:hAnsi="Times New Roman" w:cs="Times New Roman" w:eastAsia="Times New Roman" w:hint="default"/>
        </w:rPr>
        <w:t>2</w:t>
      </w:r>
      <w:r>
        <w:rPr/>
        <w:t>、公司作为独立的法人实体在银行开立基本账户，不存在与主要股东共用账户的情况。</w:t>
      </w:r>
    </w:p>
    <w:p>
      <w:pPr>
        <w:pStyle w:val="BodyText"/>
        <w:spacing w:line="240" w:lineRule="auto" w:before="63"/>
        <w:ind w:left="513" w:right="0"/>
        <w:jc w:val="left"/>
      </w:pPr>
      <w:r>
        <w:rPr>
          <w:rFonts w:ascii="Times New Roman" w:hAnsi="Times New Roman" w:cs="Times New Roman" w:eastAsia="Times New Roman" w:hint="default"/>
        </w:rPr>
        <w:t>3</w:t>
      </w:r>
      <w:r>
        <w:rPr/>
        <w:t>、公司作为独立的纳税法人实体进行独立的税务登记，不存在与控股股东合并纳税的情况。</w:t>
      </w:r>
    </w:p>
    <w:p>
      <w:pPr>
        <w:pStyle w:val="BodyText"/>
        <w:spacing w:line="300" w:lineRule="auto" w:before="63"/>
        <w:ind w:left="513" w:right="0"/>
        <w:jc w:val="left"/>
      </w:pPr>
      <w:r>
        <w:rPr>
          <w:rFonts w:ascii="Times New Roman" w:hAnsi="Times New Roman" w:cs="Times New Roman" w:eastAsia="Times New Roman" w:hint="default"/>
        </w:rPr>
        <w:t>4</w:t>
      </w:r>
      <w:r>
        <w:rPr/>
        <w:t>、公司及其子公司均不存在资金被控股股东、实际控制人及其控制的其他企业违规占用的情形。 </w:t>
      </w:r>
      <w:r>
        <w:rPr>
          <w:spacing w:val="-2"/>
        </w:rPr>
        <w:t>报告期内，公司财务部门根据实际情况修改《费用报销制度》公司组织财务、证券、审计等部门，对内部控制制度、会</w:t>
      </w:r>
    </w:p>
    <w:p>
      <w:pPr>
        <w:pStyle w:val="BodyText"/>
        <w:spacing w:line="316" w:lineRule="auto" w:before="31"/>
        <w:ind w:right="150"/>
        <w:jc w:val="both"/>
      </w:pPr>
      <w:r>
        <w:rPr>
          <w:spacing w:val="-2"/>
        </w:rPr>
        <w:t>计核算等相关的主要制度进行学习，并对《公司控股子公司管理办法》、《公司控股子公司财务管理办法》、《应收账款管</w:t>
      </w:r>
      <w:r>
        <w:rPr>
          <w:spacing w:val="-67"/>
        </w:rPr>
        <w:t> </w:t>
      </w:r>
      <w:r>
        <w:rPr>
          <w:spacing w:val="-67"/>
        </w:rPr>
      </w:r>
      <w:r>
        <w:rPr>
          <w:spacing w:val="-2"/>
        </w:rPr>
        <w:t>理》、《招投标管理》、《固定资产购置管理制度》、《工程项目管理制度》等重点制度进行梳理，公司未来将根据实际情</w:t>
      </w:r>
      <w:r>
        <w:rPr>
          <w:spacing w:val="-70"/>
        </w:rPr>
        <w:t> </w:t>
      </w:r>
      <w:r>
        <w:rPr>
          <w:spacing w:val="-70"/>
        </w:rPr>
      </w:r>
      <w:r>
        <w:rPr>
          <w:spacing w:val="-2"/>
        </w:rPr>
        <w:t>况及运营需要进行优化和修订监督执行。公司今后将定期组织财务、证券、审计等部门，对内部控制制度、会计核算等相关</w:t>
      </w:r>
      <w:r>
        <w:rPr>
          <w:spacing w:val="-65"/>
        </w:rPr>
        <w:t> </w:t>
      </w:r>
      <w:r>
        <w:rPr>
          <w:spacing w:val="-65"/>
        </w:rPr>
      </w:r>
      <w:r>
        <w:rPr>
          <w:spacing w:val="-2"/>
        </w:rPr>
        <w:t>的主要制度进行梳理学习，健全完善公司内部管理制度，增强内部控制的严谨性和有效性。公司财务部门将继续加强财务会</w:t>
      </w:r>
      <w:r>
        <w:rPr>
          <w:spacing w:val="-63"/>
        </w:rPr>
        <w:t> </w:t>
      </w:r>
      <w:r>
        <w:rPr>
          <w:spacing w:val="-63"/>
        </w:rPr>
      </w:r>
      <w:r>
        <w:rPr>
          <w:spacing w:val="-2"/>
        </w:rPr>
        <w:t>计政策及财务核算等方面培训，不断提高专业能力和业务水准，不定期对控股子公司财务业务开展巡检工作，及时提供相应</w:t>
      </w:r>
      <w:r>
        <w:rPr>
          <w:spacing w:val="-63"/>
        </w:rPr>
        <w:t> </w:t>
      </w:r>
      <w:r>
        <w:rPr>
          <w:spacing w:val="-63"/>
        </w:rPr>
      </w:r>
      <w:r>
        <w:rPr/>
        <w:t>的业务指导，提高公司整体财务管理能力。</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both"/>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203"/>
        <w:gridCol w:w="1550"/>
        <w:gridCol w:w="1601"/>
        <w:gridCol w:w="1550"/>
        <w:gridCol w:w="2067"/>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6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63"/>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20.28%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pacing w:val="-13"/>
                <w:sz w:val="18"/>
                <w:szCs w:val="18"/>
              </w:rPr>
              <w:t>披露媒体：《证券时报》和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巨潮资讯网公告</w:t>
            </w:r>
          </w:p>
          <w:p>
            <w:pPr>
              <w:pStyle w:val="TableParagraph"/>
              <w:spacing w:line="307" w:lineRule="auto" w:before="20"/>
              <w:ind w:left="24" w:right="17"/>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:2017-001</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公告名称：深</w:t>
            </w:r>
            <w:r>
              <w:rPr>
                <w:rFonts w:ascii="宋体" w:hAnsi="宋体" w:cs="宋体" w:eastAsia="宋体" w:hint="default"/>
                <w:sz w:val="18"/>
                <w:szCs w:val="18"/>
              </w:rPr>
              <w:t> 圳市证通电子股份有限公 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 东大会决议公告</w:t>
            </w:r>
          </w:p>
        </w:tc>
      </w:tr>
      <w:tr>
        <w:trPr>
          <w:trHeight w:val="19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63"/>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
              <w:jc w:val="left"/>
              <w:rPr>
                <w:rFonts w:ascii="宋体" w:hAnsi="宋体" w:cs="宋体" w:eastAsia="宋体" w:hint="default"/>
                <w:sz w:val="18"/>
                <w:szCs w:val="18"/>
              </w:rPr>
            </w:pPr>
            <w:r>
              <w:rPr>
                <w:rFonts w:ascii="宋体" w:hAnsi="宋体" w:cs="宋体" w:eastAsia="宋体" w:hint="default"/>
                <w:spacing w:val="-13"/>
                <w:sz w:val="18"/>
                <w:szCs w:val="18"/>
              </w:rPr>
              <w:t>披露媒体：《证券时报》和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巨潮资讯网公告</w:t>
            </w:r>
          </w:p>
          <w:p>
            <w:pPr>
              <w:pStyle w:val="TableParagraph"/>
              <w:spacing w:line="307" w:lineRule="auto" w:before="19"/>
              <w:ind w:left="24" w:right="17"/>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:2017-015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公告名称：深</w:t>
            </w:r>
            <w:r>
              <w:rPr>
                <w:rFonts w:ascii="宋体" w:hAnsi="宋体" w:cs="宋体" w:eastAsia="宋体" w:hint="default"/>
                <w:sz w:val="18"/>
                <w:szCs w:val="18"/>
              </w:rPr>
              <w:t> 圳市证通电子股份有限公 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 东大会决议公告</w:t>
            </w: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63"/>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20.56%</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pacing w:val="-13"/>
                <w:sz w:val="18"/>
                <w:szCs w:val="18"/>
              </w:rPr>
              <w:t>披露媒体：《证券时报》和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巨潮资讯网公告</w:t>
            </w:r>
          </w:p>
          <w:p>
            <w:pPr>
              <w:pStyle w:val="TableParagraph"/>
              <w:spacing w:line="307" w:lineRule="auto" w:before="20"/>
              <w:ind w:left="24" w:right="17"/>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:2017-039</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公告名称：深</w:t>
            </w:r>
            <w:r>
              <w:rPr>
                <w:rFonts w:ascii="宋体" w:hAnsi="宋体" w:cs="宋体" w:eastAsia="宋体" w:hint="default"/>
                <w:sz w:val="18"/>
                <w:szCs w:val="18"/>
              </w:rPr>
              <w:t> 圳市证通电子股份有限公 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 决议公告</w:t>
            </w:r>
          </w:p>
        </w:tc>
      </w:tr>
      <w:tr>
        <w:trPr>
          <w:trHeight w:val="19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 股东大会</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63"/>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20.58%</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pacing w:val="-13"/>
                <w:sz w:val="18"/>
                <w:szCs w:val="18"/>
              </w:rPr>
              <w:t>披露媒体：《证券时报》和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巨潮资讯网公告</w:t>
            </w:r>
          </w:p>
          <w:p>
            <w:pPr>
              <w:pStyle w:val="TableParagraph"/>
              <w:spacing w:line="307" w:lineRule="auto" w:before="17"/>
              <w:ind w:left="24" w:right="17"/>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:2017-053</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公告名称：深</w:t>
            </w:r>
            <w:r>
              <w:rPr>
                <w:rFonts w:ascii="宋体" w:hAnsi="宋体" w:cs="宋体" w:eastAsia="宋体" w:hint="default"/>
                <w:sz w:val="18"/>
                <w:szCs w:val="18"/>
              </w:rPr>
              <w:t> 圳市证通电子股份有限公 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 东大会决议公告</w:t>
            </w:r>
          </w:p>
        </w:tc>
      </w:tr>
      <w:tr>
        <w:trPr>
          <w:trHeight w:val="196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 股东大会</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63"/>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32.67%</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0"/>
              <w:jc w:val="left"/>
              <w:rPr>
                <w:rFonts w:ascii="宋体" w:hAnsi="宋体" w:cs="宋体" w:eastAsia="宋体" w:hint="default"/>
                <w:sz w:val="18"/>
                <w:szCs w:val="18"/>
              </w:rPr>
            </w:pPr>
            <w:r>
              <w:rPr>
                <w:rFonts w:ascii="宋体" w:hAnsi="宋体" w:cs="宋体" w:eastAsia="宋体" w:hint="default"/>
                <w:spacing w:val="-13"/>
                <w:sz w:val="18"/>
                <w:szCs w:val="18"/>
              </w:rPr>
              <w:t>披露媒体：《证券时报》和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巨潮资讯网公告</w:t>
            </w:r>
          </w:p>
          <w:p>
            <w:pPr>
              <w:pStyle w:val="TableParagraph"/>
              <w:spacing w:line="307" w:lineRule="auto" w:before="20"/>
              <w:ind w:left="24" w:right="17"/>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:2017-064</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公告名称：深</w:t>
            </w:r>
            <w:r>
              <w:rPr>
                <w:rFonts w:ascii="宋体" w:hAnsi="宋体" w:cs="宋体" w:eastAsia="宋体" w:hint="default"/>
                <w:sz w:val="18"/>
                <w:szCs w:val="18"/>
              </w:rPr>
              <w:t> 圳市证通电子股份有限公 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年第四次临时股 东大会决议公告</w:t>
            </w:r>
          </w:p>
        </w:tc>
      </w:tr>
      <w:tr>
        <w:trPr>
          <w:trHeight w:val="19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 股东大会</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63"/>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20.40%</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1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0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0"/>
              <w:jc w:val="left"/>
              <w:rPr>
                <w:rFonts w:ascii="宋体" w:hAnsi="宋体" w:cs="宋体" w:eastAsia="宋体" w:hint="default"/>
                <w:sz w:val="18"/>
                <w:szCs w:val="18"/>
              </w:rPr>
            </w:pPr>
            <w:r>
              <w:rPr>
                <w:rFonts w:ascii="宋体" w:hAnsi="宋体" w:cs="宋体" w:eastAsia="宋体" w:hint="default"/>
                <w:spacing w:val="-13"/>
                <w:sz w:val="18"/>
                <w:szCs w:val="18"/>
              </w:rPr>
              <w:t>披露媒体：《证券时报》和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巨潮资讯网公告</w:t>
            </w:r>
          </w:p>
          <w:p>
            <w:pPr>
              <w:pStyle w:val="TableParagraph"/>
              <w:spacing w:line="307" w:lineRule="auto" w:before="17"/>
              <w:ind w:left="24" w:right="17"/>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:2017-092</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公告名称：深</w:t>
            </w:r>
            <w:r>
              <w:rPr>
                <w:rFonts w:ascii="宋体" w:hAnsi="宋体" w:cs="宋体" w:eastAsia="宋体" w:hint="default"/>
                <w:sz w:val="18"/>
                <w:szCs w:val="18"/>
              </w:rPr>
              <w:t> 圳市证通电子股份有限公 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年第五次临时股 东大会决议公告</w:t>
            </w:r>
          </w:p>
        </w:tc>
      </w:tr>
    </w:tbl>
    <w:p>
      <w:pPr>
        <w:spacing w:after="0" w:line="307"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5"/>
        <w:gridCol w:w="1162"/>
        <w:gridCol w:w="1164"/>
        <w:gridCol w:w="1162"/>
        <w:gridCol w:w="1165"/>
        <w:gridCol w:w="1164"/>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4"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马映冰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孙海法</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邓鸿</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60" w:lineRule="auto" w:before="49"/>
        <w:ind w:right="3654"/>
        <w:jc w:val="left"/>
      </w:pPr>
      <w:r>
        <w:rPr/>
        <w:t>连续两次未亲自出席董事会的说明 在报告期内，公司独立董事不存在连续两次未亲自出席参加董事会会议情况。</w:t>
      </w:r>
    </w:p>
    <w:p>
      <w:pPr>
        <w:spacing w:line="240" w:lineRule="auto" w:before="2"/>
        <w:rPr>
          <w:rFonts w:ascii="宋体" w:hAnsi="宋体" w:cs="宋体" w:eastAsia="宋体" w:hint="default"/>
          <w:sz w:val="20"/>
          <w:szCs w:val="20"/>
        </w:rPr>
      </w:pPr>
    </w:p>
    <w:p>
      <w:pPr>
        <w:pStyle w:val="Heading3"/>
        <w:spacing w:line="240" w:lineRule="auto"/>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独立董事对公司有关事项是否提出异议</w:t>
      </w:r>
    </w:p>
    <w:p>
      <w:pPr>
        <w:pStyle w:val="BodyText"/>
        <w:spacing w:line="338" w:lineRule="auto" w:before="117"/>
        <w:ind w:right="59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8"/>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240" w:lineRule="auto" w:before="117"/>
        <w:ind w:right="0"/>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60" w:lineRule="auto" w:before="101"/>
        <w:ind w:left="513" w:right="0"/>
        <w:jc w:val="left"/>
      </w:pPr>
      <w:r>
        <w:rPr/>
        <w:t>独立董事对公司有关建议被采纳或未被采纳的说明 </w:t>
      </w:r>
      <w:r>
        <w:rPr>
          <w:spacing w:val="-2"/>
        </w:rPr>
        <w:t>报告期内，独立董事马映冰先生、孙海法先生、邓鸿先生根据《公司法》、《证券法》、《深圳证券交易所股票上市规</w:t>
      </w:r>
    </w:p>
    <w:p>
      <w:pPr>
        <w:pStyle w:val="BodyText"/>
        <w:spacing w:line="222" w:lineRule="exact"/>
        <w:ind w:right="0"/>
        <w:jc w:val="both"/>
      </w:pPr>
      <w:r>
        <w:rPr/>
        <w:t>则》、《公司章程》以及公司《独立董事制度》，关注公司运作，独立履行职责，提示公司注意把控风险点，发挥委员的专</w:t>
      </w:r>
    </w:p>
    <w:p>
      <w:pPr>
        <w:pStyle w:val="BodyText"/>
        <w:spacing w:line="312" w:lineRule="auto" w:before="76"/>
        <w:ind w:right="149"/>
        <w:jc w:val="both"/>
      </w:pPr>
      <w:r>
        <w:rPr/>
        <w:t>业优势，审慎把关。</w:t>
      </w:r>
      <w:r>
        <w:rPr>
          <w:rFonts w:ascii="Times New Roman" w:hAnsi="Times New Roman" w:cs="Times New Roman" w:eastAsia="Times New Roman" w:hint="default"/>
        </w:rPr>
        <w:t>2017</w:t>
      </w:r>
      <w:r>
        <w:rPr/>
        <w:t>年公司共召开了</w:t>
      </w:r>
      <w:r>
        <w:rPr>
          <w:rFonts w:ascii="Times New Roman" w:hAnsi="Times New Roman" w:cs="Times New Roman" w:eastAsia="Times New Roman" w:hint="default"/>
        </w:rPr>
        <w:t>1</w:t>
      </w:r>
      <w:r>
        <w:rPr/>
        <w:t>次战略委员会、</w:t>
      </w:r>
      <w:r>
        <w:rPr>
          <w:rFonts w:ascii="Times New Roman" w:hAnsi="Times New Roman" w:cs="Times New Roman" w:eastAsia="Times New Roman" w:hint="default"/>
        </w:rPr>
        <w:t>2</w:t>
      </w:r>
      <w:r>
        <w:rPr/>
        <w:t>次薪酬与考核委员会及</w:t>
      </w:r>
      <w:r>
        <w:rPr>
          <w:rFonts w:ascii="Times New Roman" w:hAnsi="Times New Roman" w:cs="Times New Roman" w:eastAsia="Times New Roman" w:hint="default"/>
        </w:rPr>
        <w:t>6</w:t>
      </w:r>
      <w:r>
        <w:rPr/>
        <w:t>次审计委员，对公司未来战略规划、公 </w:t>
      </w:r>
      <w:r>
        <w:rPr>
          <w:spacing w:val="-2"/>
        </w:rPr>
        <w:t>司限制性股票激励计划首次授予第二个解锁期和预留授予第一个解锁期解锁、第一期员工持股计划及公司高级管理人员年度</w:t>
      </w:r>
      <w:r>
        <w:rPr>
          <w:spacing w:val="-64"/>
        </w:rPr>
        <w:t> </w:t>
      </w:r>
      <w:r>
        <w:rPr>
          <w:spacing w:val="-64"/>
        </w:rPr>
      </w:r>
      <w:r>
        <w:rPr>
          <w:spacing w:val="-2"/>
        </w:rPr>
        <w:t>薪酬、公司年度审计计划等重大事项进行审核，公司三位独立董事给出具体指导意见和改进要求，保证项目规范运作且符合</w:t>
      </w:r>
      <w:r>
        <w:rPr>
          <w:spacing w:val="-62"/>
        </w:rPr>
        <w:t> </w:t>
      </w:r>
      <w:r>
        <w:rPr>
          <w:spacing w:val="-62"/>
        </w:rPr>
      </w:r>
      <w:r>
        <w:rPr/>
        <w:t>公司发展战略。</w:t>
      </w:r>
    </w:p>
    <w:p>
      <w:pPr>
        <w:pStyle w:val="BodyText"/>
        <w:spacing w:line="316" w:lineRule="auto" w:before="23"/>
        <w:ind w:right="151" w:firstLine="360"/>
        <w:jc w:val="both"/>
      </w:pPr>
      <w:r>
        <w:rPr>
          <w:spacing w:val="-5"/>
        </w:rPr>
        <w:t>同时，独立董事积极出席相关会议，认真审阅议案，注重保持与公司其他相关人员密切联系；在年报编制和披露过程中，</w:t>
      </w:r>
      <w:r>
        <w:rPr/>
        <w:t> </w:t>
      </w:r>
      <w:r>
        <w:rPr>
          <w:spacing w:val="-2"/>
        </w:rPr>
        <w:t>认真听取公司管理层对全年经营情况和重大事项进展情况的汇报，及时了解年报审计工作安排及审计工作进展情况，仔细审</w:t>
      </w:r>
      <w:r>
        <w:rPr>
          <w:spacing w:val="-64"/>
        </w:rPr>
        <w:t> </w:t>
      </w:r>
      <w:r>
        <w:rPr>
          <w:spacing w:val="-64"/>
        </w:rPr>
      </w:r>
      <w:r>
        <w:rPr>
          <w:spacing w:val="-2"/>
        </w:rPr>
        <w:t>阅相关资料，并就审计过程中发现的问题进行了有效沟通，切实把握了企业经营的重点、难点，并运用专业知识和自身资源</w:t>
      </w:r>
      <w:r>
        <w:rPr>
          <w:spacing w:val="-65"/>
        </w:rPr>
        <w:t> </w:t>
      </w:r>
      <w:r>
        <w:rPr>
          <w:spacing w:val="-65"/>
        </w:rPr>
      </w:r>
      <w:r>
        <w:rPr>
          <w:spacing w:val="-2"/>
        </w:rPr>
        <w:t>优势，发表了专业独立意见，将监督规范运作、防范风险、服务企业的工作内涵延伸，力求更好把握企业发展的脉搏，帮助</w:t>
      </w:r>
      <w:r>
        <w:rPr>
          <w:spacing w:val="-68"/>
        </w:rPr>
        <w:t> </w:t>
      </w:r>
      <w:r>
        <w:rPr>
          <w:spacing w:val="-68"/>
        </w:rPr>
      </w:r>
      <w:r>
        <w:rPr/>
        <w:t>企业拓思路、谋良策，为企业发展发挥好顾问、参谋作用。</w:t>
      </w:r>
    </w:p>
    <w:p>
      <w:pPr>
        <w:spacing w:after="0" w:line="316" w:lineRule="auto"/>
        <w:jc w:val="both"/>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178"/>
        <w:jc w:val="left"/>
        <w:rPr>
          <w:b w:val="0"/>
          <w:bCs w:val="0"/>
        </w:rPr>
      </w:pP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3" w:right="93"/>
        <w:jc w:val="left"/>
      </w:pPr>
      <w:r>
        <w:rPr>
          <w:rFonts w:ascii="Times New Roman" w:hAnsi="Times New Roman" w:cs="Times New Roman" w:eastAsia="Times New Roman" w:hint="default"/>
        </w:rPr>
        <w:t>1</w:t>
      </w:r>
      <w:r>
        <w:rPr/>
        <w:t>、审计委员会 公司董事会审计委员会由三名董事组成，其中独立董事两名。报告期内董事会审计委员会按照公司有关规定履行职责，</w:t>
      </w:r>
    </w:p>
    <w:p>
      <w:pPr>
        <w:pStyle w:val="BodyText"/>
        <w:spacing w:line="316" w:lineRule="auto" w:before="2"/>
        <w:ind w:right="94"/>
        <w:jc w:val="left"/>
      </w:pPr>
      <w:r>
        <w:rPr>
          <w:spacing w:val="-2"/>
        </w:rPr>
        <w:t>并召开了六次会议，对公司内部审计工作、募集资金存放与使用、公司年度财务决算报告、会计师事务所聘请等重大事项实</w:t>
      </w:r>
      <w:r>
        <w:rPr>
          <w:spacing w:val="-65"/>
        </w:rPr>
        <w:t> </w:t>
      </w:r>
      <w:r>
        <w:rPr>
          <w:spacing w:val="-65"/>
        </w:rPr>
      </w:r>
      <w:r>
        <w:rPr>
          <w:spacing w:val="-2"/>
        </w:rPr>
        <w:t>施情况进行了审议，对相关事项进行讨论后形成决议，相关需提交董事会审议的事项提交董事会审议；指导、评估审计部的</w:t>
      </w:r>
      <w:r>
        <w:rPr>
          <w:spacing w:val="-64"/>
        </w:rPr>
        <w:t> </w:t>
      </w:r>
      <w:r>
        <w:rPr>
          <w:spacing w:val="-64"/>
        </w:rPr>
      </w:r>
      <w:r>
        <w:rPr/>
        <w:t>工作，定期听取审计情况汇报，就审计发现问题及整改建议做出指示，并定期在董事会上对内审结果及整改效果进行汇报；</w:t>
      </w:r>
      <w:r>
        <w:rPr>
          <w:spacing w:val="-86"/>
        </w:rPr>
        <w:t> </w:t>
      </w:r>
      <w:r>
        <w:rPr>
          <w:spacing w:val="-86"/>
        </w:rPr>
      </w:r>
      <w:r>
        <w:rPr/>
        <w:t>与外部审计机构沟通外审时间，并在外审期间与审计机构就审计的情况进行沟通；审阅公司内控评价报告，并出具意见。</w:t>
      </w:r>
    </w:p>
    <w:p>
      <w:pPr>
        <w:pStyle w:val="BodyText"/>
        <w:spacing w:line="340" w:lineRule="auto" w:before="59"/>
        <w:ind w:left="513" w:right="178"/>
        <w:jc w:val="left"/>
      </w:pPr>
      <w:r>
        <w:rPr>
          <w:rFonts w:ascii="Times New Roman" w:hAnsi="Times New Roman" w:cs="Times New Roman" w:eastAsia="Times New Roman" w:hint="default"/>
        </w:rPr>
        <w:t>2</w:t>
      </w:r>
      <w:r>
        <w:rPr/>
        <w:t>、薪酬与考核委员会 </w:t>
      </w:r>
      <w:r>
        <w:rPr>
          <w:spacing w:val="-2"/>
        </w:rPr>
        <w:t>公司董事会薪酬与考核委员会由三名董事组成，其中独立董事两名。报告期内董事会审计委员会按照公司有关规定履行</w:t>
      </w:r>
    </w:p>
    <w:p>
      <w:pPr>
        <w:pStyle w:val="BodyText"/>
        <w:spacing w:line="319" w:lineRule="auto" w:before="1"/>
        <w:ind w:right="94"/>
        <w:jc w:val="left"/>
      </w:pPr>
      <w:r>
        <w:rPr>
          <w:spacing w:val="-2"/>
        </w:rPr>
        <w:t>职责，召开了两次会议，对公司年度董事、高管薪酬方案、公司限制性股票激励计划首次授予第二个解锁期和预留授予第一</w:t>
      </w:r>
      <w:r>
        <w:rPr>
          <w:spacing w:val="-66"/>
        </w:rPr>
        <w:t> </w:t>
      </w:r>
      <w:r>
        <w:rPr>
          <w:spacing w:val="-66"/>
        </w:rPr>
      </w:r>
      <w:r>
        <w:rPr/>
        <w:t>个解锁期解锁等事项进行了审议，对相关事项进行讨论后形成决议，相关需提交董事会审议的事项提交董事会审议。制定、</w:t>
      </w:r>
      <w:r>
        <w:rPr>
          <w:spacing w:val="-86"/>
        </w:rPr>
        <w:t> </w:t>
      </w:r>
      <w:r>
        <w:rPr>
          <w:spacing w:val="-86"/>
        </w:rPr>
      </w:r>
      <w:r>
        <w:rPr>
          <w:spacing w:val="-2"/>
        </w:rPr>
        <w:t>审查公司董事及高级管理人员的薪酬政策与方案，对公司的薪酬制度和激励对象考核年度内业绩指标等其他解锁条件执行情</w:t>
      </w:r>
      <w:r>
        <w:rPr>
          <w:spacing w:val="-64"/>
        </w:rPr>
        <w:t> </w:t>
      </w:r>
      <w:r>
        <w:rPr>
          <w:spacing w:val="-64"/>
        </w:rPr>
      </w:r>
      <w:r>
        <w:rPr>
          <w:spacing w:val="-2"/>
        </w:rPr>
        <w:t>况进行检查和监督，在促进公司在规范运作的基础上，进一步提高对中高层员工长期激励，留住核心人才，保障公司战略顺</w:t>
      </w:r>
      <w:r>
        <w:rPr>
          <w:spacing w:val="-63"/>
        </w:rPr>
        <w:t> </w:t>
      </w:r>
      <w:r>
        <w:rPr>
          <w:spacing w:val="-63"/>
        </w:rPr>
      </w:r>
      <w:r>
        <w:rPr/>
        <w:t>利执行。</w:t>
      </w:r>
    </w:p>
    <w:p>
      <w:pPr>
        <w:pStyle w:val="BodyText"/>
        <w:spacing w:line="340" w:lineRule="auto" w:before="55"/>
        <w:ind w:left="513" w:right="93"/>
        <w:jc w:val="left"/>
      </w:pPr>
      <w:r>
        <w:rPr>
          <w:rFonts w:ascii="Times New Roman" w:hAnsi="Times New Roman" w:cs="Times New Roman" w:eastAsia="Times New Roman" w:hint="default"/>
        </w:rPr>
        <w:t>3</w:t>
      </w:r>
      <w:r>
        <w:rPr/>
        <w:t>、战略委员会 公司董事会战略委员会由五名董事组成，其中独立董事两名。报告期内董事会战略委员会按照公司有关规定履行职责，</w:t>
      </w:r>
    </w:p>
    <w:p>
      <w:pPr>
        <w:pStyle w:val="BodyText"/>
        <w:spacing w:line="309" w:lineRule="auto" w:before="1"/>
        <w:ind w:right="192"/>
        <w:jc w:val="both"/>
      </w:pPr>
      <w:r>
        <w:rPr>
          <w:spacing w:val="-3"/>
        </w:rPr>
        <w:t>召开了一次会议，对关于公司各事业部</w:t>
      </w:r>
      <w:r>
        <w:rPr>
          <w:spacing w:val="-61"/>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6"/>
        </w:rPr>
        <w:t> </w:t>
      </w:r>
      <w:r>
        <w:rPr/>
        <w:t>年</w:t>
      </w:r>
      <w:r>
        <w:rPr>
          <w:rFonts w:ascii="Times New Roman" w:hAnsi="Times New Roman" w:cs="Times New Roman" w:eastAsia="Times New Roman" w:hint="default"/>
        </w:rPr>
        <w:t>-2020</w:t>
      </w:r>
      <w:r>
        <w:rPr>
          <w:rFonts w:ascii="Times New Roman" w:hAnsi="Times New Roman" w:cs="Times New Roman" w:eastAsia="Times New Roman" w:hint="default"/>
          <w:spacing w:val="-16"/>
        </w:rPr>
        <w:t> </w:t>
      </w:r>
      <w:r>
        <w:rPr/>
        <w:t>年发展战略规划的事项进行了审议，对相关事项进行讨论后形成决议； </w:t>
      </w:r>
      <w:r>
        <w:rPr>
          <w:spacing w:val="-2"/>
        </w:rPr>
        <w:t>持续对公司内外部环境、经营情况、关键任务、重点工作、核心产品、支撑人才等方面进行检视，完成包括战略分析、战略</w:t>
      </w:r>
      <w:r>
        <w:rPr>
          <w:spacing w:val="-73"/>
        </w:rPr>
        <w:t> </w:t>
      </w:r>
      <w:r>
        <w:rPr>
          <w:spacing w:val="-73"/>
        </w:rPr>
      </w:r>
      <w:r>
        <w:rPr/>
        <w:t>规划</w:t>
      </w:r>
      <w:r>
        <w:rPr>
          <w:rFonts w:ascii="Times New Roman" w:hAnsi="Times New Roman" w:cs="Times New Roman" w:eastAsia="Times New Roman" w:hint="default"/>
        </w:rPr>
        <w:t>/</w:t>
      </w:r>
      <w:r>
        <w:rPr/>
        <w:t>调整、战略实施、战略控制检视在内的战略管理工作。</w:t>
      </w:r>
    </w:p>
    <w:p>
      <w:pPr>
        <w:spacing w:line="240" w:lineRule="auto" w:before="10"/>
        <w:rPr>
          <w:rFonts w:ascii="宋体" w:hAnsi="宋体" w:cs="宋体" w:eastAsia="宋体" w:hint="default"/>
          <w:sz w:val="19"/>
          <w:szCs w:val="19"/>
        </w:rPr>
      </w:pPr>
    </w:p>
    <w:p>
      <w:pPr>
        <w:pStyle w:val="Heading2"/>
        <w:spacing w:line="240" w:lineRule="auto"/>
        <w:ind w:right="6754"/>
        <w:jc w:val="left"/>
        <w:rPr>
          <w:b w:val="0"/>
          <w:bCs w:val="0"/>
        </w:rPr>
      </w:pPr>
      <w:r>
        <w:rPr/>
        <w:t>七、监事会工作情况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78"/>
        <w:jc w:val="left"/>
      </w:pPr>
      <w:r>
        <w:rPr/>
        <w:t>监事会在报告期内的监督活动中发现公司是否存在风险</w:t>
      </w:r>
    </w:p>
    <w:p>
      <w:pPr>
        <w:pStyle w:val="BodyText"/>
        <w:spacing w:line="340" w:lineRule="auto" w:before="117"/>
        <w:ind w:right="67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178"/>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78"/>
        <w:jc w:val="left"/>
      </w:pPr>
      <w:r>
        <w:rPr/>
        <w:t>公司基于业务开拓和长远发展的需要，制定了高级管理人员的考评和激励机制。</w:t>
      </w:r>
    </w:p>
    <w:p>
      <w:pPr>
        <w:pStyle w:val="BodyText"/>
        <w:spacing w:line="240" w:lineRule="auto" w:before="117"/>
        <w:ind w:left="513" w:right="6754"/>
        <w:jc w:val="left"/>
      </w:pPr>
      <w:r>
        <w:rPr>
          <w:rFonts w:ascii="Times New Roman" w:hAnsi="Times New Roman" w:cs="Times New Roman" w:eastAsia="Times New Roman" w:hint="default"/>
        </w:rPr>
        <w:t>1</w:t>
      </w:r>
      <w:r>
        <w:rPr/>
        <w:t>、考评机制</w:t>
      </w:r>
    </w:p>
    <w:p>
      <w:pPr>
        <w:pStyle w:val="BodyText"/>
        <w:spacing w:line="309" w:lineRule="auto" w:before="103"/>
        <w:ind w:right="192" w:firstLine="269"/>
        <w:jc w:val="both"/>
      </w:pPr>
      <w:r>
        <w:rPr>
          <w:spacing w:val="-2"/>
        </w:rPr>
        <w:t>（</w:t>
      </w:r>
      <w:r>
        <w:rPr>
          <w:rFonts w:ascii="Times New Roman" w:hAnsi="Times New Roman" w:cs="Times New Roman" w:eastAsia="Times New Roman" w:hint="default"/>
          <w:spacing w:val="-2"/>
        </w:rPr>
        <w:t>1</w:t>
      </w:r>
      <w:r>
        <w:rPr>
          <w:spacing w:val="-2"/>
        </w:rPr>
        <w:t>）公司高管人员绩效考核以企业经济效益为出发点，根据公司年度经营情况和高管人员分管工作的目标完成情况进行</w:t>
      </w:r>
      <w:r>
        <w:rPr/>
        <w:t> </w:t>
      </w:r>
      <w:r>
        <w:rPr>
          <w:spacing w:val="-2"/>
        </w:rPr>
        <w:t>综合考核。公司制定了《公司董事、监事、高级管理人员薪酬管理制度》，对公司高管的决策程序、确定原则和依据进行了</w:t>
      </w:r>
      <w:r>
        <w:rPr>
          <w:spacing w:val="-72"/>
        </w:rPr>
        <w:t> </w:t>
      </w:r>
      <w:r>
        <w:rPr>
          <w:spacing w:val="-72"/>
        </w:rPr>
      </w:r>
      <w:r>
        <w:rPr>
          <w:spacing w:val="-3"/>
        </w:rPr>
        <w:t>规定，同时建立了针对包含高级管理人员在内的绩效考评制度《高层绩效管理制度》。</w:t>
      </w:r>
    </w:p>
    <w:p>
      <w:pPr>
        <w:pStyle w:val="BodyText"/>
        <w:spacing w:line="314" w:lineRule="auto" w:before="62"/>
        <w:ind w:right="190" w:firstLine="269"/>
        <w:jc w:val="both"/>
      </w:pPr>
      <w:r>
        <w:rPr>
          <w:spacing w:val="-2"/>
        </w:rPr>
        <w:t>（</w:t>
      </w:r>
      <w:r>
        <w:rPr>
          <w:rFonts w:ascii="Times New Roman" w:hAnsi="Times New Roman" w:cs="Times New Roman" w:eastAsia="Times New Roman" w:hint="default"/>
          <w:spacing w:val="-2"/>
        </w:rPr>
        <w:t>2</w:t>
      </w:r>
      <w:r>
        <w:rPr>
          <w:spacing w:val="-2"/>
        </w:rPr>
        <w:t>）报告期初由战略投资部组织对公司的战略进行优化调整，并对公司战略规划、公司年度经营计划和预算进行梳理确</w:t>
      </w:r>
      <w:r>
        <w:rPr/>
        <w:t> </w:t>
      </w:r>
      <w:r>
        <w:rPr>
          <w:spacing w:val="-2"/>
        </w:rPr>
        <w:t>定公司年度经营指标以及目标值，与高层责任人签订目标责任书并分解落实到各高层所管辖部门，每季度由分管负责人把重</w:t>
      </w:r>
      <w:r>
        <w:rPr>
          <w:spacing w:val="-64"/>
        </w:rPr>
        <w:t> </w:t>
      </w:r>
      <w:r>
        <w:rPr>
          <w:spacing w:val="-64"/>
        </w:rPr>
      </w:r>
      <w:r>
        <w:rPr>
          <w:spacing w:val="-2"/>
        </w:rPr>
        <w:t>点工作任务完成情况，提交高层会议中审议并进行评分，由人事部门对考核结果进行集中核算后，考核结果与高层管理人员</w:t>
      </w:r>
      <w:r>
        <w:rPr>
          <w:spacing w:val="-63"/>
        </w:rPr>
        <w:t> </w:t>
      </w:r>
      <w:r>
        <w:rPr>
          <w:spacing w:val="-63"/>
        </w:rPr>
      </w:r>
      <w:r>
        <w:rPr>
          <w:spacing w:val="-2"/>
        </w:rPr>
        <w:t>薪酬挂钩，报告期年终根据公司年度经营业绩等量化指标的实现情况并结合高级管理人员的年度履职情况、绩效考核结果等</w:t>
      </w:r>
      <w:r>
        <w:rPr>
          <w:spacing w:val="-64"/>
        </w:rPr>
        <w:t> </w:t>
      </w:r>
      <w:r>
        <w:rPr>
          <w:spacing w:val="-64"/>
        </w:rPr>
      </w:r>
      <w:r>
        <w:rPr>
          <w:spacing w:val="-2"/>
        </w:rPr>
        <w:t>因素决定其年度薪酬。由公司董事会按年度对公司高级管理人员的业绩和履职情况进行考评并建立考核档案，使其成为下一</w:t>
      </w:r>
      <w:r>
        <w:rPr>
          <w:spacing w:val="-62"/>
        </w:rPr>
        <w:t> </w:t>
      </w:r>
      <w:r>
        <w:rPr>
          <w:spacing w:val="-62"/>
        </w:rPr>
      </w:r>
      <w:r>
        <w:rPr/>
        <w:t>届任免的依据。</w:t>
      </w:r>
    </w:p>
    <w:p>
      <w:pPr>
        <w:pStyle w:val="BodyText"/>
        <w:spacing w:line="240" w:lineRule="auto" w:before="61"/>
        <w:ind w:left="513" w:right="6754"/>
        <w:jc w:val="left"/>
      </w:pPr>
      <w:r>
        <w:rPr>
          <w:rFonts w:ascii="Times New Roman" w:hAnsi="Times New Roman" w:cs="Times New Roman" w:eastAsia="Times New Roman" w:hint="default"/>
        </w:rPr>
        <w:t>2</w:t>
      </w:r>
      <w:r>
        <w:rPr/>
        <w:t>、激励机制</w:t>
      </w:r>
    </w:p>
    <w:p>
      <w:pPr>
        <w:pStyle w:val="BodyText"/>
        <w:spacing w:line="240" w:lineRule="auto" w:before="103"/>
        <w:ind w:left="422" w:right="6754"/>
        <w:jc w:val="left"/>
      </w:pPr>
      <w:r>
        <w:rPr/>
        <w:t>（</w:t>
      </w:r>
      <w:r>
        <w:rPr>
          <w:rFonts w:ascii="Times New Roman" w:hAnsi="Times New Roman" w:cs="Times New Roman" w:eastAsia="Times New Roman" w:hint="default"/>
        </w:rPr>
        <w:t>1</w:t>
      </w:r>
      <w:r>
        <w:rPr/>
        <w:t>）股权激励：</w:t>
      </w:r>
    </w:p>
    <w:p>
      <w:pPr>
        <w:pStyle w:val="BodyText"/>
        <w:spacing w:line="240" w:lineRule="auto" w:before="101"/>
        <w:ind w:left="513" w:right="93"/>
        <w:jc w:val="left"/>
      </w:pPr>
      <w:r>
        <w:rPr/>
        <w:t>根据《公司首期限制性股票激励计划</w:t>
      </w:r>
      <w:r>
        <w:rPr>
          <w:spacing w:val="-92"/>
        </w:rPr>
        <w:t>》</w:t>
      </w:r>
      <w:r>
        <w:rPr/>
        <w:t>，公司于</w:t>
      </w:r>
      <w:r>
        <w:rPr>
          <w:spacing w:val="-44"/>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spacing w:val="-3"/>
        </w:rPr>
        <w:t>月</w:t>
      </w:r>
      <w:r>
        <w:rPr/>
        <w:t>以定向发行的方式授予部分董事、高级管理人员以及核心</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192" w:right="93"/>
        <w:jc w:val="left"/>
      </w:pPr>
      <w:r>
        <w:rPr/>
        <w:t>技术及业务人员等</w:t>
      </w:r>
      <w:r>
        <w:rPr>
          <w:spacing w:val="-45"/>
        </w:rPr>
        <w:t> </w:t>
      </w:r>
      <w:r>
        <w:rPr>
          <w:rFonts w:ascii="Times New Roman" w:hAnsi="Times New Roman" w:cs="Times New Roman" w:eastAsia="Times New Roman" w:hint="default"/>
        </w:rPr>
        <w:t>189 </w:t>
      </w:r>
      <w:r>
        <w:rPr/>
        <w:t>名激励对象定向发行</w:t>
      </w:r>
      <w:r>
        <w:rPr>
          <w:spacing w:val="-45"/>
        </w:rPr>
        <w:t> </w:t>
      </w:r>
      <w:r>
        <w:rPr>
          <w:rFonts w:ascii="Times New Roman" w:hAnsi="Times New Roman" w:cs="Times New Roman" w:eastAsia="Times New Roman" w:hint="default"/>
        </w:rPr>
        <w:t>675.30</w:t>
      </w:r>
      <w:r>
        <w:rPr>
          <w:rFonts w:ascii="Times New Roman" w:hAnsi="Times New Roman" w:cs="Times New Roman" w:eastAsia="Times New Roman" w:hint="default"/>
          <w:spacing w:val="1"/>
        </w:rPr>
        <w:t> </w:t>
      </w:r>
      <w:r>
        <w:rPr>
          <w:spacing w:val="-4"/>
        </w:rPr>
        <w:t>万股限制性股票；公司于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9 </w:t>
      </w:r>
      <w:r>
        <w:rPr/>
        <w:t>月回购注销了未达到第一期解锁条件</w:t>
      </w:r>
    </w:p>
    <w:p>
      <w:pPr>
        <w:pStyle w:val="BodyText"/>
        <w:spacing w:line="240" w:lineRule="auto" w:before="63"/>
        <w:ind w:left="192" w:right="93"/>
        <w:jc w:val="left"/>
      </w:pPr>
      <w:r>
        <w:rPr/>
        <w:t>及部分已不符合激励条件的激励对象已获授但尚未解锁的限制性股票共计</w:t>
      </w:r>
      <w:r>
        <w:rPr>
          <w:spacing w:val="-44"/>
        </w:rPr>
        <w:t> </w:t>
      </w:r>
      <w:r>
        <w:rPr>
          <w:rFonts w:ascii="Times New Roman" w:hAnsi="Times New Roman" w:cs="Times New Roman" w:eastAsia="Times New Roman" w:hint="default"/>
        </w:rPr>
        <w:t>336.4640</w:t>
      </w:r>
      <w:r>
        <w:rPr>
          <w:rFonts w:ascii="Times New Roman" w:hAnsi="Times New Roman" w:cs="Times New Roman" w:eastAsia="Times New Roman" w:hint="default"/>
          <w:spacing w:val="1"/>
        </w:rPr>
        <w:t> </w:t>
      </w:r>
      <w:r>
        <w:rPr>
          <w:spacing w:val="-7"/>
        </w:rPr>
        <w:t>万股；公司于</w:t>
      </w:r>
      <w:r>
        <w:rPr>
          <w:spacing w:val="-46"/>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月向</w:t>
      </w:r>
      <w:r>
        <w:rPr>
          <w:spacing w:val="-48"/>
        </w:rPr>
        <w:t> </w:t>
      </w:r>
      <w:r>
        <w:rPr>
          <w:rFonts w:ascii="Times New Roman" w:hAnsi="Times New Roman" w:cs="Times New Roman" w:eastAsia="Times New Roman" w:hint="default"/>
        </w:rPr>
        <w:t>15 </w:t>
      </w:r>
      <w:r>
        <w:rPr/>
        <w:t>名激励</w:t>
      </w:r>
    </w:p>
    <w:p>
      <w:pPr>
        <w:pStyle w:val="BodyText"/>
        <w:spacing w:line="240" w:lineRule="auto" w:before="63"/>
        <w:ind w:left="192" w:right="178"/>
        <w:jc w:val="left"/>
      </w:pPr>
      <w:r>
        <w:rPr/>
        <w:t>对象授予预留限制性股票</w:t>
      </w:r>
      <w:r>
        <w:rPr>
          <w:spacing w:val="-45"/>
        </w:rPr>
        <w:t> </w:t>
      </w:r>
      <w:r>
        <w:rPr>
          <w:rFonts w:ascii="Times New Roman" w:hAnsi="Times New Roman" w:cs="Times New Roman" w:eastAsia="Times New Roman" w:hint="default"/>
        </w:rPr>
        <w:t>68.50 </w:t>
      </w:r>
      <w:r>
        <w:rPr/>
        <w:t>万股。以上事项详见于</w:t>
      </w:r>
      <w:r>
        <w:rPr>
          <w:spacing w:val="-45"/>
        </w:rPr>
        <w:t> </w:t>
      </w:r>
      <w:r>
        <w:rPr>
          <w:rFonts w:ascii="Times New Roman" w:hAnsi="Times New Roman" w:cs="Times New Roman" w:eastAsia="Times New Roman" w:hint="default"/>
        </w:rPr>
        <w:t>2014</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5"/>
        </w:rPr>
        <w:t> </w:t>
      </w:r>
      <w:r>
        <w:rPr>
          <w:rFonts w:ascii="Times New Roman" w:hAnsi="Times New Roman" w:cs="Times New Roman" w:eastAsia="Times New Roman" w:hint="default"/>
        </w:rPr>
        <w:t>31 </w:t>
      </w:r>
      <w:r>
        <w:rPr/>
        <w:t>日、</w:t>
      </w:r>
      <w:r>
        <w:rPr>
          <w:rFonts w:ascii="Times New Roman" w:hAnsi="Times New Roman" w:cs="Times New Roman" w:eastAsia="Times New Roman" w:hint="default"/>
        </w:rPr>
        <w:t>2015 </w:t>
      </w:r>
      <w:r>
        <w:rPr/>
        <w:t>年</w:t>
      </w:r>
      <w:r>
        <w:rPr>
          <w:spacing w:val="-48"/>
        </w:rPr>
        <w:t> </w:t>
      </w:r>
      <w:r>
        <w:rPr>
          <w:rFonts w:ascii="Times New Roman" w:hAnsi="Times New Roman" w:cs="Times New Roman" w:eastAsia="Times New Roman" w:hint="default"/>
        </w:rPr>
        <w:t>9 </w:t>
      </w:r>
      <w:r>
        <w:rPr/>
        <w:t>月</w:t>
      </w:r>
      <w:r>
        <w:rPr>
          <w:spacing w:val="-48"/>
        </w:rPr>
        <w:t> </w:t>
      </w:r>
      <w:r>
        <w:rPr>
          <w:rFonts w:ascii="Times New Roman" w:hAnsi="Times New Roman" w:cs="Times New Roman" w:eastAsia="Times New Roman" w:hint="default"/>
        </w:rPr>
        <w:t>10 </w:t>
      </w:r>
      <w:r>
        <w:rPr/>
        <w:t>日、</w:t>
      </w:r>
      <w:r>
        <w:rPr>
          <w:rFonts w:ascii="Times New Roman" w:hAnsi="Times New Roman" w:cs="Times New Roman" w:eastAsia="Times New Roman" w:hint="default"/>
        </w:rPr>
        <w:t>2015 </w:t>
      </w:r>
      <w:r>
        <w:rPr/>
        <w:t>年</w:t>
      </w:r>
      <w:r>
        <w:rPr>
          <w:spacing w:val="-48"/>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18 </w:t>
      </w:r>
      <w:r>
        <w:rPr/>
        <w:t>日披露于</w:t>
      </w:r>
    </w:p>
    <w:p>
      <w:pPr>
        <w:pStyle w:val="BodyText"/>
        <w:spacing w:line="300" w:lineRule="auto" w:before="63"/>
        <w:ind w:left="192" w:right="233" w:hanging="92"/>
        <w:jc w:val="left"/>
      </w:pPr>
      <w:r>
        <w:rPr/>
        <w:t>《证券时报》及巨潮资讯网上</w:t>
      </w:r>
      <w:r>
        <w:rPr>
          <w:spacing w:val="2"/>
        </w:rPr>
        <w:t>的</w:t>
      </w:r>
      <w:r>
        <w:rPr/>
        <w:t>《公司限制性股票授予完成的公告</w:t>
      </w:r>
      <w:r>
        <w:rPr>
          <w:spacing w:val="-92"/>
        </w:rPr>
        <w:t>》</w:t>
      </w:r>
      <w:r>
        <w:rPr/>
        <w:t>（编号</w:t>
      </w:r>
      <w:r>
        <w:rPr>
          <w:spacing w:val="1"/>
        </w:rPr>
        <w:t>：</w:t>
      </w:r>
      <w:r>
        <w:rPr>
          <w:rFonts w:ascii="Times New Roman" w:hAnsi="Times New Roman" w:cs="Times New Roman" w:eastAsia="Times New Roman" w:hint="default"/>
          <w:spacing w:val="1"/>
        </w:rPr>
        <w:t>2014</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8</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号</w:t>
      </w:r>
      <w:r>
        <w:rPr>
          <w:spacing w:val="-92"/>
        </w:rPr>
        <w:t>）、</w:t>
      </w:r>
      <w:r>
        <w:rPr/>
        <w:t>《公司关于部分限制性股票回购</w:t>
      </w:r>
      <w:r>
        <w:rPr/>
        <w:t> 注销完成的公告</w:t>
      </w:r>
      <w:r>
        <w:rPr>
          <w:spacing w:val="-92"/>
        </w:rPr>
        <w:t>》</w:t>
      </w:r>
      <w:r>
        <w:rPr/>
        <w:t>（编号：</w:t>
      </w:r>
      <w:r>
        <w:rPr>
          <w:rFonts w:ascii="Times New Roman" w:hAnsi="Times New Roman" w:cs="Times New Roman" w:eastAsia="Times New Roman" w:hint="default"/>
          <w:spacing w:val="1"/>
        </w:rPr>
        <w:t>201</w:t>
      </w:r>
      <w:r>
        <w:rPr>
          <w:rFonts w:ascii="Times New Roman" w:hAnsi="Times New Roman" w:cs="Times New Roman" w:eastAsia="Times New Roman" w:hint="default"/>
          <w:spacing w:val="-2"/>
        </w:rPr>
        <w:t>5</w:t>
      </w:r>
      <w:r>
        <w:rPr>
          <w:rFonts w:ascii="Times New Roman" w:hAnsi="Times New Roman" w:cs="Times New Roman" w:eastAsia="Times New Roman" w:hint="default"/>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6</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号</w:t>
      </w:r>
      <w:r>
        <w:rPr>
          <w:spacing w:val="-92"/>
        </w:rPr>
        <w:t>）、</w:t>
      </w:r>
      <w:r>
        <w:rPr/>
        <w:t>《公司关于关于预留限制性股票授予完成的公告</w:t>
      </w:r>
      <w:r>
        <w:rPr>
          <w:spacing w:val="-92"/>
        </w:rPr>
        <w:t>》</w:t>
      </w:r>
      <w:r>
        <w:rPr>
          <w:spacing w:val="2"/>
        </w:rPr>
        <w:t>（</w:t>
      </w:r>
      <w:r>
        <w:rPr/>
        <w:t>编号</w:t>
      </w:r>
      <w:r>
        <w:rPr>
          <w:spacing w:val="1"/>
        </w:rPr>
        <w:t>：</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
        </w:rPr>
        <w:t>5</w:t>
      </w:r>
      <w:r>
        <w:rPr>
          <w:rFonts w:ascii="Times New Roman" w:hAnsi="Times New Roman" w:cs="Times New Roman" w:eastAsia="Times New Roman" w:hint="default"/>
        </w:rPr>
        <w:t>-</w:t>
      </w:r>
      <w:r>
        <w:rPr>
          <w:rFonts w:ascii="Times New Roman" w:hAnsi="Times New Roman" w:cs="Times New Roman" w:eastAsia="Times New Roman" w:hint="default"/>
          <w:spacing w:val="-2"/>
        </w:rPr>
        <w:t>10</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r>
        <w:rPr>
          <w:spacing w:val="-92"/>
        </w:rPr>
        <w:t>）</w:t>
      </w:r>
      <w:r>
        <w:rPr/>
        <w:t>。</w:t>
      </w:r>
    </w:p>
    <w:p>
      <w:pPr>
        <w:pStyle w:val="BodyText"/>
        <w:spacing w:line="309" w:lineRule="auto" w:before="53"/>
        <w:ind w:left="192" w:right="159" w:firstLine="360"/>
        <w:jc w:val="both"/>
      </w:pPr>
      <w:r>
        <w:rPr/>
        <w:t>公司于</w:t>
      </w:r>
      <w:r>
        <w:rPr>
          <w:spacing w:val="-46"/>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20 </w:t>
      </w:r>
      <w:r>
        <w:rPr/>
        <w:t>日召开的第四届董事会第九次会议审议通过《关于公司股权激励限制性股票首次授予第二个解 </w:t>
      </w:r>
      <w:r>
        <w:rPr>
          <w:spacing w:val="-2"/>
        </w:rPr>
        <w:t>锁期及预留授予第一个解锁期解锁条件成就的议案》，公司对首期限制性股票激励计划中首次授予及预留授予的限制性股票</w:t>
      </w:r>
      <w:r>
        <w:rPr>
          <w:spacing w:val="-72"/>
        </w:rPr>
        <w:t> </w:t>
      </w:r>
      <w:r>
        <w:rPr>
          <w:spacing w:val="-72"/>
        </w:rPr>
      </w:r>
      <w:r>
        <w:rPr>
          <w:rFonts w:ascii="Times New Roman" w:hAnsi="Times New Roman" w:cs="Times New Roman" w:eastAsia="Times New Roman" w:hint="default"/>
        </w:rPr>
        <w:t>3,357,040</w:t>
      </w:r>
      <w:r>
        <w:rPr>
          <w:rFonts w:ascii="Times New Roman" w:hAnsi="Times New Roman" w:cs="Times New Roman" w:eastAsia="Times New Roman" w:hint="default"/>
          <w:spacing w:val="2"/>
        </w:rPr>
        <w:t> </w:t>
      </w:r>
      <w:r>
        <w:rPr/>
        <w:t>股申请解除限售，本次限制性股票的上市流通日为</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9 </w:t>
      </w:r>
      <w:r>
        <w:rPr/>
        <w:t>日。相关事项详见公司于</w:t>
      </w:r>
      <w:r>
        <w:rPr>
          <w:spacing w:val="-45"/>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12 </w:t>
      </w:r>
      <w:r>
        <w:rPr/>
        <w:t>月</w:t>
      </w:r>
      <w:r>
        <w:rPr>
          <w:spacing w:val="-48"/>
        </w:rPr>
        <w:t> </w:t>
      </w:r>
      <w:r>
        <w:rPr>
          <w:rFonts w:ascii="Times New Roman" w:hAnsi="Times New Roman" w:cs="Times New Roman" w:eastAsia="Times New Roman" w:hint="default"/>
        </w:rPr>
        <w:t>21 </w:t>
      </w:r>
      <w:r>
        <w:rPr/>
        <w:t>日、</w:t>
      </w:r>
    </w:p>
    <w:p>
      <w:pPr>
        <w:pStyle w:val="BodyText"/>
        <w:spacing w:line="319" w:lineRule="auto" w:before="5"/>
        <w:ind w:left="192" w:right="151"/>
        <w:jc w:val="righ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 </w:t>
      </w:r>
      <w:r>
        <w:rPr/>
        <w:t>月</w:t>
      </w:r>
      <w:r>
        <w:rPr>
          <w:spacing w:val="-48"/>
        </w:rPr>
        <w:t> </w:t>
      </w:r>
      <w:r>
        <w:rPr>
          <w:rFonts w:ascii="Times New Roman" w:hAnsi="Times New Roman" w:cs="Times New Roman" w:eastAsia="Times New Roman" w:hint="default"/>
        </w:rPr>
        <w:t>4 </w:t>
      </w:r>
      <w:r>
        <w:rPr/>
        <w:t>日披露于《证券时报》及巨潮资讯网上的《公司关于股权激励限制性股票首次授予第二个解锁期及预留授予 </w:t>
      </w:r>
      <w:r>
        <w:rPr>
          <w:spacing w:val="-9"/>
        </w:rPr>
        <w:t>第一个解锁期可解锁的公告》（编号：</w:t>
      </w:r>
      <w:r>
        <w:rPr>
          <w:rFonts w:ascii="Times New Roman" w:hAnsi="Times New Roman" w:cs="Times New Roman" w:eastAsia="Times New Roman" w:hint="default"/>
          <w:spacing w:val="-9"/>
        </w:rPr>
        <w:t>2016-114</w:t>
      </w:r>
      <w:r>
        <w:rPr>
          <w:rFonts w:ascii="Times New Roman" w:hAnsi="Times New Roman" w:cs="Times New Roman" w:eastAsia="Times New Roman" w:hint="default"/>
        </w:rPr>
        <w:t> </w:t>
      </w:r>
      <w:r>
        <w:rPr>
          <w:spacing w:val="-14"/>
        </w:rPr>
        <w:t>号）、《公司关于限制性股票解锁上市流通的提示性公告》（编号</w:t>
      </w:r>
      <w:r>
        <w:rPr/>
        <w:t> </w:t>
      </w:r>
      <w:r>
        <w:rPr>
          <w:rFonts w:ascii="Times New Roman" w:hAnsi="Times New Roman" w:cs="Times New Roman" w:eastAsia="Times New Roman" w:hint="default"/>
          <w:spacing w:val="-2"/>
        </w:rPr>
        <w:t>2016-119</w:t>
      </w:r>
      <w:r>
        <w:rPr>
          <w:rFonts w:ascii="Times New Roman" w:hAnsi="Times New Roman" w:cs="Times New Roman" w:eastAsia="Times New Roman" w:hint="default"/>
          <w:spacing w:val="-10"/>
        </w:rPr>
        <w:t> </w:t>
      </w:r>
      <w:r>
        <w:rPr>
          <w:spacing w:val="-31"/>
        </w:rPr>
        <w:t>号）。</w:t>
      </w:r>
      <w:r>
        <w:rPr/>
        <w:t> 公司于</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9 </w:t>
      </w:r>
      <w:r>
        <w:rPr/>
        <w:t>日召开第四届董事会第十四次会议审议通过了《关于公司回购注销未达到解锁条件及部分已不符</w:t>
      </w:r>
    </w:p>
    <w:p>
      <w:pPr>
        <w:pStyle w:val="BodyText"/>
        <w:spacing w:line="309" w:lineRule="auto"/>
        <w:ind w:left="192" w:right="151"/>
        <w:jc w:val="both"/>
      </w:pPr>
      <w:r>
        <w:rPr/>
        <w:t>合激励条件的激励对象已获授但尚未解锁的限制性股票的议案</w:t>
      </w:r>
      <w:r>
        <w:rPr>
          <w:spacing w:val="-92"/>
        </w:rPr>
        <w:t>》</w:t>
      </w:r>
      <w:r>
        <w:rPr>
          <w:spacing w:val="-86"/>
        </w:rPr>
        <w:t>，</w:t>
      </w:r>
      <w:r>
        <w:rPr/>
        <w:t>相关事项详见公司于</w:t>
      </w:r>
      <w:r>
        <w:rPr>
          <w:spacing w:val="-44"/>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日披露</w:t>
      </w:r>
      <w:r>
        <w:rPr>
          <w:spacing w:val="-87"/>
        </w:rPr>
        <w:t>于</w:t>
      </w:r>
      <w:r>
        <w:rPr/>
        <w:t>《证券时</w:t>
      </w:r>
      <w:r>
        <w:rPr>
          <w:spacing w:val="-3"/>
        </w:rPr>
        <w:t>报</w:t>
      </w:r>
      <w:r>
        <w:rPr/>
        <w:t>》</w:t>
      </w:r>
      <w:r>
        <w:rPr/>
        <w:t> 及巨潮资讯网上</w:t>
      </w:r>
      <w:r>
        <w:rPr>
          <w:spacing w:val="-82"/>
        </w:rPr>
        <w:t>的</w:t>
      </w:r>
      <w:r>
        <w:rPr/>
        <w:t>《公司关于回购注销未达到解锁条件及部分已不符合激励条件的激励对象已获授但尚未解锁的限制性股票</w:t>
      </w:r>
      <w:r>
        <w:rPr/>
        <w:t> 的公告</w:t>
      </w:r>
      <w:r>
        <w:rPr>
          <w:spacing w:val="-92"/>
        </w:rPr>
        <w:t>》</w:t>
      </w:r>
      <w:r>
        <w:rPr/>
        <w:t>（编号：</w:t>
      </w:r>
      <w:r>
        <w:rPr>
          <w:rFonts w:ascii="Times New Roman" w:hAnsi="Times New Roman" w:cs="Times New Roman" w:eastAsia="Times New Roman" w:hint="default"/>
          <w:spacing w:val="1"/>
        </w:rPr>
        <w:t>2017</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2"/>
        </w:rPr>
        <w:t>4</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号）</w:t>
      </w:r>
    </w:p>
    <w:p>
      <w:pPr>
        <w:pStyle w:val="BodyText"/>
        <w:spacing w:line="240" w:lineRule="auto" w:before="46"/>
        <w:ind w:left="462" w:right="6754"/>
        <w:jc w:val="left"/>
      </w:pPr>
      <w:r>
        <w:rPr/>
        <w:t>（</w:t>
      </w:r>
      <w:r>
        <w:rPr>
          <w:rFonts w:ascii="Times New Roman" w:hAnsi="Times New Roman" w:cs="Times New Roman" w:eastAsia="Times New Roman" w:hint="default"/>
        </w:rPr>
        <w:t>2</w:t>
      </w:r>
      <w:r>
        <w:rPr/>
        <w:t>）员工持股计划：</w:t>
      </w:r>
    </w:p>
    <w:p>
      <w:pPr>
        <w:pStyle w:val="BodyText"/>
        <w:spacing w:line="240" w:lineRule="auto" w:before="103"/>
        <w:ind w:left="192" w:right="154"/>
        <w:jc w:val="right"/>
      </w:pPr>
      <w:r>
        <w:rPr/>
        <w:t>公司于</w:t>
      </w:r>
      <w:r>
        <w:rPr>
          <w:spacing w:val="-45"/>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日发</w:t>
      </w:r>
      <w:r>
        <w:rPr>
          <w:spacing w:val="-3"/>
        </w:rPr>
        <w:t>布《</w:t>
      </w:r>
      <w:r>
        <w:rPr/>
        <w:t>公司关于筹划员工持股计划的提示性公告</w:t>
      </w:r>
      <w:r>
        <w:rPr>
          <w:spacing w:val="-94"/>
        </w:rPr>
        <w:t>》</w:t>
      </w:r>
      <w:r>
        <w:rPr/>
        <w:t>（编号</w:t>
      </w:r>
      <w:r>
        <w:rPr>
          <w:spacing w:val="-2"/>
        </w:rPr>
        <w:t>：</w:t>
      </w:r>
      <w:r>
        <w:rPr>
          <w:rFonts w:ascii="Times New Roman" w:hAnsi="Times New Roman" w:cs="Times New Roman" w:eastAsia="Times New Roman" w:hint="default"/>
          <w:spacing w:val="1"/>
        </w:rPr>
        <w:t>2017</w:t>
      </w:r>
      <w:r>
        <w:rPr>
          <w:rFonts w:ascii="Times New Roman" w:hAnsi="Times New Roman" w:cs="Times New Roman" w:eastAsia="Times New Roman" w:hint="default"/>
        </w:rPr>
        <w:t>-</w:t>
      </w:r>
      <w:r>
        <w:rPr>
          <w:rFonts w:ascii="Times New Roman" w:hAnsi="Times New Roman" w:cs="Times New Roman" w:eastAsia="Times New Roman" w:hint="default"/>
          <w:spacing w:val="-2"/>
        </w:rPr>
        <w:t>04</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号</w:t>
      </w:r>
      <w:r>
        <w:rPr>
          <w:spacing w:val="-92"/>
        </w:rPr>
        <w:t>）</w:t>
      </w:r>
      <w:r>
        <w:rPr>
          <w:spacing w:val="-3"/>
        </w:rPr>
        <w:t>，</w:t>
      </w:r>
      <w:r>
        <w:rPr/>
        <w:t>公司拟研究推出员工</w:t>
      </w:r>
    </w:p>
    <w:p>
      <w:pPr>
        <w:pStyle w:val="BodyText"/>
        <w:spacing w:line="240" w:lineRule="auto" w:before="63"/>
        <w:ind w:left="192" w:right="93"/>
        <w:jc w:val="left"/>
      </w:pPr>
      <w:r>
        <w:rPr/>
        <w:t>持股计划，以促进公司持续健康发展。公司于</w:t>
      </w:r>
      <w:r>
        <w:rPr>
          <w:spacing w:val="-46"/>
        </w:rPr>
        <w:t> </w:t>
      </w:r>
      <w:r>
        <w:rPr>
          <w:rFonts w:ascii="Times New Roman" w:hAnsi="Times New Roman" w:cs="Times New Roman" w:eastAsia="Times New Roman" w:hint="default"/>
        </w:rPr>
        <w:t>2017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25</w:t>
      </w:r>
      <w:r>
        <w:rPr>
          <w:rFonts w:ascii="Times New Roman" w:hAnsi="Times New Roman" w:cs="Times New Roman" w:eastAsia="Times New Roman" w:hint="default"/>
          <w:spacing w:val="-1"/>
        </w:rPr>
        <w:t> </w:t>
      </w:r>
      <w:r>
        <w:rPr/>
        <w:t>日召开的第四届董事会第十五次会议审议通过了《关于</w:t>
      </w:r>
      <w:r>
        <w:rPr>
          <w:rFonts w:ascii="Times New Roman" w:hAnsi="Times New Roman" w:cs="Times New Roman" w:eastAsia="Times New Roman" w:hint="default"/>
        </w:rPr>
        <w:t>&lt;</w:t>
      </w:r>
      <w:r>
        <w:rPr/>
        <w:t>公司</w:t>
      </w:r>
    </w:p>
    <w:p>
      <w:pPr>
        <w:pStyle w:val="BodyText"/>
        <w:spacing w:line="304" w:lineRule="auto" w:before="63"/>
        <w:ind w:left="192" w:right="148"/>
        <w:jc w:val="left"/>
      </w:pPr>
      <w:r>
        <w:rPr>
          <w:spacing w:val="-7"/>
        </w:rPr>
        <w:t>第一期员工持股计划（草案）</w:t>
      </w:r>
      <w:r>
        <w:rPr>
          <w:rFonts w:ascii="Times New Roman" w:hAnsi="Times New Roman" w:cs="Times New Roman" w:eastAsia="Times New Roman" w:hint="default"/>
          <w:spacing w:val="-7"/>
        </w:rPr>
        <w:t>&gt;</w:t>
      </w:r>
      <w:r>
        <w:rPr>
          <w:spacing w:val="-7"/>
        </w:rPr>
        <w:t>及其摘要的议案》、《关于</w:t>
      </w:r>
      <w:r>
        <w:rPr>
          <w:rFonts w:ascii="Times New Roman" w:hAnsi="Times New Roman" w:cs="Times New Roman" w:eastAsia="Times New Roman" w:hint="default"/>
          <w:spacing w:val="-7"/>
        </w:rPr>
        <w:t>&lt;</w:t>
      </w:r>
      <w:r>
        <w:rPr>
          <w:spacing w:val="-7"/>
        </w:rPr>
        <w:t>公司第一期员工持股计划管理办法</w:t>
      </w:r>
      <w:r>
        <w:rPr>
          <w:rFonts w:ascii="Times New Roman" w:hAnsi="Times New Roman" w:cs="Times New Roman" w:eastAsia="Times New Roman" w:hint="default"/>
          <w:spacing w:val="-7"/>
        </w:rPr>
        <w:t>&gt;</w:t>
      </w:r>
      <w:r>
        <w:rPr>
          <w:spacing w:val="-7"/>
        </w:rPr>
        <w:t>的议案》，并于</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月</w:t>
      </w:r>
      <w:r>
        <w:rPr>
          <w:spacing w:val="-45"/>
        </w:rPr>
        <w:t> </w:t>
      </w:r>
      <w:r>
        <w:rPr>
          <w:rFonts w:ascii="Times New Roman" w:hAnsi="Times New Roman" w:cs="Times New Roman" w:eastAsia="Times New Roman" w:hint="default"/>
          <w:spacing w:val="-2"/>
        </w:rPr>
        <w:t>26 </w:t>
      </w:r>
      <w:r>
        <w:rPr>
          <w:spacing w:val="-2"/>
        </w:rPr>
        <w:t>日在巨潮资讯网上发布了《公司第一期员工持股计划（草案）》及摘要的公告（编号：</w:t>
      </w:r>
      <w:r>
        <w:rPr>
          <w:rFonts w:ascii="Times New Roman" w:hAnsi="Times New Roman" w:cs="Times New Roman" w:eastAsia="Times New Roman" w:hint="default"/>
          <w:spacing w:val="-2"/>
        </w:rPr>
        <w:t>2017-059</w:t>
      </w:r>
      <w:r>
        <w:rPr>
          <w:rFonts w:ascii="Times New Roman" w:hAnsi="Times New Roman" w:cs="Times New Roman" w:eastAsia="Times New Roman" w:hint="default"/>
        </w:rPr>
        <w:t> </w:t>
      </w:r>
      <w:r>
        <w:rPr>
          <w:spacing w:val="-8"/>
        </w:rPr>
        <w:t>号）。会议同意公司实施员</w:t>
      </w:r>
      <w:r>
        <w:rPr>
          <w:spacing w:val="-84"/>
        </w:rPr>
        <w:t> </w:t>
      </w:r>
      <w:r>
        <w:rPr>
          <w:spacing w:val="-84"/>
        </w:rPr>
      </w:r>
      <w:r>
        <w:rPr>
          <w:spacing w:val="-5"/>
        </w:rPr>
        <w:t>工持股计划集合信托计划以二级市场购买、股东自愿赠与、公司回购股份及法律、行政法规允许的其他方式获取本公司股票，</w:t>
      </w:r>
      <w:r>
        <w:rPr>
          <w:spacing w:val="-79"/>
        </w:rPr>
        <w:t> </w:t>
      </w:r>
      <w:r>
        <w:rPr>
          <w:spacing w:val="-79"/>
        </w:rPr>
      </w:r>
      <w:r>
        <w:rPr>
          <w:spacing w:val="-2"/>
        </w:rPr>
        <w:t>员工持股计划的持有人均为公司董事（独立董事除外）、监事、高级管理人员、公司及下属全资子公司、控股子公司员工，</w:t>
      </w:r>
      <w:r>
        <w:rPr>
          <w:spacing w:val="-72"/>
        </w:rPr>
        <w:t> </w:t>
      </w:r>
      <w:r>
        <w:rPr>
          <w:spacing w:val="-72"/>
        </w:rPr>
      </w:r>
      <w:r>
        <w:rPr/>
        <w:t>并与公司及下属全资子公司、控股子公司签订劳动合同且领取报酬。参加本期员工持股计划的员工总人数不超过</w:t>
      </w:r>
      <w:r>
        <w:rPr>
          <w:spacing w:val="-44"/>
        </w:rPr>
        <w:t> </w:t>
      </w:r>
      <w:r>
        <w:rPr>
          <w:rFonts w:ascii="Times New Roman" w:hAnsi="Times New Roman" w:cs="Times New Roman" w:eastAsia="Times New Roman" w:hint="default"/>
        </w:rPr>
        <w:t>60 </w:t>
      </w:r>
      <w:r>
        <w:rPr/>
        <w:t>人，独 立董事对本次员工持股计划相关事项发表了同意意见。同日，公司第四届监事会第十二次会议审议通过了《关于</w:t>
      </w:r>
      <w:r>
        <w:rPr>
          <w:rFonts w:ascii="Times New Roman" w:hAnsi="Times New Roman" w:cs="Times New Roman" w:eastAsia="Times New Roman" w:hint="default"/>
        </w:rPr>
        <w:t>&lt;</w:t>
      </w:r>
      <w:r>
        <w:rPr/>
        <w:t>公司第一 </w:t>
      </w:r>
      <w:r>
        <w:rPr>
          <w:spacing w:val="-3"/>
        </w:rPr>
        <w:t>期员工持股计划（草案）</w:t>
      </w:r>
      <w:r>
        <w:rPr>
          <w:rFonts w:ascii="Times New Roman" w:hAnsi="Times New Roman" w:cs="Times New Roman" w:eastAsia="Times New Roman" w:hint="default"/>
          <w:spacing w:val="-3"/>
        </w:rPr>
        <w:t>&gt;</w:t>
      </w:r>
      <w:r>
        <w:rPr>
          <w:spacing w:val="-3"/>
        </w:rPr>
        <w:t>及其摘要的议案》。员工持股计划集合信托计划截止</w:t>
      </w:r>
      <w:r>
        <w:rPr>
          <w:spacing w:val="-43"/>
        </w:rPr>
        <w:t> </w:t>
      </w:r>
      <w:r>
        <w:rPr>
          <w:rFonts w:ascii="Times New Roman" w:hAnsi="Times New Roman" w:cs="Times New Roman" w:eastAsia="Times New Roman" w:hint="default"/>
        </w:rPr>
        <w:t>2017 </w:t>
      </w:r>
      <w:r>
        <w:rPr/>
        <w:t>年</w:t>
      </w:r>
      <w:r>
        <w:rPr>
          <w:spacing w:val="-44"/>
        </w:rPr>
        <w:t> </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t>日通过二级市场集中竞价交 易方式完成公司股票购买。</w:t>
      </w:r>
    </w:p>
    <w:p>
      <w:pPr>
        <w:spacing w:line="240" w:lineRule="auto" w:before="5"/>
        <w:rPr>
          <w:rFonts w:ascii="宋体" w:hAnsi="宋体" w:cs="宋体" w:eastAsia="宋体" w:hint="default"/>
          <w:sz w:val="21"/>
          <w:szCs w:val="21"/>
        </w:rPr>
      </w:pPr>
    </w:p>
    <w:p>
      <w:pPr>
        <w:pStyle w:val="Heading2"/>
        <w:spacing w:line="240" w:lineRule="auto"/>
        <w:ind w:left="192" w:right="6754"/>
        <w:jc w:val="left"/>
        <w:rPr>
          <w:b w:val="0"/>
          <w:bCs w:val="0"/>
        </w:rPr>
      </w:pPr>
      <w:r>
        <w:rPr/>
        <w:t>九、内部控制评价报告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192" w:right="178"/>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192" w:right="67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left="192" w:right="6754"/>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200" w:type="dxa"/>
        <w:tblLayout w:type="fixed"/>
        <w:tblCellMar>
          <w:top w:w="0" w:type="dxa"/>
          <w:left w:w="0" w:type="dxa"/>
          <w:bottom w:w="0" w:type="dxa"/>
          <w:right w:w="0" w:type="dxa"/>
        </w:tblCellMar>
        <w:tblLook w:val="01E0"/>
      </w:tblPr>
      <w:tblGrid>
        <w:gridCol w:w="3183"/>
        <w:gridCol w:w="6375"/>
      </w:tblGrid>
      <w:tr>
        <w:trPr>
          <w:trHeight w:val="403"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161"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5" w:type="dxa"/>
            <w:vMerge w:val="restart"/>
            <w:tcBorders>
              <w:top w:val="single" w:sz="4" w:space="0" w:color="000000"/>
              <w:left w:val="single" w:sz="9" w:space="0" w:color="D2D2D2"/>
              <w:right w:val="single" w:sz="4" w:space="0" w:color="000000"/>
            </w:tcBorders>
          </w:tcPr>
          <w:p>
            <w:pPr>
              <w:pStyle w:val="TableParagraph"/>
              <w:spacing w:line="300" w:lineRule="auto" w:before="49"/>
              <w:ind w:left="18" w:right="17"/>
              <w:jc w:val="left"/>
              <w:rPr>
                <w:rFonts w:ascii="宋体" w:hAnsi="宋体" w:cs="宋体" w:eastAsia="宋体" w:hint="default"/>
                <w:sz w:val="18"/>
                <w:szCs w:val="18"/>
              </w:rPr>
            </w:pPr>
            <w:r>
              <w:rPr>
                <w:rFonts w:ascii="宋体" w:hAnsi="宋体" w:cs="宋体" w:eastAsia="宋体" w:hint="default"/>
                <w:sz w:val="18"/>
                <w:szCs w:val="18"/>
              </w:rPr>
              <w:t>详见刊登于巨潮资讯网</w:t>
            </w:r>
            <w:r>
              <w:rPr>
                <w:rFonts w:ascii="Times New Roman" w:hAnsi="Times New Roman" w:cs="Times New Roman" w:eastAsia="Times New Roman" w:hint="default"/>
                <w:sz w:val="18"/>
                <w:szCs w:val="18"/>
              </w:rPr>
              <w:t>(http://www.cninfo.com.cn)</w:t>
            </w:r>
            <w:r>
              <w:rPr>
                <w:rFonts w:ascii="宋体" w:hAnsi="宋体" w:cs="宋体" w:eastAsia="宋体" w:hint="default"/>
                <w:sz w:val="18"/>
                <w:szCs w:val="18"/>
              </w:rPr>
              <w:t>上的《公司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年度内部控制 自我评价报告》</w:t>
            </w:r>
          </w:p>
        </w:tc>
      </w:tr>
      <w:tr>
        <w:trPr>
          <w:trHeight w:val="391"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vMerge/>
            <w:tcBorders>
              <w:left w:val="single" w:sz="9" w:space="0" w:color="D2D2D2"/>
              <w:right w:val="single" w:sz="4" w:space="0" w:color="000000"/>
            </w:tcBorders>
          </w:tcPr>
          <w:p>
            <w:pPr/>
          </w:p>
        </w:tc>
      </w:tr>
      <w:tr>
        <w:trPr>
          <w:trHeight w:val="161"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5" w:type="dxa"/>
            <w:vMerge/>
            <w:tcBorders>
              <w:left w:val="single" w:sz="9" w:space="0" w:color="D2D2D2"/>
              <w:bottom w:val="single" w:sz="4" w:space="0" w:color="000000"/>
              <w:right w:val="single" w:sz="4" w:space="0" w:color="000000"/>
            </w:tcBorders>
          </w:tcPr>
          <w:p>
            <w:pPr/>
          </w:p>
        </w:tc>
      </w:tr>
      <w:tr>
        <w:trPr>
          <w:trHeight w:val="715"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缺陷认定标准</w:t>
            </w:r>
          </w:p>
        </w:tc>
      </w:tr>
    </w:tbl>
    <w:p>
      <w:pPr>
        <w:spacing w:after="0" w:line="240" w:lineRule="auto"/>
        <w:jc w:val="center"/>
        <w:rPr>
          <w:rFonts w:ascii="宋体" w:hAnsi="宋体" w:cs="宋体" w:eastAsia="宋体" w:hint="default"/>
          <w:sz w:val="18"/>
          <w:szCs w:val="18"/>
        </w:rPr>
        <w:sectPr>
          <w:pgSz w:w="11910" w:h="16840"/>
          <w:pgMar w:header="745" w:footer="980" w:top="1060" w:bottom="1160" w:left="940" w:right="980"/>
        </w:sectPr>
      </w:pPr>
    </w:p>
    <w:p>
      <w:pPr>
        <w:spacing w:line="240" w:lineRule="auto" w:before="0"/>
        <w:rPr>
          <w:rFonts w:ascii="Times New Roman" w:hAnsi="Times New Roman" w:cs="Times New Roman" w:eastAsia="Times New Roman" w:hint="default"/>
          <w:sz w:val="20"/>
          <w:szCs w:val="20"/>
        </w:rPr>
      </w:pPr>
      <w:r>
        <w:rPr/>
        <w:pict>
          <v:group style="position:absolute;margin-left:384.070007pt;margin-top:473.109985pt;width:149.7pt;height:31.2pt;mso-position-horizontal-relative:page;mso-position-vertical-relative:page;z-index:-1152544" coordorigin="7681,9462" coordsize="2994,624">
            <v:group style="position:absolute;left:7681;top:9462;width:2994;height:312" coordorigin="7681,9462" coordsize="2994,312">
              <v:shape style="position:absolute;left:7681;top:9462;width:2994;height:312" coordorigin="7681,9462" coordsize="2994,312" path="m7681,9774l10675,9774,10675,9462,7681,9462,7681,9774xe" filled="true" fillcolor="#ffffff" stroked="false">
                <v:path arrowok="t"/>
                <v:fill type="solid"/>
              </v:shape>
            </v:group>
            <v:group style="position:absolute;left:7681;top:9774;width:2994;height:312" coordorigin="7681,9774" coordsize="2994,312">
              <v:shape style="position:absolute;left:7681;top:9774;width:2994;height:312" coordorigin="7681,9774" coordsize="2994,312" path="m7681,10086l10675,10086,10675,9774,7681,9774,7681,1008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335"/>
        <w:gridCol w:w="3040"/>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4259" w:hRule="exact"/>
        </w:trPr>
        <w:tc>
          <w:tcPr>
            <w:tcW w:w="3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vMerge w:val="restart"/>
            <w:tcBorders>
              <w:top w:val="single" w:sz="4" w:space="0" w:color="000000"/>
              <w:left w:val="single" w:sz="9" w:space="0" w:color="D2D2D2"/>
              <w:right w:val="single" w:sz="14"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304" w:lineRule="auto"/>
              <w:ind w:left="18" w:right="47"/>
              <w:jc w:val="both"/>
              <w:rPr>
                <w:rFonts w:ascii="宋体" w:hAnsi="宋体" w:cs="宋体" w:eastAsia="宋体" w:hint="default"/>
                <w:sz w:val="18"/>
                <w:szCs w:val="18"/>
              </w:rPr>
            </w:pPr>
            <w:r>
              <w:rPr>
                <w:rFonts w:ascii="宋体" w:hAnsi="宋体" w:cs="宋体" w:eastAsia="宋体" w:hint="default"/>
                <w:spacing w:val="-5"/>
                <w:sz w:val="18"/>
                <w:szCs w:val="18"/>
              </w:rPr>
              <w:t>（一）视为重大缺陷的情况：（</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）公司内</w:t>
            </w:r>
            <w:r>
              <w:rPr>
                <w:rFonts w:ascii="宋体" w:hAnsi="宋体" w:cs="宋体" w:eastAsia="宋体" w:hint="default"/>
                <w:spacing w:val="-86"/>
                <w:sz w:val="18"/>
                <w:szCs w:val="18"/>
              </w:rPr>
              <w:t> </w:t>
            </w:r>
            <w:r>
              <w:rPr>
                <w:rFonts w:ascii="宋体" w:hAnsi="宋体" w:cs="宋体" w:eastAsia="宋体" w:hint="default"/>
                <w:spacing w:val="-5"/>
                <w:sz w:val="18"/>
                <w:szCs w:val="18"/>
              </w:rPr>
              <w:t>部控制环境无效；（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）董事、监事和高级</w:t>
            </w:r>
            <w:r>
              <w:rPr>
                <w:rFonts w:ascii="宋体" w:hAnsi="宋体" w:cs="宋体" w:eastAsia="宋体" w:hint="default"/>
                <w:spacing w:val="-86"/>
                <w:sz w:val="18"/>
                <w:szCs w:val="18"/>
              </w:rPr>
              <w:t> </w:t>
            </w:r>
            <w:r>
              <w:rPr>
                <w:rFonts w:ascii="宋体" w:hAnsi="宋体" w:cs="宋体" w:eastAsia="宋体" w:hint="default"/>
                <w:spacing w:val="-5"/>
                <w:sz w:val="18"/>
                <w:szCs w:val="18"/>
              </w:rPr>
              <w:t>管理人员舞弊；（</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）违反国家法律法规并</w:t>
            </w:r>
            <w:r>
              <w:rPr>
                <w:rFonts w:ascii="宋体" w:hAnsi="宋体" w:cs="宋体" w:eastAsia="宋体" w:hint="default"/>
                <w:spacing w:val="-86"/>
                <w:sz w:val="18"/>
                <w:szCs w:val="18"/>
              </w:rPr>
              <w:t> </w:t>
            </w:r>
            <w:r>
              <w:rPr>
                <w:rFonts w:ascii="宋体" w:hAnsi="宋体" w:cs="宋体" w:eastAsia="宋体" w:hint="default"/>
                <w:spacing w:val="-5"/>
                <w:sz w:val="18"/>
                <w:szCs w:val="18"/>
              </w:rPr>
              <w:t>受到处罚；（</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）当期财务报表存在重大错</w:t>
            </w:r>
            <w:r>
              <w:rPr>
                <w:rFonts w:ascii="宋体" w:hAnsi="宋体" w:cs="宋体" w:eastAsia="宋体" w:hint="default"/>
                <w:spacing w:val="-86"/>
                <w:sz w:val="18"/>
                <w:szCs w:val="18"/>
              </w:rPr>
              <w:t> </w:t>
            </w:r>
            <w:r>
              <w:rPr>
                <w:rFonts w:ascii="宋体" w:hAnsi="宋体" w:cs="宋体" w:eastAsia="宋体" w:hint="default"/>
                <w:sz w:val="18"/>
                <w:szCs w:val="18"/>
              </w:rPr>
              <w:t>报，而内部控制在运行过程中未能发现该 </w:t>
            </w:r>
            <w:r>
              <w:rPr>
                <w:rFonts w:ascii="宋体" w:hAnsi="宋体" w:cs="宋体" w:eastAsia="宋体" w:hint="default"/>
                <w:spacing w:val="-5"/>
                <w:sz w:val="18"/>
                <w:szCs w:val="18"/>
              </w:rPr>
              <w:t>错报；（</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）与公司治理及日常运营相关的</w:t>
            </w:r>
            <w:r>
              <w:rPr>
                <w:rFonts w:ascii="宋体" w:hAnsi="宋体" w:cs="宋体" w:eastAsia="宋体" w:hint="default"/>
                <w:spacing w:val="-86"/>
                <w:sz w:val="18"/>
                <w:szCs w:val="18"/>
              </w:rPr>
              <w:t> </w:t>
            </w:r>
            <w:r>
              <w:rPr>
                <w:rFonts w:ascii="宋体" w:hAnsi="宋体" w:cs="宋体" w:eastAsia="宋体" w:hint="default"/>
                <w:sz w:val="18"/>
                <w:szCs w:val="18"/>
              </w:rPr>
              <w:t>关键制度或机制均缺失，导致全局性系统 </w:t>
            </w:r>
            <w:r>
              <w:rPr>
                <w:rFonts w:ascii="宋体" w:hAnsi="宋体" w:cs="宋体" w:eastAsia="宋体" w:hint="default"/>
                <w:spacing w:val="-5"/>
                <w:sz w:val="18"/>
                <w:szCs w:val="18"/>
              </w:rPr>
              <w:t>性管理失效；（</w:t>
            </w:r>
            <w:r>
              <w:rPr>
                <w:rFonts w:ascii="Times New Roman" w:hAnsi="Times New Roman" w:cs="Times New Roman" w:eastAsia="Times New Roman" w:hint="default"/>
                <w:spacing w:val="-5"/>
                <w:sz w:val="18"/>
                <w:szCs w:val="18"/>
              </w:rPr>
              <w:t>6</w:t>
            </w:r>
            <w:r>
              <w:rPr>
                <w:rFonts w:ascii="宋体" w:hAnsi="宋体" w:cs="宋体" w:eastAsia="宋体" w:hint="default"/>
                <w:spacing w:val="-5"/>
                <w:sz w:val="18"/>
                <w:szCs w:val="18"/>
              </w:rPr>
              <w:t>）业务流程的一般控制与</w:t>
            </w:r>
            <w:r>
              <w:rPr>
                <w:rFonts w:ascii="宋体" w:hAnsi="宋体" w:cs="宋体" w:eastAsia="宋体" w:hint="default"/>
                <w:spacing w:val="-86"/>
                <w:sz w:val="18"/>
                <w:szCs w:val="18"/>
              </w:rPr>
              <w:t> </w:t>
            </w:r>
            <w:r>
              <w:rPr>
                <w:rFonts w:ascii="宋体" w:hAnsi="宋体" w:cs="宋体" w:eastAsia="宋体" w:hint="default"/>
                <w:spacing w:val="-5"/>
                <w:sz w:val="18"/>
                <w:szCs w:val="18"/>
              </w:rPr>
              <w:t>关键控制组合缺失；（</w:t>
            </w:r>
            <w:r>
              <w:rPr>
                <w:rFonts w:ascii="Times New Roman" w:hAnsi="Times New Roman" w:cs="Times New Roman" w:eastAsia="Times New Roman" w:hint="default"/>
                <w:spacing w:val="-5"/>
                <w:sz w:val="18"/>
                <w:szCs w:val="18"/>
              </w:rPr>
              <w:t>7</w:t>
            </w:r>
            <w:r>
              <w:rPr>
                <w:rFonts w:ascii="宋体" w:hAnsi="宋体" w:cs="宋体" w:eastAsia="宋体" w:hint="default"/>
                <w:spacing w:val="-5"/>
                <w:sz w:val="18"/>
                <w:szCs w:val="18"/>
              </w:rPr>
              <w:t>）已经发现并报告</w:t>
            </w:r>
            <w:r>
              <w:rPr>
                <w:rFonts w:ascii="宋体" w:hAnsi="宋体" w:cs="宋体" w:eastAsia="宋体" w:hint="default"/>
                <w:spacing w:val="-86"/>
                <w:sz w:val="18"/>
                <w:szCs w:val="18"/>
              </w:rPr>
              <w:t> </w:t>
            </w:r>
            <w:r>
              <w:rPr>
                <w:rFonts w:ascii="宋体" w:hAnsi="宋体" w:cs="宋体" w:eastAsia="宋体" w:hint="default"/>
                <w:sz w:val="18"/>
                <w:szCs w:val="18"/>
              </w:rPr>
              <w:t>给管理层的重大缺陷在合理的时间内未加 </w:t>
            </w:r>
            <w:r>
              <w:rPr>
                <w:rFonts w:ascii="宋体" w:hAnsi="宋体" w:cs="宋体" w:eastAsia="宋体" w:hint="default"/>
                <w:spacing w:val="-5"/>
                <w:sz w:val="18"/>
                <w:szCs w:val="18"/>
              </w:rPr>
              <w:t>以改正；（</w:t>
            </w: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）其他可能影响报表使用者正</w:t>
            </w:r>
            <w:r>
              <w:rPr>
                <w:rFonts w:ascii="宋体" w:hAnsi="宋体" w:cs="宋体" w:eastAsia="宋体" w:hint="default"/>
                <w:spacing w:val="-86"/>
                <w:sz w:val="18"/>
                <w:szCs w:val="18"/>
              </w:rPr>
              <w:t> </w:t>
            </w:r>
            <w:r>
              <w:rPr>
                <w:rFonts w:ascii="宋体" w:hAnsi="宋体" w:cs="宋体" w:eastAsia="宋体" w:hint="default"/>
                <w:sz w:val="18"/>
                <w:szCs w:val="18"/>
              </w:rPr>
              <w:t>确判断的缺陷。</w:t>
            </w:r>
          </w:p>
          <w:p>
            <w:pPr>
              <w:pStyle w:val="TableParagraph"/>
              <w:spacing w:line="307" w:lineRule="auto" w:before="66"/>
              <w:ind w:left="18" w:right="43"/>
              <w:jc w:val="both"/>
              <w:rPr>
                <w:rFonts w:ascii="宋体" w:hAnsi="宋体" w:cs="宋体" w:eastAsia="宋体" w:hint="default"/>
                <w:sz w:val="18"/>
                <w:szCs w:val="18"/>
              </w:rPr>
            </w:pPr>
            <w:r>
              <w:rPr>
                <w:rFonts w:ascii="宋体" w:hAnsi="宋体" w:cs="宋体" w:eastAsia="宋体" w:hint="default"/>
                <w:spacing w:val="-5"/>
                <w:sz w:val="18"/>
                <w:szCs w:val="18"/>
              </w:rPr>
              <w:t>（二）视为重要缺陷的情况：（</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w:t>
            </w:r>
            <w:r>
              <w:rPr>
                <w:rFonts w:ascii="宋体" w:hAnsi="宋体" w:cs="宋体" w:eastAsia="宋体" w:hint="default"/>
                <w:spacing w:val="-86"/>
                <w:sz w:val="18"/>
                <w:szCs w:val="18"/>
              </w:rPr>
              <w:t> </w:t>
            </w:r>
            <w:r>
              <w:rPr>
                <w:rFonts w:ascii="宋体" w:hAnsi="宋体" w:cs="宋体" w:eastAsia="宋体" w:hint="default"/>
                <w:spacing w:val="-5"/>
                <w:sz w:val="18"/>
                <w:szCs w:val="18"/>
              </w:rPr>
              <w:t>公认会计准则选择和应用会计政策；（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w:t>
            </w:r>
            <w:r>
              <w:rPr>
                <w:rFonts w:ascii="宋体" w:hAnsi="宋体" w:cs="宋体" w:eastAsia="宋体" w:hint="default"/>
                <w:spacing w:val="-86"/>
                <w:sz w:val="18"/>
                <w:szCs w:val="18"/>
              </w:rPr>
              <w:t> </w:t>
            </w:r>
            <w:r>
              <w:rPr>
                <w:rFonts w:ascii="宋体" w:hAnsi="宋体" w:cs="宋体" w:eastAsia="宋体" w:hint="default"/>
                <w:spacing w:val="-5"/>
                <w:sz w:val="18"/>
                <w:szCs w:val="18"/>
              </w:rPr>
              <w:t>未建立反舞弊程序和控制措施；（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w:t>
            </w:r>
            <w:r>
              <w:rPr>
                <w:rFonts w:ascii="宋体" w:hAnsi="宋体" w:cs="宋体" w:eastAsia="宋体" w:hint="default"/>
                <w:spacing w:val="-83"/>
                <w:sz w:val="18"/>
                <w:szCs w:val="18"/>
              </w:rPr>
              <w:t> </w:t>
            </w:r>
            <w:r>
              <w:rPr>
                <w:rFonts w:ascii="宋体" w:hAnsi="宋体" w:cs="宋体" w:eastAsia="宋体" w:hint="default"/>
                <w:sz w:val="18"/>
                <w:szCs w:val="18"/>
              </w:rPr>
              <w:t>非常规或特殊交易的账务处理没有建立相 应的控制机制，或未实施相应的补偿性控 </w:t>
            </w:r>
            <w:r>
              <w:rPr>
                <w:rFonts w:ascii="宋体" w:hAnsi="宋体" w:cs="宋体" w:eastAsia="宋体" w:hint="default"/>
                <w:spacing w:val="-5"/>
                <w:sz w:val="18"/>
                <w:szCs w:val="18"/>
              </w:rPr>
              <w:t>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）对于期末财务报告过程的控制存</w:t>
            </w:r>
            <w:r>
              <w:rPr>
                <w:rFonts w:ascii="宋体" w:hAnsi="宋体" w:cs="宋体" w:eastAsia="宋体" w:hint="default"/>
                <w:spacing w:val="-86"/>
                <w:sz w:val="18"/>
                <w:szCs w:val="18"/>
              </w:rPr>
              <w:t> </w:t>
            </w:r>
            <w:r>
              <w:rPr>
                <w:rFonts w:ascii="宋体" w:hAnsi="宋体" w:cs="宋体" w:eastAsia="宋体" w:hint="default"/>
                <w:sz w:val="18"/>
                <w:szCs w:val="18"/>
              </w:rPr>
              <w:t>在一项或多项缺陷且不能合理保证编制的 </w:t>
            </w:r>
            <w:r>
              <w:rPr>
                <w:rFonts w:ascii="宋体" w:hAnsi="宋体" w:cs="宋体" w:eastAsia="宋体" w:hint="default"/>
                <w:spacing w:val="-5"/>
                <w:sz w:val="18"/>
                <w:szCs w:val="18"/>
              </w:rPr>
              <w:t>财务报表达到真实、完整的目标；（</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）内</w:t>
            </w:r>
            <w:r>
              <w:rPr>
                <w:rFonts w:ascii="宋体" w:hAnsi="宋体" w:cs="宋体" w:eastAsia="宋体" w:hint="default"/>
                <w:spacing w:val="-86"/>
                <w:sz w:val="18"/>
                <w:szCs w:val="18"/>
              </w:rPr>
              <w:t> </w:t>
            </w:r>
            <w:r>
              <w:rPr>
                <w:rFonts w:ascii="宋体" w:hAnsi="宋体" w:cs="宋体" w:eastAsia="宋体" w:hint="default"/>
                <w:sz w:val="18"/>
                <w:szCs w:val="18"/>
              </w:rPr>
              <w:t>部控制重要缺陷或一般缺陷未得到整改。</w:t>
            </w:r>
          </w:p>
          <w:p>
            <w:pPr>
              <w:pStyle w:val="TableParagraph"/>
              <w:spacing w:line="316" w:lineRule="auto" w:before="26"/>
              <w:ind w:left="18" w:right="46"/>
              <w:jc w:val="both"/>
              <w:rPr>
                <w:rFonts w:ascii="宋体" w:hAnsi="宋体" w:cs="宋体" w:eastAsia="宋体" w:hint="default"/>
                <w:sz w:val="18"/>
                <w:szCs w:val="18"/>
              </w:rPr>
            </w:pPr>
            <w:r>
              <w:rPr>
                <w:rFonts w:ascii="宋体" w:hAnsi="宋体" w:cs="宋体" w:eastAsia="宋体" w:hint="default"/>
                <w:sz w:val="18"/>
                <w:szCs w:val="18"/>
              </w:rPr>
              <w:t>（三）视为一般缺陷的情况：未构成重大 </w:t>
            </w:r>
            <w:r>
              <w:rPr>
                <w:rFonts w:ascii="宋体" w:hAnsi="宋体" w:cs="宋体" w:eastAsia="宋体" w:hint="default"/>
                <w:spacing w:val="-4"/>
                <w:sz w:val="18"/>
                <w:szCs w:val="18"/>
              </w:rPr>
              <w:t>缺陷、重要缺陷标准的其他内部控制缺陷</w:t>
            </w:r>
          </w:p>
        </w:tc>
        <w:tc>
          <w:tcPr>
            <w:tcW w:w="3040" w:type="dxa"/>
            <w:vMerge w:val="restart"/>
            <w:tcBorders>
              <w:top w:val="single" w:sz="4" w:space="0" w:color="000000"/>
              <w:left w:val="single" w:sz="14" w:space="0" w:color="FFFFFF"/>
              <w:right w:val="single" w:sz="4" w:space="0" w:color="000000"/>
            </w:tcBorders>
          </w:tcPr>
          <w:p>
            <w:pPr>
              <w:pStyle w:val="TableParagraph"/>
              <w:spacing w:line="302" w:lineRule="auto" w:before="51"/>
              <w:ind w:left="-1" w:right="-43"/>
              <w:jc w:val="both"/>
              <w:rPr>
                <w:rFonts w:ascii="宋体" w:hAnsi="宋体" w:cs="宋体" w:eastAsia="宋体" w:hint="default"/>
                <w:sz w:val="18"/>
                <w:szCs w:val="18"/>
              </w:rPr>
            </w:pPr>
            <w:r>
              <w:rPr>
                <w:rFonts w:ascii="宋体" w:hAnsi="宋体" w:cs="宋体" w:eastAsia="宋体" w:hint="default"/>
                <w:spacing w:val="-9"/>
                <w:sz w:val="18"/>
                <w:szCs w:val="18"/>
              </w:rPr>
              <w:t>（一）视为重大缺陷的情况：（</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）缺乏</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长远发展战略规划，没有切实可行的战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略目标；（</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）公司决策程序不科学，未</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有效执行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三重一大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决策程序，导致决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9"/>
                <w:sz w:val="18"/>
                <w:szCs w:val="18"/>
              </w:rPr>
              <w:t>策失误，造成损失；（</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）违反国家法律</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法规，并受到处罚；（</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）中高级管理人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员和高级技术人员流失严重；（</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）重要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业务缺乏制度控制或制度系统性失效；</w:t>
            </w:r>
          </w:p>
          <w:p>
            <w:pPr>
              <w:pStyle w:val="TableParagraph"/>
              <w:spacing w:line="300" w:lineRule="auto" w:before="29"/>
              <w:ind w:left="-1" w:right="4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）内部控制评价的结果特别是重大 或重要缺陷未得到整改。</w:t>
            </w:r>
          </w:p>
          <w:p>
            <w:pPr>
              <w:pStyle w:val="TableParagraph"/>
              <w:spacing w:line="302" w:lineRule="auto" w:before="72"/>
              <w:ind w:left="-1" w:right="17"/>
              <w:jc w:val="both"/>
              <w:rPr>
                <w:rFonts w:ascii="宋体" w:hAnsi="宋体" w:cs="宋体" w:eastAsia="宋体" w:hint="default"/>
                <w:sz w:val="18"/>
                <w:szCs w:val="18"/>
              </w:rPr>
            </w:pPr>
            <w:r>
              <w:rPr>
                <w:rFonts w:ascii="宋体" w:hAnsi="宋体" w:cs="宋体" w:eastAsia="宋体" w:hint="default"/>
                <w:spacing w:val="-9"/>
                <w:sz w:val="18"/>
                <w:szCs w:val="18"/>
              </w:rPr>
              <w:t>（二）视为重要缺陷的情况：（</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）战略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的制定较为简单、粗略，制定的公司总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3"/>
                <w:w w:val="100"/>
                <w:sz w:val="18"/>
                <w:szCs w:val="18"/>
              </w:rPr>
              <w:t>体战略目标不明确；（</w:t>
            </w:r>
            <w:r>
              <w:rPr>
                <w:rFonts w:ascii="Times New Roman" w:hAnsi="Times New Roman" w:cs="Times New Roman" w:eastAsia="Times New Roman" w:hint="default"/>
                <w:spacing w:val="-13"/>
                <w:w w:val="100"/>
                <w:sz w:val="18"/>
                <w:szCs w:val="18"/>
              </w:rPr>
              <w:t>2</w:t>
            </w:r>
            <w:r>
              <w:rPr>
                <w:rFonts w:ascii="宋体" w:hAnsi="宋体" w:cs="宋体" w:eastAsia="宋体" w:hint="default"/>
                <w:spacing w:val="-13"/>
                <w:w w:val="100"/>
                <w:sz w:val="18"/>
                <w:szCs w:val="18"/>
              </w:rPr>
              <w:t>）未有效执行</w:t>
            </w:r>
            <w:r>
              <w:rPr>
                <w:rFonts w:ascii="Times New Roman" w:hAnsi="Times New Roman" w:cs="Times New Roman" w:eastAsia="Times New Roman" w:hint="default"/>
                <w:spacing w:val="-13"/>
                <w:w w:val="100"/>
                <w:sz w:val="18"/>
                <w:szCs w:val="18"/>
              </w:rPr>
              <w:t>“</w:t>
            </w:r>
            <w:r>
              <w:rPr>
                <w:rFonts w:ascii="宋体" w:hAnsi="宋体" w:cs="宋体" w:eastAsia="宋体" w:hint="default"/>
                <w:spacing w:val="-13"/>
                <w:w w:val="100"/>
                <w:sz w:val="18"/>
                <w:szCs w:val="18"/>
              </w:rPr>
              <w:t>三</w:t>
            </w:r>
            <w:r>
              <w:rPr>
                <w:rFonts w:ascii="宋体" w:hAnsi="宋体" w:cs="宋体" w:eastAsia="宋体" w:hint="default"/>
                <w:spacing w:val="-79"/>
                <w:w w:val="100"/>
                <w:sz w:val="18"/>
                <w:szCs w:val="18"/>
              </w:rPr>
              <w:t> </w:t>
            </w:r>
            <w:r>
              <w:rPr>
                <w:rFonts w:ascii="宋体" w:hAnsi="宋体" w:cs="宋体" w:eastAsia="宋体" w:hint="default"/>
                <w:sz w:val="18"/>
                <w:szCs w:val="18"/>
              </w:rPr>
              <w:t>重一大</w:t>
            </w:r>
            <w:r>
              <w:rPr>
                <w:rFonts w:ascii="Times New Roman" w:hAnsi="Times New Roman" w:cs="Times New Roman" w:eastAsia="Times New Roman" w:hint="default"/>
                <w:sz w:val="18"/>
                <w:szCs w:val="18"/>
              </w:rPr>
              <w:t>”</w:t>
            </w:r>
            <w:r>
              <w:rPr>
                <w:rFonts w:ascii="宋体" w:hAnsi="宋体" w:cs="宋体" w:eastAsia="宋体" w:hint="default"/>
                <w:sz w:val="18"/>
                <w:szCs w:val="18"/>
              </w:rPr>
              <w:t>决策程序，导致决策失误，但 </w:t>
            </w:r>
            <w:r>
              <w:rPr>
                <w:rFonts w:ascii="宋体" w:hAnsi="宋体" w:cs="宋体" w:eastAsia="宋体" w:hint="default"/>
                <w:spacing w:val="-9"/>
                <w:sz w:val="18"/>
                <w:szCs w:val="18"/>
              </w:rPr>
              <w:t>尚未造成重大损失；（</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）违反企业内部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规章，形成损失；（</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）关键岗位业务人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员流失严重；（</w:t>
            </w:r>
            <w:r>
              <w:rPr>
                <w:rFonts w:ascii="Times New Roman" w:hAnsi="Times New Roman" w:cs="Times New Roman" w:eastAsia="Times New Roman" w:hint="default"/>
                <w:spacing w:val="-9"/>
                <w:sz w:val="18"/>
                <w:szCs w:val="18"/>
              </w:rPr>
              <w:t>5</w:t>
            </w:r>
            <w:r>
              <w:rPr>
                <w:rFonts w:ascii="宋体" w:hAnsi="宋体" w:cs="宋体" w:eastAsia="宋体" w:hint="default"/>
                <w:spacing w:val="-9"/>
                <w:sz w:val="18"/>
                <w:szCs w:val="18"/>
              </w:rPr>
              <w:t>）重要业务制度或系统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存在缺陷；（</w:t>
            </w:r>
            <w:r>
              <w:rPr>
                <w:rFonts w:ascii="Times New Roman" w:hAnsi="Times New Roman" w:cs="Times New Roman" w:eastAsia="Times New Roman" w:hint="default"/>
                <w:spacing w:val="-9"/>
                <w:sz w:val="18"/>
                <w:szCs w:val="18"/>
              </w:rPr>
              <w:t>6</w:t>
            </w:r>
            <w:r>
              <w:rPr>
                <w:rFonts w:ascii="宋体" w:hAnsi="宋体" w:cs="宋体" w:eastAsia="宋体" w:hint="default"/>
                <w:spacing w:val="-9"/>
                <w:sz w:val="18"/>
                <w:szCs w:val="18"/>
              </w:rPr>
              <w:t>）内部控制重要或一般缺</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陷未得到整改。</w:t>
            </w:r>
          </w:p>
          <w:p>
            <w:pPr>
              <w:pStyle w:val="TableParagraph"/>
              <w:spacing w:line="304" w:lineRule="auto" w:before="70"/>
              <w:ind w:left="-1" w:right="-44"/>
              <w:jc w:val="both"/>
              <w:rPr>
                <w:rFonts w:ascii="宋体" w:hAnsi="宋体" w:cs="宋体" w:eastAsia="宋体" w:hint="default"/>
                <w:sz w:val="18"/>
                <w:szCs w:val="18"/>
              </w:rPr>
            </w:pPr>
            <w:r>
              <w:rPr>
                <w:rFonts w:ascii="宋体" w:hAnsi="宋体" w:cs="宋体" w:eastAsia="宋体" w:hint="default"/>
                <w:spacing w:val="-9"/>
                <w:sz w:val="18"/>
                <w:szCs w:val="18"/>
              </w:rPr>
              <w:t>（三）视为一般缺陷的情况：（</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）战略</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4"/>
                <w:sz w:val="18"/>
                <w:szCs w:val="18"/>
              </w:rPr>
              <w:t>分析、战略制定及战略实施方面存在其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他的影响实现战略目标的缺陷；（</w:t>
            </w: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）决</w:t>
            </w:r>
            <w:r>
              <w:rPr>
                <w:rFonts w:ascii="宋体" w:hAnsi="宋体" w:cs="宋体" w:eastAsia="宋体" w:hint="default"/>
                <w:spacing w:val="-82"/>
                <w:sz w:val="18"/>
                <w:szCs w:val="18"/>
              </w:rPr>
              <w:t> </w:t>
            </w:r>
            <w:r>
              <w:rPr>
                <w:rFonts w:ascii="宋体" w:hAnsi="宋体" w:cs="宋体" w:eastAsia="宋体" w:hint="default"/>
                <w:spacing w:val="-10"/>
                <w:sz w:val="18"/>
                <w:szCs w:val="18"/>
              </w:rPr>
              <w:t>策程序不规范，决策效率较低；（</w:t>
            </w:r>
            <w:r>
              <w:rPr>
                <w:rFonts w:ascii="Times New Roman" w:hAnsi="Times New Roman" w:cs="Times New Roman" w:eastAsia="Times New Roman" w:hint="default"/>
                <w:spacing w:val="-10"/>
                <w:sz w:val="18"/>
                <w:szCs w:val="18"/>
              </w:rPr>
              <w:t>3</w:t>
            </w:r>
            <w:r>
              <w:rPr>
                <w:rFonts w:ascii="宋体" w:hAnsi="宋体" w:cs="宋体" w:eastAsia="宋体" w:hint="default"/>
                <w:spacing w:val="-10"/>
                <w:sz w:val="18"/>
                <w:szCs w:val="18"/>
              </w:rPr>
              <w:t>）违</w:t>
            </w:r>
            <w:r>
              <w:rPr>
                <w:rFonts w:ascii="宋体" w:hAnsi="宋体" w:cs="宋体" w:eastAsia="宋体" w:hint="default"/>
                <w:spacing w:val="-86"/>
                <w:sz w:val="18"/>
                <w:szCs w:val="18"/>
              </w:rPr>
              <w:t> </w:t>
            </w:r>
            <w:r>
              <w:rPr>
                <w:rFonts w:ascii="宋体" w:hAnsi="宋体" w:cs="宋体" w:eastAsia="宋体" w:hint="default"/>
                <w:spacing w:val="-6"/>
                <w:sz w:val="18"/>
                <w:szCs w:val="18"/>
              </w:rPr>
              <w:t>反公司内部规章，但未形成损失；（</w:t>
            </w:r>
            <w:r>
              <w:rPr>
                <w:rFonts w:ascii="Times New Roman" w:hAnsi="Times New Roman" w:cs="Times New Roman" w:eastAsia="Times New Roman" w:hint="default"/>
                <w:spacing w:val="-6"/>
                <w:sz w:val="18"/>
                <w:szCs w:val="18"/>
              </w:rPr>
              <w:t>4</w:t>
            </w:r>
            <w:r>
              <w:rPr>
                <w:rFonts w:ascii="宋体" w:hAnsi="宋体" w:cs="宋体" w:eastAsia="宋体" w:hint="default"/>
                <w:spacing w:val="-6"/>
                <w:sz w:val="18"/>
                <w:szCs w:val="18"/>
              </w:rPr>
              <w:t>）</w:t>
            </w:r>
          </w:p>
          <w:p>
            <w:pPr>
              <w:pStyle w:val="TableParagraph"/>
              <w:spacing w:line="192" w:lineRule="exact" w:before="9"/>
              <w:ind w:left="-1" w:right="0"/>
              <w:jc w:val="both"/>
              <w:rPr>
                <w:rFonts w:ascii="宋体" w:hAnsi="宋体" w:cs="宋体" w:eastAsia="宋体" w:hint="default"/>
                <w:sz w:val="18"/>
                <w:szCs w:val="18"/>
              </w:rPr>
            </w:pPr>
            <w:r>
              <w:rPr>
                <w:rFonts w:ascii="宋体" w:hAnsi="宋体" w:cs="宋体" w:eastAsia="宋体" w:hint="default"/>
                <w:sz w:val="18"/>
                <w:szCs w:val="18"/>
              </w:rPr>
              <w:t>一般岗位业务人员流失严重</w:t>
            </w:r>
            <w:r>
              <w:rPr>
                <w:rFonts w:ascii="宋体" w:hAnsi="宋体" w:cs="宋体" w:eastAsia="宋体" w:hint="default"/>
                <w:spacing w:val="-125"/>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34"/>
                <w:sz w:val="18"/>
                <w:szCs w:val="18"/>
              </w:rPr>
              <w:t>）</w:t>
            </w:r>
            <w:r>
              <w:rPr>
                <w:rFonts w:ascii="宋体" w:hAnsi="宋体" w:cs="宋体" w:eastAsia="宋体" w:hint="default"/>
                <w:sz w:val="18"/>
                <w:szCs w:val="18"/>
              </w:rPr>
              <w:t>一般</w:t>
            </w:r>
          </w:p>
          <w:p>
            <w:pPr>
              <w:pStyle w:val="TableParagraph"/>
              <w:spacing w:line="149" w:lineRule="exact"/>
              <w:ind w:left="-14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20" w:lineRule="exact"/>
              <w:ind w:left="-1" w:right="0"/>
              <w:jc w:val="both"/>
              <w:rPr>
                <w:rFonts w:ascii="宋体" w:hAnsi="宋体" w:cs="宋体" w:eastAsia="宋体" w:hint="default"/>
                <w:sz w:val="18"/>
                <w:szCs w:val="18"/>
              </w:rPr>
            </w:pPr>
            <w:r>
              <w:rPr>
                <w:rFonts w:ascii="宋体" w:hAnsi="宋体" w:cs="宋体" w:eastAsia="宋体" w:hint="default"/>
                <w:sz w:val="18"/>
                <w:szCs w:val="18"/>
              </w:rPr>
              <w:t>业务制度或系统存在缺陷</w:t>
            </w:r>
            <w:r>
              <w:rPr>
                <w:rFonts w:ascii="宋体" w:hAnsi="宋体" w:cs="宋体" w:eastAsia="宋体" w:hint="default"/>
                <w:spacing w:val="-125"/>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6</w:t>
            </w:r>
            <w:r>
              <w:rPr>
                <w:rFonts w:ascii="宋体" w:hAnsi="宋体" w:cs="宋体" w:eastAsia="宋体" w:hint="default"/>
                <w:spacing w:val="-32"/>
                <w:sz w:val="18"/>
                <w:szCs w:val="18"/>
              </w:rPr>
              <w:t>）</w:t>
            </w:r>
            <w:r>
              <w:rPr>
                <w:rFonts w:ascii="宋体" w:hAnsi="宋体" w:cs="宋体" w:eastAsia="宋体" w:hint="default"/>
                <w:sz w:val="18"/>
                <w:szCs w:val="18"/>
              </w:rPr>
              <w:t>一般缺</w:t>
            </w:r>
          </w:p>
          <w:p>
            <w:pPr>
              <w:pStyle w:val="TableParagraph"/>
              <w:spacing w:line="300" w:lineRule="auto" w:before="63"/>
              <w:ind w:left="-1" w:right="-44"/>
              <w:jc w:val="both"/>
              <w:rPr>
                <w:rFonts w:ascii="宋体" w:hAnsi="宋体" w:cs="宋体" w:eastAsia="宋体" w:hint="default"/>
                <w:sz w:val="18"/>
                <w:szCs w:val="18"/>
              </w:rPr>
            </w:pPr>
            <w:r>
              <w:rPr>
                <w:rFonts w:ascii="宋体" w:hAnsi="宋体" w:cs="宋体" w:eastAsia="宋体" w:hint="default"/>
                <w:spacing w:val="-6"/>
                <w:sz w:val="18"/>
                <w:szCs w:val="18"/>
              </w:rPr>
              <w:t>陷未得到整改；（</w:t>
            </w:r>
            <w:r>
              <w:rPr>
                <w:rFonts w:ascii="Times New Roman" w:hAnsi="Times New Roman" w:cs="Times New Roman" w:eastAsia="Times New Roman" w:hint="default"/>
                <w:spacing w:val="-6"/>
                <w:sz w:val="18"/>
                <w:szCs w:val="18"/>
              </w:rPr>
              <w:t>7</w:t>
            </w:r>
            <w:r>
              <w:rPr>
                <w:rFonts w:ascii="宋体" w:hAnsi="宋体" w:cs="宋体" w:eastAsia="宋体" w:hint="default"/>
                <w:spacing w:val="-6"/>
                <w:sz w:val="18"/>
                <w:szCs w:val="18"/>
              </w:rPr>
              <w:t>）存在的其他缺陷。</w:t>
            </w:r>
            <w:r>
              <w:rPr>
                <w:rFonts w:ascii="宋体" w:hAnsi="宋体" w:cs="宋体" w:eastAsia="宋体" w:hint="default"/>
                <w:spacing w:val="-73"/>
                <w:sz w:val="18"/>
                <w:szCs w:val="18"/>
              </w:rPr>
              <w:t> </w:t>
            </w:r>
            <w:r>
              <w:rPr>
                <w:rFonts w:ascii="宋体" w:hAnsi="宋体" w:cs="宋体" w:eastAsia="宋体" w:hint="default"/>
                <w:sz w:val="18"/>
                <w:szCs w:val="18"/>
              </w:rPr>
              <w:t>其他缺陷。</w:t>
            </w:r>
          </w:p>
        </w:tc>
      </w:tr>
      <w:tr>
        <w:trPr>
          <w:trHeight w:val="394"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vMerge/>
            <w:tcBorders>
              <w:left w:val="single" w:sz="9" w:space="0" w:color="D2D2D2"/>
              <w:right w:val="single" w:sz="14" w:space="0" w:color="FFFFFF"/>
            </w:tcBorders>
          </w:tcPr>
          <w:p>
            <w:pPr/>
          </w:p>
        </w:tc>
        <w:tc>
          <w:tcPr>
            <w:tcW w:w="3040" w:type="dxa"/>
            <w:vMerge/>
            <w:tcBorders>
              <w:left w:val="single" w:sz="14" w:space="0" w:color="FFFFFF"/>
              <w:right w:val="single" w:sz="4" w:space="0" w:color="000000"/>
            </w:tcBorders>
          </w:tcPr>
          <w:p>
            <w:pPr/>
          </w:p>
        </w:tc>
      </w:tr>
      <w:tr>
        <w:trPr>
          <w:trHeight w:val="4256" w:hRule="exact"/>
        </w:trPr>
        <w:tc>
          <w:tcPr>
            <w:tcW w:w="3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vMerge/>
            <w:tcBorders>
              <w:left w:val="single" w:sz="9" w:space="0" w:color="D2D2D2"/>
              <w:bottom w:val="single" w:sz="4" w:space="0" w:color="000000"/>
              <w:right w:val="single" w:sz="14" w:space="0" w:color="FFFFFF"/>
            </w:tcBorders>
          </w:tcPr>
          <w:p>
            <w:pPr/>
          </w:p>
        </w:tc>
        <w:tc>
          <w:tcPr>
            <w:tcW w:w="3040" w:type="dxa"/>
            <w:vMerge/>
            <w:tcBorders>
              <w:left w:val="single" w:sz="14" w:space="0" w:color="FFFFFF"/>
              <w:bottom w:val="single" w:sz="4" w:space="0" w:color="000000"/>
              <w:right w:val="single" w:sz="4" w:space="0" w:color="000000"/>
            </w:tcBorders>
          </w:tcPr>
          <w:p>
            <w:pPr/>
          </w:p>
        </w:tc>
      </w:tr>
      <w:tr>
        <w:trPr>
          <w:trHeight w:val="1450" w:hRule="exact"/>
        </w:trPr>
        <w:tc>
          <w:tcPr>
            <w:tcW w:w="3194"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vMerge w:val="restart"/>
            <w:tcBorders>
              <w:top w:val="single" w:sz="4" w:space="0" w:color="000000"/>
              <w:left w:val="single" w:sz="9" w:space="0" w:color="D2D2D2"/>
              <w:right w:val="single" w:sz="4" w:space="0" w:color="000000"/>
            </w:tcBorders>
          </w:tcPr>
          <w:p>
            <w:pPr>
              <w:pStyle w:val="TableParagraph"/>
              <w:spacing w:line="309" w:lineRule="auto" w:before="49"/>
              <w:ind w:left="18" w:right="59"/>
              <w:jc w:val="left"/>
              <w:rPr>
                <w:rFonts w:ascii="宋体" w:hAnsi="宋体" w:cs="宋体" w:eastAsia="宋体" w:hint="default"/>
                <w:sz w:val="18"/>
                <w:szCs w:val="18"/>
              </w:rPr>
            </w:pPr>
            <w:r>
              <w:rPr>
                <w:rFonts w:ascii="宋体" w:hAnsi="宋体" w:cs="宋体" w:eastAsia="宋体" w:hint="default"/>
                <w:sz w:val="18"/>
                <w:szCs w:val="18"/>
              </w:rPr>
              <w:t>（一）视为重大缺陷的情况：财务报告的 潜在错报金额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合并财务报表营业收入总 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p>
            <w:pPr>
              <w:pStyle w:val="TableParagraph"/>
              <w:spacing w:line="307" w:lineRule="auto" w:before="46"/>
              <w:ind w:left="18"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（二）视为重要缺陷的情况：合并财务报 表营业收入总额的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0.5%*50%≤</w:t>
            </w:r>
            <w:r>
              <w:rPr>
                <w:rFonts w:ascii="宋体" w:hAnsi="宋体" w:cs="宋体" w:eastAsia="宋体" w:hint="default"/>
                <w:sz w:val="18"/>
                <w:szCs w:val="18"/>
              </w:rPr>
              <w:t>财务报告 的潜在错报金额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合并财务报表营业收入 总额的 </w:t>
            </w:r>
            <w:r>
              <w:rPr>
                <w:rFonts w:ascii="Times New Roman" w:hAnsi="Times New Roman" w:cs="Times New Roman" w:eastAsia="Times New Roman" w:hint="default"/>
                <w:sz w:val="18"/>
                <w:szCs w:val="18"/>
              </w:rPr>
              <w:t>0.5%.</w:t>
            </w:r>
          </w:p>
          <w:p>
            <w:pPr>
              <w:pStyle w:val="TableParagraph"/>
              <w:spacing w:line="309" w:lineRule="auto" w:before="46"/>
              <w:ind w:left="18" w:right="59"/>
              <w:jc w:val="left"/>
              <w:rPr>
                <w:rFonts w:ascii="Times New Roman" w:hAnsi="Times New Roman" w:cs="Times New Roman" w:eastAsia="Times New Roman" w:hint="default"/>
                <w:sz w:val="18"/>
                <w:szCs w:val="18"/>
              </w:rPr>
            </w:pPr>
            <w:r>
              <w:rPr>
                <w:rFonts w:ascii="宋体" w:hAnsi="宋体" w:cs="宋体" w:eastAsia="宋体" w:hint="default"/>
                <w:sz w:val="18"/>
                <w:szCs w:val="18"/>
              </w:rPr>
              <w:t>（三）（三）视为一般缺陷的情况：财务 报告的潜在错报金额</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合并财务报表营业 收入总额的</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0.5%*50%</w:t>
            </w:r>
          </w:p>
        </w:tc>
        <w:tc>
          <w:tcPr>
            <w:tcW w:w="3040" w:type="dxa"/>
            <w:vMerge w:val="restart"/>
            <w:tcBorders>
              <w:top w:val="single" w:sz="4" w:space="0" w:color="000000"/>
              <w:left w:val="single" w:sz="4" w:space="0" w:color="000000"/>
              <w:right w:val="single" w:sz="4" w:space="0" w:color="000000"/>
            </w:tcBorders>
          </w:tcPr>
          <w:p>
            <w:pPr>
              <w:pStyle w:val="TableParagraph"/>
              <w:spacing w:line="309" w:lineRule="auto" w:before="49"/>
              <w:ind w:left="13" w:right="20"/>
              <w:jc w:val="left"/>
              <w:rPr>
                <w:rFonts w:ascii="宋体" w:hAnsi="宋体" w:cs="宋体" w:eastAsia="宋体" w:hint="default"/>
                <w:sz w:val="18"/>
                <w:szCs w:val="18"/>
              </w:rPr>
            </w:pPr>
            <w:r>
              <w:rPr>
                <w:rFonts w:ascii="宋体" w:hAnsi="宋体" w:cs="宋体" w:eastAsia="宋体" w:hint="default"/>
                <w:spacing w:val="-4"/>
                <w:sz w:val="18"/>
                <w:szCs w:val="18"/>
              </w:rPr>
              <w:t>（一）视为重大缺陷的情况：直接财产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损失金额 </w:t>
            </w:r>
            <w:r>
              <w:rPr>
                <w:rFonts w:ascii="Times New Roman" w:hAnsi="Times New Roman" w:cs="Times New Roman" w:eastAsia="Times New Roman" w:hint="default"/>
                <w:sz w:val="18"/>
                <w:szCs w:val="18"/>
              </w:rPr>
              <w:t>&gt; </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合并财务报表资产总额 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307" w:lineRule="auto" w:before="46"/>
              <w:ind w:left="13" w:right="20"/>
              <w:jc w:val="left"/>
              <w:rPr>
                <w:rFonts w:ascii="宋体" w:hAnsi="宋体" w:cs="宋体" w:eastAsia="宋体" w:hint="default"/>
                <w:sz w:val="18"/>
                <w:szCs w:val="18"/>
              </w:rPr>
            </w:pPr>
            <w:r>
              <w:rPr>
                <w:rFonts w:ascii="宋体" w:hAnsi="宋体" w:cs="宋体" w:eastAsia="宋体" w:hint="default"/>
                <w:spacing w:val="-4"/>
                <w:sz w:val="18"/>
                <w:szCs w:val="18"/>
              </w:rPr>
              <w:t>（二）视为重要缺陷的情况：合并财务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报表资产总额的 </w:t>
            </w:r>
            <w:r>
              <w:rPr>
                <w:rFonts w:ascii="Times New Roman" w:hAnsi="Times New Roman" w:cs="Times New Roman" w:eastAsia="Times New Roman" w:hint="default"/>
                <w:sz w:val="18"/>
                <w:szCs w:val="18"/>
              </w:rPr>
              <w:t>1‰ &lt; </w:t>
            </w:r>
            <w:r>
              <w:rPr>
                <w:rFonts w:ascii="宋体" w:hAnsi="宋体" w:cs="宋体" w:eastAsia="宋体" w:hint="default"/>
                <w:sz w:val="18"/>
                <w:szCs w:val="18"/>
              </w:rPr>
              <w:t>直接财产 损 失金额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合并财务报表资产总额的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309" w:lineRule="auto" w:before="46"/>
              <w:ind w:left="13" w:right="22"/>
              <w:jc w:val="both"/>
              <w:rPr>
                <w:rFonts w:ascii="Times New Roman" w:hAnsi="Times New Roman" w:cs="Times New Roman" w:eastAsia="Times New Roman" w:hint="default"/>
                <w:sz w:val="18"/>
                <w:szCs w:val="18"/>
              </w:rPr>
            </w:pPr>
            <w:r>
              <w:rPr>
                <w:rFonts w:ascii="宋体" w:hAnsi="宋体" w:cs="宋体" w:eastAsia="宋体" w:hint="default"/>
                <w:spacing w:val="-4"/>
                <w:sz w:val="18"/>
                <w:szCs w:val="18"/>
              </w:rPr>
              <w:t>（三）（三）视为一般缺陷的情况：直</w:t>
            </w:r>
            <w:r>
              <w:rPr>
                <w:rFonts w:ascii="宋体" w:hAnsi="宋体" w:cs="宋体" w:eastAsia="宋体" w:hint="default"/>
                <w:sz w:val="18"/>
                <w:szCs w:val="18"/>
              </w:rPr>
              <w:t> 接财产损失金额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合并财务报表资产 总额的</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1‰</w:t>
            </w:r>
          </w:p>
        </w:tc>
      </w:tr>
      <w:tr>
        <w:trPr>
          <w:trHeight w:val="391" w:hRule="exact"/>
        </w:trPr>
        <w:tc>
          <w:tcPr>
            <w:tcW w:w="31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vMerge/>
            <w:tcBorders>
              <w:left w:val="single" w:sz="9" w:space="0" w:color="D2D2D2"/>
              <w:right w:val="single" w:sz="4" w:space="0" w:color="000000"/>
            </w:tcBorders>
          </w:tcPr>
          <w:p>
            <w:pPr/>
          </w:p>
        </w:tc>
        <w:tc>
          <w:tcPr>
            <w:tcW w:w="3040" w:type="dxa"/>
            <w:vMerge/>
            <w:tcBorders>
              <w:left w:val="single" w:sz="4" w:space="0" w:color="000000"/>
              <w:right w:val="single" w:sz="4" w:space="0" w:color="000000"/>
            </w:tcBorders>
          </w:tcPr>
          <w:p>
            <w:pPr/>
          </w:p>
        </w:tc>
      </w:tr>
      <w:tr>
        <w:trPr>
          <w:trHeight w:val="1450" w:hRule="exact"/>
        </w:trPr>
        <w:tc>
          <w:tcPr>
            <w:tcW w:w="3194"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vMerge/>
            <w:tcBorders>
              <w:left w:val="single" w:sz="9" w:space="0" w:color="D2D2D2"/>
              <w:bottom w:val="single" w:sz="4" w:space="0" w:color="000000"/>
              <w:right w:val="single" w:sz="4" w:space="0" w:color="000000"/>
            </w:tcBorders>
          </w:tcPr>
          <w:p>
            <w:pPr/>
          </w:p>
        </w:tc>
        <w:tc>
          <w:tcPr>
            <w:tcW w:w="3040" w:type="dxa"/>
            <w:vMerge/>
            <w:tcBorders>
              <w:left w:val="single" w:sz="4" w:space="0" w:color="000000"/>
              <w:bottom w:val="single" w:sz="4" w:space="0" w:color="000000"/>
              <w:right w:val="single" w:sz="4" w:space="0" w:color="000000"/>
            </w:tcBorders>
          </w:tcPr>
          <w:p>
            <w:pP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125" w:right="0"/>
        <w:jc w:val="left"/>
        <w:rPr>
          <w:b w:val="0"/>
          <w:bCs w:val="0"/>
        </w:rPr>
      </w:pPr>
      <w:bookmarkStart w:name="_bookmark9" w:id="10"/>
      <w:bookmarkEnd w:id="10"/>
      <w:r>
        <w:rPr>
          <w:b w:val="0"/>
          <w:bCs w:val="0"/>
        </w:rPr>
      </w:r>
      <w:r>
        <w:rPr/>
        <w:t>第十节</w:t>
      </w:r>
      <w:r>
        <w:rPr>
          <w:spacing w:val="-6"/>
        </w:rPr>
        <w:t> </w:t>
      </w:r>
      <w:r>
        <w:rPr/>
        <w:t>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1134"/>
        <w:jc w:val="left"/>
      </w:pPr>
      <w:r>
        <w:rPr/>
        <w:t>公司是否存在公开发行并在证券交易所上市，且在年度报告批准报出日未到期或到期未能全额兑付的公司债券 是</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r>
        <w:rPr/>
        <w:t>一、公司债券基本信息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BodyText"/>
        <w:spacing w:line="240" w:lineRule="auto" w:before="44"/>
        <w:ind w:left="0" w:right="156"/>
        <w:jc w:val="right"/>
      </w:pPr>
      <w:r>
        <w:rPr/>
        <w:pict>
          <v:shape style="position:absolute;margin-left:56.400002pt;margin-top:-61.838268pt;width:479.3pt;height:502.0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4"/>
                    <w:gridCol w:w="998"/>
                    <w:gridCol w:w="817"/>
                    <w:gridCol w:w="1118"/>
                    <w:gridCol w:w="1032"/>
                    <w:gridCol w:w="1150"/>
                    <w:gridCol w:w="919"/>
                    <w:gridCol w:w="2002"/>
                  </w:tblGrid>
                  <w:tr>
                    <w:trPr>
                      <w:trHeight w:val="754" w:hRule="exact"/>
                    </w:trPr>
                    <w:tc>
                      <w:tcPr>
                        <w:tcW w:w="1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0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债券简称</w:t>
                        </w:r>
                      </w:p>
                    </w:tc>
                    <w:tc>
                      <w:tcPr>
                        <w:tcW w:w="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85"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债券余额</w:t>
                        </w:r>
                      </w:p>
                      <w:p>
                        <w:pPr>
                          <w:pStyle w:val="TableParagraph"/>
                          <w:spacing w:line="240" w:lineRule="auto" w:before="115"/>
                          <w:ind w:left="211"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276" w:right="0"/>
                          <w:jc w:val="left"/>
                          <w:rPr>
                            <w:rFonts w:ascii="宋体" w:hAnsi="宋体" w:cs="宋体" w:eastAsia="宋体" w:hint="default"/>
                            <w:sz w:val="18"/>
                            <w:szCs w:val="18"/>
                          </w:rPr>
                        </w:pPr>
                        <w:r>
                          <w:rPr>
                            <w:rFonts w:ascii="宋体" w:hAnsi="宋体" w:cs="宋体" w:eastAsia="宋体" w:hint="default"/>
                            <w:sz w:val="18"/>
                            <w:szCs w:val="18"/>
                          </w:rPr>
                          <w:t>利率</w:t>
                        </w:r>
                      </w:p>
                    </w:tc>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left="456"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1649"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58"/>
                          <w:jc w:val="left"/>
                          <w:rPr>
                            <w:rFonts w:ascii="宋体" w:hAnsi="宋体" w:cs="宋体" w:eastAsia="宋体" w:hint="default"/>
                            <w:sz w:val="18"/>
                            <w:szCs w:val="18"/>
                          </w:rPr>
                        </w:pPr>
                        <w:r>
                          <w:rPr>
                            <w:rFonts w:ascii="宋体" w:hAnsi="宋体" w:cs="宋体" w:eastAsia="宋体" w:hint="default"/>
                            <w:sz w:val="18"/>
                            <w:szCs w:val="18"/>
                          </w:rPr>
                          <w:t>深圳市证通电子股 份有限公司</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年面向合格投资者 公开发行公司债券</w:t>
                        </w:r>
                      </w:p>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（第一期）</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证通</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01</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112288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32,000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23" w:right="108"/>
                          <w:jc w:val="both"/>
                          <w:rPr>
                            <w:rFonts w:ascii="宋体" w:hAnsi="宋体" w:cs="宋体" w:eastAsia="宋体" w:hint="default"/>
                            <w:sz w:val="18"/>
                            <w:szCs w:val="18"/>
                          </w:rPr>
                        </w:pPr>
                        <w:r>
                          <w:rPr>
                            <w:rFonts w:ascii="宋体" w:hAnsi="宋体" w:cs="宋体" w:eastAsia="宋体" w:hint="default"/>
                            <w:sz w:val="18"/>
                            <w:szCs w:val="18"/>
                          </w:rPr>
                          <w:t>按年付息、到期一次还 本。</w:t>
                        </w:r>
                        <w:r>
                          <w:rPr>
                            <w:rFonts w:ascii="宋体" w:hAnsi="宋体" w:cs="宋体" w:eastAsia="宋体" w:hint="default"/>
                            <w:spacing w:val="-32"/>
                            <w:sz w:val="18"/>
                            <w:szCs w:val="18"/>
                          </w:rPr>
                          <w:t> </w:t>
                        </w:r>
                        <w:r>
                          <w:rPr>
                            <w:rFonts w:ascii="宋体" w:hAnsi="宋体" w:cs="宋体" w:eastAsia="宋体" w:hint="default"/>
                            <w:sz w:val="18"/>
                            <w:szCs w:val="18"/>
                          </w:rPr>
                          <w:t>利息每年支付一次</w:t>
                        </w:r>
                        <w:r>
                          <w:rPr>
                            <w:rFonts w:ascii="宋体" w:hAnsi="宋体" w:cs="宋体" w:eastAsia="宋体" w:hint="default"/>
                            <w:sz w:val="18"/>
                            <w:szCs w:val="18"/>
                          </w:rPr>
                          <w:t> 最后一期利息随本金一 起支付。</w:t>
                        </w:r>
                      </w:p>
                    </w:tc>
                  </w:tr>
                  <w:tr>
                    <w:trPr>
                      <w:trHeight w:val="1651" w:hRule="exact"/>
                    </w:trPr>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58"/>
                          <w:jc w:val="left"/>
                          <w:rPr>
                            <w:rFonts w:ascii="宋体" w:hAnsi="宋体" w:cs="宋体" w:eastAsia="宋体" w:hint="default"/>
                            <w:sz w:val="18"/>
                            <w:szCs w:val="18"/>
                          </w:rPr>
                        </w:pPr>
                        <w:r>
                          <w:rPr>
                            <w:rFonts w:ascii="宋体" w:hAnsi="宋体" w:cs="宋体" w:eastAsia="宋体" w:hint="default"/>
                            <w:sz w:val="18"/>
                            <w:szCs w:val="18"/>
                          </w:rPr>
                          <w:t>深圳市证通电子股 份有限公司</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年面向合格投资者 公开发行公司债券</w:t>
                        </w:r>
                      </w:p>
                      <w:p>
                        <w:pPr>
                          <w:pStyle w:val="TableParagraph"/>
                          <w:spacing w:line="240" w:lineRule="auto" w:before="22"/>
                          <w:ind w:left="24" w:right="0"/>
                          <w:jc w:val="left"/>
                          <w:rPr>
                            <w:rFonts w:ascii="宋体" w:hAnsi="宋体" w:cs="宋体" w:eastAsia="宋体" w:hint="default"/>
                            <w:sz w:val="18"/>
                            <w:szCs w:val="18"/>
                          </w:rPr>
                        </w:pPr>
                        <w:r>
                          <w:rPr>
                            <w:rFonts w:ascii="宋体" w:hAnsi="宋体" w:cs="宋体" w:eastAsia="宋体" w:hint="default"/>
                            <w:sz w:val="18"/>
                            <w:szCs w:val="18"/>
                          </w:rPr>
                          <w:t>（第二期）</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证通</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02</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112290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按年付息、到期一次还 本。</w:t>
                        </w:r>
                        <w:r>
                          <w:rPr>
                            <w:rFonts w:ascii="宋体" w:hAnsi="宋体" w:cs="宋体" w:eastAsia="宋体" w:hint="default"/>
                            <w:spacing w:val="-32"/>
                            <w:sz w:val="18"/>
                            <w:szCs w:val="18"/>
                          </w:rPr>
                          <w:t> </w:t>
                        </w:r>
                        <w:r>
                          <w:rPr>
                            <w:rFonts w:ascii="宋体" w:hAnsi="宋体" w:cs="宋体" w:eastAsia="宋体" w:hint="default"/>
                            <w:sz w:val="18"/>
                            <w:szCs w:val="18"/>
                          </w:rPr>
                          <w:t>利息每年支付一次</w:t>
                        </w:r>
                        <w:r>
                          <w:rPr>
                            <w:rFonts w:ascii="宋体" w:hAnsi="宋体" w:cs="宋体" w:eastAsia="宋体" w:hint="default"/>
                            <w:sz w:val="18"/>
                            <w:szCs w:val="18"/>
                          </w:rPr>
                          <w:t> 最后一期利息随本金一 起支付。</w:t>
                        </w:r>
                      </w:p>
                    </w:tc>
                  </w:tr>
                  <w:tr>
                    <w:trPr>
                      <w:trHeight w:val="713" w:hRule="exact"/>
                    </w:trPr>
                    <w:tc>
                      <w:tcPr>
                        <w:tcW w:w="25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公司债券上市或转让的交易场 所</w:t>
                        </w:r>
                      </w:p>
                    </w:tc>
                    <w:tc>
                      <w:tcPr>
                        <w:tcW w:w="70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028" w:hRule="exact"/>
                    </w:trPr>
                    <w:tc>
                      <w:tcPr>
                        <w:tcW w:w="25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038" w:type="dxa"/>
                        <w:gridSpan w:val="6"/>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17" w:firstLine="360"/>
                          <w:jc w:val="both"/>
                          <w:rPr>
                            <w:rFonts w:ascii="宋体" w:hAnsi="宋体" w:cs="宋体" w:eastAsia="宋体" w:hint="default"/>
                            <w:sz w:val="18"/>
                            <w:szCs w:val="18"/>
                          </w:rPr>
                        </w:pPr>
                        <w:r>
                          <w:rPr>
                            <w:rFonts w:ascii="宋体" w:hAnsi="宋体" w:cs="宋体" w:eastAsia="宋体" w:hint="default"/>
                            <w:spacing w:val="-2"/>
                            <w:sz w:val="18"/>
                            <w:szCs w:val="18"/>
                          </w:rPr>
                          <w:t>根据《公司债券发行与交易管理办法》的相关规定，债券仅面向合格投资者发行，公</w:t>
                        </w:r>
                        <w:r>
                          <w:rPr>
                            <w:rFonts w:ascii="宋体" w:hAnsi="宋体" w:cs="宋体" w:eastAsia="宋体" w:hint="default"/>
                            <w:sz w:val="18"/>
                            <w:szCs w:val="18"/>
                          </w:rPr>
                          <w:t> </w:t>
                        </w:r>
                        <w:r>
                          <w:rPr>
                            <w:rFonts w:ascii="宋体" w:hAnsi="宋体" w:cs="宋体" w:eastAsia="宋体" w:hint="default"/>
                            <w:spacing w:val="-2"/>
                            <w:sz w:val="18"/>
                            <w:szCs w:val="18"/>
                          </w:rPr>
                          <w:t>众投资者不得参与发行认购，债券上市后将被实施投资者适当性管理，仅限合格投资者参</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与交易，公众投资者认购或买入的交易行为无效。</w:t>
                        </w:r>
                      </w:p>
                    </w:tc>
                  </w:tr>
                  <w:tr>
                    <w:trPr>
                      <w:trHeight w:val="1337" w:hRule="exact"/>
                    </w:trPr>
                    <w:tc>
                      <w:tcPr>
                        <w:tcW w:w="25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156"/>
                          <w:jc w:val="left"/>
                          <w:rPr>
                            <w:rFonts w:ascii="宋体" w:hAnsi="宋体" w:cs="宋体" w:eastAsia="宋体" w:hint="default"/>
                            <w:sz w:val="18"/>
                            <w:szCs w:val="18"/>
                          </w:rPr>
                        </w:pPr>
                        <w:r>
                          <w:rPr>
                            <w:rFonts w:ascii="宋体" w:hAnsi="宋体" w:cs="宋体" w:eastAsia="宋体" w:hint="default"/>
                            <w:sz w:val="18"/>
                            <w:szCs w:val="18"/>
                          </w:rPr>
                          <w:t>报告期内公司债券的付息兑付 情况</w:t>
                        </w:r>
                      </w:p>
                    </w:tc>
                    <w:tc>
                      <w:tcPr>
                        <w:tcW w:w="70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8" w:right="0"/>
                          <w:jc w:val="center"/>
                          <w:rPr>
                            <w:rFonts w:ascii="宋体" w:hAnsi="宋体" w:cs="宋体" w:eastAsia="宋体" w:hint="default"/>
                            <w:sz w:val="18"/>
                            <w:szCs w:val="18"/>
                          </w:rPr>
                        </w:pPr>
                        <w:r>
                          <w:rPr>
                            <w:rFonts w:ascii="宋体" w:hAnsi="宋体" w:cs="宋体" w:eastAsia="宋体" w:hint="default"/>
                            <w:sz w:val="18"/>
                            <w:szCs w:val="18"/>
                          </w:rPr>
                          <w:t>公司于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14  </w:t>
                        </w:r>
                        <w:r>
                          <w:rPr>
                            <w:rFonts w:ascii="宋体" w:hAnsi="宋体" w:cs="宋体" w:eastAsia="宋体" w:hint="default"/>
                            <w:sz w:val="18"/>
                            <w:szCs w:val="18"/>
                          </w:rPr>
                          <w:t>日，发布了公司</w:t>
                        </w:r>
                        <w:r>
                          <w:rPr>
                            <w:rFonts w:ascii="Times New Roman" w:hAnsi="Times New Roman" w:cs="Times New Roman" w:eastAsia="Times New Roman" w:hint="default"/>
                            <w:sz w:val="18"/>
                            <w:szCs w:val="18"/>
                          </w:rPr>
                          <w:t>“15  </w:t>
                        </w:r>
                        <w:r>
                          <w:rPr>
                            <w:rFonts w:ascii="宋体" w:hAnsi="宋体" w:cs="宋体" w:eastAsia="宋体" w:hint="default"/>
                            <w:sz w:val="18"/>
                            <w:szCs w:val="18"/>
                          </w:rPr>
                          <w:t>证通 </w:t>
                        </w:r>
                        <w:r>
                          <w:rPr>
                            <w:rFonts w:ascii="Times New Roman" w:hAnsi="Times New Roman" w:cs="Times New Roman" w:eastAsia="Times New Roman" w:hint="default"/>
                            <w:sz w:val="18"/>
                            <w:szCs w:val="18"/>
                          </w:rPr>
                          <w:t>01”2017</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年付息公告，并于</w:t>
                        </w:r>
                      </w:p>
                      <w:p>
                        <w:pPr>
                          <w:pStyle w:val="TableParagraph"/>
                          <w:spacing w:line="240" w:lineRule="auto" w:before="63"/>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23 </w:t>
                        </w:r>
                        <w:r>
                          <w:rPr>
                            <w:rFonts w:ascii="宋体" w:hAnsi="宋体" w:cs="宋体" w:eastAsia="宋体" w:hint="default"/>
                            <w:spacing w:val="-3"/>
                            <w:sz w:val="18"/>
                            <w:szCs w:val="18"/>
                          </w:rPr>
                          <w:t>日，完成利息支付人民币 </w:t>
                        </w:r>
                        <w:r>
                          <w:rPr>
                            <w:rFonts w:ascii="Times New Roman" w:hAnsi="Times New Roman" w:cs="Times New Roman" w:eastAsia="Times New Roman" w:hint="default"/>
                            <w:sz w:val="18"/>
                            <w:szCs w:val="18"/>
                          </w:rPr>
                          <w:t>2048.00  </w:t>
                        </w:r>
                        <w:r>
                          <w:rPr>
                            <w:rFonts w:ascii="宋体" w:hAnsi="宋体" w:cs="宋体" w:eastAsia="宋体" w:hint="default"/>
                            <w:spacing w:val="-4"/>
                            <w:sz w:val="18"/>
                            <w:szCs w:val="18"/>
                          </w:rPr>
                          <w:t>万元。发行人于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1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pacing w:val="-3"/>
                            <w:sz w:val="18"/>
                            <w:szCs w:val="18"/>
                          </w:rPr>
                          <w:t>日，发布了</w:t>
                        </w:r>
                        <w:r>
                          <w:rPr>
                            <w:rFonts w:ascii="Times New Roman" w:hAnsi="Times New Roman" w:cs="Times New Roman" w:eastAsia="Times New Roman" w:hint="default"/>
                            <w:spacing w:val="-3"/>
                            <w:sz w:val="18"/>
                            <w:szCs w:val="18"/>
                          </w:rPr>
                          <w:t>“15  </w:t>
                        </w:r>
                        <w:r>
                          <w:rPr>
                            <w:rFonts w:ascii="宋体" w:hAnsi="宋体" w:cs="宋体" w:eastAsia="宋体" w:hint="default"/>
                            <w:sz w:val="18"/>
                            <w:szCs w:val="18"/>
                          </w:rPr>
                          <w:t>证通 </w:t>
                        </w:r>
                        <w:r>
                          <w:rPr>
                            <w:rFonts w:ascii="Times New Roman" w:hAnsi="Times New Roman" w:cs="Times New Roman" w:eastAsia="Times New Roman" w:hint="default"/>
                            <w:sz w:val="18"/>
                            <w:szCs w:val="18"/>
                          </w:rPr>
                          <w:t>02”2017 </w:t>
                        </w:r>
                        <w:r>
                          <w:rPr>
                            <w:rFonts w:ascii="宋体" w:hAnsi="宋体" w:cs="宋体" w:eastAsia="宋体" w:hint="default"/>
                            <w:spacing w:val="-3"/>
                            <w:sz w:val="18"/>
                            <w:szCs w:val="18"/>
                          </w:rPr>
                          <w:t>年付息公告，并于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10  </w:t>
                        </w:r>
                        <w:r>
                          <w:rPr>
                            <w:rFonts w:ascii="宋体" w:hAnsi="宋体" w:cs="宋体" w:eastAsia="宋体" w:hint="default"/>
                            <w:sz w:val="18"/>
                            <w:szCs w:val="18"/>
                          </w:rPr>
                          <w:t>月 </w:t>
                        </w:r>
                        <w:r>
                          <w:rPr>
                            <w:rFonts w:ascii="Times New Roman" w:hAnsi="Times New Roman" w:cs="Times New Roman" w:eastAsia="Times New Roman" w:hint="default"/>
                            <w:sz w:val="18"/>
                            <w:szCs w:val="18"/>
                          </w:rPr>
                          <w:t>30 </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日，完成利息支付人</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民币 </w:t>
                        </w:r>
                        <w:r>
                          <w:rPr>
                            <w:rFonts w:ascii="Times New Roman" w:hAnsi="Times New Roman" w:cs="Times New Roman" w:eastAsia="Times New Roman" w:hint="default"/>
                            <w:sz w:val="18"/>
                            <w:szCs w:val="18"/>
                          </w:rPr>
                          <w:t>480.00  </w:t>
                        </w:r>
                        <w:r>
                          <w:rPr>
                            <w:rFonts w:ascii="宋体" w:hAnsi="宋体" w:cs="宋体" w:eastAsia="宋体" w:hint="default"/>
                            <w:sz w:val="18"/>
                            <w:szCs w:val="18"/>
                          </w:rPr>
                          <w:t>万元。</w:t>
                        </w:r>
                      </w:p>
                    </w:tc>
                  </w:tr>
                  <w:tr>
                    <w:trPr>
                      <w:trHeight w:val="2900" w:hRule="exact"/>
                    </w:trPr>
                    <w:tc>
                      <w:tcPr>
                        <w:tcW w:w="25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4" w:right="21"/>
                          <w:jc w:val="left"/>
                          <w:rPr>
                            <w:rFonts w:ascii="宋体" w:hAnsi="宋体" w:cs="宋体" w:eastAsia="宋体" w:hint="default"/>
                            <w:sz w:val="18"/>
                            <w:szCs w:val="18"/>
                          </w:rPr>
                        </w:pPr>
                        <w:r>
                          <w:rPr>
                            <w:rFonts w:ascii="宋体" w:hAnsi="宋体" w:cs="宋体" w:eastAsia="宋体" w:hint="default"/>
                            <w:sz w:val="18"/>
                            <w:szCs w:val="18"/>
                          </w:rPr>
                          <w:t>公司债券附发行人或投资者选 </w:t>
                        </w:r>
                        <w:r>
                          <w:rPr>
                            <w:rFonts w:ascii="宋体" w:hAnsi="宋体" w:cs="宋体" w:eastAsia="宋体" w:hint="default"/>
                            <w:spacing w:val="-4"/>
                            <w:sz w:val="18"/>
                            <w:szCs w:val="18"/>
                          </w:rPr>
                          <w:t>择权条款、可交换条款等特殊条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4"/>
                            <w:sz w:val="18"/>
                            <w:szCs w:val="18"/>
                          </w:rPr>
                          <w:t>款的，报告期内相关条款的执行</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12"/>
                            <w:sz w:val="18"/>
                            <w:szCs w:val="18"/>
                          </w:rPr>
                          <w:t>情况（如适用）。</w:t>
                        </w:r>
                      </w:p>
                    </w:tc>
                    <w:tc>
                      <w:tcPr>
                        <w:tcW w:w="703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债券存续期第</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年末附发行人上调票面利率选择权和投资者回售选择权。发行上调票</w:t>
                        </w:r>
                      </w:p>
                      <w:p>
                        <w:pPr>
                          <w:pStyle w:val="TableParagraph"/>
                          <w:spacing w:line="240" w:lineRule="auto" w:before="60"/>
                          <w:ind w:left="26" w:right="0"/>
                          <w:jc w:val="both"/>
                          <w:rPr>
                            <w:rFonts w:ascii="宋体" w:hAnsi="宋体" w:cs="宋体" w:eastAsia="宋体" w:hint="default"/>
                            <w:sz w:val="18"/>
                            <w:szCs w:val="18"/>
                          </w:rPr>
                        </w:pPr>
                        <w:r>
                          <w:rPr>
                            <w:rFonts w:ascii="宋体" w:hAnsi="宋体" w:cs="宋体" w:eastAsia="宋体" w:hint="default"/>
                            <w:sz w:val="18"/>
                            <w:szCs w:val="18"/>
                          </w:rPr>
                          <w:t>面利率选择权：发行人有权决定是否在本期债券存续期的第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年末上调其后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年的票面利</w:t>
                        </w:r>
                      </w:p>
                      <w:p>
                        <w:pPr>
                          <w:pStyle w:val="TableParagraph"/>
                          <w:spacing w:line="314" w:lineRule="auto" w:before="63"/>
                          <w:ind w:left="26" w:right="20"/>
                          <w:jc w:val="both"/>
                          <w:rPr>
                            <w:rFonts w:ascii="宋体" w:hAnsi="宋体" w:cs="宋体" w:eastAsia="宋体" w:hint="default"/>
                            <w:sz w:val="18"/>
                            <w:szCs w:val="18"/>
                          </w:rPr>
                        </w:pPr>
                        <w:r>
                          <w:rPr>
                            <w:rFonts w:ascii="宋体" w:hAnsi="宋体" w:cs="宋体" w:eastAsia="宋体" w:hint="default"/>
                            <w:sz w:val="18"/>
                            <w:szCs w:val="18"/>
                          </w:rPr>
                          <w:t>率。发行人将于本期债券存续期内第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个付息日前的第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个交易日，在中国证监会指定 </w:t>
                        </w:r>
                        <w:r>
                          <w:rPr>
                            <w:rFonts w:ascii="宋体" w:hAnsi="宋体" w:cs="宋体" w:eastAsia="宋体" w:hint="default"/>
                            <w:spacing w:val="-2"/>
                            <w:sz w:val="18"/>
                            <w:szCs w:val="18"/>
                          </w:rPr>
                          <w:t>的信息披露媒体上发布关于是否上调本期债券票面利率以及上调幅度的公告。若发行人未</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2"/>
                            <w:sz w:val="18"/>
                            <w:szCs w:val="18"/>
                          </w:rPr>
                          <w:t>行使利率上调权则本期债券后续期限票面利率仍维持原有票面利率不变。投资者回售选择</w:t>
                        </w:r>
                        <w:r>
                          <w:rPr>
                            <w:rFonts w:ascii="宋体" w:hAnsi="宋体" w:cs="宋体" w:eastAsia="宋体" w:hint="default"/>
                            <w:spacing w:val="-53"/>
                            <w:sz w:val="18"/>
                            <w:szCs w:val="18"/>
                          </w:rPr>
                          <w:t> </w:t>
                        </w:r>
                        <w:r>
                          <w:rPr>
                            <w:rFonts w:ascii="宋体" w:hAnsi="宋体" w:cs="宋体" w:eastAsia="宋体" w:hint="default"/>
                            <w:spacing w:val="-53"/>
                            <w:sz w:val="18"/>
                            <w:szCs w:val="18"/>
                          </w:rPr>
                        </w:r>
                        <w:r>
                          <w:rPr>
                            <w:rFonts w:ascii="宋体" w:hAnsi="宋体" w:cs="宋体" w:eastAsia="宋体" w:hint="default"/>
                            <w:spacing w:val="-2"/>
                            <w:sz w:val="18"/>
                            <w:szCs w:val="18"/>
                          </w:rPr>
                          <w:t>权：发行人发出关于是否上调本期债券票面利率及上调幅度的公告后，投资者有权选择在</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本期债券存续期内第</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个付息日将其持有的本期债券全部或部分按面值回售给发行人。本</w:t>
                        </w:r>
                      </w:p>
                      <w:p>
                        <w:pPr>
                          <w:pStyle w:val="TableParagraph"/>
                          <w:spacing w:line="300" w:lineRule="auto" w:before="1"/>
                          <w:ind w:left="26" w:right="20"/>
                          <w:jc w:val="both"/>
                          <w:rPr>
                            <w:rFonts w:ascii="宋体" w:hAnsi="宋体" w:cs="宋体" w:eastAsia="宋体" w:hint="default"/>
                            <w:sz w:val="18"/>
                            <w:szCs w:val="18"/>
                          </w:rPr>
                        </w:pPr>
                        <w:r>
                          <w:rPr>
                            <w:rFonts w:ascii="宋体" w:hAnsi="宋体" w:cs="宋体" w:eastAsia="宋体" w:hint="default"/>
                            <w:sz w:val="18"/>
                            <w:szCs w:val="18"/>
                          </w:rPr>
                          <w:t>期债券存续期内第</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个付息日即为回售支付日，发行人将按照深交所和债券登记机构相关 业务规则完成回售支付工作。报告期内相关条款均未到调整时点。</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4"/>
          <w:szCs w:val="24"/>
        </w:rPr>
      </w:pPr>
    </w:p>
    <w:p>
      <w:pPr>
        <w:pStyle w:val="BodyText"/>
        <w:spacing w:line="240" w:lineRule="auto" w:before="44"/>
        <w:ind w:left="0" w:right="156"/>
        <w:jc w:val="right"/>
      </w:pPr>
      <w:r>
        <w:rPr/>
        <w:t>，</w:t>
      </w:r>
    </w:p>
    <w:p>
      <w:pPr>
        <w:spacing w:after="0" w:line="240" w:lineRule="auto"/>
        <w:jc w:val="right"/>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before="26"/>
        <w:ind w:left="192" w:right="178"/>
        <w:jc w:val="left"/>
        <w:rPr>
          <w:b w:val="0"/>
          <w:bCs w:val="0"/>
        </w:rPr>
      </w:pPr>
      <w:r>
        <w:rPr/>
        <w:t>二、债券受托管理人和资信评级机构信息</w:t>
      </w:r>
      <w:r>
        <w:rPr>
          <w:b w:val="0"/>
          <w:bCs w:val="0"/>
        </w:rPr>
      </w:r>
    </w:p>
    <w:p>
      <w:pPr>
        <w:spacing w:line="240" w:lineRule="auto" w:before="12"/>
        <w:rPr>
          <w:rFonts w:ascii="宋体" w:hAnsi="宋体" w:cs="宋体" w:eastAsia="宋体" w:hint="default"/>
          <w:b/>
          <w:bCs/>
          <w:sz w:val="25"/>
          <w:szCs w:val="25"/>
        </w:rPr>
      </w:pPr>
    </w:p>
    <w:tbl>
      <w:tblPr>
        <w:tblW w:w="0" w:type="auto"/>
        <w:jc w:val="left"/>
        <w:tblInd w:w="187" w:type="dxa"/>
        <w:tblLayout w:type="fixed"/>
        <w:tblCellMar>
          <w:top w:w="0" w:type="dxa"/>
          <w:left w:w="0" w:type="dxa"/>
          <w:bottom w:w="0" w:type="dxa"/>
          <w:right w:w="0" w:type="dxa"/>
        </w:tblCellMar>
        <w:tblLook w:val="01E0"/>
      </w:tblPr>
      <w:tblGrid>
        <w:gridCol w:w="1197"/>
        <w:gridCol w:w="1201"/>
        <w:gridCol w:w="787"/>
        <w:gridCol w:w="412"/>
        <w:gridCol w:w="1201"/>
        <w:gridCol w:w="1184"/>
        <w:gridCol w:w="1201"/>
        <w:gridCol w:w="1196"/>
        <w:gridCol w:w="1198"/>
      </w:tblGrid>
      <w:tr>
        <w:trPr>
          <w:trHeight w:val="396"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322" w:hRule="exact"/>
        </w:trPr>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9" w:space="0" w:color="D2D2D2"/>
              <w:right w:val="single" w:sz="9" w:space="0" w:color="D2D2D2"/>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316" w:lineRule="auto"/>
              <w:ind w:left="23" w:right="73"/>
              <w:jc w:val="left"/>
              <w:rPr>
                <w:rFonts w:ascii="宋体" w:hAnsi="宋体" w:cs="宋体" w:eastAsia="宋体" w:hint="default"/>
                <w:sz w:val="18"/>
                <w:szCs w:val="18"/>
              </w:rPr>
            </w:pPr>
            <w:r>
              <w:rPr>
                <w:rFonts w:ascii="宋体" w:hAnsi="宋体" w:cs="宋体" w:eastAsia="宋体" w:hint="default"/>
                <w:sz w:val="18"/>
                <w:szCs w:val="18"/>
              </w:rPr>
              <w:t>中信建投证券 股份有限公司</w:t>
            </w:r>
          </w:p>
        </w:tc>
        <w:tc>
          <w:tcPr>
            <w:tcW w:w="11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10" w:space="0" w:color="D2D2D2"/>
              <w:right w:val="single" w:sz="10" w:space="0" w:color="D2D2D2"/>
            </w:tcBorders>
          </w:tcPr>
          <w:p>
            <w:pPr>
              <w:pStyle w:val="TableParagraph"/>
              <w:spacing w:line="309" w:lineRule="auto" w:before="53"/>
              <w:ind w:left="16" w:right="31"/>
              <w:jc w:val="both"/>
              <w:rPr>
                <w:rFonts w:ascii="宋体" w:hAnsi="宋体" w:cs="宋体" w:eastAsia="宋体" w:hint="default"/>
                <w:sz w:val="18"/>
                <w:szCs w:val="18"/>
              </w:rPr>
            </w:pPr>
            <w:r>
              <w:rPr>
                <w:rFonts w:ascii="宋体" w:hAnsi="宋体" w:cs="宋体" w:eastAsia="宋体" w:hint="default"/>
                <w:sz w:val="18"/>
                <w:szCs w:val="18"/>
              </w:rPr>
              <w:t>北京市朝阳区 安立路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号楼</w:t>
            </w:r>
          </w:p>
        </w:tc>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1"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邱荣辉</w:t>
            </w: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left="19" w:right="0"/>
              <w:jc w:val="left"/>
              <w:rPr>
                <w:rFonts w:ascii="Times New Roman" w:hAnsi="Times New Roman" w:cs="Times New Roman" w:eastAsia="Times New Roman" w:hint="default"/>
                <w:sz w:val="18"/>
                <w:szCs w:val="18"/>
              </w:rPr>
            </w:pPr>
            <w:r>
              <w:rPr>
                <w:rFonts w:ascii="Times New Roman"/>
                <w:sz w:val="18"/>
              </w:rPr>
              <w:t>0755-2395394</w:t>
            </w:r>
          </w:p>
        </w:tc>
      </w:tr>
      <w:tr>
        <w:trPr>
          <w:trHeight w:val="394" w:hRule="exact"/>
        </w:trPr>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201" w:type="dxa"/>
            <w:vMerge/>
            <w:tcBorders>
              <w:left w:val="single" w:sz="9" w:space="0" w:color="D2D2D2"/>
              <w:right w:val="single" w:sz="9" w:space="0" w:color="D2D2D2"/>
            </w:tcBorders>
          </w:tcPr>
          <w:p>
            <w:pPr/>
          </w:p>
        </w:tc>
        <w:tc>
          <w:tcPr>
            <w:tcW w:w="119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201" w:type="dxa"/>
            <w:vMerge/>
            <w:tcBorders>
              <w:left w:val="single" w:sz="10" w:space="0" w:color="D2D2D2"/>
              <w:right w:val="single" w:sz="10" w:space="0" w:color="D2D2D2"/>
            </w:tcBorders>
          </w:tcPr>
          <w:p>
            <w:pPr/>
          </w:p>
        </w:tc>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8"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201" w:type="dxa"/>
            <w:vMerge/>
            <w:tcBorders>
              <w:left w:val="single" w:sz="9" w:space="0" w:color="D2D2D2"/>
              <w:right w:val="single" w:sz="9" w:space="0" w:color="D2D2D2"/>
            </w:tcBorders>
          </w:tcPr>
          <w:p>
            <w:pP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8" w:type="dxa"/>
            <w:vMerge/>
            <w:tcBorders>
              <w:left w:val="single" w:sz="10" w:space="0" w:color="D2D2D2"/>
              <w:right w:val="single" w:sz="4" w:space="0" w:color="000000"/>
            </w:tcBorders>
          </w:tcPr>
          <w:p>
            <w:pPr/>
          </w:p>
        </w:tc>
      </w:tr>
      <w:tr>
        <w:trPr>
          <w:trHeight w:val="322" w:hRule="exact"/>
        </w:trPr>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9" w:space="0" w:color="D2D2D2"/>
              <w:bottom w:val="single" w:sz="4" w:space="0" w:color="000000"/>
              <w:right w:val="single" w:sz="9" w:space="0" w:color="D2D2D2"/>
            </w:tcBorders>
          </w:tcPr>
          <w:p>
            <w:pPr/>
          </w:p>
        </w:tc>
        <w:tc>
          <w:tcPr>
            <w:tcW w:w="11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10" w:space="0" w:color="D2D2D2"/>
              <w:bottom w:val="single" w:sz="4" w:space="0" w:color="000000"/>
              <w:right w:val="single" w:sz="10" w:space="0" w:color="D2D2D2"/>
            </w:tcBorders>
          </w:tcPr>
          <w:p>
            <w:pPr/>
          </w:p>
        </w:tc>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vMerge/>
            <w:tcBorders>
              <w:left w:val="single" w:sz="9" w:space="0" w:color="D2D2D2"/>
              <w:bottom w:val="single" w:sz="4" w:space="0" w:color="000000"/>
              <w:right w:val="single" w:sz="9" w:space="0" w:color="D2D2D2"/>
            </w:tcBorders>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vMerge/>
            <w:tcBorders>
              <w:left w:val="single" w:sz="10" w:space="0" w:color="D2D2D2"/>
              <w:bottom w:val="single" w:sz="4" w:space="0" w:color="000000"/>
              <w:right w:val="single" w:sz="4" w:space="0" w:color="000000"/>
            </w:tcBorders>
          </w:tcPr>
          <w:p>
            <w:pPr/>
          </w:p>
        </w:tc>
      </w:tr>
      <w:tr>
        <w:trPr>
          <w:trHeight w:val="391"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408"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600" w:type="dxa"/>
            <w:gridSpan w:val="4"/>
            <w:tcBorders>
              <w:top w:val="single" w:sz="4" w:space="0" w:color="000000"/>
              <w:left w:val="single" w:sz="12" w:space="0" w:color="D2D2D2"/>
              <w:bottom w:val="single" w:sz="4" w:space="0" w:color="000000"/>
              <w:right w:val="single" w:sz="13" w:space="0" w:color="D2D2D2"/>
            </w:tcBorders>
          </w:tcPr>
          <w:p>
            <w:pPr>
              <w:pStyle w:val="TableParagraph"/>
              <w:spacing w:line="240" w:lineRule="auto" w:before="53"/>
              <w:ind w:left="18" w:right="0"/>
              <w:jc w:val="left"/>
              <w:rPr>
                <w:rFonts w:ascii="宋体" w:hAnsi="宋体" w:cs="宋体" w:eastAsia="宋体" w:hint="default"/>
                <w:sz w:val="18"/>
                <w:szCs w:val="18"/>
              </w:rPr>
            </w:pPr>
            <w:r>
              <w:rPr>
                <w:rFonts w:ascii="宋体" w:hAnsi="宋体" w:cs="宋体" w:eastAsia="宋体" w:hint="default"/>
                <w:sz w:val="18"/>
                <w:szCs w:val="18"/>
              </w:rPr>
              <w:t>鹏元资信评估有限公司</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8"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94" w:type="dxa"/>
            <w:gridSpan w:val="3"/>
            <w:tcBorders>
              <w:top w:val="single" w:sz="4" w:space="0" w:color="000000"/>
              <w:left w:val="single" w:sz="12" w:space="0" w:color="D2D2D2"/>
              <w:bottom w:val="single" w:sz="4" w:space="0" w:color="000000"/>
              <w:right w:val="single" w:sz="4" w:space="0" w:color="000000"/>
            </w:tcBorders>
          </w:tcPr>
          <w:p>
            <w:pPr>
              <w:pStyle w:val="TableParagraph"/>
              <w:spacing w:line="240" w:lineRule="auto" w:before="53"/>
              <w:ind w:left="18" w:right="0"/>
              <w:jc w:val="left"/>
              <w:rPr>
                <w:rFonts w:ascii="宋体" w:hAnsi="宋体" w:cs="宋体" w:eastAsia="宋体" w:hint="default"/>
                <w:sz w:val="18"/>
                <w:szCs w:val="18"/>
              </w:rPr>
            </w:pPr>
            <w:r>
              <w:rPr>
                <w:rFonts w:ascii="宋体" w:hAnsi="宋体" w:cs="宋体" w:eastAsia="宋体" w:hint="default"/>
                <w:sz w:val="18"/>
                <w:szCs w:val="18"/>
              </w:rPr>
              <w:t>深圳市深南大道</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7008 </w:t>
            </w:r>
            <w:r>
              <w:rPr>
                <w:rFonts w:ascii="宋体" w:hAnsi="宋体" w:cs="宋体" w:eastAsia="宋体" w:hint="default"/>
                <w:sz w:val="18"/>
                <w:szCs w:val="18"/>
              </w:rPr>
              <w:t>号阳光高尔夫大厦三楼</w:t>
            </w:r>
          </w:p>
        </w:tc>
      </w:tr>
      <w:tr>
        <w:trPr>
          <w:trHeight w:val="1337" w:hRule="exact"/>
        </w:trPr>
        <w:tc>
          <w:tcPr>
            <w:tcW w:w="31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资信评级机构发生变更的，变更的原因 </w:t>
            </w:r>
            <w:r>
              <w:rPr>
                <w:rFonts w:ascii="宋体" w:hAnsi="宋体" w:cs="宋体" w:eastAsia="宋体" w:hint="default"/>
                <w:spacing w:val="-6"/>
                <w:sz w:val="18"/>
                <w:szCs w:val="18"/>
              </w:rPr>
              <w:t>履行的程序、对投资者利益的影响等（如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适用）</w:t>
            </w:r>
          </w:p>
        </w:tc>
        <w:tc>
          <w:tcPr>
            <w:tcW w:w="1613" w:type="dxa"/>
            <w:gridSpan w:val="2"/>
            <w:tcBorders>
              <w:top w:val="single" w:sz="4" w:space="0" w:color="000000"/>
              <w:left w:val="single" w:sz="9" w:space="0" w:color="D2D2D2"/>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197" w:lineRule="exact" w:before="123"/>
              <w:ind w:left="-119"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7" w:lineRule="exact"/>
              <w:ind w:left="28" w:right="0"/>
              <w:jc w:val="left"/>
              <w:rPr>
                <w:rFonts w:ascii="宋体" w:hAnsi="宋体" w:cs="宋体" w:eastAsia="宋体" w:hint="default"/>
                <w:sz w:val="18"/>
                <w:szCs w:val="18"/>
              </w:rPr>
            </w:pPr>
            <w:r>
              <w:rPr>
                <w:rFonts w:ascii="宋体" w:hAnsi="宋体" w:cs="宋体" w:eastAsia="宋体" w:hint="default"/>
                <w:sz w:val="18"/>
                <w:szCs w:val="18"/>
              </w:rPr>
              <w:t>不适</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388" w:right="0"/>
              <w:jc w:val="left"/>
              <w:rPr>
                <w:rFonts w:ascii="宋体" w:hAnsi="宋体" w:cs="宋体" w:eastAsia="宋体" w:hint="default"/>
                <w:sz w:val="18"/>
                <w:szCs w:val="18"/>
              </w:rPr>
            </w:pPr>
            <w:r>
              <w:rPr>
                <w:rFonts w:ascii="宋体" w:hAnsi="宋体" w:cs="宋体" w:eastAsia="宋体" w:hint="default"/>
                <w:sz w:val="18"/>
                <w:szCs w:val="18"/>
              </w:rPr>
              <w:t>用</w:t>
            </w:r>
          </w:p>
        </w:tc>
        <w:tc>
          <w:tcPr>
            <w:tcW w:w="1184" w:type="dxa"/>
            <w:tcBorders>
              <w:top w:val="single" w:sz="4" w:space="0" w:color="000000"/>
              <w:left w:val="nil" w:sz="6" w:space="0" w:color="auto"/>
              <w:bottom w:val="single" w:sz="4" w:space="0" w:color="000000"/>
              <w:right w:val="nil" w:sz="6" w:space="0" w:color="auto"/>
            </w:tcBorders>
          </w:tcPr>
          <w:p>
            <w:pPr/>
          </w:p>
        </w:tc>
        <w:tc>
          <w:tcPr>
            <w:tcW w:w="1201" w:type="dxa"/>
            <w:tcBorders>
              <w:top w:val="single" w:sz="4" w:space="0" w:color="000000"/>
              <w:left w:val="nil" w:sz="6" w:space="0" w:color="auto"/>
              <w:bottom w:val="single" w:sz="4" w:space="0" w:color="000000"/>
              <w:right w:val="nil" w:sz="6" w:space="0" w:color="auto"/>
            </w:tcBorders>
          </w:tcPr>
          <w:p>
            <w:pPr/>
          </w:p>
        </w:tc>
        <w:tc>
          <w:tcPr>
            <w:tcW w:w="1196" w:type="dxa"/>
            <w:tcBorders>
              <w:top w:val="single" w:sz="4" w:space="0" w:color="000000"/>
              <w:left w:val="nil" w:sz="6" w:space="0" w:color="auto"/>
              <w:bottom w:val="single" w:sz="4" w:space="0" w:color="000000"/>
              <w:right w:val="nil" w:sz="6" w:space="0" w:color="auto"/>
            </w:tcBorders>
          </w:tcPr>
          <w:p>
            <w:pPr/>
          </w:p>
        </w:tc>
        <w:tc>
          <w:tcPr>
            <w:tcW w:w="1198" w:type="dxa"/>
            <w:tcBorders>
              <w:top w:val="single" w:sz="4" w:space="0" w:color="000000"/>
              <w:left w:val="nil" w:sz="6" w:space="0" w:color="auto"/>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left="192" w:right="178"/>
        <w:jc w:val="left"/>
        <w:rPr>
          <w:b w:val="0"/>
          <w:bCs w:val="0"/>
        </w:rPr>
      </w:pPr>
      <w:r>
        <w:rPr/>
        <w:pict>
          <v:group style="position:absolute;margin-left:216.649994pt;margin-top:-78.674393pt;width:318.55pt;height:43.6pt;mso-position-horizontal-relative:page;mso-position-vertical-relative:paragraph;z-index:-1152496" coordorigin="4333,-1573" coordsize="6371,872">
            <v:group style="position:absolute;left:4333;top:-1573;width:6371;height:468" coordorigin="4333,-1573" coordsize="6371,468">
              <v:shape style="position:absolute;left:4333;top:-1573;width:6371;height:468" coordorigin="4333,-1573" coordsize="6371,468" path="m4333,-1105l10704,-1105,10704,-1573,4333,-1573,4333,-1105xe" filled="true" fillcolor="#ffffff" stroked="false">
                <v:path arrowok="t"/>
                <v:fill type="solid"/>
              </v:shape>
            </v:group>
            <v:group style="position:absolute;left:4345;top:-1105;width:2;height:392" coordorigin="4345,-1105" coordsize="2,392">
              <v:shape style="position:absolute;left:4345;top:-1105;width:2;height:392" coordorigin="4345,-1105" coordsize="0,392" path="m4345,-1105l4345,-714e" filled="false" stroked="true" strokeweight="1.2pt" strokecolor="#ffffff">
                <v:path arrowok="t"/>
              </v:shape>
            </v:group>
            <v:group style="position:absolute;left:4357;top:-1105;width:6325;height:392" coordorigin="4357,-1105" coordsize="6325,392">
              <v:shape style="position:absolute;left:4357;top:-1105;width:6325;height:392" coordorigin="4357,-1105" coordsize="6325,392" path="m4357,-714l10682,-714,10682,-1105,4357,-1105,4357,-714xe" filled="true" fillcolor="#ffffff" stroked="false">
                <v:path arrowok="t"/>
                <v:fill type="solid"/>
              </v:shape>
            </v:group>
            <w10:wrap type="none"/>
          </v:group>
        </w:pict>
      </w:r>
      <w:r>
        <w:rPr/>
        <w:t>三、公司债券募集资金使用情况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89" w:type="dxa"/>
        <w:tblLayout w:type="fixed"/>
        <w:tblCellMar>
          <w:top w:w="0" w:type="dxa"/>
          <w:left w:w="0" w:type="dxa"/>
          <w:bottom w:w="0" w:type="dxa"/>
          <w:right w:w="0" w:type="dxa"/>
        </w:tblCellMar>
        <w:tblLook w:val="01E0"/>
      </w:tblPr>
      <w:tblGrid>
        <w:gridCol w:w="3189"/>
        <w:gridCol w:w="6380"/>
      </w:tblGrid>
      <w:tr>
        <w:trPr>
          <w:trHeight w:val="133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2" w:right="96"/>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日召开的第三届第二十二次董事会会议、</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年第二次临时股东大会审议通过，同意公司发行不超过人民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pacing w:val="-5"/>
                <w:sz w:val="18"/>
                <w:szCs w:val="18"/>
              </w:rPr>
              <w:t>亿元（含</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亿元）的公司债券，募集资金用于偿还银行借款、补充流动资金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等用途。截至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日，公司本次募集资金已使用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39,749.02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0.19</w:t>
            </w:r>
          </w:p>
        </w:tc>
      </w:tr>
      <w:tr>
        <w:trPr>
          <w:trHeight w:val="1337"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年面向合格投资者</w:t>
            </w:r>
            <w:r>
              <w:rPr>
                <w:rFonts w:ascii="宋体" w:hAnsi="宋体" w:cs="宋体" w:eastAsia="宋体" w:hint="default"/>
                <w:spacing w:val="-3"/>
                <w:sz w:val="18"/>
                <w:szCs w:val="18"/>
              </w:rPr>
              <w:t>公</w:t>
            </w:r>
            <w:r>
              <w:rPr>
                <w:rFonts w:ascii="宋体" w:hAnsi="宋体" w:cs="宋体" w:eastAsia="宋体" w:hint="default"/>
                <w:sz w:val="18"/>
                <w:szCs w:val="18"/>
              </w:rPr>
              <w:t>开发行公司债</w:t>
            </w:r>
            <w:r>
              <w:rPr>
                <w:rFonts w:ascii="宋体" w:hAnsi="宋体" w:cs="宋体" w:eastAsia="宋体" w:hint="default"/>
                <w:spacing w:val="-22"/>
                <w:sz w:val="18"/>
                <w:szCs w:val="18"/>
              </w:rPr>
              <w:t>券</w:t>
            </w:r>
            <w:r>
              <w:rPr>
                <w:rFonts w:ascii="宋体" w:hAnsi="宋体" w:cs="宋体" w:eastAsia="宋体" w:hint="default"/>
                <w:sz w:val="18"/>
                <w:szCs w:val="18"/>
              </w:rPr>
              <w:t>（第一期</w:t>
            </w:r>
            <w:r>
              <w:rPr>
                <w:rFonts w:ascii="宋体" w:hAnsi="宋体" w:cs="宋体" w:eastAsia="宋体" w:hint="default"/>
                <w:spacing w:val="-92"/>
                <w:sz w:val="18"/>
                <w:szCs w:val="18"/>
              </w:rPr>
              <w:t>）</w:t>
            </w:r>
            <w:r>
              <w:rPr>
                <w:rFonts w:ascii="宋体" w:hAnsi="宋体" w:cs="宋体" w:eastAsia="宋体" w:hint="default"/>
                <w:spacing w:val="-113"/>
                <w:sz w:val="18"/>
                <w:szCs w:val="18"/>
              </w:rPr>
              <w:t>、</w:t>
            </w:r>
            <w:r>
              <w:rPr>
                <w:rFonts w:ascii="宋体" w:hAnsi="宋体" w:cs="宋体" w:eastAsia="宋体" w:hint="default"/>
                <w:sz w:val="18"/>
                <w:szCs w:val="18"/>
              </w:rPr>
              <w:t>（第二期</w:t>
            </w:r>
            <w:r>
              <w:rPr>
                <w:rFonts w:ascii="宋体" w:hAnsi="宋体" w:cs="宋体" w:eastAsia="宋体" w:hint="default"/>
                <w:spacing w:val="-22"/>
                <w:sz w:val="18"/>
                <w:szCs w:val="18"/>
              </w:rPr>
              <w:t>）</w:t>
            </w:r>
            <w:r>
              <w:rPr>
                <w:rFonts w:ascii="宋体" w:hAnsi="宋体" w:cs="宋体" w:eastAsia="宋体" w:hint="default"/>
                <w:sz w:val="18"/>
                <w:szCs w:val="18"/>
              </w:rPr>
              <w:t>合计发</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行金额为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亿元，扣除发行费用之后的募集资金净额已于</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p>
            <w:pPr>
              <w:pStyle w:val="TableParagraph"/>
              <w:spacing w:line="300" w:lineRule="auto" w:before="63"/>
              <w:ind w:left="23" w:right="94"/>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日汇入公司指定的募集资金专项账户，并与募集资金开户银行签 署了三方监管协议。</w:t>
            </w:r>
          </w:p>
        </w:tc>
      </w:tr>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6"/>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1"/>
        <w:rPr>
          <w:rFonts w:ascii="宋体" w:hAnsi="宋体" w:cs="宋体" w:eastAsia="宋体" w:hint="default"/>
          <w:b/>
          <w:bCs/>
          <w:sz w:val="18"/>
          <w:szCs w:val="18"/>
        </w:rPr>
      </w:pPr>
    </w:p>
    <w:p>
      <w:pPr>
        <w:pStyle w:val="Heading2"/>
        <w:spacing w:line="240" w:lineRule="auto" w:before="26"/>
        <w:ind w:left="192" w:right="6754"/>
        <w:jc w:val="left"/>
        <w:rPr>
          <w:b w:val="0"/>
          <w:bCs w:val="0"/>
        </w:rPr>
      </w:pPr>
      <w:r>
        <w:rPr/>
        <w:t>四、公司债券信息评级情况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192" w:right="151" w:firstLine="269"/>
        <w:jc w:val="left"/>
      </w:pPr>
      <w:r>
        <w:rPr>
          <w:spacing w:val="-2"/>
        </w:rPr>
        <w:t>（</w:t>
      </w:r>
      <w:r>
        <w:rPr>
          <w:rFonts w:ascii="Times New Roman" w:hAnsi="Times New Roman" w:cs="Times New Roman" w:eastAsia="Times New Roman" w:hint="default"/>
          <w:spacing w:val="-2"/>
        </w:rPr>
        <w:t>1</w:t>
      </w:r>
      <w:r>
        <w:rPr>
          <w:spacing w:val="-2"/>
        </w:rPr>
        <w:t>）经鹏元资信评估有限公司综合评定，于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6</w:t>
      </w:r>
      <w:r>
        <w:rPr>
          <w:spacing w:val="-2"/>
        </w:rPr>
        <w:t>日对公司</w:t>
      </w:r>
      <w:r>
        <w:rPr>
          <w:rFonts w:ascii="Times New Roman" w:hAnsi="Times New Roman" w:cs="Times New Roman" w:eastAsia="Times New Roman" w:hint="default"/>
          <w:spacing w:val="-2"/>
        </w:rPr>
        <w:t>2015</w:t>
      </w:r>
      <w:r>
        <w:rPr>
          <w:spacing w:val="-2"/>
        </w:rPr>
        <w:t>年公司债券（第一期、第二期）进行</w:t>
      </w:r>
      <w:r>
        <w:rPr>
          <w:rFonts w:ascii="Times New Roman" w:hAnsi="Times New Roman" w:cs="Times New Roman" w:eastAsia="Times New Roman" w:hint="default"/>
          <w:spacing w:val="-2"/>
        </w:rPr>
        <w:t>2016</w:t>
      </w:r>
      <w:r>
        <w:rPr>
          <w:spacing w:val="-2"/>
        </w:rPr>
        <w:t>年跟踪信</w:t>
      </w:r>
      <w:r>
        <w:rPr/>
        <w:t> 用评级，本次跟踪评级报告评级结果为：</w:t>
      </w:r>
      <w:r>
        <w:rPr>
          <w:rFonts w:ascii="Times New Roman" w:hAnsi="Times New Roman" w:cs="Times New Roman" w:eastAsia="Times New Roman" w:hint="default"/>
        </w:rPr>
        <w:t>15</w:t>
      </w:r>
      <w:r>
        <w:rPr/>
        <w:t>证通</w:t>
      </w:r>
      <w:r>
        <w:rPr>
          <w:rFonts w:ascii="Times New Roman" w:hAnsi="Times New Roman" w:cs="Times New Roman" w:eastAsia="Times New Roman" w:hint="default"/>
        </w:rPr>
        <w:t>01</w:t>
      </w:r>
      <w:r>
        <w:rPr/>
        <w:t>和</w:t>
      </w:r>
      <w:r>
        <w:rPr>
          <w:rFonts w:ascii="Times New Roman" w:hAnsi="Times New Roman" w:cs="Times New Roman" w:eastAsia="Times New Roman" w:hint="default"/>
        </w:rPr>
        <w:t>15</w:t>
      </w:r>
      <w:r>
        <w:rPr/>
        <w:t>证通</w:t>
      </w:r>
      <w:r>
        <w:rPr>
          <w:rFonts w:ascii="Times New Roman" w:hAnsi="Times New Roman" w:cs="Times New Roman" w:eastAsia="Times New Roman" w:hint="default"/>
        </w:rPr>
        <w:t>02</w:t>
      </w:r>
      <w:r>
        <w:rPr/>
        <w:t>的债券信用等级维持为</w:t>
      </w:r>
      <w:r>
        <w:rPr>
          <w:rFonts w:ascii="Times New Roman" w:hAnsi="Times New Roman" w:cs="Times New Roman" w:eastAsia="Times New Roman" w:hint="default"/>
        </w:rPr>
        <w:t>AA+</w:t>
      </w:r>
      <w:r>
        <w:rPr/>
        <w:t>，公司主体长期信用等级维持为 </w:t>
      </w:r>
      <w:r>
        <w:rPr>
          <w:rFonts w:ascii="Times New Roman" w:hAnsi="Times New Roman" w:cs="Times New Roman" w:eastAsia="Times New Roman" w:hint="default"/>
          <w:spacing w:val="-1"/>
        </w:rPr>
        <w:t>AA-</w:t>
      </w:r>
      <w:r>
        <w:rPr>
          <w:spacing w:val="-1"/>
        </w:rPr>
        <w:t>，评级展望为稳定。公司债券信用等级为</w:t>
      </w:r>
      <w:r>
        <w:rPr>
          <w:rFonts w:ascii="Times New Roman" w:hAnsi="Times New Roman" w:cs="Times New Roman" w:eastAsia="Times New Roman" w:hint="default"/>
          <w:spacing w:val="-1"/>
        </w:rPr>
        <w:t>AA+</w:t>
      </w:r>
      <w:r>
        <w:rPr>
          <w:spacing w:val="-1"/>
        </w:rPr>
        <w:t>，本级别的定义为本期债券债务安全性很高，违约风险很低。公司主体信</w:t>
      </w:r>
      <w:r>
        <w:rPr>
          <w:spacing w:val="-84"/>
        </w:rPr>
        <w:t> </w:t>
      </w:r>
      <w:r>
        <w:rPr>
          <w:spacing w:val="-84"/>
        </w:rPr>
      </w:r>
      <w:r>
        <w:rPr/>
        <w:t>用评级等级为</w:t>
      </w:r>
      <w:r>
        <w:rPr>
          <w:rFonts w:ascii="Times New Roman" w:hAnsi="Times New Roman" w:cs="Times New Roman" w:eastAsia="Times New Roman" w:hint="default"/>
        </w:rPr>
        <w:t>AA-,</w:t>
      </w:r>
      <w:r>
        <w:rPr>
          <w:rFonts w:ascii="Times New Roman" w:hAnsi="Times New Roman" w:cs="Times New Roman" w:eastAsia="Times New Roman" w:hint="default"/>
          <w:spacing w:val="25"/>
        </w:rPr>
        <w:t> </w:t>
      </w:r>
      <w:r>
        <w:rPr/>
        <w:t>本级别的定义为偿还债务的能力很强，受不利经济环境的影响不大，违约风险极低。该跟踪评级报告详</w:t>
      </w:r>
      <w:r>
        <w:rPr>
          <w:w w:val="99"/>
        </w:rPr>
        <w:t> </w:t>
      </w:r>
      <w:r>
        <w:rPr>
          <w:spacing w:val="-1"/>
        </w:rPr>
        <w:t>见公司于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21</w:t>
      </w:r>
      <w:r>
        <w:rPr>
          <w:spacing w:val="-1"/>
        </w:rPr>
        <w:t>日在巨潮资讯网（</w:t>
      </w:r>
      <w:hyperlink r:id="rId13">
        <w:r>
          <w:rPr>
            <w:rFonts w:ascii="Times New Roman" w:hAnsi="Times New Roman" w:cs="Times New Roman" w:eastAsia="Times New Roman" w:hint="default"/>
            <w:spacing w:val="-1"/>
          </w:rPr>
          <w:t>www.cninfo.com.cn</w:t>
        </w:r>
      </w:hyperlink>
      <w:r>
        <w:rPr>
          <w:spacing w:val="-1"/>
        </w:rPr>
        <w:t>）上披露的《公司</w:t>
      </w:r>
      <w:r>
        <w:rPr>
          <w:rFonts w:ascii="Times New Roman" w:hAnsi="Times New Roman" w:cs="Times New Roman" w:eastAsia="Times New Roman" w:hint="default"/>
          <w:spacing w:val="-1"/>
        </w:rPr>
        <w:t>2015</w:t>
      </w:r>
      <w:r>
        <w:rPr>
          <w:spacing w:val="-1"/>
        </w:rPr>
        <w:t>年公司债券（第一期、第二期）</w:t>
      </w:r>
      <w:r>
        <w:rPr>
          <w:rFonts w:ascii="Times New Roman" w:hAnsi="Times New Roman" w:cs="Times New Roman" w:eastAsia="Times New Roman" w:hint="default"/>
          <w:spacing w:val="-1"/>
        </w:rPr>
        <w:t>2016</w:t>
      </w:r>
      <w:r>
        <w:rPr>
          <w:spacing w:val="-1"/>
        </w:rPr>
        <w:t>年跟</w:t>
      </w:r>
      <w:r>
        <w:rPr>
          <w:spacing w:val="-53"/>
        </w:rPr>
        <w:t> </w:t>
      </w:r>
      <w:r>
        <w:rPr/>
        <w:t>踪信用评级报告》。</w:t>
      </w:r>
    </w:p>
    <w:p>
      <w:pPr>
        <w:pStyle w:val="BodyText"/>
        <w:spacing w:line="300" w:lineRule="auto" w:before="32"/>
        <w:ind w:left="192" w:right="93" w:firstLine="269"/>
        <w:jc w:val="left"/>
      </w:pPr>
      <w:r>
        <w:rPr/>
        <w:t>（</w:t>
      </w:r>
      <w:r>
        <w:rPr>
          <w:rFonts w:ascii="Times New Roman" w:hAnsi="Times New Roman" w:cs="Times New Roman" w:eastAsia="Times New Roman" w:hint="default"/>
        </w:rPr>
        <w:t>2</w:t>
      </w:r>
      <w:r>
        <w:rPr/>
        <w:t>）鹏元资信评估有限公司于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日将公司</w:t>
      </w:r>
      <w:r>
        <w:rPr>
          <w:rFonts w:ascii="Times New Roman" w:hAnsi="Times New Roman" w:cs="Times New Roman" w:eastAsia="Times New Roman" w:hint="default"/>
        </w:rPr>
        <w:t>15</w:t>
      </w:r>
      <w:r>
        <w:rPr/>
        <w:t>证通</w:t>
      </w:r>
      <w:r>
        <w:rPr>
          <w:rFonts w:ascii="Times New Roman" w:hAnsi="Times New Roman" w:cs="Times New Roman" w:eastAsia="Times New Roman" w:hint="default"/>
        </w:rPr>
        <w:t>01</w:t>
      </w:r>
      <w:r>
        <w:rPr/>
        <w:t>和</w:t>
      </w:r>
      <w:r>
        <w:rPr>
          <w:rFonts w:ascii="Times New Roman" w:hAnsi="Times New Roman" w:cs="Times New Roman" w:eastAsia="Times New Roman" w:hint="default"/>
        </w:rPr>
        <w:t>15</w:t>
      </w:r>
      <w:r>
        <w:rPr/>
        <w:t>证通</w:t>
      </w:r>
      <w:r>
        <w:rPr>
          <w:rFonts w:ascii="Times New Roman" w:hAnsi="Times New Roman" w:cs="Times New Roman" w:eastAsia="Times New Roman" w:hint="default"/>
        </w:rPr>
        <w:t>02</w:t>
      </w:r>
      <w:r>
        <w:rPr/>
        <w:t>的债券信用等级由</w:t>
      </w:r>
      <w:r>
        <w:rPr>
          <w:rFonts w:ascii="Times New Roman" w:hAnsi="Times New Roman" w:cs="Times New Roman" w:eastAsia="Times New Roman" w:hint="default"/>
        </w:rPr>
        <w:t>AA+</w:t>
      </w:r>
      <w:r>
        <w:rPr/>
        <w:t>上调为</w:t>
      </w:r>
      <w:r>
        <w:rPr>
          <w:rFonts w:ascii="Times New Roman" w:hAnsi="Times New Roman" w:cs="Times New Roman" w:eastAsia="Times New Roman" w:hint="default"/>
        </w:rPr>
        <w:t>AAA</w:t>
      </w:r>
      <w:r>
        <w:rPr/>
        <w:t>。本级别 </w:t>
      </w:r>
      <w:r>
        <w:rPr>
          <w:spacing w:val="-2"/>
        </w:rPr>
        <w:t>的定义为本期债券债务安全性极高，违约风险极低。上调债项信用等级的有关情况详见公司于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12</w:t>
      </w:r>
      <w:r>
        <w:rPr>
          <w:spacing w:val="-2"/>
        </w:rPr>
        <w:t>日在巨潮资讯网</w:t>
      </w:r>
    </w:p>
    <w:p>
      <w:pPr>
        <w:pStyle w:val="BodyText"/>
        <w:spacing w:line="240" w:lineRule="auto" w:before="13"/>
        <w:ind w:left="101" w:right="178"/>
        <w:jc w:val="left"/>
      </w:pPr>
      <w:r>
        <w:rPr/>
        <w:t>（</w:t>
      </w:r>
      <w:hyperlink r:id="rId13">
        <w:r>
          <w:rPr>
            <w:rFonts w:ascii="Times New Roman" w:hAnsi="Times New Roman" w:cs="Times New Roman" w:eastAsia="Times New Roman" w:hint="default"/>
          </w:rPr>
          <w:t>www.cninfo.com.cn</w:t>
        </w:r>
      </w:hyperlink>
      <w:r>
        <w:rPr/>
        <w:t>）上披露的《关于上调</w:t>
      </w:r>
      <w:r>
        <w:rPr>
          <w:rFonts w:ascii="Times New Roman" w:hAnsi="Times New Roman" w:cs="Times New Roman" w:eastAsia="Times New Roman" w:hint="default"/>
        </w:rPr>
        <w:t>“15</w:t>
      </w:r>
      <w:r>
        <w:rPr/>
        <w:t>证通</w:t>
      </w:r>
      <w:r>
        <w:rPr>
          <w:rFonts w:ascii="Times New Roman" w:hAnsi="Times New Roman" w:cs="Times New Roman" w:eastAsia="Times New Roman" w:hint="default"/>
        </w:rPr>
        <w:t>01”</w:t>
      </w:r>
      <w:r>
        <w:rPr/>
        <w:t>和</w:t>
      </w:r>
      <w:r>
        <w:rPr>
          <w:rFonts w:ascii="Times New Roman" w:hAnsi="Times New Roman" w:cs="Times New Roman" w:eastAsia="Times New Roman" w:hint="default"/>
        </w:rPr>
        <w:t>“15</w:t>
      </w:r>
      <w:r>
        <w:rPr/>
        <w:t>证通</w:t>
      </w:r>
      <w:r>
        <w:rPr>
          <w:rFonts w:ascii="Times New Roman" w:hAnsi="Times New Roman" w:cs="Times New Roman" w:eastAsia="Times New Roman" w:hint="default"/>
        </w:rPr>
        <w:t>02”</w:t>
      </w:r>
      <w:r>
        <w:rPr/>
        <w:t>债项信用等级的公告》。</w:t>
      </w:r>
    </w:p>
    <w:p>
      <w:pPr>
        <w:pStyle w:val="BodyText"/>
        <w:spacing w:line="300" w:lineRule="auto" w:before="63"/>
        <w:ind w:left="192" w:right="146" w:firstLine="269"/>
        <w:jc w:val="left"/>
        <w:rPr>
          <w:rFonts w:ascii="Times New Roman" w:hAnsi="Times New Roman" w:cs="Times New Roman" w:eastAsia="Times New Roman" w:hint="default"/>
        </w:rPr>
      </w:pPr>
      <w:r>
        <w:rPr>
          <w:spacing w:val="-2"/>
        </w:rPr>
        <w:t>（</w:t>
      </w:r>
      <w:r>
        <w:rPr>
          <w:rFonts w:ascii="Times New Roman" w:hAnsi="Times New Roman" w:cs="Times New Roman" w:eastAsia="Times New Roman" w:hint="default"/>
          <w:spacing w:val="-2"/>
        </w:rPr>
        <w:t>3</w:t>
      </w:r>
      <w:r>
        <w:rPr>
          <w:spacing w:val="-2"/>
        </w:rPr>
        <w:t>）鹏元资信评估有限公司于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8</w:t>
      </w:r>
      <w:r>
        <w:rPr>
          <w:spacing w:val="-2"/>
        </w:rPr>
        <w:t>日对公司</w:t>
      </w:r>
      <w:r>
        <w:rPr>
          <w:rFonts w:ascii="Times New Roman" w:hAnsi="Times New Roman" w:cs="Times New Roman" w:eastAsia="Times New Roman" w:hint="default"/>
          <w:spacing w:val="-2"/>
        </w:rPr>
        <w:t>2015</w:t>
      </w:r>
      <w:r>
        <w:rPr>
          <w:spacing w:val="-2"/>
        </w:rPr>
        <w:t>年公司债券（第一期、第二期）进行</w:t>
      </w:r>
      <w:r>
        <w:rPr>
          <w:rFonts w:ascii="Times New Roman" w:hAnsi="Times New Roman" w:cs="Times New Roman" w:eastAsia="Times New Roman" w:hint="default"/>
          <w:spacing w:val="-2"/>
        </w:rPr>
        <w:t>2017</w:t>
      </w:r>
      <w:r>
        <w:rPr>
          <w:spacing w:val="-2"/>
        </w:rPr>
        <w:t>年跟踪信用评级，本次</w:t>
      </w:r>
      <w:r>
        <w:rPr/>
        <w:t> </w:t>
      </w:r>
      <w:r>
        <w:rPr>
          <w:spacing w:val="-2"/>
        </w:rPr>
        <w:t>跟踪评级报告评级结果为：</w:t>
      </w:r>
      <w:r>
        <w:rPr>
          <w:rFonts w:ascii="Times New Roman" w:hAnsi="Times New Roman" w:cs="Times New Roman" w:eastAsia="Times New Roman" w:hint="default"/>
          <w:spacing w:val="-2"/>
        </w:rPr>
        <w:t>15</w:t>
      </w:r>
      <w:r>
        <w:rPr>
          <w:spacing w:val="-2"/>
        </w:rPr>
        <w:t>证通</w:t>
      </w:r>
      <w:r>
        <w:rPr>
          <w:rFonts w:ascii="Times New Roman" w:hAnsi="Times New Roman" w:cs="Times New Roman" w:eastAsia="Times New Roman" w:hint="default"/>
          <w:spacing w:val="-2"/>
        </w:rPr>
        <w:t>01</w:t>
      </w:r>
      <w:r>
        <w:rPr>
          <w:spacing w:val="-2"/>
        </w:rPr>
        <w:t>和</w:t>
      </w:r>
      <w:r>
        <w:rPr>
          <w:rFonts w:ascii="Times New Roman" w:hAnsi="Times New Roman" w:cs="Times New Roman" w:eastAsia="Times New Roman" w:hint="default"/>
          <w:spacing w:val="-2"/>
        </w:rPr>
        <w:t>15</w:t>
      </w:r>
      <w:r>
        <w:rPr>
          <w:spacing w:val="-2"/>
        </w:rPr>
        <w:t>证通</w:t>
      </w:r>
      <w:r>
        <w:rPr>
          <w:rFonts w:ascii="Times New Roman" w:hAnsi="Times New Roman" w:cs="Times New Roman" w:eastAsia="Times New Roman" w:hint="default"/>
          <w:spacing w:val="-2"/>
        </w:rPr>
        <w:t>02</w:t>
      </w:r>
      <w:r>
        <w:rPr>
          <w:spacing w:val="-2"/>
        </w:rPr>
        <w:t>的债券信用等级维持为</w:t>
      </w:r>
      <w:r>
        <w:rPr>
          <w:rFonts w:ascii="Times New Roman" w:hAnsi="Times New Roman" w:cs="Times New Roman" w:eastAsia="Times New Roman" w:hint="default"/>
          <w:spacing w:val="-2"/>
        </w:rPr>
        <w:t>AAA</w:t>
      </w:r>
      <w:r>
        <w:rPr>
          <w:spacing w:val="-2"/>
        </w:rPr>
        <w:t>，公司主体长期信用等级维持为</w:t>
      </w:r>
      <w:r>
        <w:rPr>
          <w:rFonts w:ascii="Times New Roman" w:hAnsi="Times New Roman" w:cs="Times New Roman" w:eastAsia="Times New Roman" w:hint="default"/>
          <w:spacing w:val="-2"/>
        </w:rPr>
        <w:t>AA-</w:t>
      </w:r>
      <w:r>
        <w:rPr>
          <w:spacing w:val="-2"/>
        </w:rPr>
        <w:t>，评级展望</w:t>
      </w:r>
      <w:r>
        <w:rPr>
          <w:spacing w:val="-50"/>
        </w:rPr>
        <w:t> </w:t>
      </w:r>
      <w:r>
        <w:rPr>
          <w:spacing w:val="-50"/>
        </w:rPr>
      </w:r>
      <w:r>
        <w:rPr/>
        <w:t>为稳定。公司债券信用等级为</w:t>
      </w:r>
      <w:r>
        <w:rPr>
          <w:rFonts w:ascii="Times New Roman" w:hAnsi="Times New Roman" w:cs="Times New Roman" w:eastAsia="Times New Roman" w:hint="default"/>
        </w:rPr>
        <w:t>AAA</w:t>
      </w:r>
      <w:r>
        <w:rPr/>
        <w:t>，本级别的定义为本期债券债务安全性极高，违约风险极低。公司主体信用评级等级为 </w:t>
      </w:r>
      <w:r>
        <w:rPr>
          <w:rFonts w:ascii="Times New Roman" w:hAnsi="Times New Roman" w:cs="Times New Roman" w:eastAsia="Times New Roman" w:hint="default"/>
        </w:rPr>
        <w:t>AA-,</w:t>
      </w:r>
      <w:r>
        <w:rPr>
          <w:rFonts w:ascii="Times New Roman" w:hAnsi="Times New Roman" w:cs="Times New Roman" w:eastAsia="Times New Roman" w:hint="default"/>
          <w:spacing w:val="24"/>
        </w:rPr>
        <w:t> </w:t>
      </w:r>
      <w:r>
        <w:rPr/>
        <w:t>本级别的定义为偿还债务的能力很强，受不利经济环境的影响不大，违约风险极低。该跟踪评级报告详见公司于</w:t>
      </w:r>
      <w:r>
        <w:rPr>
          <w:rFonts w:ascii="Times New Roman" w:hAnsi="Times New Roman" w:cs="Times New Roman" w:eastAsia="Times New Roman" w:hint="default"/>
        </w:rPr>
        <w:t>2017</w:t>
      </w:r>
    </w:p>
    <w:p>
      <w:pPr>
        <w:spacing w:after="0" w:line="300" w:lineRule="auto"/>
        <w:jc w:val="left"/>
        <w:rPr>
          <w:rFonts w:ascii="Times New Roman" w:hAnsi="Times New Roman" w:cs="Times New Roman" w:eastAsia="Times New Roman" w:hint="default"/>
        </w:rPr>
        <w:sectPr>
          <w:pgSz w:w="11910" w:h="16840"/>
          <w:pgMar w:header="745" w:footer="980" w:top="1060" w:bottom="1160" w:left="940" w:right="980"/>
        </w:sectPr>
      </w:pPr>
    </w:p>
    <w:p>
      <w:pPr>
        <w:spacing w:line="240" w:lineRule="auto" w:before="3"/>
        <w:rPr>
          <w:rFonts w:ascii="Times New Roman" w:hAnsi="Times New Roman" w:cs="Times New Roman" w:eastAsia="Times New Roman" w:hint="default"/>
          <w:sz w:val="29"/>
          <w:szCs w:val="29"/>
        </w:rPr>
      </w:pPr>
    </w:p>
    <w:p>
      <w:pPr>
        <w:pStyle w:val="BodyText"/>
        <w:spacing w:line="300" w:lineRule="auto" w:before="44"/>
        <w:ind w:right="361"/>
        <w:jc w:val="left"/>
      </w:pP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17</w:t>
      </w:r>
      <w:r>
        <w:rPr>
          <w:spacing w:val="-1"/>
        </w:rPr>
        <w:t>日在巨潮资讯网（</w:t>
      </w:r>
      <w:hyperlink r:id="rId13">
        <w:r>
          <w:rPr>
            <w:rFonts w:ascii="Times New Roman" w:hAnsi="Times New Roman" w:cs="Times New Roman" w:eastAsia="Times New Roman" w:hint="default"/>
            <w:spacing w:val="-1"/>
          </w:rPr>
          <w:t>www.cninfo.com.cn</w:t>
        </w:r>
      </w:hyperlink>
      <w:r>
        <w:rPr>
          <w:spacing w:val="-1"/>
        </w:rPr>
        <w:t>）上披露的《公司</w:t>
      </w:r>
      <w:r>
        <w:rPr>
          <w:rFonts w:ascii="Times New Roman" w:hAnsi="Times New Roman" w:cs="Times New Roman" w:eastAsia="Times New Roman" w:hint="default"/>
          <w:spacing w:val="-1"/>
        </w:rPr>
        <w:t>2015</w:t>
      </w:r>
      <w:r>
        <w:rPr>
          <w:spacing w:val="-1"/>
        </w:rPr>
        <w:t>年公司债券（第一期、第二期）</w:t>
      </w:r>
      <w:r>
        <w:rPr>
          <w:rFonts w:ascii="Times New Roman" w:hAnsi="Times New Roman" w:cs="Times New Roman" w:eastAsia="Times New Roman" w:hint="default"/>
          <w:spacing w:val="-1"/>
        </w:rPr>
        <w:t>2017</w:t>
      </w:r>
      <w:r>
        <w:rPr>
          <w:spacing w:val="-1"/>
        </w:rPr>
        <w:t>年跟踪信用评级报</w:t>
      </w:r>
      <w:r>
        <w:rPr>
          <w:spacing w:val="-49"/>
        </w:rPr>
        <w:t> </w:t>
      </w:r>
      <w:r>
        <w:rPr>
          <w:spacing w:val="-49"/>
        </w:rPr>
      </w:r>
      <w:r>
        <w:rPr/>
        <w:t>告》。</w:t>
      </w:r>
    </w:p>
    <w:p>
      <w:pPr>
        <w:pStyle w:val="BodyText"/>
        <w:spacing w:line="300" w:lineRule="auto" w:before="31"/>
        <w:ind w:right="369" w:firstLine="269"/>
        <w:jc w:val="both"/>
      </w:pPr>
      <w:r>
        <w:rPr>
          <w:spacing w:val="-5"/>
        </w:rPr>
        <w:t>（</w:t>
      </w:r>
      <w:r>
        <w:rPr>
          <w:rFonts w:ascii="Times New Roman" w:hAnsi="Times New Roman" w:cs="Times New Roman" w:eastAsia="Times New Roman" w:hint="default"/>
          <w:spacing w:val="-5"/>
        </w:rPr>
        <w:t>4</w:t>
      </w:r>
      <w:r>
        <w:rPr>
          <w:spacing w:val="-5"/>
        </w:rPr>
        <w:t>）鹏元资信在初次评级结束后，将在受评债券存续期间对受评对象开展定期以及不定期跟踪评级，在跟踪评级过程中，</w:t>
      </w:r>
      <w:r>
        <w:rPr/>
        <w:t> 鹏元资信将维持评级标准的一致性。定期跟踪评级每年进行一次</w:t>
      </w:r>
      <w:r>
        <w:rPr>
          <w:rFonts w:ascii="Times New Roman" w:hAnsi="Times New Roman" w:cs="Times New Roman" w:eastAsia="Times New Roman" w:hint="default"/>
        </w:rPr>
        <w:t>,</w:t>
      </w:r>
      <w:r>
        <w:rPr>
          <w:rFonts w:ascii="Times New Roman" w:hAnsi="Times New Roman" w:cs="Times New Roman" w:eastAsia="Times New Roman" w:hint="default"/>
          <w:spacing w:val="10"/>
        </w:rPr>
        <w:t> </w:t>
      </w:r>
      <w:r>
        <w:rPr/>
        <w:t>在受评债券存续期内发行主体发布年度报告后两个月内出 </w:t>
      </w:r>
      <w:r>
        <w:rPr>
          <w:spacing w:val="-2"/>
        </w:rPr>
        <w:t>具一次定期跟踪评级报告。鹏元资信将及时在网站（</w:t>
      </w:r>
      <w:hyperlink r:id="rId21">
        <w:r>
          <w:rPr>
            <w:rFonts w:ascii="Times New Roman" w:hAnsi="Times New Roman" w:cs="Times New Roman" w:eastAsia="Times New Roman" w:hint="default"/>
            <w:spacing w:val="-2"/>
          </w:rPr>
          <w:t>www.pyrating.cn</w:t>
        </w:r>
      </w:hyperlink>
      <w:r>
        <w:rPr>
          <w:spacing w:val="-2"/>
        </w:rPr>
        <w:t>）公布跟踪评级结果与跟踪评级报告。上述跟踪评级报</w:t>
      </w:r>
      <w:r>
        <w:rPr>
          <w:spacing w:val="-42"/>
        </w:rPr>
        <w:t> </w:t>
      </w:r>
      <w:r>
        <w:rPr>
          <w:spacing w:val="-42"/>
        </w:rPr>
      </w:r>
      <w:r>
        <w:rPr/>
        <w:t>告出具后，公司将在巨潮资讯网（</w:t>
      </w:r>
      <w:hyperlink r:id="rId13">
        <w:r>
          <w:rPr>
            <w:rFonts w:ascii="Times New Roman" w:hAnsi="Times New Roman" w:cs="Times New Roman" w:eastAsia="Times New Roman" w:hint="default"/>
          </w:rPr>
          <w:t>www.cninfo.com.cn</w:t>
        </w:r>
      </w:hyperlink>
      <w:r>
        <w:rPr/>
        <w:t>）上予以公告。</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pStyle w:val="Heading2"/>
        <w:spacing w:line="240" w:lineRule="auto"/>
        <w:ind w:right="361"/>
        <w:jc w:val="left"/>
        <w:rPr>
          <w:b w:val="0"/>
          <w:bCs w:val="0"/>
        </w:rPr>
      </w:pPr>
      <w:r>
        <w:rPr/>
        <w:t>五、</w:t>
      </w:r>
      <w:r>
        <w:rPr>
          <w:spacing w:val="-4"/>
        </w:rPr>
        <w:t> </w:t>
      </w:r>
      <w:r>
        <w:rPr/>
        <w:t>公司债券增信机制、偿债计划及其他偿债保障措施</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374" w:firstLine="360"/>
        <w:jc w:val="both"/>
        <w:rPr>
          <w:rFonts w:ascii="宋体" w:hAnsi="宋体" w:cs="宋体" w:eastAsia="宋体" w:hint="default"/>
        </w:rPr>
      </w:pPr>
      <w:r>
        <w:rPr>
          <w:spacing w:val="-5"/>
        </w:rPr>
        <w:t>报告期内，公司债券增信机制、偿债计划及偿债保障措施未发生变更，与《公司公开发行</w:t>
      </w:r>
      <w:r>
        <w:rPr>
          <w:rFonts w:ascii="宋体" w:hAnsi="宋体" w:cs="宋体" w:eastAsia="宋体" w:hint="default"/>
          <w:spacing w:val="-5"/>
        </w:rPr>
        <w:t>2015</w:t>
      </w:r>
      <w:r>
        <w:rPr>
          <w:spacing w:val="-5"/>
        </w:rPr>
        <w:t>年公司债券募集说明书（面</w:t>
      </w:r>
      <w:r>
        <w:rPr/>
        <w:t> 向合格投资者）》</w:t>
      </w:r>
      <w:r>
        <w:rPr>
          <w:rFonts w:ascii="宋体" w:hAnsi="宋体" w:cs="宋体" w:eastAsia="宋体" w:hint="default"/>
        </w:rPr>
        <w:t>(</w:t>
      </w:r>
      <w:r>
        <w:rPr/>
        <w:t>第一期</w:t>
      </w:r>
      <w:r>
        <w:rPr>
          <w:rFonts w:ascii="宋体" w:hAnsi="宋体" w:cs="宋体" w:eastAsia="宋体" w:hint="default"/>
        </w:rPr>
        <w:t>)</w:t>
      </w:r>
      <w:r>
        <w:rPr/>
        <w:t>、（第二期）中约定及承诺内容一致，并严格执行。</w:t>
      </w:r>
      <w:r>
        <w:rPr>
          <w:rFonts w:ascii="宋体" w:hAnsi="宋体" w:cs="宋体" w:eastAsia="宋体" w:hint="default"/>
        </w:rPr>
        <w:t> </w:t>
      </w:r>
    </w:p>
    <w:p>
      <w:pPr>
        <w:pStyle w:val="BodyText"/>
        <w:spacing w:line="319" w:lineRule="auto" w:before="19"/>
        <w:ind w:left="513" w:right="361"/>
        <w:jc w:val="left"/>
      </w:pPr>
      <w:r>
        <w:rPr/>
        <w:t>一、增信机制</w:t>
      </w:r>
      <w:r>
        <w:rPr>
          <w:rFonts w:ascii="宋体" w:hAnsi="宋体" w:cs="宋体" w:eastAsia="宋体" w:hint="default"/>
          <w:spacing w:val="1"/>
        </w:rPr>
        <w:t> </w:t>
      </w:r>
      <w:r>
        <w:rPr>
          <w:rFonts w:ascii="宋体" w:hAnsi="宋体" w:cs="宋体" w:eastAsia="宋体" w:hint="default"/>
        </w:rPr>
        <w:t> </w:t>
      </w:r>
      <w:r>
        <w:rPr>
          <w:spacing w:val="-2"/>
        </w:rPr>
        <w:t>本期债券由深圳市高新投集团有限公司提供无条件的不可撤销的连带责任保证，担保范围包括本期债券的全部本金及利</w:t>
      </w:r>
    </w:p>
    <w:p>
      <w:pPr>
        <w:pStyle w:val="BodyText"/>
        <w:spacing w:line="316" w:lineRule="auto" w:before="17"/>
        <w:ind w:right="361"/>
        <w:jc w:val="left"/>
        <w:rPr>
          <w:rFonts w:ascii="宋体" w:hAnsi="宋体" w:cs="宋体" w:eastAsia="宋体" w:hint="default"/>
        </w:rPr>
      </w:pPr>
      <w:r>
        <w:rPr>
          <w:spacing w:val="-5"/>
        </w:rPr>
        <w:t>息、违约金、损害赔偿金和实现债权的全部费用。</w:t>
      </w:r>
      <w:r>
        <w:rPr>
          <w:rFonts w:ascii="宋体" w:hAnsi="宋体" w:cs="宋体" w:eastAsia="宋体" w:hint="default"/>
          <w:spacing w:val="-5"/>
        </w:rPr>
        <w:t>2015</w:t>
      </w:r>
      <w:r>
        <w:rPr>
          <w:spacing w:val="-5"/>
        </w:rPr>
        <w:t>年</w:t>
      </w:r>
      <w:r>
        <w:rPr>
          <w:rFonts w:ascii="宋体" w:hAnsi="宋体" w:cs="宋体" w:eastAsia="宋体" w:hint="default"/>
          <w:spacing w:val="-5"/>
        </w:rPr>
        <w:t>5</w:t>
      </w:r>
      <w:r>
        <w:rPr>
          <w:spacing w:val="-5"/>
        </w:rPr>
        <w:t>月</w:t>
      </w:r>
      <w:r>
        <w:rPr>
          <w:rFonts w:ascii="宋体" w:hAnsi="宋体" w:cs="宋体" w:eastAsia="宋体" w:hint="default"/>
          <w:spacing w:val="-5"/>
        </w:rPr>
        <w:t>25</w:t>
      </w:r>
      <w:r>
        <w:rPr>
          <w:spacing w:val="-5"/>
        </w:rPr>
        <w:t>日，深圳市高新投集团有限公司为本期债券出具了担保函，</w:t>
      </w:r>
      <w:r>
        <w:rPr>
          <w:spacing w:val="18"/>
        </w:rPr>
        <w:t> </w:t>
      </w:r>
      <w:r>
        <w:rPr>
          <w:rFonts w:ascii="宋体" w:hAnsi="宋体" w:cs="宋体" w:eastAsia="宋体" w:hint="default"/>
          <w:spacing w:val="18"/>
        </w:rPr>
      </w:r>
      <w:r>
        <w:rPr/>
        <w:t>并</w:t>
      </w:r>
      <w:r>
        <w:rPr>
          <w:spacing w:val="-88"/>
        </w:rPr>
        <w:t> </w:t>
      </w:r>
      <w:r>
        <w:rPr/>
        <w:t>与公司签订了担保合同。其</w:t>
      </w:r>
      <w:r>
        <w:rPr>
          <w:rFonts w:ascii="宋体" w:hAnsi="宋体" w:cs="宋体" w:eastAsia="宋体" w:hint="default"/>
        </w:rPr>
        <w:t>2017</w:t>
      </w:r>
      <w:r>
        <w:rPr/>
        <w:t>年度主要财务数据及财务指标（合并口径）如下表：</w:t>
      </w:r>
      <w:r>
        <w:rPr>
          <w:rFonts w:ascii="宋体" w:hAnsi="宋体" w:cs="宋体" w:eastAsia="宋体" w:hint="default"/>
        </w:rPr>
        <w:t> </w:t>
      </w:r>
    </w:p>
    <w:tbl>
      <w:tblPr>
        <w:tblW w:w="0" w:type="auto"/>
        <w:jc w:val="left"/>
        <w:tblInd w:w="183" w:type="dxa"/>
        <w:tblLayout w:type="fixed"/>
        <w:tblCellMar>
          <w:top w:w="0" w:type="dxa"/>
          <w:left w:w="0" w:type="dxa"/>
          <w:bottom w:w="0" w:type="dxa"/>
          <w:right w:w="0" w:type="dxa"/>
        </w:tblCellMar>
        <w:tblLook w:val="01E0"/>
      </w:tblPr>
      <w:tblGrid>
        <w:gridCol w:w="2939"/>
        <w:gridCol w:w="3459"/>
        <w:gridCol w:w="3459"/>
      </w:tblGrid>
      <w:tr>
        <w:trPr>
          <w:trHeight w:val="425"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5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日（未经审计）</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08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427"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总资产（万元）</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1,331,552.26</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789,850.84</w:t>
            </w:r>
          </w:p>
        </w:tc>
      </w:tr>
      <w:tr>
        <w:trPr>
          <w:trHeight w:val="427"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归属于母公司所有者权益（万元）</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1,107,527.24</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655,949.44</w:t>
            </w:r>
          </w:p>
        </w:tc>
      </w:tr>
      <w:tr>
        <w:trPr>
          <w:trHeight w:val="427"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16.78</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16.95</w:t>
            </w:r>
          </w:p>
        </w:tc>
      </w:tr>
      <w:tr>
        <w:trPr>
          <w:trHeight w:val="427"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流动比率（倍）</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9.96</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11.57</w:t>
            </w:r>
          </w:p>
        </w:tc>
      </w:tr>
      <w:tr>
        <w:trPr>
          <w:trHeight w:val="427"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速动比率（倍）</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9.95</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z w:val="18"/>
              </w:rPr>
              <w:t>11.56</w:t>
            </w:r>
          </w:p>
        </w:tc>
      </w:tr>
      <w:tr>
        <w:trPr>
          <w:trHeight w:val="427"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8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年度（未经审计）</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年度</w:t>
            </w:r>
          </w:p>
        </w:tc>
      </w:tr>
      <w:tr>
        <w:trPr>
          <w:trHeight w:val="428"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营业总收入（万元）</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150,592.26</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
              <w:jc w:val="right"/>
              <w:rPr>
                <w:rFonts w:ascii="Times New Roman" w:hAnsi="Times New Roman" w:cs="Times New Roman" w:eastAsia="Times New Roman" w:hint="default"/>
                <w:sz w:val="18"/>
                <w:szCs w:val="18"/>
              </w:rPr>
            </w:pPr>
            <w:r>
              <w:rPr>
                <w:rFonts w:ascii="Times New Roman"/>
                <w:spacing w:val="-1"/>
                <w:sz w:val="18"/>
              </w:rPr>
              <w:t>110,064.01</w:t>
            </w:r>
          </w:p>
        </w:tc>
      </w:tr>
      <w:tr>
        <w:trPr>
          <w:trHeight w:val="427"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利润总额（万元）</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111,025.95</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95,238.51</w:t>
            </w:r>
          </w:p>
        </w:tc>
      </w:tr>
      <w:tr>
        <w:trPr>
          <w:trHeight w:val="427"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净利润（万元）</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81,372.50</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70,880.53</w:t>
            </w:r>
          </w:p>
        </w:tc>
      </w:tr>
      <w:tr>
        <w:trPr>
          <w:trHeight w:val="427"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7.34</w:t>
            </w:r>
          </w:p>
        </w:tc>
        <w:tc>
          <w:tcPr>
            <w:tcW w:w="34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10.94</w:t>
            </w:r>
          </w:p>
        </w:tc>
      </w:tr>
    </w:tbl>
    <w:p>
      <w:pPr>
        <w:pStyle w:val="BodyText"/>
        <w:spacing w:line="316" w:lineRule="auto" w:before="19"/>
        <w:ind w:left="513" w:right="0"/>
        <w:jc w:val="left"/>
      </w:pPr>
      <w:r>
        <w:rPr>
          <w:spacing w:val="-4"/>
        </w:rPr>
        <w:t>鹏元资信于</w:t>
      </w:r>
      <w:r>
        <w:rPr>
          <w:rFonts w:ascii="宋体" w:hAnsi="宋体" w:cs="宋体" w:eastAsia="宋体" w:hint="default"/>
          <w:spacing w:val="-4"/>
        </w:rPr>
        <w:t>2016</w:t>
      </w:r>
      <w:r>
        <w:rPr>
          <w:spacing w:val="-4"/>
        </w:rPr>
        <w:t>年</w:t>
      </w:r>
      <w:r>
        <w:rPr>
          <w:rFonts w:ascii="宋体" w:hAnsi="宋体" w:cs="宋体" w:eastAsia="宋体" w:hint="default"/>
          <w:spacing w:val="-4"/>
        </w:rPr>
        <w:t>9</w:t>
      </w:r>
      <w:r>
        <w:rPr>
          <w:spacing w:val="-4"/>
        </w:rPr>
        <w:t>月</w:t>
      </w:r>
      <w:r>
        <w:rPr>
          <w:rFonts w:ascii="宋体" w:hAnsi="宋体" w:cs="宋体" w:eastAsia="宋体" w:hint="default"/>
          <w:spacing w:val="-4"/>
        </w:rPr>
        <w:t>27</w:t>
      </w:r>
      <w:r>
        <w:rPr>
          <w:spacing w:val="-4"/>
        </w:rPr>
        <w:t>日将深圳市高新投集团有限公司主体长期信用等级由</w:t>
      </w:r>
      <w:r>
        <w:rPr>
          <w:rFonts w:ascii="宋体" w:hAnsi="宋体" w:cs="宋体" w:eastAsia="宋体" w:hint="default"/>
          <w:spacing w:val="-4"/>
        </w:rPr>
        <w:t>AA+</w:t>
      </w:r>
      <w:r>
        <w:rPr>
          <w:spacing w:val="-4"/>
        </w:rPr>
        <w:t>上调至</w:t>
      </w:r>
      <w:r>
        <w:rPr>
          <w:rFonts w:ascii="宋体" w:hAnsi="宋体" w:cs="宋体" w:eastAsia="宋体" w:hint="default"/>
          <w:spacing w:val="-4"/>
        </w:rPr>
        <w:t>AAA</w:t>
      </w:r>
      <w:r>
        <w:rPr>
          <w:spacing w:val="-4"/>
        </w:rPr>
        <w:t>，评级展望维持为“稳定”。</w:t>
      </w:r>
      <w:r>
        <w:rPr>
          <w:spacing w:val="-34"/>
        </w:rPr>
        <w:t> </w:t>
      </w:r>
      <w:r>
        <w:rPr>
          <w:rFonts w:ascii="宋体" w:hAnsi="宋体" w:cs="宋体" w:eastAsia="宋体" w:hint="default"/>
          <w:spacing w:val="-34"/>
        </w:rPr>
      </w:r>
      <w:r>
        <w:rPr/>
        <w:t>截至</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日，深圳市高新投集团有限公司对外担保本金余为</w:t>
      </w:r>
      <w:r>
        <w:rPr>
          <w:rFonts w:ascii="宋体" w:hAnsi="宋体" w:cs="宋体" w:eastAsia="宋体" w:hint="default"/>
        </w:rPr>
        <w:t>959.62</w:t>
      </w:r>
      <w:r>
        <w:rPr/>
        <w:t>亿元人民币，占其</w:t>
      </w:r>
      <w:r>
        <w:rPr>
          <w:rFonts w:ascii="宋体" w:hAnsi="宋体" w:cs="宋体" w:eastAsia="宋体" w:hint="default"/>
        </w:rPr>
        <w:t>2017</w:t>
      </w:r>
      <w:r>
        <w:rPr/>
        <w:t>年末经审计净资产比</w:t>
      </w:r>
    </w:p>
    <w:p>
      <w:pPr>
        <w:pStyle w:val="BodyText"/>
        <w:spacing w:line="240" w:lineRule="auto" w:before="19"/>
        <w:ind w:right="361"/>
        <w:jc w:val="left"/>
        <w:rPr>
          <w:rFonts w:ascii="宋体" w:hAnsi="宋体" w:cs="宋体" w:eastAsia="宋体" w:hint="default"/>
        </w:rPr>
      </w:pPr>
      <w:r>
        <w:rPr/>
        <w:t>重为</w:t>
      </w:r>
      <w:r>
        <w:rPr>
          <w:rFonts w:ascii="宋体" w:hAnsi="宋体" w:cs="宋体" w:eastAsia="宋体" w:hint="default"/>
        </w:rPr>
        <w:t>8.66</w:t>
      </w:r>
      <w:r>
        <w:rPr/>
        <w:t>。</w:t>
      </w:r>
      <w:r>
        <w:rPr>
          <w:rFonts w:ascii="宋体" w:hAnsi="宋体" w:cs="宋体" w:eastAsia="宋体" w:hint="default"/>
        </w:rPr>
        <w:t> </w:t>
      </w:r>
    </w:p>
    <w:p>
      <w:pPr>
        <w:pStyle w:val="BodyText"/>
        <w:spacing w:line="316" w:lineRule="auto" w:before="76"/>
        <w:ind w:left="513" w:right="3823"/>
        <w:jc w:val="left"/>
        <w:rPr>
          <w:rFonts w:ascii="宋体" w:hAnsi="宋体" w:cs="宋体" w:eastAsia="宋体" w:hint="default"/>
        </w:rPr>
      </w:pPr>
      <w:r>
        <w:rPr/>
        <w:t>二、偿债计划</w:t>
      </w:r>
      <w:r>
        <w:rPr>
          <w:rFonts w:ascii="宋体" w:hAnsi="宋体" w:cs="宋体" w:eastAsia="宋体" w:hint="default"/>
        </w:rPr>
        <w:t> 1</w:t>
      </w:r>
      <w:r>
        <w:rPr/>
        <w:t>、公司</w:t>
      </w:r>
      <w:r>
        <w:rPr>
          <w:rFonts w:ascii="宋体" w:hAnsi="宋体" w:cs="宋体" w:eastAsia="宋体" w:hint="default"/>
        </w:rPr>
        <w:t>2015</w:t>
      </w:r>
      <w:r>
        <w:rPr/>
        <w:t>年面向合格投资者公开发行公司债券（第一期）</w:t>
      </w:r>
      <w:r>
        <w:rPr>
          <w:rFonts w:ascii="宋体" w:hAnsi="宋体" w:cs="宋体" w:eastAsia="宋体" w:hint="default"/>
        </w:rPr>
        <w:t> </w:t>
      </w:r>
    </w:p>
    <w:p>
      <w:pPr>
        <w:pStyle w:val="BodyText"/>
        <w:spacing w:line="240" w:lineRule="auto" w:before="19"/>
        <w:ind w:left="422" w:right="361"/>
        <w:jc w:val="left"/>
        <w:rPr>
          <w:rFonts w:ascii="宋体" w:hAnsi="宋体" w:cs="宋体" w:eastAsia="宋体" w:hint="default"/>
        </w:rPr>
      </w:pPr>
      <w:r>
        <w:rPr/>
        <w:t>（一）本期公司债券的起息日为公司债券的发行起始日，即</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21</w:t>
      </w:r>
      <w:r>
        <w:rPr/>
        <w:t>日。</w:t>
      </w:r>
      <w:r>
        <w:rPr>
          <w:rFonts w:ascii="宋体" w:hAnsi="宋体" w:cs="宋体" w:eastAsia="宋体" w:hint="default"/>
        </w:rPr>
        <w:t> </w:t>
      </w:r>
    </w:p>
    <w:p>
      <w:pPr>
        <w:pStyle w:val="BodyText"/>
        <w:spacing w:line="316" w:lineRule="auto" w:before="77"/>
        <w:ind w:right="0" w:firstLine="269"/>
        <w:jc w:val="left"/>
        <w:rPr>
          <w:rFonts w:ascii="宋体" w:hAnsi="宋体" w:cs="宋体" w:eastAsia="宋体" w:hint="default"/>
        </w:rPr>
      </w:pPr>
      <w:r>
        <w:rPr/>
        <w:t>（二）本期公司债券的利息自起息日起每年支付一次。最后一期利息随本金的兑付一起支付。本期债券每年的付息日为</w:t>
      </w:r>
      <w:r>
        <w:rPr>
          <w:rFonts w:ascii="宋体" w:hAnsi="宋体" w:cs="宋体" w:eastAsia="宋体" w:hint="default"/>
        </w:rPr>
        <w:t> </w:t>
      </w:r>
      <w:r>
        <w:rPr>
          <w:rFonts w:ascii="宋体" w:hAnsi="宋体" w:cs="宋体" w:eastAsia="宋体" w:hint="default"/>
          <w:spacing w:val="-5"/>
        </w:rPr>
        <w:t>2016</w:t>
      </w:r>
      <w:r>
        <w:rPr>
          <w:spacing w:val="-5"/>
        </w:rPr>
        <w:t>年至</w:t>
      </w:r>
      <w:r>
        <w:rPr>
          <w:rFonts w:ascii="宋体" w:hAnsi="宋体" w:cs="宋体" w:eastAsia="宋体" w:hint="default"/>
          <w:spacing w:val="-5"/>
        </w:rPr>
        <w:t>2020</w:t>
      </w:r>
      <w:r>
        <w:rPr>
          <w:spacing w:val="-5"/>
        </w:rPr>
        <w:t>年每年的</w:t>
      </w:r>
      <w:r>
        <w:rPr>
          <w:rFonts w:ascii="宋体" w:hAnsi="宋体" w:cs="宋体" w:eastAsia="宋体" w:hint="default"/>
          <w:spacing w:val="-5"/>
        </w:rPr>
        <w:t>10</w:t>
      </w:r>
      <w:r>
        <w:rPr>
          <w:spacing w:val="-5"/>
        </w:rPr>
        <w:t>月</w:t>
      </w:r>
      <w:r>
        <w:rPr>
          <w:rFonts w:ascii="宋体" w:hAnsi="宋体" w:cs="宋体" w:eastAsia="宋体" w:hint="default"/>
          <w:spacing w:val="-5"/>
        </w:rPr>
        <w:t>21</w:t>
      </w:r>
      <w:r>
        <w:rPr>
          <w:spacing w:val="-5"/>
        </w:rPr>
        <w:t>日（如遇法定节假日或休息日，则顺延至其后的第</w:t>
      </w:r>
      <w:r>
        <w:rPr>
          <w:rFonts w:ascii="宋体" w:hAnsi="宋体" w:cs="宋体" w:eastAsia="宋体" w:hint="default"/>
          <w:spacing w:val="-5"/>
        </w:rPr>
        <w:t>1</w:t>
      </w:r>
      <w:r>
        <w:rPr>
          <w:spacing w:val="-5"/>
        </w:rPr>
        <w:t>个交易日）。若投资者行使回售选择权， </w:t>
      </w:r>
      <w:r>
        <w:rPr>
          <w:rFonts w:ascii="宋体" w:hAnsi="宋体" w:cs="宋体" w:eastAsia="宋体" w:hint="default"/>
          <w:spacing w:val="-5"/>
        </w:rPr>
      </w:r>
      <w:r>
        <w:rPr/>
        <w:t>则</w:t>
      </w:r>
      <w:r>
        <w:rPr>
          <w:spacing w:val="-54"/>
        </w:rPr>
        <w:t> </w:t>
      </w:r>
      <w:r>
        <w:rPr>
          <w:spacing w:val="-3"/>
        </w:rPr>
        <w:t>回售部分债券的付息日为自</w:t>
      </w:r>
      <w:r>
        <w:rPr>
          <w:rFonts w:ascii="宋体" w:hAnsi="宋体" w:cs="宋体" w:eastAsia="宋体" w:hint="default"/>
          <w:spacing w:val="-3"/>
        </w:rPr>
        <w:t>2016</w:t>
      </w:r>
      <w:r>
        <w:rPr>
          <w:spacing w:val="-3"/>
        </w:rPr>
        <w:t>年至</w:t>
      </w:r>
      <w:r>
        <w:rPr>
          <w:rFonts w:ascii="宋体" w:hAnsi="宋体" w:cs="宋体" w:eastAsia="宋体" w:hint="default"/>
          <w:spacing w:val="-3"/>
        </w:rPr>
        <w:t>2018</w:t>
      </w:r>
      <w:r>
        <w:rPr>
          <w:spacing w:val="-3"/>
        </w:rPr>
        <w:t>年间每年的</w:t>
      </w:r>
      <w:r>
        <w:rPr>
          <w:rFonts w:ascii="宋体" w:hAnsi="宋体" w:cs="宋体" w:eastAsia="宋体" w:hint="default"/>
          <w:spacing w:val="-3"/>
        </w:rPr>
        <w:t>10</w:t>
      </w:r>
      <w:r>
        <w:rPr>
          <w:spacing w:val="-3"/>
        </w:rPr>
        <w:t>月</w:t>
      </w:r>
      <w:r>
        <w:rPr>
          <w:rFonts w:ascii="宋体" w:hAnsi="宋体" w:cs="宋体" w:eastAsia="宋体" w:hint="default"/>
          <w:spacing w:val="-3"/>
        </w:rPr>
        <w:t>21</w:t>
      </w:r>
      <w:r>
        <w:rPr>
          <w:spacing w:val="-3"/>
        </w:rPr>
        <w:t>日（如遇法定节假日或休息日，则顺延至其后的第</w:t>
      </w:r>
      <w:r>
        <w:rPr>
          <w:rFonts w:ascii="宋体" w:hAnsi="宋体" w:cs="宋体" w:eastAsia="宋体" w:hint="default"/>
          <w:spacing w:val="-3"/>
        </w:rPr>
        <w:t>1</w:t>
      </w:r>
      <w:r>
        <w:rPr>
          <w:spacing w:val="-3"/>
        </w:rPr>
        <w:t>个交易日）。</w:t>
      </w:r>
      <w:r>
        <w:rPr>
          <w:rFonts w:ascii="宋体" w:hAnsi="宋体" w:cs="宋体" w:eastAsia="宋体" w:hint="default"/>
        </w:rPr>
        <w:t> </w:t>
      </w:r>
    </w:p>
    <w:p>
      <w:pPr>
        <w:pStyle w:val="BodyText"/>
        <w:spacing w:line="316" w:lineRule="auto" w:before="19"/>
        <w:ind w:right="365" w:firstLine="269"/>
        <w:jc w:val="left"/>
        <w:rPr>
          <w:rFonts w:ascii="宋体" w:hAnsi="宋体" w:cs="宋体" w:eastAsia="宋体" w:hint="default"/>
        </w:rPr>
      </w:pPr>
      <w:r>
        <w:rPr/>
        <w:t>（三）本期债券到期一次还本。本期债券的本金支付日为</w:t>
      </w:r>
      <w:r>
        <w:rPr>
          <w:rFonts w:ascii="宋体" w:hAnsi="宋体" w:cs="宋体" w:eastAsia="宋体" w:hint="default"/>
        </w:rPr>
        <w:t>2020</w:t>
      </w:r>
      <w:r>
        <w:rPr/>
        <w:t>年</w:t>
      </w:r>
      <w:r>
        <w:rPr>
          <w:rFonts w:ascii="宋体" w:hAnsi="宋体" w:cs="宋体" w:eastAsia="宋体" w:hint="default"/>
        </w:rPr>
        <w:t>10</w:t>
      </w:r>
      <w:r>
        <w:rPr/>
        <w:t>月</w:t>
      </w:r>
      <w:r>
        <w:rPr>
          <w:rFonts w:ascii="宋体" w:hAnsi="宋体" w:cs="宋体" w:eastAsia="宋体" w:hint="default"/>
        </w:rPr>
        <w:t>21</w:t>
      </w:r>
      <w:r>
        <w:rPr/>
        <w:t>日（如遇法定节假日或休息日，则顺延至其后的 第</w:t>
      </w:r>
      <w:r>
        <w:rPr>
          <w:rFonts w:ascii="宋体" w:hAnsi="宋体" w:cs="宋体" w:eastAsia="宋体" w:hint="default"/>
        </w:rPr>
        <w:t>1</w:t>
      </w:r>
      <w:r>
        <w:rPr/>
        <w:t>个交易日）。若投资者行使回售选择权，则回售和本金支付工作根据登记公司和有关机构规定办理。</w:t>
      </w:r>
      <w:r>
        <w:rPr>
          <w:rFonts w:ascii="宋体" w:hAnsi="宋体" w:cs="宋体" w:eastAsia="宋体" w:hint="default"/>
        </w:rPr>
        <w:t> </w:t>
      </w:r>
    </w:p>
    <w:p>
      <w:pPr>
        <w:pStyle w:val="BodyText"/>
        <w:spacing w:line="316" w:lineRule="auto" w:before="19"/>
        <w:ind w:right="361" w:firstLine="269"/>
        <w:jc w:val="left"/>
        <w:rPr>
          <w:rFonts w:ascii="宋体" w:hAnsi="宋体" w:cs="宋体" w:eastAsia="宋体" w:hint="default"/>
        </w:rPr>
      </w:pPr>
      <w:r>
        <w:rPr>
          <w:spacing w:val="-6"/>
        </w:rPr>
        <w:t>（四）本期债券的本金兑付、利息支付将通过登记机构和有关机构办理。本金兑付、利息支付的具体事项将按照国家有</w:t>
      </w:r>
      <w:r>
        <w:rPr>
          <w:spacing w:val="46"/>
        </w:rPr>
        <w:t> </w:t>
      </w:r>
      <w:r>
        <w:rPr>
          <w:rFonts w:ascii="宋体" w:hAnsi="宋体" w:cs="宋体" w:eastAsia="宋体" w:hint="default"/>
          <w:spacing w:val="46"/>
        </w:rPr>
      </w:r>
      <w:r>
        <w:rPr/>
        <w:t>关 规定，由公司在中国证监会指定媒体上发布的相关公告中加以说明。</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5" w:footer="980" w:top="1060" w:bottom="1160" w:left="980" w:right="760"/>
        </w:sectPr>
      </w:pPr>
    </w:p>
    <w:p>
      <w:pPr>
        <w:spacing w:line="240" w:lineRule="auto" w:before="9"/>
        <w:rPr>
          <w:rFonts w:ascii="宋体" w:hAnsi="宋体" w:cs="宋体" w:eastAsia="宋体" w:hint="default"/>
          <w:sz w:val="25"/>
          <w:szCs w:val="25"/>
        </w:rPr>
      </w:pPr>
    </w:p>
    <w:p>
      <w:pPr>
        <w:pStyle w:val="BodyText"/>
        <w:spacing w:line="319" w:lineRule="auto" w:before="44"/>
        <w:ind w:left="513" w:right="178" w:hanging="92"/>
        <w:jc w:val="left"/>
        <w:rPr>
          <w:rFonts w:ascii="宋体" w:hAnsi="宋体" w:cs="宋体" w:eastAsia="宋体" w:hint="default"/>
        </w:rPr>
      </w:pPr>
      <w:r>
        <w:rPr/>
        <w:t>（五）根据国家税收法律、法规，投资者投资本期债券应缴纳的有关税金由投资者自行承担。</w:t>
      </w:r>
      <w:r>
        <w:rPr>
          <w:spacing w:val="-87"/>
        </w:rPr>
        <w:t> </w:t>
      </w:r>
      <w:r>
        <w:rPr>
          <w:rFonts w:ascii="宋体" w:hAnsi="宋体" w:cs="宋体" w:eastAsia="宋体" w:hint="default"/>
          <w:spacing w:val="-87"/>
        </w:rPr>
      </w:r>
      <w:r>
        <w:rPr>
          <w:rFonts w:ascii="宋体" w:hAnsi="宋体" w:cs="宋体" w:eastAsia="宋体" w:hint="default"/>
        </w:rPr>
        <w:t>2</w:t>
      </w:r>
      <w:r>
        <w:rPr/>
        <w:t>、公司</w:t>
      </w:r>
      <w:r>
        <w:rPr>
          <w:rFonts w:ascii="宋体" w:hAnsi="宋体" w:cs="宋体" w:eastAsia="宋体" w:hint="default"/>
        </w:rPr>
        <w:t>2015</w:t>
      </w:r>
      <w:r>
        <w:rPr/>
        <w:t>年面向合格投资者公开发行公司债券（第二期）</w:t>
      </w:r>
      <w:r>
        <w:rPr>
          <w:rFonts w:ascii="宋体" w:hAnsi="宋体" w:cs="宋体" w:eastAsia="宋体" w:hint="default"/>
        </w:rPr>
        <w:t> </w:t>
      </w:r>
    </w:p>
    <w:p>
      <w:pPr>
        <w:pStyle w:val="BodyText"/>
        <w:spacing w:line="240" w:lineRule="auto" w:before="17"/>
        <w:ind w:left="422" w:right="178"/>
        <w:jc w:val="left"/>
        <w:rPr>
          <w:rFonts w:ascii="宋体" w:hAnsi="宋体" w:cs="宋体" w:eastAsia="宋体" w:hint="default"/>
        </w:rPr>
      </w:pPr>
      <w:r>
        <w:rPr/>
        <w:t>（一）本期公司债券的起息日为公司债券的发行起始日，即</w:t>
      </w:r>
      <w:r>
        <w:rPr>
          <w:rFonts w:ascii="宋体" w:hAnsi="宋体" w:cs="宋体" w:eastAsia="宋体" w:hint="default"/>
        </w:rPr>
        <w:t>2015</w:t>
      </w:r>
      <w:r>
        <w:rPr/>
        <w:t>年</w:t>
      </w:r>
      <w:r>
        <w:rPr>
          <w:rFonts w:ascii="宋体" w:hAnsi="宋体" w:cs="宋体" w:eastAsia="宋体" w:hint="default"/>
        </w:rPr>
        <w:t>10</w:t>
      </w:r>
      <w:r>
        <w:rPr/>
        <w:t>月</w:t>
      </w:r>
      <w:r>
        <w:rPr>
          <w:rFonts w:ascii="宋体" w:hAnsi="宋体" w:cs="宋体" w:eastAsia="宋体" w:hint="default"/>
        </w:rPr>
        <w:t>30</w:t>
      </w:r>
      <w:r>
        <w:rPr/>
        <w:t>日。</w:t>
      </w:r>
      <w:r>
        <w:rPr>
          <w:rFonts w:ascii="宋体" w:hAnsi="宋体" w:cs="宋体" w:eastAsia="宋体" w:hint="default"/>
        </w:rPr>
        <w:t> </w:t>
      </w:r>
    </w:p>
    <w:p>
      <w:pPr>
        <w:pStyle w:val="BodyText"/>
        <w:spacing w:line="316" w:lineRule="auto" w:before="76"/>
        <w:ind w:right="101" w:firstLine="269"/>
        <w:jc w:val="both"/>
        <w:rPr>
          <w:rFonts w:ascii="宋体" w:hAnsi="宋体" w:cs="宋体" w:eastAsia="宋体" w:hint="default"/>
        </w:rPr>
      </w:pPr>
      <w:r>
        <w:rPr/>
        <w:t>（二）本期公司债券的利息自起息日起每年支付一次。最后一期利息随本金的兑付一起支付。本期债券每年的付息日为 </w:t>
      </w:r>
      <w:r>
        <w:rPr>
          <w:rFonts w:ascii="宋体" w:hAnsi="宋体" w:cs="宋体" w:eastAsia="宋体" w:hint="default"/>
          <w:spacing w:val="-5"/>
        </w:rPr>
        <w:t>2016</w:t>
      </w:r>
      <w:r>
        <w:rPr>
          <w:spacing w:val="-5"/>
        </w:rPr>
        <w:t>年至</w:t>
      </w:r>
      <w:r>
        <w:rPr>
          <w:rFonts w:ascii="宋体" w:hAnsi="宋体" w:cs="宋体" w:eastAsia="宋体" w:hint="default"/>
          <w:spacing w:val="-5"/>
        </w:rPr>
        <w:t>2020</w:t>
      </w:r>
      <w:r>
        <w:rPr>
          <w:spacing w:val="-5"/>
        </w:rPr>
        <w:t>年每年的</w:t>
      </w:r>
      <w:r>
        <w:rPr>
          <w:rFonts w:ascii="宋体" w:hAnsi="宋体" w:cs="宋体" w:eastAsia="宋体" w:hint="default"/>
          <w:spacing w:val="-5"/>
        </w:rPr>
        <w:t>10</w:t>
      </w:r>
      <w:r>
        <w:rPr>
          <w:spacing w:val="-5"/>
        </w:rPr>
        <w:t>月</w:t>
      </w:r>
      <w:r>
        <w:rPr>
          <w:rFonts w:ascii="宋体" w:hAnsi="宋体" w:cs="宋体" w:eastAsia="宋体" w:hint="default"/>
          <w:spacing w:val="-5"/>
        </w:rPr>
        <w:t>30</w:t>
      </w:r>
      <w:r>
        <w:rPr>
          <w:spacing w:val="-5"/>
        </w:rPr>
        <w:t>日（如遇法定节假日或休息日，则顺延至其后的第</w:t>
      </w:r>
      <w:r>
        <w:rPr>
          <w:rFonts w:ascii="宋体" w:hAnsi="宋体" w:cs="宋体" w:eastAsia="宋体" w:hint="default"/>
          <w:spacing w:val="-5"/>
        </w:rPr>
        <w:t>1</w:t>
      </w:r>
      <w:r>
        <w:rPr>
          <w:spacing w:val="-5"/>
        </w:rPr>
        <w:t>个交易日）。若投资者行使回售选择权， </w:t>
      </w:r>
      <w:r>
        <w:rPr>
          <w:rFonts w:ascii="宋体" w:hAnsi="宋体" w:cs="宋体" w:eastAsia="宋体" w:hint="default"/>
          <w:spacing w:val="-5"/>
        </w:rPr>
      </w:r>
      <w:r>
        <w:rPr/>
        <w:t>则</w:t>
      </w:r>
      <w:r>
        <w:rPr>
          <w:spacing w:val="-54"/>
        </w:rPr>
        <w:t> </w:t>
      </w:r>
      <w:r>
        <w:rPr>
          <w:spacing w:val="-3"/>
        </w:rPr>
        <w:t>回售部分债券的付息日为自</w:t>
      </w:r>
      <w:r>
        <w:rPr>
          <w:rFonts w:ascii="宋体" w:hAnsi="宋体" w:cs="宋体" w:eastAsia="宋体" w:hint="default"/>
          <w:spacing w:val="-3"/>
        </w:rPr>
        <w:t>2016</w:t>
      </w:r>
      <w:r>
        <w:rPr>
          <w:spacing w:val="-3"/>
        </w:rPr>
        <w:t>年至</w:t>
      </w:r>
      <w:r>
        <w:rPr>
          <w:rFonts w:ascii="宋体" w:hAnsi="宋体" w:cs="宋体" w:eastAsia="宋体" w:hint="default"/>
          <w:spacing w:val="-3"/>
        </w:rPr>
        <w:t>2018</w:t>
      </w:r>
      <w:r>
        <w:rPr>
          <w:spacing w:val="-3"/>
        </w:rPr>
        <w:t>年间每年的</w:t>
      </w:r>
      <w:r>
        <w:rPr>
          <w:rFonts w:ascii="宋体" w:hAnsi="宋体" w:cs="宋体" w:eastAsia="宋体" w:hint="default"/>
          <w:spacing w:val="-3"/>
        </w:rPr>
        <w:t>10</w:t>
      </w:r>
      <w:r>
        <w:rPr>
          <w:spacing w:val="-3"/>
        </w:rPr>
        <w:t>月</w:t>
      </w:r>
      <w:r>
        <w:rPr>
          <w:rFonts w:ascii="宋体" w:hAnsi="宋体" w:cs="宋体" w:eastAsia="宋体" w:hint="default"/>
          <w:spacing w:val="-3"/>
        </w:rPr>
        <w:t>30</w:t>
      </w:r>
      <w:r>
        <w:rPr>
          <w:spacing w:val="-3"/>
        </w:rPr>
        <w:t>日（如遇法定节假日或休息日，则顺延至其后的第</w:t>
      </w:r>
      <w:r>
        <w:rPr>
          <w:rFonts w:ascii="宋体" w:hAnsi="宋体" w:cs="宋体" w:eastAsia="宋体" w:hint="default"/>
          <w:spacing w:val="-3"/>
        </w:rPr>
        <w:t>1</w:t>
      </w:r>
      <w:r>
        <w:rPr>
          <w:spacing w:val="-3"/>
        </w:rPr>
        <w:t>个交易日）。</w:t>
      </w:r>
      <w:r>
        <w:rPr>
          <w:rFonts w:ascii="宋体" w:hAnsi="宋体" w:cs="宋体" w:eastAsia="宋体" w:hint="default"/>
        </w:rPr>
        <w:t> </w:t>
      </w:r>
    </w:p>
    <w:p>
      <w:pPr>
        <w:pStyle w:val="BodyText"/>
        <w:spacing w:line="316" w:lineRule="auto" w:before="19"/>
        <w:ind w:right="198" w:firstLine="269"/>
        <w:jc w:val="both"/>
        <w:rPr>
          <w:rFonts w:ascii="宋体" w:hAnsi="宋体" w:cs="宋体" w:eastAsia="宋体" w:hint="default"/>
        </w:rPr>
      </w:pPr>
      <w:r>
        <w:rPr/>
        <w:t>（三）本期债券到期一次还本。本期债券的本金支付日为</w:t>
      </w:r>
      <w:r>
        <w:rPr>
          <w:rFonts w:ascii="宋体" w:hAnsi="宋体" w:cs="宋体" w:eastAsia="宋体" w:hint="default"/>
        </w:rPr>
        <w:t>2020</w:t>
      </w:r>
      <w:r>
        <w:rPr/>
        <w:t>年</w:t>
      </w:r>
      <w:r>
        <w:rPr>
          <w:rFonts w:ascii="宋体" w:hAnsi="宋体" w:cs="宋体" w:eastAsia="宋体" w:hint="default"/>
        </w:rPr>
        <w:t>10</w:t>
      </w:r>
      <w:r>
        <w:rPr/>
        <w:t>月</w:t>
      </w:r>
      <w:r>
        <w:rPr>
          <w:rFonts w:ascii="宋体" w:hAnsi="宋体" w:cs="宋体" w:eastAsia="宋体" w:hint="default"/>
        </w:rPr>
        <w:t>30</w:t>
      </w:r>
      <w:r>
        <w:rPr/>
        <w:t>日（如遇法定节假日或休息日，则顺延至其后的 第</w:t>
      </w:r>
      <w:r>
        <w:rPr>
          <w:rFonts w:ascii="宋体" w:hAnsi="宋体" w:cs="宋体" w:eastAsia="宋体" w:hint="default"/>
        </w:rPr>
        <w:t>1</w:t>
      </w:r>
      <w:r>
        <w:rPr/>
        <w:t>个交易日）。若投资者行使回售选择权，则回售和本金支付工作根据登记公司和有关机构规定办理。</w:t>
      </w:r>
      <w:r>
        <w:rPr>
          <w:rFonts w:ascii="宋体" w:hAnsi="宋体" w:cs="宋体" w:eastAsia="宋体" w:hint="default"/>
        </w:rPr>
        <w:t> </w:t>
      </w:r>
    </w:p>
    <w:p>
      <w:pPr>
        <w:pStyle w:val="BodyText"/>
        <w:spacing w:line="316" w:lineRule="auto" w:before="19"/>
        <w:ind w:right="200" w:firstLine="269"/>
        <w:jc w:val="both"/>
        <w:rPr>
          <w:rFonts w:ascii="宋体" w:hAnsi="宋体" w:cs="宋体" w:eastAsia="宋体" w:hint="default"/>
        </w:rPr>
      </w:pPr>
      <w:r>
        <w:rPr/>
        <w:t>（四）本期债券的本金兑付、利息支付将通过登记机构和有关机构办理。本金兑付、利息支付的具体事项将按照国家有 关规定，由公司在中国证监会指定媒体上发布的相关公告中加以说明。</w:t>
      </w:r>
      <w:r>
        <w:rPr>
          <w:rFonts w:ascii="宋体" w:hAnsi="宋体" w:cs="宋体" w:eastAsia="宋体" w:hint="default"/>
        </w:rPr>
        <w:t> </w:t>
      </w:r>
    </w:p>
    <w:p>
      <w:pPr>
        <w:pStyle w:val="BodyText"/>
        <w:spacing w:line="316" w:lineRule="auto" w:before="19"/>
        <w:ind w:left="513" w:right="1893" w:hanging="92"/>
        <w:jc w:val="left"/>
        <w:rPr>
          <w:rFonts w:ascii="宋体" w:hAnsi="宋体" w:cs="宋体" w:eastAsia="宋体" w:hint="default"/>
        </w:rPr>
      </w:pPr>
      <w:r>
        <w:rPr/>
        <w:t>（五）根据国家税收法律、法规，投资者投资本期债券应缴纳的有关税金由投资者自行承担。</w:t>
      </w:r>
      <w:r>
        <w:rPr>
          <w:spacing w:val="-87"/>
        </w:rPr>
        <w:t> </w:t>
      </w:r>
      <w:r>
        <w:rPr>
          <w:rFonts w:ascii="宋体" w:hAnsi="宋体" w:cs="宋体" w:eastAsia="宋体" w:hint="default"/>
          <w:spacing w:val="-87"/>
        </w:rPr>
      </w:r>
      <w:r>
        <w:rPr/>
        <w:t>三、偿债保障措施</w:t>
      </w:r>
      <w:r>
        <w:rPr>
          <w:rFonts w:ascii="宋体" w:hAnsi="宋体" w:cs="宋体" w:eastAsia="宋体" w:hint="default"/>
        </w:rPr>
        <w:t> </w:t>
      </w:r>
    </w:p>
    <w:p>
      <w:pPr>
        <w:pStyle w:val="BodyText"/>
        <w:spacing w:line="319" w:lineRule="auto" w:before="19"/>
        <w:ind w:right="192" w:firstLine="360"/>
        <w:jc w:val="both"/>
        <w:rPr>
          <w:rFonts w:ascii="宋体" w:hAnsi="宋体" w:cs="宋体" w:eastAsia="宋体" w:hint="default"/>
        </w:rPr>
      </w:pPr>
      <w:r>
        <w:rPr>
          <w:spacing w:val="-2"/>
        </w:rPr>
        <w:t>为了充分、有效地维护本期债券持有人的合法权益，发行人为本期债券的按时、足额偿付制定了一系列工作计划，努力</w:t>
      </w:r>
      <w:r>
        <w:rPr/>
        <w:t> 形成一套确保债券安全兑付的保障措施。</w:t>
      </w:r>
      <w:r>
        <w:rPr>
          <w:rFonts w:ascii="宋体" w:hAnsi="宋体" w:cs="宋体" w:eastAsia="宋体" w:hint="default"/>
        </w:rPr>
        <w:t> </w:t>
      </w:r>
    </w:p>
    <w:p>
      <w:pPr>
        <w:pStyle w:val="BodyText"/>
        <w:spacing w:line="316" w:lineRule="auto" w:before="17"/>
        <w:ind w:right="200" w:firstLine="269"/>
        <w:jc w:val="both"/>
        <w:rPr>
          <w:rFonts w:ascii="宋体" w:hAnsi="宋体" w:cs="宋体" w:eastAsia="宋体" w:hint="default"/>
        </w:rPr>
      </w:pPr>
      <w:r>
        <w:rPr/>
        <w:t>（一）专门部门负责偿付工作发行人指定财务部牵头负责协调本期债券的偿付工作，并协调公司其他相关部门在每年的 财务预算中落实安排本期债券本息的偿付资金，保证本息的如期偿付，保障债券持有人的利益。</w:t>
      </w:r>
      <w:r>
        <w:rPr>
          <w:rFonts w:ascii="宋体" w:hAnsi="宋体" w:cs="宋体" w:eastAsia="宋体" w:hint="default"/>
        </w:rPr>
        <w:t> </w:t>
      </w:r>
    </w:p>
    <w:p>
      <w:pPr>
        <w:pStyle w:val="BodyText"/>
        <w:spacing w:line="316" w:lineRule="auto" w:before="19"/>
        <w:ind w:right="195" w:firstLine="269"/>
        <w:jc w:val="both"/>
        <w:rPr>
          <w:rFonts w:ascii="宋体" w:hAnsi="宋体" w:cs="宋体" w:eastAsia="宋体" w:hint="default"/>
        </w:rPr>
      </w:pPr>
      <w:r>
        <w:rPr/>
        <w:t>（二）制定债券持有人会议规则发行人已按照《公司债券发行与交易管理办法》的规定与债券受托管理人为本期债券制 </w:t>
      </w:r>
      <w:r>
        <w:rPr>
          <w:spacing w:val="-2"/>
        </w:rPr>
        <w:t>定了《债券持有人会议规则》，约定债券持有人通过债券持有人会议行使权利的范围、程序和其他重要事项，为保障本期公</w:t>
      </w:r>
      <w:r>
        <w:rPr>
          <w:spacing w:val="-67"/>
        </w:rPr>
        <w:t> </w:t>
      </w:r>
      <w:r>
        <w:rPr>
          <w:spacing w:val="-67"/>
        </w:rPr>
      </w:r>
      <w:r>
        <w:rPr/>
        <w:t>司债券本息及时足额偿付做出了合理的制度安排。</w:t>
      </w:r>
      <w:r>
        <w:rPr>
          <w:rFonts w:ascii="宋体" w:hAnsi="宋体" w:cs="宋体" w:eastAsia="宋体" w:hint="default"/>
        </w:rPr>
        <w:t> </w:t>
      </w:r>
    </w:p>
    <w:p>
      <w:pPr>
        <w:pStyle w:val="BodyText"/>
        <w:spacing w:line="240" w:lineRule="auto" w:before="19"/>
        <w:ind w:left="513" w:right="178"/>
        <w:jc w:val="left"/>
        <w:rPr>
          <w:rFonts w:ascii="宋体" w:hAnsi="宋体" w:cs="宋体" w:eastAsia="宋体" w:hint="default"/>
        </w:rPr>
      </w:pPr>
      <w:r>
        <w:rPr/>
        <w:t>有关债券持有人会议规则的具体内容，详见本募集说明书第八节“债券持有人会议”。</w:t>
      </w:r>
      <w:r>
        <w:rPr>
          <w:rFonts w:ascii="宋体" w:hAnsi="宋体" w:cs="宋体" w:eastAsia="宋体" w:hint="default"/>
        </w:rPr>
        <w:t> </w:t>
      </w:r>
    </w:p>
    <w:p>
      <w:pPr>
        <w:pStyle w:val="BodyText"/>
        <w:spacing w:line="316" w:lineRule="auto" w:before="76"/>
        <w:ind w:right="195" w:firstLine="269"/>
        <w:jc w:val="both"/>
        <w:rPr>
          <w:rFonts w:ascii="宋体" w:hAnsi="宋体" w:cs="宋体" w:eastAsia="宋体" w:hint="default"/>
        </w:rPr>
      </w:pPr>
      <w:r>
        <w:rPr/>
        <w:t>（三）充分发挥债券受托管理人的作用发行人按照《公司债券发行与交易管理办法》的要求，聘请中信建投证券担任本 </w:t>
      </w:r>
      <w:r>
        <w:rPr>
          <w:spacing w:val="-2"/>
        </w:rPr>
        <w:t>期债券的债券受托管理人，并与中信建投证券订立了《受托管理协议》。在本期债券存续期限内，由债券受托管理人依照协</w:t>
      </w:r>
      <w:r>
        <w:rPr>
          <w:spacing w:val="-67"/>
        </w:rPr>
        <w:t> </w:t>
      </w:r>
      <w:r>
        <w:rPr>
          <w:spacing w:val="-67"/>
        </w:rPr>
      </w:r>
      <w:r>
        <w:rPr/>
        <w:t>议的约定维护债券持有人的利益。</w:t>
      </w:r>
      <w:r>
        <w:rPr>
          <w:rFonts w:ascii="宋体" w:hAnsi="宋体" w:cs="宋体" w:eastAsia="宋体" w:hint="default"/>
        </w:rPr>
        <w:t> </w:t>
      </w:r>
    </w:p>
    <w:p>
      <w:pPr>
        <w:pStyle w:val="BodyText"/>
        <w:spacing w:line="319" w:lineRule="auto" w:before="19"/>
        <w:ind w:right="190" w:firstLine="269"/>
        <w:jc w:val="both"/>
        <w:rPr>
          <w:rFonts w:ascii="宋体" w:hAnsi="宋体" w:cs="宋体" w:eastAsia="宋体" w:hint="default"/>
        </w:rPr>
      </w:pPr>
      <w:r>
        <w:rPr/>
        <w:t>（四）严格信息披露发行人将遵循真实、准确、完整的信息披露原则，按《受托管理协议》及中国证监会的有关规定进 </w:t>
      </w:r>
      <w:r>
        <w:rPr>
          <w:spacing w:val="-2"/>
        </w:rPr>
        <w:t>行重大事项信息披露，使公司偿债能力、募集资金使用等情况受到债券持有人、债券受托管理人和股东的监督，防范偿债风</w:t>
      </w:r>
      <w:r>
        <w:rPr>
          <w:spacing w:val="-64"/>
        </w:rPr>
        <w:t> </w:t>
      </w:r>
      <w:r>
        <w:rPr>
          <w:spacing w:val="-64"/>
        </w:rPr>
      </w:r>
      <w:r>
        <w:rPr/>
        <w:t>险。</w:t>
      </w:r>
      <w:r>
        <w:rPr>
          <w:rFonts w:ascii="宋体" w:hAnsi="宋体" w:cs="宋体" w:eastAsia="宋体" w:hint="default"/>
        </w:rPr>
        <w:t> </w:t>
      </w:r>
    </w:p>
    <w:p>
      <w:pPr>
        <w:pStyle w:val="BodyText"/>
        <w:spacing w:line="316" w:lineRule="auto" w:before="17"/>
        <w:ind w:right="196" w:firstLine="269"/>
        <w:jc w:val="both"/>
        <w:rPr>
          <w:rFonts w:ascii="宋体" w:hAnsi="宋体" w:cs="宋体" w:eastAsia="宋体" w:hint="default"/>
        </w:rPr>
      </w:pPr>
      <w:r>
        <w:rPr/>
        <w:t>（五）发行人承诺经公司</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27</w:t>
      </w:r>
      <w:r>
        <w:rPr/>
        <w:t>日第三届董事会第二十二次会议和</w:t>
      </w:r>
      <w:r>
        <w:rPr>
          <w:rFonts w:ascii="宋体" w:hAnsi="宋体" w:cs="宋体" w:eastAsia="宋体" w:hint="default"/>
        </w:rPr>
        <w:t>2015</w:t>
      </w:r>
      <w:r>
        <w:rPr/>
        <w:t>年</w:t>
      </w:r>
      <w:r>
        <w:rPr>
          <w:rFonts w:ascii="宋体" w:hAnsi="宋体" w:cs="宋体" w:eastAsia="宋体" w:hint="default"/>
        </w:rPr>
        <w:t>5</w:t>
      </w:r>
      <w:r>
        <w:rPr/>
        <w:t>月</w:t>
      </w:r>
      <w:r>
        <w:rPr>
          <w:rFonts w:ascii="宋体" w:hAnsi="宋体" w:cs="宋体" w:eastAsia="宋体" w:hint="default"/>
        </w:rPr>
        <w:t>15</w:t>
      </w:r>
      <w:r>
        <w:rPr/>
        <w:t>日</w:t>
      </w:r>
      <w:r>
        <w:rPr>
          <w:rFonts w:ascii="宋体" w:hAnsi="宋体" w:cs="宋体" w:eastAsia="宋体" w:hint="default"/>
        </w:rPr>
        <w:t>2015</w:t>
      </w:r>
      <w:r>
        <w:rPr/>
        <w:t>年第二次临时股东大会审议 通过，发行人承诺在预计不能按期偿付债券本息或者到期未能按期偿付债券本息时，发行人将至少采取如下措施：</w:t>
      </w:r>
      <w:r>
        <w:rPr>
          <w:rFonts w:ascii="宋体" w:hAnsi="宋体" w:cs="宋体" w:eastAsia="宋体" w:hint="default"/>
        </w:rPr>
        <w:t> </w:t>
      </w:r>
    </w:p>
    <w:p>
      <w:pPr>
        <w:pStyle w:val="BodyText"/>
        <w:spacing w:line="240" w:lineRule="auto" w:before="19"/>
        <w:ind w:left="513" w:right="6754"/>
        <w:jc w:val="left"/>
        <w:rPr>
          <w:rFonts w:ascii="宋体" w:hAnsi="宋体" w:cs="宋体" w:eastAsia="宋体" w:hint="default"/>
        </w:rPr>
      </w:pPr>
      <w:r>
        <w:rPr>
          <w:rFonts w:ascii="宋体" w:hAnsi="宋体" w:cs="宋体" w:eastAsia="宋体" w:hint="default"/>
        </w:rPr>
        <w:t>1</w:t>
      </w:r>
      <w:r>
        <w:rPr/>
        <w:t>、不向股东分配利润；</w:t>
      </w:r>
      <w:r>
        <w:rPr>
          <w:rFonts w:ascii="宋体" w:hAnsi="宋体" w:cs="宋体" w:eastAsia="宋体" w:hint="default"/>
        </w:rPr>
        <w:t> </w:t>
      </w:r>
    </w:p>
    <w:p>
      <w:pPr>
        <w:pStyle w:val="BodyText"/>
        <w:spacing w:line="240" w:lineRule="auto" w:before="76"/>
        <w:ind w:left="513" w:right="178"/>
        <w:jc w:val="left"/>
        <w:rPr>
          <w:rFonts w:ascii="宋体" w:hAnsi="宋体" w:cs="宋体" w:eastAsia="宋体" w:hint="default"/>
        </w:rPr>
      </w:pPr>
      <w:r>
        <w:rPr>
          <w:rFonts w:ascii="宋体" w:hAnsi="宋体" w:cs="宋体" w:eastAsia="宋体" w:hint="default"/>
        </w:rPr>
        <w:t>2</w:t>
      </w:r>
      <w:r>
        <w:rPr/>
        <w:t>、暂缓重大对外投资、收购兼并等资本性支出项目的实施；</w:t>
      </w:r>
      <w:r>
        <w:rPr>
          <w:rFonts w:ascii="宋体" w:hAnsi="宋体" w:cs="宋体" w:eastAsia="宋体" w:hint="default"/>
        </w:rPr>
        <w:t> </w:t>
      </w:r>
    </w:p>
    <w:p>
      <w:pPr>
        <w:pStyle w:val="BodyText"/>
        <w:spacing w:line="240" w:lineRule="auto" w:before="76"/>
        <w:ind w:left="513" w:right="178"/>
        <w:jc w:val="left"/>
        <w:rPr>
          <w:rFonts w:ascii="宋体" w:hAnsi="宋体" w:cs="宋体" w:eastAsia="宋体" w:hint="default"/>
        </w:rPr>
      </w:pPr>
      <w:r>
        <w:rPr>
          <w:rFonts w:ascii="宋体" w:hAnsi="宋体" w:cs="宋体" w:eastAsia="宋体" w:hint="default"/>
        </w:rPr>
        <w:t>3</w:t>
      </w:r>
      <w:r>
        <w:rPr/>
        <w:t>、调减或停发董事和高级管理人员的工资和奖金；</w:t>
      </w:r>
      <w:r>
        <w:rPr>
          <w:rFonts w:ascii="宋体" w:hAnsi="宋体" w:cs="宋体" w:eastAsia="宋体" w:hint="default"/>
        </w:rPr>
        <w:t> </w:t>
      </w:r>
    </w:p>
    <w:p>
      <w:pPr>
        <w:pStyle w:val="BodyText"/>
        <w:spacing w:line="240" w:lineRule="auto" w:before="76"/>
        <w:ind w:left="513" w:right="6754"/>
        <w:jc w:val="left"/>
        <w:rPr>
          <w:rFonts w:ascii="宋体" w:hAnsi="宋体" w:cs="宋体" w:eastAsia="宋体" w:hint="default"/>
        </w:rPr>
      </w:pPr>
      <w:r>
        <w:rPr>
          <w:rFonts w:ascii="宋体" w:hAnsi="宋体" w:cs="宋体" w:eastAsia="宋体" w:hint="default"/>
        </w:rPr>
        <w:t>4</w:t>
      </w:r>
      <w:r>
        <w:rPr/>
        <w:t>、主要责任人不得调离。</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2"/>
        <w:spacing w:line="240" w:lineRule="auto"/>
        <w:ind w:right="178"/>
        <w:jc w:val="left"/>
        <w:rPr>
          <w:b w:val="0"/>
          <w:bCs w:val="0"/>
        </w:rPr>
      </w:pPr>
      <w:r>
        <w:rPr/>
        <w:t>六、报告期内债券持有人会议的召开情况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92" w:firstLine="360"/>
        <w:jc w:val="both"/>
        <w:rPr>
          <w:rFonts w:ascii="宋体" w:hAnsi="宋体" w:cs="宋体" w:eastAsia="宋体" w:hint="default"/>
        </w:rPr>
      </w:pPr>
      <w:r>
        <w:rPr>
          <w:spacing w:val="-2"/>
        </w:rPr>
        <w:t>公司债券受托管理人中信建投，就公司本年度因公司实施员工股权激励期间部分员工离职以及股权激励业绩未达到解锁</w:t>
      </w:r>
      <w:r>
        <w:rPr/>
        <w:t> 条件回购其股权相应减少注册资本事项，召集“</w:t>
      </w:r>
      <w:r>
        <w:rPr>
          <w:rFonts w:ascii="宋体" w:hAnsi="宋体" w:cs="宋体" w:eastAsia="宋体" w:hint="default"/>
        </w:rPr>
        <w:t>15 </w:t>
      </w:r>
      <w:r>
        <w:rPr/>
        <w:t>证通 </w:t>
      </w:r>
      <w:r>
        <w:rPr>
          <w:rFonts w:ascii="宋体" w:hAnsi="宋体" w:cs="宋体" w:eastAsia="宋体" w:hint="default"/>
        </w:rPr>
        <w:t>01</w:t>
      </w:r>
      <w:r>
        <w:rPr/>
        <w:t>”和 </w:t>
      </w:r>
      <w:r>
        <w:rPr>
          <w:rFonts w:ascii="宋体" w:hAnsi="宋体" w:cs="宋体" w:eastAsia="宋体" w:hint="default"/>
        </w:rPr>
      </w:r>
      <w:r>
        <w:rPr/>
        <w:t>“</w:t>
      </w:r>
      <w:r>
        <w:rPr>
          <w:rFonts w:ascii="宋体" w:hAnsi="宋体" w:cs="宋体" w:eastAsia="宋体" w:hint="default"/>
        </w:rPr>
        <w:t>15 </w:t>
      </w:r>
      <w:r>
        <w:rPr/>
        <w:t>证通 </w:t>
      </w:r>
      <w:r>
        <w:rPr>
          <w:rFonts w:ascii="宋体" w:hAnsi="宋体" w:cs="宋体" w:eastAsia="宋体" w:hint="default"/>
        </w:rPr>
        <w:t>02</w:t>
      </w:r>
      <w:r>
        <w:rPr/>
        <w:t>”</w:t>
      </w:r>
      <w:r>
        <w:rPr>
          <w:rFonts w:ascii="宋体" w:hAnsi="宋体" w:cs="宋体" w:eastAsia="宋体" w:hint="default"/>
        </w:rPr>
        <w:t>2017 </w:t>
      </w:r>
      <w:r>
        <w:rPr/>
        <w:t>年第一次债券持有人会议，于</w:t>
      </w:r>
      <w:r>
        <w:rPr>
          <w:spacing w:val="-7"/>
        </w:rPr>
        <w:t> </w:t>
      </w:r>
      <w:r>
        <w:rPr>
          <w:rFonts w:ascii="宋体" w:hAnsi="宋体" w:cs="宋体" w:eastAsia="宋体" w:hint="default"/>
          <w:spacing w:val="-7"/>
        </w:rPr>
      </w:r>
      <w:r>
        <w:rPr>
          <w:rFonts w:ascii="宋体" w:hAnsi="宋体" w:cs="宋体" w:eastAsia="宋体" w:hint="default"/>
        </w:rPr>
        <w:t>2017</w:t>
      </w:r>
      <w:r>
        <w:rPr>
          <w:rFonts w:ascii="宋体" w:hAnsi="宋体" w:cs="宋体" w:eastAsia="宋体" w:hint="default"/>
        </w:rPr>
        <w:t> </w:t>
      </w:r>
      <w:r>
        <w:rPr/>
        <w:t>年</w:t>
      </w:r>
      <w:r>
        <w:rPr>
          <w:rFonts w:ascii="宋体" w:hAnsi="宋体" w:cs="宋体" w:eastAsia="宋体" w:hint="default"/>
        </w:rPr>
        <w:t>6</w:t>
      </w:r>
      <w:r>
        <w:rPr/>
        <w:t>月</w:t>
      </w:r>
      <w:r>
        <w:rPr>
          <w:rFonts w:ascii="宋体" w:hAnsi="宋体" w:cs="宋体" w:eastAsia="宋体" w:hint="default"/>
        </w:rPr>
        <w:t>27</w:t>
      </w:r>
      <w:r>
        <w:rPr/>
        <w:t>日在巨潮资讯网</w:t>
      </w:r>
      <w:r>
        <w:rPr>
          <w:rFonts w:ascii="宋体" w:hAnsi="宋体" w:cs="宋体" w:eastAsia="宋体" w:hint="default"/>
        </w:rPr>
        <w:t>(http://www.cninfo.com.cn)</w:t>
      </w:r>
      <w:r>
        <w:rPr/>
        <w:t>上刊登了《深圳市证通电子股份有限公司关于中信建投证券股份有限 公司召开”</w:t>
      </w:r>
      <w:r>
        <w:rPr>
          <w:rFonts w:ascii="宋体" w:hAnsi="宋体" w:cs="宋体" w:eastAsia="宋体" w:hint="default"/>
        </w:rPr>
        <w:t>15 </w:t>
      </w:r>
      <w:r>
        <w:rPr/>
        <w:t>证通 </w:t>
      </w:r>
      <w:r>
        <w:rPr>
          <w:rFonts w:ascii="宋体" w:hAnsi="宋体" w:cs="宋体" w:eastAsia="宋体" w:hint="default"/>
        </w:rPr>
        <w:t>01</w:t>
      </w:r>
      <w:r>
        <w:rPr/>
        <w:t>”和“</w:t>
      </w:r>
      <w:r>
        <w:rPr>
          <w:rFonts w:ascii="宋体" w:hAnsi="宋体" w:cs="宋体" w:eastAsia="宋体" w:hint="default"/>
        </w:rPr>
        <w:t>15 </w:t>
      </w:r>
      <w:r>
        <w:rPr/>
        <w:t>证通 </w:t>
      </w:r>
      <w:r>
        <w:rPr>
          <w:rFonts w:ascii="宋体" w:hAnsi="宋体" w:cs="宋体" w:eastAsia="宋体" w:hint="default"/>
        </w:rPr>
        <w:t>02</w:t>
      </w:r>
      <w:r>
        <w:rPr/>
        <w:t>”</w:t>
      </w:r>
      <w:r>
        <w:rPr>
          <w:rFonts w:ascii="宋体" w:hAnsi="宋体" w:cs="宋体" w:eastAsia="宋体" w:hint="default"/>
        </w:rPr>
        <w:t>2017</w:t>
      </w:r>
      <w:r>
        <w:rPr>
          <w:rFonts w:ascii="宋体" w:hAnsi="宋体" w:cs="宋体" w:eastAsia="宋体" w:hint="default"/>
          <w:spacing w:val="-7"/>
        </w:rPr>
        <w:t> </w:t>
      </w:r>
      <w:r>
        <w:rPr/>
        <w:t>年第一次债券持有人会议的通知》。</w:t>
      </w:r>
      <w:r>
        <w:rPr>
          <w:rFonts w:ascii="宋体" w:hAnsi="宋体" w:cs="宋体" w:eastAsia="宋体" w:hint="default"/>
        </w:rPr>
        <w:t> </w:t>
      </w:r>
    </w:p>
    <w:p>
      <w:pPr>
        <w:pStyle w:val="BodyText"/>
        <w:spacing w:line="316" w:lineRule="auto" w:before="19"/>
        <w:ind w:right="188" w:firstLine="360"/>
        <w:jc w:val="both"/>
        <w:rPr>
          <w:rFonts w:ascii="宋体" w:hAnsi="宋体" w:cs="宋体" w:eastAsia="宋体" w:hint="default"/>
        </w:rPr>
      </w:pP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14</w:t>
      </w:r>
      <w:r>
        <w:rPr/>
        <w:t>日，中信建投组织召开了公司“</w:t>
      </w:r>
      <w:r>
        <w:rPr>
          <w:rFonts w:ascii="宋体" w:hAnsi="宋体" w:cs="宋体" w:eastAsia="宋体" w:hint="default"/>
        </w:rPr>
        <w:t>15 </w:t>
      </w:r>
      <w:r>
        <w:rPr/>
        <w:t>证通 </w:t>
      </w:r>
      <w:r>
        <w:rPr>
          <w:rFonts w:ascii="宋体" w:hAnsi="宋体" w:cs="宋体" w:eastAsia="宋体" w:hint="default"/>
        </w:rPr>
        <w:t>01</w:t>
      </w:r>
      <w:r>
        <w:rPr/>
        <w:t>”和“</w:t>
      </w:r>
      <w:r>
        <w:rPr>
          <w:rFonts w:ascii="宋体" w:hAnsi="宋体" w:cs="宋体" w:eastAsia="宋体" w:hint="default"/>
        </w:rPr>
        <w:t>15 </w:t>
      </w:r>
      <w:r>
        <w:rPr/>
        <w:t>证通</w:t>
      </w:r>
      <w:r>
        <w:rPr>
          <w:spacing w:val="-10"/>
        </w:rPr>
        <w:t> </w:t>
      </w:r>
      <w:r>
        <w:rPr>
          <w:rFonts w:ascii="宋体" w:hAnsi="宋体" w:cs="宋体" w:eastAsia="宋体" w:hint="default"/>
          <w:spacing w:val="-10"/>
        </w:rPr>
      </w:r>
      <w:r>
        <w:rPr>
          <w:rFonts w:ascii="宋体" w:hAnsi="宋体" w:cs="宋体" w:eastAsia="宋体" w:hint="default"/>
        </w:rPr>
        <w:t>02</w:t>
      </w:r>
      <w:r>
        <w:rPr/>
        <w:t>”</w:t>
      </w:r>
      <w:r>
        <w:rPr>
          <w:rFonts w:ascii="宋体" w:hAnsi="宋体" w:cs="宋体" w:eastAsia="宋体" w:hint="default"/>
        </w:rPr>
        <w:t>2017</w:t>
      </w:r>
      <w:r>
        <w:rPr/>
        <w:t>年第一次债券持有人会议，债券持有 人审议通过了《关于不要求公司提前清偿债务及提供额外担保的议案》。相关事项详见</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15</w:t>
      </w:r>
      <w:r>
        <w:rPr/>
        <w:t>日公司披露于巨潮资讯 </w:t>
      </w:r>
      <w:r>
        <w:rPr>
          <w:spacing w:val="-5"/>
        </w:rPr>
        <w:t>网上的《公司“</w:t>
      </w:r>
      <w:r>
        <w:rPr>
          <w:rFonts w:ascii="宋体" w:hAnsi="宋体" w:cs="宋体" w:eastAsia="宋体" w:hint="default"/>
          <w:spacing w:val="-5"/>
        </w:rPr>
        <w:t>15</w:t>
      </w:r>
      <w:r>
        <w:rPr>
          <w:rFonts w:ascii="宋体" w:hAnsi="宋体" w:cs="宋体" w:eastAsia="宋体" w:hint="default"/>
          <w:spacing w:val="9"/>
        </w:rPr>
        <w:t> </w:t>
      </w:r>
      <w:r>
        <w:rPr/>
        <w:t>证通</w:t>
      </w:r>
      <w:r>
        <w:rPr>
          <w:spacing w:val="9"/>
        </w:rPr>
        <w:t> </w:t>
      </w:r>
      <w:r>
        <w:rPr>
          <w:rFonts w:ascii="宋体" w:hAnsi="宋体" w:cs="宋体" w:eastAsia="宋体" w:hint="default"/>
          <w:spacing w:val="9"/>
        </w:rPr>
      </w:r>
      <w:r>
        <w:rPr>
          <w:rFonts w:ascii="宋体" w:hAnsi="宋体" w:cs="宋体" w:eastAsia="宋体" w:hint="default"/>
          <w:spacing w:val="-4"/>
        </w:rPr>
        <w:t>01</w:t>
      </w:r>
      <w:r>
        <w:rPr>
          <w:spacing w:val="-4"/>
        </w:rPr>
        <w:t>”</w:t>
      </w:r>
      <w:r>
        <w:rPr>
          <w:rFonts w:ascii="宋体" w:hAnsi="宋体" w:cs="宋体" w:eastAsia="宋体" w:hint="default"/>
          <w:spacing w:val="-4"/>
        </w:rPr>
        <w:t>2017</w:t>
      </w:r>
      <w:r>
        <w:rPr>
          <w:rFonts w:ascii="宋体" w:hAnsi="宋体" w:cs="宋体" w:eastAsia="宋体" w:hint="default"/>
          <w:spacing w:val="10"/>
        </w:rPr>
        <w:t> </w:t>
      </w:r>
      <w:r>
        <w:rPr>
          <w:spacing w:val="-4"/>
        </w:rPr>
        <w:t>年第一次债券持有人会议决议的公告》（公告编号：</w:t>
      </w:r>
      <w:r>
        <w:rPr>
          <w:rFonts w:ascii="宋体" w:hAnsi="宋体" w:cs="宋体" w:eastAsia="宋体" w:hint="default"/>
          <w:spacing w:val="-4"/>
        </w:rPr>
        <w:t>2017-055</w:t>
      </w:r>
      <w:r>
        <w:rPr>
          <w:spacing w:val="-4"/>
        </w:rPr>
        <w:t>）和《公司“</w:t>
      </w:r>
      <w:r>
        <w:rPr>
          <w:rFonts w:ascii="宋体" w:hAnsi="宋体" w:cs="宋体" w:eastAsia="宋体" w:hint="default"/>
          <w:spacing w:val="-4"/>
        </w:rPr>
        <w:t>15</w:t>
      </w:r>
      <w:r>
        <w:rPr>
          <w:rFonts w:ascii="宋体" w:hAnsi="宋体" w:cs="宋体" w:eastAsia="宋体" w:hint="default"/>
          <w:spacing w:val="9"/>
        </w:rPr>
        <w:t> </w:t>
      </w:r>
      <w:r>
        <w:rPr/>
        <w:t>证通</w:t>
      </w:r>
      <w:r>
        <w:rPr>
          <w:spacing w:val="5"/>
        </w:rPr>
        <w:t> </w:t>
      </w:r>
      <w:r>
        <w:rPr>
          <w:rFonts w:ascii="宋体" w:hAnsi="宋体" w:cs="宋体" w:eastAsia="宋体" w:hint="default"/>
          <w:spacing w:val="5"/>
        </w:rPr>
      </w:r>
      <w:r>
        <w:rPr>
          <w:rFonts w:ascii="宋体" w:hAnsi="宋体" w:cs="宋体" w:eastAsia="宋体" w:hint="default"/>
        </w:rPr>
        <w:t>02</w:t>
      </w:r>
      <w:r>
        <w:rPr/>
        <w:t>”</w:t>
      </w:r>
      <w:r>
        <w:rPr>
          <w:spacing w:val="-88"/>
        </w:rPr>
        <w:t> </w:t>
      </w:r>
      <w:r>
        <w:rPr>
          <w:rFonts w:ascii="宋体" w:hAnsi="宋体" w:cs="宋体" w:eastAsia="宋体" w:hint="default"/>
        </w:rPr>
        <w:t>2017</w:t>
      </w:r>
      <w:r>
        <w:rPr>
          <w:rFonts w:ascii="宋体" w:hAnsi="宋体" w:cs="宋体" w:eastAsia="宋体" w:hint="default"/>
          <w:spacing w:val="-1"/>
        </w:rPr>
        <w:t> </w:t>
      </w:r>
      <w:r>
        <w:rPr/>
        <w:t>年第一次债券持有人会议决议的公告》（公告编号：</w:t>
      </w:r>
      <w:r>
        <w:rPr>
          <w:rFonts w:ascii="宋体" w:hAnsi="宋体" w:cs="宋体" w:eastAsia="宋体" w:hint="default"/>
        </w:rPr>
        <w:t>2017-056</w:t>
      </w:r>
      <w:r>
        <w:rPr/>
        <w:t>）。</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745" w:footer="980" w:top="1060" w:bottom="1160" w:left="98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七、报告期内债券受托管理人履行职责的情况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rPr>
          <w:rFonts w:ascii="宋体" w:hAnsi="宋体" w:cs="宋体" w:eastAsia="宋体" w:hint="default"/>
        </w:rPr>
      </w:pPr>
      <w:r>
        <w:rPr>
          <w:spacing w:val="-2"/>
        </w:rPr>
        <w:t>公司债券存续期内，债券受托管理人依据《公司债券受托管理人执业行为准则》行使受托管理人职责，包括监督公司债</w:t>
      </w:r>
      <w:r>
        <w:rPr/>
        <w:t> 券募集资金使用情况、持续关注发行人资信状况以及债券增信机构的资信状况等。</w:t>
      </w:r>
      <w:r>
        <w:rPr>
          <w:rFonts w:ascii="宋体" w:hAnsi="宋体" w:cs="宋体" w:eastAsia="宋体" w:hint="default"/>
        </w:rPr>
        <w:t> </w:t>
      </w:r>
    </w:p>
    <w:p>
      <w:pPr>
        <w:pStyle w:val="BodyText"/>
        <w:spacing w:line="316" w:lineRule="auto" w:before="19"/>
        <w:ind w:right="144" w:firstLine="360"/>
        <w:jc w:val="left"/>
        <w:rPr>
          <w:rFonts w:ascii="宋体" w:hAnsi="宋体" w:cs="宋体" w:eastAsia="宋体" w:hint="default"/>
        </w:rPr>
      </w:pPr>
      <w:r>
        <w:rPr/>
        <w:t>债券受托管理人中信建投证券股份有限公司于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22</w:t>
      </w:r>
      <w:r>
        <w:rPr/>
        <w:t>日披露了《公司</w:t>
      </w:r>
      <w:r>
        <w:rPr>
          <w:rFonts w:ascii="宋体" w:hAnsi="宋体" w:cs="宋体" w:eastAsia="宋体" w:hint="default"/>
        </w:rPr>
        <w:t>2016</w:t>
      </w:r>
      <w:r>
        <w:rPr/>
        <w:t>年度债券受托管理事务报告》，并刊登 于巨潮资讯网（</w:t>
      </w:r>
      <w:hyperlink r:id="rId13">
        <w:r>
          <w:rPr>
            <w:rFonts w:ascii="宋体" w:hAnsi="宋体" w:cs="宋体" w:eastAsia="宋体" w:hint="default"/>
          </w:rPr>
          <w:t>www.cninfo.com.cn</w:t>
        </w:r>
      </w:hyperlink>
      <w:r>
        <w:rPr/>
        <w:t>），请各位投资者关注。</w:t>
      </w:r>
      <w:r>
        <w:rPr>
          <w:rFonts w:ascii="宋体" w:hAnsi="宋体" w:cs="宋体" w:eastAsia="宋体" w:hint="default"/>
        </w:rPr>
        <w:t> </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八、截至报告期末公司近</w:t>
      </w:r>
      <w:r>
        <w:rPr>
          <w:spacing w:val="-60"/>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年的主要会计数据和财务指标</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0" w:right="151"/>
        <w:jc w:val="right"/>
      </w:pPr>
      <w:r>
        <w:rPr/>
        <w:t>单位：万元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19,972.44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19,878.24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0.47%</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-52.84%</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188.68%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-48.07%</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全部债务比</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21.00%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-9.49%</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-14.29%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-385.51%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利息保障倍数</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5.23%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-92,778.3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-44,735.32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107.39%</w:t>
            </w:r>
          </w:p>
        </w:tc>
      </w:tr>
      <w:tr>
        <w:trPr>
          <w:trHeight w:val="713"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80,527.51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108,420.92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-25.73%</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期末现金及现金等价物余额</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40,902.3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126,526.37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-67.67%</w:t>
            </w:r>
          </w:p>
        </w:tc>
      </w:tr>
    </w:tbl>
    <w:p>
      <w:pPr>
        <w:pStyle w:val="BodyText"/>
        <w:spacing w:line="240" w:lineRule="auto" w:before="49"/>
        <w:ind w:right="0"/>
        <w:jc w:val="left"/>
      </w:pPr>
      <w:r>
        <w:rPr/>
        <w:t>上述会计数据和财务指标同比变动超过</w:t>
      </w:r>
      <w:r>
        <w:rPr>
          <w:spacing w:val="-44"/>
        </w:rPr>
        <w:t> </w:t>
      </w:r>
      <w:r>
        <w:rPr>
          <w:rFonts w:ascii="Times New Roman" w:hAnsi="Times New Roman" w:cs="Times New Roman" w:eastAsia="Times New Roman" w:hint="default"/>
        </w:rPr>
        <w:t>30%</w:t>
      </w:r>
      <w:r>
        <w:rPr/>
        <w:t>的主要原因</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422" w:right="0"/>
        <w:jc w:val="left"/>
        <w:rPr>
          <w:rFonts w:ascii="宋体" w:hAnsi="宋体" w:cs="宋体" w:eastAsia="宋体" w:hint="default"/>
        </w:rPr>
      </w:pPr>
      <w:r>
        <w:rPr/>
        <w:t>（</w:t>
      </w:r>
      <w:r>
        <w:rPr>
          <w:rFonts w:ascii="宋体" w:hAnsi="宋体" w:cs="宋体" w:eastAsia="宋体" w:hint="default"/>
        </w:rPr>
        <w:t>1</w:t>
      </w:r>
      <w:r>
        <w:rPr/>
        <w:t>）</w:t>
      </w:r>
      <w:r>
        <w:rPr>
          <w:rFonts w:ascii="宋体" w:hAnsi="宋体" w:cs="宋体" w:eastAsia="宋体" w:hint="default"/>
        </w:rPr>
        <w:t>2017 </w:t>
      </w:r>
      <w:r>
        <w:rPr/>
        <w:t>年公司流动比率和速动比比率下降，主要原因系报告期内公司短期贷款增加所致；</w:t>
      </w:r>
      <w:r>
        <w:rPr>
          <w:rFonts w:ascii="宋体" w:hAnsi="宋体" w:cs="宋体" w:eastAsia="宋体" w:hint="default"/>
        </w:rPr>
        <w:t> </w:t>
      </w:r>
    </w:p>
    <w:p>
      <w:pPr>
        <w:pStyle w:val="BodyText"/>
        <w:spacing w:line="240" w:lineRule="auto" w:before="76"/>
        <w:ind w:left="422" w:right="0"/>
        <w:jc w:val="left"/>
        <w:rPr>
          <w:rFonts w:ascii="宋体" w:hAnsi="宋体" w:cs="宋体" w:eastAsia="宋体" w:hint="default"/>
        </w:rPr>
      </w:pPr>
      <w:r>
        <w:rPr/>
        <w:t>（</w:t>
      </w:r>
      <w:r>
        <w:rPr>
          <w:rFonts w:ascii="宋体" w:hAnsi="宋体" w:cs="宋体" w:eastAsia="宋体" w:hint="default"/>
        </w:rPr>
        <w:t>2</w:t>
      </w:r>
      <w:r>
        <w:rPr/>
        <w:t>）</w:t>
      </w:r>
      <w:r>
        <w:rPr>
          <w:rFonts w:ascii="宋体" w:hAnsi="宋体" w:cs="宋体" w:eastAsia="宋体" w:hint="default"/>
        </w:rPr>
        <w:t>2017 </w:t>
      </w:r>
      <w:r>
        <w:rPr/>
        <w:t>年公司筹资活动产生的净现金流量下降，主要原因系公司</w:t>
      </w:r>
      <w:r>
        <w:rPr>
          <w:rFonts w:ascii="宋体" w:hAnsi="宋体" w:cs="宋体" w:eastAsia="宋体" w:hint="default"/>
        </w:rPr>
        <w:t>IDC</w:t>
      </w:r>
      <w:r>
        <w:rPr/>
        <w:t>机房建设持续投入，购买结构性存款所致；</w:t>
      </w:r>
      <w:r>
        <w:rPr>
          <w:rFonts w:ascii="宋体" w:hAnsi="宋体" w:cs="宋体" w:eastAsia="宋体" w:hint="default"/>
        </w:rPr>
        <w:t> </w:t>
      </w:r>
    </w:p>
    <w:p>
      <w:pPr>
        <w:pStyle w:val="BodyText"/>
        <w:spacing w:line="240" w:lineRule="auto" w:before="76"/>
        <w:ind w:left="422" w:right="0"/>
        <w:jc w:val="left"/>
        <w:rPr>
          <w:rFonts w:ascii="宋体" w:hAnsi="宋体" w:cs="宋体" w:eastAsia="宋体" w:hint="default"/>
        </w:rPr>
      </w:pPr>
      <w:r>
        <w:rPr/>
        <w:t>（</w:t>
      </w:r>
      <w:r>
        <w:rPr>
          <w:rFonts w:ascii="宋体" w:hAnsi="宋体" w:cs="宋体" w:eastAsia="宋体" w:hint="default"/>
        </w:rPr>
        <w:t>3</w:t>
      </w:r>
      <w:r>
        <w:rPr/>
        <w:t>）</w:t>
      </w:r>
      <w:r>
        <w:rPr>
          <w:rFonts w:ascii="宋体" w:hAnsi="宋体" w:cs="宋体" w:eastAsia="宋体" w:hint="default"/>
        </w:rPr>
        <w:t>2017 </w:t>
      </w:r>
      <w:r>
        <w:rPr/>
        <w:t>年公司期末现金及现金等价物余额下降，主要原因系公司经营性现金流减少所致；</w:t>
      </w:r>
      <w:r>
        <w:rPr>
          <w:rFonts w:ascii="宋体" w:hAnsi="宋体" w:cs="宋体" w:eastAsia="宋体" w:hint="default"/>
        </w:rPr>
        <w:t> </w:t>
      </w:r>
    </w:p>
    <w:p>
      <w:pPr>
        <w:pStyle w:val="BodyText"/>
        <w:spacing w:line="240" w:lineRule="auto" w:before="76"/>
        <w:ind w:left="422" w:right="0"/>
        <w:jc w:val="left"/>
        <w:rPr>
          <w:rFonts w:ascii="宋体" w:hAnsi="宋体" w:cs="宋体" w:eastAsia="宋体" w:hint="default"/>
        </w:rPr>
      </w:pPr>
      <w:r>
        <w:rPr/>
        <w:t>（</w:t>
      </w:r>
      <w:r>
        <w:rPr>
          <w:rFonts w:ascii="宋体" w:hAnsi="宋体" w:cs="宋体" w:eastAsia="宋体" w:hint="default"/>
        </w:rPr>
        <w:t>4</w:t>
      </w:r>
      <w:r>
        <w:rPr/>
        <w:t>）</w:t>
      </w:r>
      <w:r>
        <w:rPr>
          <w:rFonts w:ascii="宋体" w:hAnsi="宋体" w:cs="宋体" w:eastAsia="宋体" w:hint="default"/>
        </w:rPr>
        <w:t>2017 </w:t>
      </w:r>
      <w:r>
        <w:rPr/>
        <w:t>年公司现金利息保障倍数下降，主要原因系公司经营性现金流减少所致。</w:t>
      </w:r>
      <w:r>
        <w:rPr>
          <w:rFonts w:ascii="宋体" w:hAnsi="宋体" w:cs="宋体" w:eastAsia="宋体" w:hint="default"/>
        </w:rPr>
        <w:t> </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九、报告期内对其他债券和债务融资工具的付息兑付情况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十、报告期内获得的银行授信情况、使用情况以及偿还银行贷款的情况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0"/>
        <w:jc w:val="left"/>
      </w:pPr>
      <w:r>
        <w:rPr/>
        <w:t>公司资信状况良好，与招商银行、平安银行和建设银行等多家银行均建立了长期稳定的信贷业务关系，具有较强的间接</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left="192" w:right="190"/>
        <w:jc w:val="both"/>
        <w:rPr>
          <w:rFonts w:ascii="宋体" w:hAnsi="宋体" w:cs="宋体" w:eastAsia="宋体" w:hint="default"/>
        </w:rPr>
      </w:pPr>
      <w:r>
        <w:rPr>
          <w:spacing w:val="-5"/>
        </w:rPr>
        <w:t>融资能力。截至</w:t>
      </w:r>
      <w:r>
        <w:rPr>
          <w:rFonts w:ascii="宋体" w:hAnsi="宋体" w:cs="宋体" w:eastAsia="宋体" w:hint="default"/>
          <w:spacing w:val="-5"/>
        </w:rPr>
        <w:t>2017</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31</w:t>
      </w:r>
      <w:r>
        <w:rPr>
          <w:spacing w:val="-5"/>
        </w:rPr>
        <w:t>日，发行人获得主要贷款银行的授信额度为</w:t>
      </w:r>
      <w:r>
        <w:rPr>
          <w:rFonts w:ascii="宋体" w:hAnsi="宋体" w:cs="宋体" w:eastAsia="宋体" w:hint="default"/>
          <w:spacing w:val="-5"/>
        </w:rPr>
        <w:t>287,000</w:t>
      </w:r>
      <w:r>
        <w:rPr>
          <w:spacing w:val="-5"/>
        </w:rPr>
        <w:t>万元，截至期末，未使用授信额度为</w:t>
      </w:r>
      <w:r>
        <w:rPr>
          <w:rFonts w:ascii="宋体" w:hAnsi="宋体" w:cs="宋体" w:eastAsia="宋体" w:hint="default"/>
          <w:spacing w:val="-5"/>
        </w:rPr>
        <w:t>144,080</w:t>
      </w:r>
      <w:r>
        <w:rPr>
          <w:rFonts w:ascii="宋体" w:hAnsi="宋体" w:cs="宋体" w:eastAsia="宋体" w:hint="default"/>
          <w:spacing w:val="-32"/>
        </w:rPr>
        <w:t> </w:t>
      </w:r>
      <w:r>
        <w:rPr>
          <w:rFonts w:ascii="宋体" w:hAnsi="宋体" w:cs="宋体" w:eastAsia="宋体" w:hint="default"/>
          <w:spacing w:val="-32"/>
        </w:rPr>
      </w:r>
      <w:r>
        <w:rPr>
          <w:spacing w:val="-2"/>
        </w:rPr>
        <w:t>万元。累计新增银行贷款</w:t>
      </w:r>
      <w:r>
        <w:rPr>
          <w:rFonts w:ascii="宋体" w:hAnsi="宋体" w:cs="宋体" w:eastAsia="宋体" w:hint="default"/>
          <w:spacing w:val="-2"/>
        </w:rPr>
        <w:t>87,800</w:t>
      </w:r>
      <w:r>
        <w:rPr>
          <w:spacing w:val="-2"/>
        </w:rPr>
        <w:t>万元，超过上年末净资产的百分三十。公司遵守银行结算纪律，按时归还银行贷款本息。公</w:t>
      </w:r>
      <w:r>
        <w:rPr>
          <w:spacing w:val="-61"/>
        </w:rPr>
        <w:t> </w:t>
      </w:r>
      <w:r>
        <w:rPr>
          <w:spacing w:val="-61"/>
        </w:rPr>
      </w:r>
      <w:r>
        <w:rPr/>
        <w:t>司近三年的贷款偿还率和利息偿付率均为</w:t>
      </w:r>
      <w:r>
        <w:rPr>
          <w:rFonts w:ascii="宋体" w:hAnsi="宋体" w:cs="宋体" w:eastAsia="宋体" w:hint="default"/>
        </w:rPr>
        <w:t>100%</w:t>
      </w:r>
      <w:r>
        <w:rPr/>
        <w:t>，不存在逾期而未偿还的债务。</w:t>
      </w:r>
      <w:r>
        <w:rPr>
          <w:rFonts w:ascii="宋体" w:hAnsi="宋体" w:cs="宋体" w:eastAsia="宋体" w:hint="default"/>
        </w:rPr>
        <w:t> </w:t>
      </w:r>
    </w:p>
    <w:p>
      <w:pPr>
        <w:pStyle w:val="BodyText"/>
        <w:spacing w:line="240" w:lineRule="auto" w:before="17"/>
        <w:ind w:left="553" w:right="184"/>
        <w:jc w:val="left"/>
        <w:rPr>
          <w:rFonts w:ascii="宋体" w:hAnsi="宋体" w:cs="宋体" w:eastAsia="宋体" w:hint="default"/>
        </w:rPr>
      </w:pPr>
      <w:r>
        <w:rPr/>
        <w:t>本报告期内，公司按时偿还银行贷款，不存在展期及减免等情况。</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2"/>
        <w:spacing w:line="240" w:lineRule="auto"/>
        <w:ind w:left="192" w:right="0"/>
        <w:jc w:val="both"/>
        <w:rPr>
          <w:b w:val="0"/>
          <w:bCs w:val="0"/>
        </w:rPr>
      </w:pPr>
      <w:r>
        <w:rPr/>
        <w:t>十一、报告期内执行公司债券募集说明书相关约定或承诺的情况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553" w:right="184"/>
        <w:jc w:val="left"/>
        <w:rPr>
          <w:rFonts w:ascii="宋体" w:hAnsi="宋体" w:cs="宋体" w:eastAsia="宋体" w:hint="default"/>
        </w:rPr>
      </w:pPr>
      <w:r>
        <w:rPr/>
        <w:t>公司承诺在预计不能按期偿付债券本息或者到期未能按期偿付债券本息时，将至少采取如下措施：</w:t>
      </w:r>
      <w:r>
        <w:rPr>
          <w:rFonts w:ascii="宋体" w:hAnsi="宋体" w:cs="宋体" w:eastAsia="宋体" w:hint="default"/>
        </w:rPr>
        <w:t> 1</w:t>
      </w:r>
      <w:r>
        <w:rPr/>
        <w:t>、不向股东分配利润；</w:t>
      </w:r>
      <w:r>
        <w:rPr>
          <w:rFonts w:ascii="宋体" w:hAnsi="宋体" w:cs="宋体" w:eastAsia="宋体" w:hint="default"/>
        </w:rPr>
        <w:t> </w:t>
      </w:r>
    </w:p>
    <w:p>
      <w:pPr>
        <w:pStyle w:val="BodyText"/>
        <w:spacing w:line="240" w:lineRule="auto" w:before="19"/>
        <w:ind w:left="553" w:right="184"/>
        <w:jc w:val="left"/>
        <w:rPr>
          <w:rFonts w:ascii="宋体" w:hAnsi="宋体" w:cs="宋体" w:eastAsia="宋体" w:hint="default"/>
        </w:rPr>
      </w:pPr>
      <w:r>
        <w:rPr>
          <w:rFonts w:ascii="宋体" w:hAnsi="宋体" w:cs="宋体" w:eastAsia="宋体" w:hint="default"/>
        </w:rPr>
        <w:t>2</w:t>
      </w:r>
      <w:r>
        <w:rPr/>
        <w:t>、暂缓重大对外投资、收购兼并等资本性支出项目的实施；</w:t>
      </w:r>
      <w:r>
        <w:rPr>
          <w:rFonts w:ascii="宋体" w:hAnsi="宋体" w:cs="宋体" w:eastAsia="宋体" w:hint="default"/>
        </w:rPr>
        <w:t> </w:t>
      </w:r>
    </w:p>
    <w:p>
      <w:pPr>
        <w:pStyle w:val="BodyText"/>
        <w:spacing w:line="240" w:lineRule="auto" w:before="76"/>
        <w:ind w:left="553" w:right="184"/>
        <w:jc w:val="left"/>
        <w:rPr>
          <w:rFonts w:ascii="宋体" w:hAnsi="宋体" w:cs="宋体" w:eastAsia="宋体" w:hint="default"/>
        </w:rPr>
      </w:pPr>
      <w:r>
        <w:rPr>
          <w:rFonts w:ascii="宋体" w:hAnsi="宋体" w:cs="宋体" w:eastAsia="宋体" w:hint="default"/>
        </w:rPr>
        <w:t>3</w:t>
      </w:r>
      <w:r>
        <w:rPr/>
        <w:t>、调减或停发董事和高级管理人员的工资和奖金；</w:t>
      </w:r>
      <w:r>
        <w:rPr>
          <w:rFonts w:ascii="宋体" w:hAnsi="宋体" w:cs="宋体" w:eastAsia="宋体" w:hint="default"/>
        </w:rPr>
        <w:t> </w:t>
      </w:r>
    </w:p>
    <w:p>
      <w:pPr>
        <w:pStyle w:val="BodyText"/>
        <w:spacing w:line="316" w:lineRule="auto" w:before="76"/>
        <w:ind w:left="553" w:right="5083"/>
        <w:jc w:val="left"/>
        <w:rPr>
          <w:rFonts w:ascii="宋体" w:hAnsi="宋体" w:cs="宋体" w:eastAsia="宋体" w:hint="default"/>
        </w:rPr>
      </w:pPr>
      <w:r>
        <w:rPr>
          <w:rFonts w:ascii="宋体" w:hAnsi="宋体" w:cs="宋体" w:eastAsia="宋体" w:hint="default"/>
        </w:rPr>
        <w:t>4</w:t>
      </w:r>
      <w:r>
        <w:rPr/>
        <w:t>、主要责任人不得调离。</w:t>
      </w:r>
      <w:r>
        <w:rPr>
          <w:rFonts w:ascii="宋体" w:hAnsi="宋体" w:cs="宋体" w:eastAsia="宋体" w:hint="default"/>
          <w:spacing w:val="-2"/>
        </w:rPr>
        <w:t> </w:t>
      </w:r>
      <w:r>
        <w:rPr>
          <w:rFonts w:ascii="宋体" w:hAnsi="宋体" w:cs="宋体" w:eastAsia="宋体" w:hint="default"/>
        </w:rPr>
        <w:t> </w:t>
      </w:r>
      <w:r>
        <w:rPr/>
        <w:t>报告期内公司履行相关承诺。</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6"/>
          <w:szCs w:val="26"/>
        </w:rPr>
      </w:pPr>
    </w:p>
    <w:p>
      <w:pPr>
        <w:pStyle w:val="Heading2"/>
        <w:spacing w:line="240" w:lineRule="auto"/>
        <w:ind w:left="192" w:right="0"/>
        <w:jc w:val="both"/>
        <w:rPr>
          <w:b w:val="0"/>
          <w:bCs w:val="0"/>
        </w:rPr>
      </w:pPr>
      <w:r>
        <w:rPr/>
        <w:t>十二、报告期内发生的重大事项</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192" w:right="191" w:firstLine="360"/>
        <w:jc w:val="both"/>
      </w:pPr>
      <w:r>
        <w:rPr>
          <w:rFonts w:ascii="宋体" w:hAnsi="宋体" w:cs="宋体" w:eastAsia="宋体" w:hint="default"/>
        </w:rPr>
        <w:t>1</w:t>
      </w:r>
      <w:r>
        <w:rPr/>
        <w:t>、鹏元资信评估有限公司于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8</w:t>
      </w:r>
      <w:r>
        <w:rPr/>
        <w:t>日对公司</w:t>
      </w:r>
      <w:r>
        <w:rPr>
          <w:rFonts w:ascii="宋体" w:hAnsi="宋体" w:cs="宋体" w:eastAsia="宋体" w:hint="default"/>
        </w:rPr>
        <w:t>2015</w:t>
      </w:r>
      <w:r>
        <w:rPr/>
        <w:t>年公司债券（第一期、第二期）进行</w:t>
      </w:r>
      <w:r>
        <w:rPr>
          <w:rFonts w:ascii="宋体" w:hAnsi="宋体" w:cs="宋体" w:eastAsia="宋体" w:hint="default"/>
        </w:rPr>
        <w:t>2017</w:t>
      </w:r>
      <w:r>
        <w:rPr/>
        <w:t>年跟踪信用评级，本次 </w:t>
      </w:r>
      <w:r>
        <w:rPr>
          <w:spacing w:val="-2"/>
        </w:rPr>
        <w:t>跟踪评级报告评级结果为：</w:t>
      </w:r>
      <w:r>
        <w:rPr>
          <w:rFonts w:ascii="宋体" w:hAnsi="宋体" w:cs="宋体" w:eastAsia="宋体" w:hint="default"/>
          <w:spacing w:val="-2"/>
        </w:rPr>
        <w:t>15</w:t>
      </w:r>
      <w:r>
        <w:rPr>
          <w:spacing w:val="-2"/>
        </w:rPr>
        <w:t>证通</w:t>
      </w:r>
      <w:r>
        <w:rPr>
          <w:rFonts w:ascii="宋体" w:hAnsi="宋体" w:cs="宋体" w:eastAsia="宋体" w:hint="default"/>
          <w:spacing w:val="-2"/>
        </w:rPr>
        <w:t>01</w:t>
      </w:r>
      <w:r>
        <w:rPr>
          <w:spacing w:val="-2"/>
        </w:rPr>
        <w:t>和</w:t>
      </w:r>
      <w:r>
        <w:rPr>
          <w:rFonts w:ascii="宋体" w:hAnsi="宋体" w:cs="宋体" w:eastAsia="宋体" w:hint="default"/>
          <w:spacing w:val="-2"/>
        </w:rPr>
        <w:t>15</w:t>
      </w:r>
      <w:r>
        <w:rPr>
          <w:spacing w:val="-2"/>
        </w:rPr>
        <w:t>证通</w:t>
      </w:r>
      <w:r>
        <w:rPr>
          <w:rFonts w:ascii="宋体" w:hAnsi="宋体" w:cs="宋体" w:eastAsia="宋体" w:hint="default"/>
          <w:spacing w:val="-2"/>
        </w:rPr>
        <w:t>02</w:t>
      </w:r>
      <w:r>
        <w:rPr>
          <w:spacing w:val="-2"/>
        </w:rPr>
        <w:t>的债券信用等级维持为</w:t>
      </w:r>
      <w:r>
        <w:rPr>
          <w:rFonts w:ascii="宋体" w:hAnsi="宋体" w:cs="宋体" w:eastAsia="宋体" w:hint="default"/>
          <w:spacing w:val="-2"/>
        </w:rPr>
        <w:t>AAA</w:t>
      </w:r>
      <w:r>
        <w:rPr>
          <w:spacing w:val="-2"/>
        </w:rPr>
        <w:t>，公司主体长期信用等级维持为</w:t>
      </w:r>
      <w:r>
        <w:rPr>
          <w:rFonts w:ascii="宋体" w:hAnsi="宋体" w:cs="宋体" w:eastAsia="宋体" w:hint="default"/>
          <w:spacing w:val="-2"/>
        </w:rPr>
        <w:t>AA-</w:t>
      </w:r>
      <w:r>
        <w:rPr>
          <w:spacing w:val="-2"/>
        </w:rPr>
        <w:t>，评级展望为</w:t>
      </w:r>
      <w:r>
        <w:rPr>
          <w:spacing w:val="-58"/>
        </w:rPr>
        <w:t> </w:t>
      </w:r>
      <w:r>
        <w:rPr>
          <w:spacing w:val="-58"/>
        </w:rPr>
      </w:r>
      <w:r>
        <w:rPr/>
        <w:t>稳定。公司债券信用等级为</w:t>
      </w:r>
      <w:r>
        <w:rPr>
          <w:rFonts w:ascii="宋体" w:hAnsi="宋体" w:cs="宋体" w:eastAsia="宋体" w:hint="default"/>
        </w:rPr>
        <w:t>AAA</w:t>
      </w:r>
      <w:r>
        <w:rPr/>
        <w:t>。公司主体信用评级等级为</w:t>
      </w:r>
      <w:r>
        <w:rPr>
          <w:rFonts w:ascii="宋体" w:hAnsi="宋体" w:cs="宋体" w:eastAsia="宋体" w:hint="default"/>
        </w:rPr>
        <w:t>AA-</w:t>
      </w:r>
      <w:r>
        <w:rPr/>
        <w:t>。该跟踪评级报告详见公司于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17</w:t>
      </w:r>
      <w:r>
        <w:rPr/>
        <w:t>日在巨潮资讯网</w:t>
      </w:r>
    </w:p>
    <w:p>
      <w:pPr>
        <w:pStyle w:val="BodyText"/>
        <w:spacing w:line="240" w:lineRule="auto" w:before="19"/>
        <w:ind w:left="101" w:right="0"/>
        <w:jc w:val="both"/>
        <w:rPr>
          <w:rFonts w:ascii="宋体" w:hAnsi="宋体" w:cs="宋体" w:eastAsia="宋体" w:hint="default"/>
        </w:rPr>
      </w:pPr>
      <w:r>
        <w:rPr/>
        <w:t>（</w:t>
      </w:r>
      <w:hyperlink r:id="rId13">
        <w:r>
          <w:rPr>
            <w:rFonts w:ascii="宋体" w:hAnsi="宋体" w:cs="宋体" w:eastAsia="宋体" w:hint="default"/>
          </w:rPr>
          <w:t>www.cninfo.com.cn</w:t>
        </w:r>
      </w:hyperlink>
      <w:r>
        <w:rPr/>
        <w:t>）上披露的《公司</w:t>
      </w:r>
      <w:r>
        <w:rPr>
          <w:rFonts w:ascii="宋体" w:hAnsi="宋体" w:cs="宋体" w:eastAsia="宋体" w:hint="default"/>
        </w:rPr>
        <w:t>2015</w:t>
      </w:r>
      <w:r>
        <w:rPr/>
        <w:t>年公司债券（第一期、第二期）</w:t>
      </w:r>
      <w:r>
        <w:rPr>
          <w:rFonts w:ascii="宋体" w:hAnsi="宋体" w:cs="宋体" w:eastAsia="宋体" w:hint="default"/>
        </w:rPr>
        <w:t>2017</w:t>
      </w:r>
      <w:r>
        <w:rPr/>
        <w:t>年跟踪信用评级报告》。</w:t>
      </w:r>
      <w:r>
        <w:rPr>
          <w:rFonts w:ascii="宋体" w:hAnsi="宋体" w:cs="宋体" w:eastAsia="宋体" w:hint="default"/>
        </w:rPr>
        <w:t> </w:t>
      </w:r>
    </w:p>
    <w:p>
      <w:pPr>
        <w:pStyle w:val="BodyText"/>
        <w:spacing w:line="316" w:lineRule="auto" w:before="76"/>
        <w:ind w:left="192" w:right="94" w:firstLine="360"/>
        <w:jc w:val="left"/>
        <w:rPr>
          <w:rFonts w:ascii="宋体" w:hAnsi="宋体" w:cs="宋体" w:eastAsia="宋体" w:hint="default"/>
        </w:rPr>
      </w:pPr>
      <w:r>
        <w:rPr>
          <w:rFonts w:ascii="宋体" w:hAnsi="宋体" w:cs="宋体" w:eastAsia="宋体" w:hint="default"/>
          <w:spacing w:val="-6"/>
        </w:rPr>
        <w:t>2</w:t>
      </w:r>
      <w:r>
        <w:rPr>
          <w:spacing w:val="-6"/>
        </w:rPr>
        <w:t>、截至 </w:t>
      </w:r>
      <w:r>
        <w:rPr>
          <w:rFonts w:ascii="宋体" w:hAnsi="宋体" w:cs="宋体" w:eastAsia="宋体" w:hint="default"/>
          <w:spacing w:val="-6"/>
        </w:rPr>
      </w:r>
      <w:r>
        <w:rPr>
          <w:rFonts w:ascii="宋体" w:hAnsi="宋体" w:cs="宋体" w:eastAsia="宋体" w:hint="default"/>
        </w:rPr>
        <w:t>2017 </w:t>
      </w:r>
      <w:r>
        <w:rPr/>
        <w:t>年</w:t>
      </w:r>
      <w:r>
        <w:rPr>
          <w:rFonts w:ascii="宋体" w:hAnsi="宋体" w:cs="宋体" w:eastAsia="宋体" w:hint="default"/>
        </w:rPr>
        <w:t>7</w:t>
      </w:r>
      <w:r>
        <w:rPr/>
        <w:t>月</w:t>
      </w:r>
      <w:r>
        <w:rPr>
          <w:rFonts w:ascii="宋体" w:hAnsi="宋体" w:cs="宋体" w:eastAsia="宋体" w:hint="default"/>
        </w:rPr>
        <w:t>31</w:t>
      </w:r>
      <w:r>
        <w:rPr/>
        <w:t>日，公司本年累计新增借款约 </w:t>
      </w:r>
      <w:r>
        <w:rPr>
          <w:rFonts w:ascii="宋体" w:hAnsi="宋体" w:cs="宋体" w:eastAsia="宋体" w:hint="default"/>
        </w:rPr>
        <w:t>80,449.47 </w:t>
      </w:r>
      <w:r>
        <w:rPr/>
        <w:t>万元，其中新增银行借款 </w:t>
      </w:r>
      <w:r>
        <w:rPr>
          <w:rFonts w:ascii="宋体" w:hAnsi="宋体" w:cs="宋体" w:eastAsia="宋体" w:hint="default"/>
        </w:rPr>
        <w:t>82,533.78</w:t>
      </w:r>
      <w:r>
        <w:rPr>
          <w:rFonts w:ascii="宋体" w:hAnsi="宋体" w:cs="宋体" w:eastAsia="宋体" w:hint="default"/>
          <w:spacing w:val="-29"/>
        </w:rPr>
        <w:t> </w:t>
      </w:r>
      <w:r>
        <w:rPr>
          <w:spacing w:val="-4"/>
        </w:rPr>
        <w:t>万元、融资租赁</w:t>
      </w:r>
      <w:r>
        <w:rPr/>
        <w:t> 减少</w:t>
      </w:r>
      <w:r>
        <w:rPr>
          <w:rFonts w:ascii="宋体" w:hAnsi="宋体" w:cs="宋体" w:eastAsia="宋体" w:hint="default"/>
        </w:rPr>
        <w:t>2,084.31</w:t>
      </w:r>
      <w:r>
        <w:rPr/>
        <w:t>万元。公司本年累计新增借款超过 </w:t>
      </w:r>
      <w:r>
        <w:rPr>
          <w:rFonts w:ascii="宋体" w:hAnsi="宋体" w:cs="宋体" w:eastAsia="宋体" w:hint="default"/>
        </w:rPr>
        <w:t>2016 </w:t>
      </w:r>
      <w:r>
        <w:rPr/>
        <w:t>年经审计净资产的 </w:t>
      </w:r>
      <w:r>
        <w:rPr>
          <w:rFonts w:ascii="宋体" w:hAnsi="宋体" w:cs="宋体" w:eastAsia="宋体" w:hint="default"/>
        </w:rPr>
        <w:t>29.01%</w:t>
      </w:r>
      <w:r>
        <w:rPr/>
        <w:t>。上述事项详见公司于 </w:t>
      </w:r>
      <w:r>
        <w:rPr>
          <w:rFonts w:ascii="宋体" w:hAnsi="宋体" w:cs="宋体" w:eastAsia="宋体" w:hint="default"/>
        </w:rPr>
        <w:t>2017 </w:t>
      </w:r>
      <w:r>
        <w:rPr/>
        <w:t>年 </w:t>
      </w:r>
      <w:r>
        <w:rPr>
          <w:rFonts w:ascii="宋体" w:hAnsi="宋体" w:cs="宋体" w:eastAsia="宋体" w:hint="default"/>
        </w:rPr>
        <w:t>8 </w:t>
      </w:r>
      <w:r>
        <w:rPr>
          <w:spacing w:val="-3"/>
        </w:rPr>
        <w:t>月</w:t>
      </w:r>
      <w:r>
        <w:rPr>
          <w:spacing w:val="-8"/>
        </w:rPr>
        <w:t> </w:t>
      </w:r>
      <w:r>
        <w:rPr>
          <w:rFonts w:ascii="宋体" w:hAnsi="宋体" w:cs="宋体" w:eastAsia="宋体" w:hint="default"/>
          <w:spacing w:val="-8"/>
        </w:rPr>
      </w:r>
      <w:r>
        <w:rPr>
          <w:rFonts w:ascii="宋体" w:hAnsi="宋体" w:cs="宋体" w:eastAsia="宋体" w:hint="default"/>
        </w:rPr>
        <w:t>10 </w:t>
      </w:r>
      <w:r>
        <w:rPr/>
        <w:t>日披露于《证券时报》及巨潮资讯网上《关于 </w:t>
      </w:r>
      <w:r>
        <w:rPr>
          <w:rFonts w:ascii="宋体" w:hAnsi="宋体" w:cs="宋体" w:eastAsia="宋体" w:hint="default"/>
        </w:rPr>
        <w:t>2017</w:t>
      </w:r>
      <w:r>
        <w:rPr>
          <w:rFonts w:ascii="宋体" w:hAnsi="宋体" w:cs="宋体" w:eastAsia="宋体" w:hint="default"/>
          <w:spacing w:val="-5"/>
        </w:rPr>
        <w:t> </w:t>
      </w:r>
      <w:r>
        <w:rPr/>
        <w:t>年度累计新增借款的公告》（公告编号：</w:t>
      </w:r>
      <w:r>
        <w:rPr>
          <w:rFonts w:ascii="宋体" w:hAnsi="宋体" w:cs="宋体" w:eastAsia="宋体" w:hint="default"/>
        </w:rPr>
        <w:t>2017-062</w:t>
      </w:r>
      <w:r>
        <w:rPr/>
        <w:t>）。</w:t>
      </w:r>
      <w:r>
        <w:rPr>
          <w:rFonts w:ascii="宋体" w:hAnsi="宋体" w:cs="宋体" w:eastAsia="宋体" w:hint="default"/>
        </w:rPr>
        <w:t> </w:t>
      </w:r>
    </w:p>
    <w:p>
      <w:pPr>
        <w:pStyle w:val="BodyText"/>
        <w:spacing w:line="316" w:lineRule="auto" w:before="19"/>
        <w:ind w:left="553" w:right="183"/>
        <w:jc w:val="left"/>
      </w:pPr>
      <w:r>
        <w:rPr/>
        <w:t>公司 </w:t>
      </w:r>
      <w:r>
        <w:rPr>
          <w:rFonts w:ascii="宋体" w:hAnsi="宋体" w:cs="宋体" w:eastAsia="宋体" w:hint="default"/>
        </w:rPr>
        <w:t>2017 </w:t>
      </w:r>
      <w:r>
        <w:rPr/>
        <w:t>年 </w:t>
      </w:r>
      <w:r>
        <w:rPr>
          <w:rFonts w:ascii="宋体" w:hAnsi="宋体" w:cs="宋体" w:eastAsia="宋体" w:hint="default"/>
        </w:rPr>
        <w:t>12 </w:t>
      </w:r>
      <w:r>
        <w:rPr/>
        <w:t>月 </w:t>
      </w:r>
      <w:r>
        <w:rPr>
          <w:rFonts w:ascii="宋体" w:hAnsi="宋体" w:cs="宋体" w:eastAsia="宋体" w:hint="default"/>
        </w:rPr>
        <w:t>31 </w:t>
      </w:r>
      <w:r>
        <w:rPr/>
        <w:t>日，短期借款余额较 </w:t>
      </w:r>
      <w:r>
        <w:rPr>
          <w:rFonts w:ascii="宋体" w:hAnsi="宋体" w:cs="宋体" w:eastAsia="宋体" w:hint="default"/>
        </w:rPr>
        <w:t>2016 </w:t>
      </w:r>
      <w:r>
        <w:rPr/>
        <w:t>年 </w:t>
      </w:r>
      <w:r>
        <w:rPr>
          <w:rFonts w:ascii="宋体" w:hAnsi="宋体" w:cs="宋体" w:eastAsia="宋体" w:hint="default"/>
        </w:rPr>
        <w:t>12 </w:t>
      </w:r>
      <w:r>
        <w:rPr/>
        <w:t>月 </w:t>
      </w:r>
      <w:r>
        <w:rPr>
          <w:rFonts w:ascii="宋体" w:hAnsi="宋体" w:cs="宋体" w:eastAsia="宋体" w:hint="default"/>
        </w:rPr>
        <w:t>31 </w:t>
      </w:r>
      <w:r>
        <w:rPr/>
        <w:t>日增加 </w:t>
      </w:r>
      <w:r>
        <w:rPr>
          <w:rFonts w:ascii="宋体" w:hAnsi="宋体" w:cs="宋体" w:eastAsia="宋体" w:hint="default"/>
        </w:rPr>
        <w:t>60,690.63</w:t>
      </w:r>
      <w:r>
        <w:rPr>
          <w:rFonts w:ascii="宋体" w:hAnsi="宋体" w:cs="宋体" w:eastAsia="宋体" w:hint="default"/>
          <w:spacing w:val="-7"/>
        </w:rPr>
        <w:t> </w:t>
      </w:r>
      <w:r>
        <w:rPr/>
        <w:t>万元。</w:t>
      </w:r>
      <w:r>
        <w:rPr>
          <w:rFonts w:ascii="宋体" w:hAnsi="宋体" w:cs="宋体" w:eastAsia="宋体" w:hint="default"/>
        </w:rPr>
        <w:t> 3</w:t>
      </w:r>
      <w:r>
        <w:rPr/>
        <w:t>、报告期内公司回购注销未达到解锁条件及部分已不符合激励条件的激励对象已获授但尚未解锁的限制性股票，减少</w:t>
      </w:r>
    </w:p>
    <w:p>
      <w:pPr>
        <w:pStyle w:val="BodyText"/>
        <w:spacing w:line="316" w:lineRule="auto" w:before="19"/>
        <w:ind w:left="192" w:right="198"/>
        <w:jc w:val="both"/>
      </w:pPr>
      <w:r>
        <w:rPr/>
        <w:t>注册资本。相关事项详见公司于</w:t>
      </w:r>
      <w:r>
        <w:rPr>
          <w:rFonts w:ascii="宋体" w:hAnsi="宋体" w:cs="宋体" w:eastAsia="宋体" w:hint="default"/>
        </w:rPr>
        <w:t>2017</w:t>
      </w:r>
      <w:r>
        <w:rPr/>
        <w:t>年</w:t>
      </w:r>
      <w:r>
        <w:rPr>
          <w:rFonts w:ascii="宋体" w:hAnsi="宋体" w:cs="宋体" w:eastAsia="宋体" w:hint="default"/>
        </w:rPr>
        <w:t>6</w:t>
      </w:r>
      <w:r>
        <w:rPr/>
        <w:t>月</w:t>
      </w:r>
      <w:r>
        <w:rPr>
          <w:rFonts w:ascii="宋体" w:hAnsi="宋体" w:cs="宋体" w:eastAsia="宋体" w:hint="default"/>
        </w:rPr>
        <w:t>17</w:t>
      </w:r>
      <w:r>
        <w:rPr/>
        <w:t>日、</w:t>
      </w:r>
      <w:r>
        <w:rPr>
          <w:rFonts w:ascii="宋体" w:hAnsi="宋体" w:cs="宋体" w:eastAsia="宋体" w:hint="default"/>
        </w:rPr>
        <w:t>2017 </w:t>
      </w:r>
      <w:r>
        <w:rPr/>
        <w:t>年 </w:t>
      </w:r>
      <w:r>
        <w:rPr>
          <w:rFonts w:ascii="宋体" w:hAnsi="宋体" w:cs="宋体" w:eastAsia="宋体" w:hint="default"/>
        </w:rPr>
        <w:t>9 </w:t>
      </w:r>
      <w:r>
        <w:rPr/>
        <w:t>月 </w:t>
      </w:r>
      <w:r>
        <w:rPr>
          <w:rFonts w:ascii="宋体" w:hAnsi="宋体" w:cs="宋体" w:eastAsia="宋体" w:hint="default"/>
        </w:rPr>
        <w:t>21</w:t>
      </w:r>
      <w:r>
        <w:rPr>
          <w:rFonts w:ascii="宋体" w:hAnsi="宋体" w:cs="宋体" w:eastAsia="宋体" w:hint="default"/>
          <w:spacing w:val="-7"/>
        </w:rPr>
        <w:t> </w:t>
      </w:r>
      <w:r>
        <w:rPr/>
        <w:t>日披露于《证券时报》及巨潮资讯网上《公司关于回购 </w:t>
      </w:r>
      <w:r>
        <w:rPr>
          <w:spacing w:val="-6"/>
        </w:rPr>
        <w:t>注销未达到解锁条件及部分已不符合激励条件的激励对象已获授但尚未解锁的限制性股票的公告》（公告编号：</w:t>
      </w:r>
      <w:r>
        <w:rPr>
          <w:rFonts w:ascii="宋体" w:hAnsi="宋体" w:cs="宋体" w:eastAsia="宋体" w:hint="default"/>
          <w:spacing w:val="-6"/>
        </w:rPr>
        <w:t>2017-046</w:t>
      </w:r>
      <w:r>
        <w:rPr>
          <w:spacing w:val="-6"/>
        </w:rPr>
        <w:t>）、</w:t>
      </w:r>
      <w:r>
        <w:rPr/>
      </w:r>
    </w:p>
    <w:p>
      <w:pPr>
        <w:pStyle w:val="BodyText"/>
        <w:spacing w:line="316" w:lineRule="auto" w:before="19"/>
        <w:ind w:left="553" w:right="184" w:hanging="452"/>
        <w:jc w:val="left"/>
        <w:rPr>
          <w:rFonts w:ascii="宋体" w:hAnsi="宋体" w:cs="宋体" w:eastAsia="宋体" w:hint="default"/>
        </w:rPr>
      </w:pPr>
      <w:r>
        <w:rPr/>
        <w:t>《公司关于部分限制性股票回购注销完成的公告》（公告编号：</w:t>
      </w:r>
      <w:r>
        <w:rPr>
          <w:rFonts w:ascii="宋体" w:hAnsi="宋体" w:cs="宋体" w:eastAsia="宋体" w:hint="default"/>
        </w:rPr>
        <w:t>2017-082</w:t>
      </w:r>
      <w:r>
        <w:rPr/>
        <w:t>）。</w:t>
      </w:r>
      <w:r>
        <w:rPr>
          <w:rFonts w:ascii="宋体" w:hAnsi="宋体" w:cs="宋体" w:eastAsia="宋体" w:hint="default"/>
        </w:rPr>
        <w:t> 4</w:t>
      </w:r>
      <w:r>
        <w:rPr/>
        <w:t>、公司涉及重大诉讼、仲裁事项或受到重大行政处罚情况的详细内容见“第五节、十二、重大诉讼、仲裁事项”。</w:t>
      </w:r>
      <w:r>
        <w:rPr>
          <w:rFonts w:ascii="宋体" w:hAnsi="宋体" w:cs="宋体" w:eastAsia="宋体" w:hint="default"/>
        </w:rPr>
        <w:t> </w:t>
      </w:r>
    </w:p>
    <w:p>
      <w:pPr>
        <w:pStyle w:val="BodyText"/>
        <w:spacing w:line="316" w:lineRule="auto" w:before="19"/>
        <w:ind w:left="192" w:right="94" w:firstLine="360"/>
        <w:jc w:val="left"/>
      </w:pPr>
      <w:r>
        <w:rPr>
          <w:rFonts w:ascii="宋体" w:hAnsi="宋体" w:cs="宋体" w:eastAsia="宋体" w:hint="default"/>
        </w:rPr>
        <w:t>5</w:t>
      </w:r>
      <w:r>
        <w:rPr/>
        <w:t>、报告期内公司经第四届董事会第十三次（临时）会议审议通过，为全资子公司深圳市证通金信科技有限公司向华夏 银行股份有限公司深圳龙华支行申请的综合授信</w:t>
      </w:r>
      <w:r>
        <w:rPr>
          <w:rFonts w:ascii="宋体" w:hAnsi="宋体" w:cs="宋体" w:eastAsia="宋体" w:hint="default"/>
        </w:rPr>
        <w:t>2,500</w:t>
      </w:r>
      <w:r>
        <w:rPr/>
        <w:t>万元提供连带责任保证担保。相关事项详见公司于 </w:t>
      </w:r>
      <w:r>
        <w:rPr>
          <w:rFonts w:ascii="宋体" w:hAnsi="宋体" w:cs="宋体" w:eastAsia="宋体" w:hint="default"/>
        </w:rPr>
        <w:t>2017 </w:t>
      </w:r>
      <w:r>
        <w:rPr/>
        <w:t>年 </w:t>
      </w:r>
      <w:r>
        <w:rPr>
          <w:rFonts w:ascii="宋体" w:hAnsi="宋体" w:cs="宋体" w:eastAsia="宋体" w:hint="default"/>
        </w:rPr>
        <w:t>4 </w:t>
      </w:r>
      <w:r>
        <w:rPr>
          <w:spacing w:val="-3"/>
        </w:rPr>
        <w:t>月</w:t>
      </w:r>
      <w:r>
        <w:rPr/>
        <w:t> </w:t>
      </w:r>
      <w:r>
        <w:rPr>
          <w:rFonts w:ascii="宋体" w:hAnsi="宋体" w:cs="宋体" w:eastAsia="宋体" w:hint="default"/>
        </w:rPr>
        <w:t>27 </w:t>
      </w:r>
      <w:r>
        <w:rPr/>
        <w:t>日披露于《证券时报》及巨潮资讯网</w:t>
      </w:r>
      <w:r>
        <w:rPr>
          <w:rFonts w:ascii="宋体" w:hAnsi="宋体" w:cs="宋体" w:eastAsia="宋体" w:hint="default"/>
        </w:rPr>
        <w:t>(http://www.cninfo.com.cn)</w:t>
      </w:r>
      <w:r>
        <w:rPr/>
        <w:t>上《为全资子公司向银行申请综合授信提供担保的公告》</w:t>
      </w:r>
    </w:p>
    <w:p>
      <w:pPr>
        <w:pStyle w:val="BodyText"/>
        <w:spacing w:line="316" w:lineRule="auto" w:before="19"/>
        <w:ind w:left="553" w:right="184" w:hanging="452"/>
        <w:jc w:val="left"/>
      </w:pPr>
      <w:r>
        <w:rPr/>
        <w:t>（公告编号：</w:t>
      </w:r>
      <w:r>
        <w:rPr>
          <w:rFonts w:ascii="宋体" w:hAnsi="宋体" w:cs="宋体" w:eastAsia="宋体" w:hint="default"/>
        </w:rPr>
        <w:t>2017-032</w:t>
      </w:r>
      <w:r>
        <w:rPr/>
        <w:t>）。</w:t>
      </w:r>
      <w:r>
        <w:rPr>
          <w:rFonts w:ascii="宋体" w:hAnsi="宋体" w:cs="宋体" w:eastAsia="宋体" w:hint="default"/>
        </w:rPr>
        <w:t> </w:t>
      </w:r>
      <w:r>
        <w:rPr>
          <w:spacing w:val="-2"/>
        </w:rPr>
        <w:t>报告期内公司经第四届董事会第十四次（临时）会议审议通过，为全资子公司深圳市证通佳明光电有限公司向兴业银行</w:t>
      </w:r>
    </w:p>
    <w:p>
      <w:pPr>
        <w:pStyle w:val="BodyText"/>
        <w:spacing w:line="316" w:lineRule="auto" w:before="19"/>
        <w:ind w:left="192" w:right="186"/>
        <w:jc w:val="both"/>
        <w:rPr>
          <w:rFonts w:ascii="宋体" w:hAnsi="宋体" w:cs="宋体" w:eastAsia="宋体" w:hint="default"/>
        </w:rPr>
      </w:pPr>
      <w:r>
        <w:rPr>
          <w:spacing w:val="-2"/>
        </w:rPr>
        <w:t>股份有限公司科技园支行申请的综合授信</w:t>
      </w:r>
      <w:r>
        <w:rPr>
          <w:rFonts w:ascii="宋体" w:hAnsi="宋体" w:cs="宋体" w:eastAsia="宋体" w:hint="default"/>
          <w:spacing w:val="-2"/>
        </w:rPr>
        <w:t>5,000</w:t>
      </w:r>
      <w:r>
        <w:rPr>
          <w:spacing w:val="-2"/>
        </w:rPr>
        <w:t>万元提供连带责任保证担保。相关事项详见公司于</w:t>
      </w:r>
      <w:r>
        <w:rPr/>
        <w:t> </w:t>
      </w:r>
      <w:r>
        <w:rPr>
          <w:rFonts w:ascii="宋体" w:hAnsi="宋体" w:cs="宋体" w:eastAsia="宋体" w:hint="default"/>
        </w:rPr>
      </w:r>
      <w:r>
        <w:rPr>
          <w:rFonts w:ascii="宋体" w:hAnsi="宋体" w:cs="宋体" w:eastAsia="宋体" w:hint="default"/>
          <w:spacing w:val="-1"/>
        </w:rPr>
        <w:t>2017</w:t>
      </w:r>
      <w:r>
        <w:rPr>
          <w:rFonts w:ascii="宋体" w:hAnsi="宋体" w:cs="宋体" w:eastAsia="宋体" w:hint="default"/>
          <w:spacing w:val="-2"/>
        </w:rPr>
        <w:t> </w:t>
      </w:r>
      <w:r>
        <w:rPr/>
        <w:t>年 </w:t>
      </w:r>
      <w:r>
        <w:rPr>
          <w:rFonts w:ascii="宋体" w:hAnsi="宋体" w:cs="宋体" w:eastAsia="宋体" w:hint="default"/>
        </w:rPr>
      </w:r>
      <w:r>
        <w:rPr>
          <w:rFonts w:ascii="宋体" w:hAnsi="宋体" w:cs="宋体" w:eastAsia="宋体" w:hint="default"/>
          <w:spacing w:val="1"/>
        </w:rPr>
        <w:t>6 </w:t>
      </w:r>
      <w:r>
        <w:rPr>
          <w:spacing w:val="-3"/>
        </w:rPr>
        <w:t>月 </w:t>
      </w:r>
      <w:r>
        <w:rPr>
          <w:rFonts w:ascii="宋体" w:hAnsi="宋体" w:cs="宋体" w:eastAsia="宋体" w:hint="default"/>
          <w:spacing w:val="-3"/>
        </w:rPr>
      </w:r>
      <w:r>
        <w:rPr>
          <w:rFonts w:ascii="宋体" w:hAnsi="宋体" w:cs="宋体" w:eastAsia="宋体" w:hint="default"/>
          <w:spacing w:val="-1"/>
        </w:rPr>
        <w:t>17</w:t>
      </w:r>
      <w:r>
        <w:rPr>
          <w:rFonts w:ascii="宋体" w:hAnsi="宋体" w:cs="宋体" w:eastAsia="宋体" w:hint="default"/>
          <w:spacing w:val="18"/>
        </w:rPr>
        <w:t> </w:t>
      </w:r>
      <w:r>
        <w:rPr/>
        <w:t>日披露 </w:t>
      </w:r>
      <w:r>
        <w:rPr>
          <w:spacing w:val="-2"/>
        </w:rPr>
        <w:t>于《证券时报》及巨潮资讯网</w:t>
      </w:r>
      <w:r>
        <w:rPr>
          <w:rFonts w:ascii="宋体" w:hAnsi="宋体" w:cs="宋体" w:eastAsia="宋体" w:hint="default"/>
          <w:spacing w:val="-2"/>
        </w:rPr>
        <w:t>(http://www.cninfo.com.cn)</w:t>
      </w:r>
      <w:r>
        <w:rPr>
          <w:spacing w:val="-2"/>
        </w:rPr>
        <w:t>上《为全资子公司向银行申请综合授信提供担保的公告》（公告</w:t>
      </w:r>
      <w:r>
        <w:rPr>
          <w:spacing w:val="-48"/>
        </w:rPr>
        <w:t> </w:t>
      </w:r>
      <w:r>
        <w:rPr>
          <w:spacing w:val="-48"/>
        </w:rPr>
      </w:r>
      <w:r>
        <w:rPr/>
        <w:t>编号：</w:t>
      </w:r>
      <w:r>
        <w:rPr>
          <w:rFonts w:ascii="宋体" w:hAnsi="宋体" w:cs="宋体" w:eastAsia="宋体" w:hint="default"/>
        </w:rPr>
        <w:t>2017-048</w:t>
      </w:r>
      <w:r>
        <w:rPr/>
        <w:t>）。</w:t>
      </w:r>
      <w:r>
        <w:rPr>
          <w:rFonts w:ascii="宋体" w:hAnsi="宋体" w:cs="宋体" w:eastAsia="宋体" w:hint="default"/>
        </w:rPr>
        <w:t> </w:t>
      </w:r>
    </w:p>
    <w:p>
      <w:pPr>
        <w:pStyle w:val="BodyText"/>
        <w:spacing w:line="316" w:lineRule="auto" w:before="19"/>
        <w:ind w:left="192" w:right="106" w:firstLine="360"/>
        <w:jc w:val="left"/>
        <w:rPr>
          <w:rFonts w:ascii="宋体" w:hAnsi="宋体" w:cs="宋体" w:eastAsia="宋体" w:hint="default"/>
        </w:rPr>
      </w:pPr>
      <w:r>
        <w:rPr>
          <w:spacing w:val="-2"/>
        </w:rPr>
        <w:t>报告期内公司经第四届董事会第十五次会议审议通过，为控股子公司广州云硕科技发展有限公司向招商银行股份有限公</w:t>
      </w:r>
      <w:r>
        <w:rPr/>
        <w:t> </w:t>
      </w:r>
      <w:r>
        <w:rPr>
          <w:spacing w:val="-2"/>
        </w:rPr>
        <w:t>司广州盈隆广场支行申请的综合授信</w:t>
      </w:r>
      <w:r>
        <w:rPr>
          <w:rFonts w:ascii="宋体" w:hAnsi="宋体" w:cs="宋体" w:eastAsia="宋体" w:hint="default"/>
          <w:spacing w:val="-2"/>
        </w:rPr>
        <w:t>10,000</w:t>
      </w:r>
      <w:r>
        <w:rPr>
          <w:spacing w:val="-2"/>
        </w:rPr>
        <w:t>万元提供连带责任担保；公司拟为全资子公司深圳市证通佳明光电有限公司向兴</w:t>
      </w:r>
      <w:r>
        <w:rPr>
          <w:spacing w:val="-60"/>
        </w:rPr>
        <w:t> </w:t>
      </w:r>
      <w:r>
        <w:rPr>
          <w:spacing w:val="-60"/>
        </w:rPr>
      </w:r>
      <w:r>
        <w:rPr/>
        <w:t>业银行股份有限公司科技园支行申请的综合授信</w:t>
      </w:r>
      <w:r>
        <w:rPr>
          <w:rFonts w:ascii="宋体" w:hAnsi="宋体" w:cs="宋体" w:eastAsia="宋体" w:hint="default"/>
        </w:rPr>
        <w:t>5,000</w:t>
      </w:r>
      <w:r>
        <w:rPr/>
        <w:t>万元提供连带责任保证担保。相关事项详见公司于 </w:t>
      </w:r>
      <w:r>
        <w:rPr>
          <w:rFonts w:ascii="宋体" w:hAnsi="宋体" w:cs="宋体" w:eastAsia="宋体" w:hint="default"/>
        </w:rPr>
        <w:t>2017 </w:t>
      </w:r>
      <w:r>
        <w:rPr/>
        <w:t>年 </w:t>
      </w:r>
      <w:r>
        <w:rPr>
          <w:rFonts w:ascii="宋体" w:hAnsi="宋体" w:cs="宋体" w:eastAsia="宋体" w:hint="default"/>
        </w:rPr>
        <w:t>7 </w:t>
      </w:r>
      <w:r>
        <w:rPr>
          <w:spacing w:val="-3"/>
        </w:rPr>
        <w:t>月</w:t>
      </w:r>
      <w:r>
        <w:rPr/>
        <w:t> </w:t>
      </w:r>
      <w:r>
        <w:rPr>
          <w:rFonts w:ascii="宋体" w:hAnsi="宋体" w:cs="宋体" w:eastAsia="宋体" w:hint="default"/>
        </w:rPr>
        <w:t>26 </w:t>
      </w:r>
      <w:r>
        <w:rPr>
          <w:spacing w:val="-2"/>
        </w:rPr>
        <w:t>日披露于《证券时报》及巨潮资讯网</w:t>
      </w:r>
      <w:r>
        <w:rPr>
          <w:rFonts w:ascii="宋体" w:hAnsi="宋体" w:cs="宋体" w:eastAsia="宋体" w:hint="default"/>
          <w:spacing w:val="-2"/>
        </w:rPr>
        <w:t>(http://www.cninfo.com.cn)</w:t>
      </w:r>
      <w:r>
        <w:rPr>
          <w:spacing w:val="-2"/>
        </w:rPr>
        <w:t>上《为子公司及控股子公司向银行申请综合授信提供担保</w:t>
      </w:r>
      <w:r>
        <w:rPr>
          <w:spacing w:val="-49"/>
        </w:rPr>
        <w:t> </w:t>
      </w:r>
      <w:r>
        <w:rPr>
          <w:spacing w:val="-49"/>
        </w:rPr>
      </w:r>
      <w:r>
        <w:rPr/>
        <w:t>的公告》（公告编号：</w:t>
      </w:r>
      <w:r>
        <w:rPr>
          <w:rFonts w:ascii="宋体" w:hAnsi="宋体" w:cs="宋体" w:eastAsia="宋体" w:hint="default"/>
        </w:rPr>
        <w:t>2017-060</w:t>
      </w:r>
      <w:r>
        <w:rPr/>
        <w:t>）。</w:t>
      </w:r>
      <w:r>
        <w:rPr>
          <w:rFonts w:ascii="宋体" w:hAnsi="宋体" w:cs="宋体" w:eastAsia="宋体" w:hint="default"/>
        </w:rPr>
        <w:t> </w:t>
      </w:r>
    </w:p>
    <w:p>
      <w:pPr>
        <w:pStyle w:val="BodyText"/>
        <w:spacing w:line="240" w:lineRule="auto" w:before="18"/>
        <w:ind w:left="553" w:right="184"/>
        <w:jc w:val="left"/>
        <w:rPr>
          <w:rFonts w:ascii="宋体" w:hAnsi="宋体" w:cs="宋体" w:eastAsia="宋体" w:hint="default"/>
        </w:rPr>
      </w:pPr>
      <w:r>
        <w:rPr/>
        <w:t>报告期内公司其他担保事项详细内容见“第五节、十七、</w:t>
      </w:r>
      <w:r>
        <w:rPr>
          <w:rFonts w:ascii="宋体" w:hAnsi="宋体" w:cs="宋体" w:eastAsia="宋体" w:hint="default"/>
        </w:rPr>
        <w:t>2</w:t>
      </w:r>
      <w:r>
        <w:rPr/>
        <w:t>、重大担保”。</w:t>
      </w:r>
      <w:r>
        <w:rPr>
          <w:rFonts w:ascii="宋体" w:hAnsi="宋体" w:cs="宋体" w:eastAsia="宋体" w:hint="default"/>
        </w:rPr>
        <w:t> </w:t>
      </w:r>
    </w:p>
    <w:p>
      <w:pPr>
        <w:pStyle w:val="BodyText"/>
        <w:spacing w:line="240" w:lineRule="auto" w:before="76"/>
        <w:ind w:left="553" w:right="94"/>
        <w:jc w:val="left"/>
        <w:rPr>
          <w:rFonts w:ascii="宋体" w:hAnsi="宋体" w:cs="宋体" w:eastAsia="宋体" w:hint="default"/>
        </w:rPr>
      </w:pPr>
      <w:r>
        <w:rPr>
          <w:rFonts w:ascii="宋体" w:hAnsi="宋体" w:cs="宋体" w:eastAsia="宋体" w:hint="default"/>
          <w:spacing w:val="1"/>
        </w:rPr>
        <w:t>7</w:t>
      </w:r>
      <w:r>
        <w:rPr/>
        <w:t>、报告期末公司受限的资产金额为</w:t>
      </w:r>
      <w:r>
        <w:rPr>
          <w:rFonts w:ascii="宋体" w:hAnsi="宋体" w:cs="宋体" w:eastAsia="宋体" w:hint="default"/>
          <w:spacing w:val="1"/>
        </w:rPr>
        <w:t> 5</w:t>
      </w:r>
      <w:r>
        <w:rPr>
          <w:rFonts w:ascii="宋体" w:hAnsi="宋体" w:cs="宋体" w:eastAsia="宋体" w:hint="default"/>
          <w:spacing w:val="-2"/>
        </w:rPr>
        <w:t>.</w:t>
      </w:r>
      <w:r>
        <w:rPr>
          <w:rFonts w:ascii="宋体" w:hAnsi="宋体" w:cs="宋体" w:eastAsia="宋体" w:hint="default"/>
          <w:spacing w:val="1"/>
        </w:rPr>
        <w:t>0</w:t>
      </w:r>
      <w:r>
        <w:rPr>
          <w:rFonts w:ascii="宋体" w:hAnsi="宋体" w:cs="宋体" w:eastAsia="宋体" w:hint="default"/>
          <w:spacing w:val="-2"/>
        </w:rPr>
        <w:t>5</w:t>
      </w:r>
      <w:r>
        <w:rPr>
          <w:rFonts w:ascii="宋体" w:hAnsi="宋体" w:cs="宋体" w:eastAsia="宋体" w:hint="default"/>
          <w:spacing w:val="1"/>
        </w:rPr>
        <w:t> </w:t>
      </w:r>
      <w:r>
        <w:rPr/>
        <w:t>亿元，详细内容</w:t>
      </w:r>
      <w:r>
        <w:rPr>
          <w:spacing w:val="-3"/>
        </w:rPr>
        <w:t>见</w:t>
      </w:r>
      <w:r>
        <w:rPr/>
        <w:t>“第四节、四、</w:t>
      </w:r>
      <w:r>
        <w:rPr>
          <w:rFonts w:ascii="宋体" w:hAnsi="宋体" w:cs="宋体" w:eastAsia="宋体" w:hint="default"/>
          <w:spacing w:val="1"/>
        </w:rPr>
        <w:t>3</w:t>
      </w:r>
      <w:r>
        <w:rPr/>
        <w:t>、截止报告期末的资产权利受限情况</w:t>
      </w:r>
      <w:r>
        <w:rPr>
          <w:spacing w:val="2"/>
        </w:rPr>
        <w:t>”</w:t>
      </w:r>
      <w:r>
        <w:rPr>
          <w:spacing w:val="-86"/>
        </w:rPr>
        <w:t>。</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80" w:top="1060" w:bottom="1160" w:left="940" w:right="94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十三、公司债券是否存在保证人</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65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公司债券的保证人是否为法人或其他组织</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00" w:lineRule="auto" w:before="103"/>
        <w:ind w:right="142"/>
        <w:jc w:val="left"/>
      </w:pPr>
      <w:r>
        <w:rPr/>
        <w:t>是否在每个会计年度结束之日起</w:t>
      </w:r>
      <w:r>
        <w:rPr>
          <w:spacing w:val="-31"/>
        </w:rPr>
        <w:t> </w:t>
      </w:r>
      <w:r>
        <w:rPr>
          <w:rFonts w:ascii="Times New Roman" w:hAnsi="Times New Roman" w:cs="Times New Roman" w:eastAsia="Times New Roman" w:hint="default"/>
        </w:rPr>
        <w:t>4</w:t>
      </w:r>
      <w:r>
        <w:rPr>
          <w:rFonts w:ascii="Times New Roman" w:hAnsi="Times New Roman" w:cs="Times New Roman" w:eastAsia="Times New Roman" w:hint="default"/>
          <w:spacing w:val="15"/>
        </w:rPr>
        <w:t> </w:t>
      </w:r>
      <w:r>
        <w:rPr>
          <w:spacing w:val="-3"/>
        </w:rPr>
        <w:t>个月内单独披露保证人报告期财务报表，包括资产负债表、利润表、现金流量表、所有者</w:t>
      </w:r>
      <w:r>
        <w:rPr>
          <w:spacing w:val="-88"/>
        </w:rPr>
        <w:t> </w:t>
      </w:r>
      <w:r>
        <w:rPr>
          <w:spacing w:val="-88"/>
        </w:rPr>
      </w:r>
      <w:r>
        <w:rPr/>
        <w:t>权益（股东权益）变动表和财务报表附注</w:t>
      </w:r>
    </w:p>
    <w:p>
      <w:pPr>
        <w:pStyle w:val="BodyText"/>
        <w:spacing w:line="240" w:lineRule="auto" w:before="7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535" w:right="576"/>
        <w:jc w:val="center"/>
        <w:rPr>
          <w:b w:val="0"/>
          <w:bCs w:val="0"/>
        </w:rPr>
      </w:pPr>
      <w:bookmarkStart w:name="_bookmark10" w:id="11"/>
      <w:bookmarkEnd w:id="11"/>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6754"/>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中勤万信会计师事务所（特殊普通合伙）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勤信审字【</w:t>
            </w:r>
            <w:r>
              <w:rPr>
                <w:rFonts w:ascii="Times New Roman" w:hAnsi="Times New Roman" w:cs="Times New Roman" w:eastAsia="Times New Roman" w:hint="default"/>
                <w:sz w:val="18"/>
                <w:szCs w:val="18"/>
              </w:rPr>
              <w:t>2018</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0894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李志光、肖逸</w:t>
            </w:r>
          </w:p>
        </w:tc>
      </w:tr>
    </w:tbl>
    <w:p>
      <w:pPr>
        <w:pStyle w:val="BodyText"/>
        <w:spacing w:line="240" w:lineRule="auto" w:before="49"/>
        <w:ind w:left="535" w:right="573"/>
        <w:jc w:val="center"/>
      </w:pPr>
      <w:r>
        <w:rPr/>
        <w:t>审计报告正文</w:t>
      </w:r>
    </w:p>
    <w:p>
      <w:pPr>
        <w:pStyle w:val="BodyText"/>
        <w:spacing w:line="240" w:lineRule="auto" w:before="115"/>
        <w:ind w:right="178"/>
        <w:jc w:val="left"/>
      </w:pPr>
      <w:r>
        <w:rPr/>
        <w:t>深圳市证通电子股份有限公司全体股东：</w:t>
      </w:r>
    </w:p>
    <w:p>
      <w:pPr>
        <w:spacing w:line="240" w:lineRule="auto" w:before="4"/>
        <w:rPr>
          <w:rFonts w:ascii="宋体" w:hAnsi="宋体" w:cs="宋体" w:eastAsia="宋体" w:hint="default"/>
          <w:sz w:val="26"/>
          <w:szCs w:val="26"/>
        </w:rPr>
      </w:pPr>
    </w:p>
    <w:p>
      <w:pPr>
        <w:pStyle w:val="BodyText"/>
        <w:spacing w:line="316" w:lineRule="auto" w:before="44"/>
        <w:ind w:left="513" w:right="178"/>
        <w:jc w:val="left"/>
      </w:pPr>
      <w:r>
        <w:rPr/>
        <w:t>一、审计意见</w:t>
      </w:r>
      <w:r>
        <w:rPr>
          <w:rFonts w:ascii="宋体" w:hAnsi="宋体" w:cs="宋体" w:eastAsia="宋体" w:hint="default"/>
        </w:rPr>
        <w:t> </w:t>
      </w:r>
      <w:r>
        <w:rPr>
          <w:spacing w:val="-2"/>
        </w:rPr>
        <w:t>我们审计了深圳市证通电子股份有限公司（以下简称证通电子公司）财务报表，包括</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日的合并及母公司资</w:t>
      </w:r>
    </w:p>
    <w:p>
      <w:pPr>
        <w:pStyle w:val="BodyText"/>
        <w:spacing w:line="316" w:lineRule="auto" w:before="19"/>
        <w:ind w:left="513" w:right="178" w:hanging="361"/>
        <w:jc w:val="left"/>
      </w:pPr>
      <w:r>
        <w:rPr>
          <w:spacing w:val="-5"/>
        </w:rPr>
        <w:t>产负债表，</w:t>
      </w:r>
      <w:r>
        <w:rPr>
          <w:rFonts w:ascii="宋体" w:hAnsi="宋体" w:cs="宋体" w:eastAsia="宋体" w:hint="default"/>
          <w:spacing w:val="-5"/>
        </w:rPr>
        <w:t>2017</w:t>
      </w:r>
      <w:r>
        <w:rPr>
          <w:spacing w:val="-5"/>
        </w:rPr>
        <w:t>年度的合并及母公司利润表、合并及母公司现金流量表、合并及母公司所有者权益变动表以及财务报表附注。</w:t>
      </w:r>
      <w:r>
        <w:rPr>
          <w:spacing w:val="-68"/>
        </w:rPr>
        <w:t> </w:t>
      </w:r>
      <w:r>
        <w:rPr>
          <w:rFonts w:ascii="宋体" w:hAnsi="宋体" w:cs="宋体" w:eastAsia="宋体" w:hint="default"/>
          <w:spacing w:val="-68"/>
        </w:rPr>
      </w:r>
      <w:r>
        <w:rPr>
          <w:spacing w:val="-2"/>
        </w:rPr>
        <w:t>我们认为，后附的财务报表在所有重大方面按照企业会计准则的规定编制，公允反映了证通电子公司</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w:t>
      </w:r>
    </w:p>
    <w:p>
      <w:pPr>
        <w:pStyle w:val="BodyText"/>
        <w:spacing w:line="240" w:lineRule="auto" w:before="19"/>
        <w:ind w:right="178"/>
        <w:jc w:val="left"/>
        <w:rPr>
          <w:rFonts w:ascii="宋体" w:hAnsi="宋体" w:cs="宋体" w:eastAsia="宋体" w:hint="default"/>
        </w:rPr>
      </w:pPr>
      <w:r>
        <w:rPr/>
        <w:t>合并及母公司财务状况以及</w:t>
      </w:r>
      <w:r>
        <w:rPr>
          <w:rFonts w:ascii="宋体" w:hAnsi="宋体" w:cs="宋体" w:eastAsia="宋体" w:hint="default"/>
        </w:rPr>
        <w:t>2017</w:t>
      </w:r>
      <w:r>
        <w:rPr/>
        <w:t>年度的合并及母公司经营成果和现金流量。</w:t>
      </w:r>
      <w:r>
        <w:rPr>
          <w:rFonts w:ascii="宋体" w:hAnsi="宋体" w:cs="宋体" w:eastAsia="宋体" w:hint="default"/>
        </w:rPr>
        <w:t> </w:t>
      </w:r>
    </w:p>
    <w:p>
      <w:pPr>
        <w:pStyle w:val="BodyText"/>
        <w:spacing w:line="316" w:lineRule="auto" w:before="76"/>
        <w:ind w:left="513" w:right="6754"/>
        <w:jc w:val="left"/>
        <w:rPr>
          <w:rFonts w:ascii="宋体" w:hAnsi="宋体" w:cs="宋体" w:eastAsia="宋体" w:hint="default"/>
        </w:rPr>
      </w:pPr>
      <w:r>
        <w:rPr>
          <w:rFonts w:ascii="宋体" w:hAnsi="宋体" w:cs="宋体" w:eastAsia="宋体" w:hint="default"/>
        </w:rPr>
        <w:t>  </w:t>
      </w:r>
      <w:r>
        <w:rPr/>
        <w:t>二、形成审计意见的基</w:t>
      </w:r>
      <w:r>
        <w:rPr>
          <w:spacing w:val="-1"/>
        </w:rPr>
        <w:t>础</w:t>
      </w:r>
      <w:r>
        <w:rPr>
          <w:rFonts w:ascii="宋体" w:hAnsi="宋体" w:cs="宋体" w:eastAsia="宋体" w:hint="default"/>
        </w:rPr>
        <w:t> </w:t>
      </w:r>
    </w:p>
    <w:p>
      <w:pPr>
        <w:pStyle w:val="BodyText"/>
        <w:spacing w:line="319" w:lineRule="auto" w:before="19"/>
        <w:ind w:right="189" w:firstLine="360"/>
        <w:jc w:val="both"/>
        <w:rPr>
          <w:rFonts w:ascii="宋体" w:hAnsi="宋体" w:cs="宋体" w:eastAsia="宋体" w:hint="default"/>
        </w:rPr>
      </w:pPr>
      <w:r>
        <w:rPr>
          <w:spacing w:val="-2"/>
        </w:rPr>
        <w:t>我们按照中国注册会计师审计准则的规定执行了审计工作。审计报告的“注册会计师对财务报表审计的责任”部分进一</w:t>
      </w:r>
      <w:r>
        <w:rPr/>
        <w:t> </w:t>
      </w:r>
      <w:r>
        <w:rPr>
          <w:spacing w:val="-2"/>
        </w:rPr>
        <w:t>步阐述了我们在这些准则下的责任。按照中国注册会计师职业道德守则，我们独立于证通电子公司，并履行了职业道德方面</w:t>
      </w:r>
      <w:r>
        <w:rPr>
          <w:spacing w:val="-62"/>
        </w:rPr>
        <w:t> </w:t>
      </w:r>
      <w:r>
        <w:rPr>
          <w:spacing w:val="-62"/>
        </w:rPr>
      </w:r>
      <w:r>
        <w:rPr/>
        <w:t>的其他责任。我们相信，我们获取的审计证据是充分、适当的，为发表审计意见提供了基础。</w:t>
      </w:r>
      <w:r>
        <w:rPr>
          <w:rFonts w:ascii="宋体" w:hAnsi="宋体" w:cs="宋体" w:eastAsia="宋体" w:hint="default"/>
        </w:rPr>
        <w:t> </w:t>
      </w:r>
    </w:p>
    <w:p>
      <w:pPr>
        <w:pStyle w:val="BodyText"/>
        <w:spacing w:line="316" w:lineRule="auto" w:before="17"/>
        <w:ind w:left="513" w:right="6754"/>
        <w:jc w:val="left"/>
        <w:rPr>
          <w:rFonts w:ascii="宋体" w:hAnsi="宋体" w:cs="宋体" w:eastAsia="宋体" w:hint="default"/>
        </w:rPr>
      </w:pPr>
      <w:r>
        <w:rPr>
          <w:rFonts w:ascii="宋体" w:hAnsi="宋体" w:cs="宋体" w:eastAsia="宋体" w:hint="default"/>
        </w:rPr>
        <w:t>  </w:t>
      </w:r>
      <w:r>
        <w:rPr/>
        <w:t>三、关键审计事</w:t>
      </w:r>
      <w:r>
        <w:rPr>
          <w:spacing w:val="-1"/>
        </w:rPr>
        <w:t>项</w:t>
      </w:r>
      <w:r>
        <w:rPr>
          <w:rFonts w:ascii="宋体" w:hAnsi="宋体" w:cs="宋体" w:eastAsia="宋体" w:hint="default"/>
        </w:rPr>
        <w:t> </w:t>
      </w:r>
    </w:p>
    <w:p>
      <w:pPr>
        <w:pStyle w:val="BodyText"/>
        <w:spacing w:line="316" w:lineRule="auto" w:before="19"/>
        <w:ind w:right="178" w:firstLine="360"/>
        <w:jc w:val="left"/>
        <w:rPr>
          <w:rFonts w:ascii="宋体" w:hAnsi="宋体" w:cs="宋体" w:eastAsia="宋体" w:hint="default"/>
        </w:rPr>
      </w:pPr>
      <w:r>
        <w:rPr>
          <w:spacing w:val="-2"/>
        </w:rPr>
        <w:t>关键审计事项是根据我们的职业判断，认为对本期财务报表审计最为重要的事项。这些事项的应对以对财务报表整体进</w:t>
      </w:r>
      <w:r>
        <w:rPr/>
        <w:t> 行审计并形成审计意见为背景，我们不对这些事项单独发表意见。</w:t>
      </w:r>
      <w:r>
        <w:rPr>
          <w:rFonts w:ascii="宋体" w:hAnsi="宋体" w:cs="宋体" w:eastAsia="宋体" w:hint="default"/>
        </w:rPr>
        <w:t> </w:t>
      </w:r>
    </w:p>
    <w:p>
      <w:pPr>
        <w:pStyle w:val="BodyText"/>
        <w:spacing w:line="240" w:lineRule="auto" w:before="19"/>
        <w:ind w:left="513" w:right="178"/>
        <w:jc w:val="left"/>
        <w:rPr>
          <w:rFonts w:ascii="宋体" w:hAnsi="宋体" w:cs="宋体" w:eastAsia="宋体" w:hint="default"/>
        </w:rPr>
      </w:pPr>
      <w:r>
        <w:rPr/>
        <w:t>我们确定下列事项是需要在审计报告中沟通的关键审计事项。</w:t>
      </w:r>
      <w:r>
        <w:rPr>
          <w:rFonts w:ascii="宋体" w:hAnsi="宋体" w:cs="宋体" w:eastAsia="宋体" w:hint="default"/>
        </w:rPr>
        <w:t> </w:t>
      </w:r>
    </w:p>
    <w:p>
      <w:pPr>
        <w:pStyle w:val="BodyText"/>
        <w:spacing w:line="316" w:lineRule="auto" w:before="76"/>
        <w:ind w:left="513" w:right="8194" w:hanging="92"/>
        <w:jc w:val="left"/>
        <w:rPr>
          <w:rFonts w:ascii="宋体" w:hAnsi="宋体" w:cs="宋体" w:eastAsia="宋体" w:hint="default"/>
        </w:rPr>
      </w:pPr>
      <w:r>
        <w:rPr/>
        <w:t>（一）收入确认</w:t>
      </w:r>
      <w:r>
        <w:rPr>
          <w:rFonts w:ascii="宋体" w:hAnsi="宋体" w:cs="宋体" w:eastAsia="宋体" w:hint="default"/>
        </w:rPr>
        <w:t> 1</w:t>
      </w:r>
      <w:r>
        <w:rPr/>
        <w:t>、事项描述</w:t>
      </w:r>
      <w:r>
        <w:rPr>
          <w:rFonts w:ascii="宋体" w:hAnsi="宋体" w:cs="宋体" w:eastAsia="宋体" w:hint="default"/>
        </w:rPr>
        <w:t> </w:t>
      </w:r>
    </w:p>
    <w:p>
      <w:pPr>
        <w:pStyle w:val="BodyText"/>
        <w:spacing w:line="316" w:lineRule="auto" w:before="19"/>
        <w:ind w:right="184" w:firstLine="360"/>
        <w:jc w:val="left"/>
        <w:rPr>
          <w:rFonts w:ascii="宋体" w:hAnsi="宋体" w:cs="宋体" w:eastAsia="宋体" w:hint="default"/>
        </w:rPr>
      </w:pPr>
      <w:r>
        <w:rPr/>
        <w:t>参见财务报表附注三、（二十五）及五、（四十二）。</w:t>
      </w:r>
      <w:r>
        <w:rPr>
          <w:rFonts w:ascii="宋体" w:hAnsi="宋体" w:cs="宋体" w:eastAsia="宋体" w:hint="default"/>
        </w:rPr>
        <w:t>2017</w:t>
      </w:r>
      <w:r>
        <w:rPr/>
        <w:t>年度证通电子公司实现营业收入</w:t>
      </w:r>
      <w:r>
        <w:rPr>
          <w:rFonts w:ascii="宋体" w:hAnsi="宋体" w:cs="宋体" w:eastAsia="宋体" w:hint="default"/>
        </w:rPr>
        <w:t>168,259.32</w:t>
      </w:r>
      <w:r>
        <w:rPr/>
        <w:t>万元，较</w:t>
      </w:r>
      <w:r>
        <w:rPr>
          <w:rFonts w:ascii="宋体" w:hAnsi="宋体" w:cs="宋体" w:eastAsia="宋体" w:hint="default"/>
        </w:rPr>
        <w:t>2016 </w:t>
      </w:r>
      <w:r>
        <w:rPr/>
        <w:t>年度减少</w:t>
      </w:r>
      <w:r>
        <w:rPr>
          <w:rFonts w:ascii="宋体" w:hAnsi="宋体" w:cs="宋体" w:eastAsia="宋体" w:hint="default"/>
        </w:rPr>
        <w:t>6.31%</w:t>
      </w:r>
      <w:r>
        <w:rPr/>
        <w:t>。营业收入为证通电子公司合并利润表的重要组成项目，且营业收入的真实性及完整性存在潜在错报风险， 为此我们将营业收入确定为关键审计事项。</w:t>
      </w:r>
      <w:r>
        <w:rPr>
          <w:rFonts w:ascii="宋体" w:hAnsi="宋体" w:cs="宋体" w:eastAsia="宋体" w:hint="default"/>
        </w:rPr>
        <w:t> </w:t>
      </w:r>
    </w:p>
    <w:p>
      <w:pPr>
        <w:pStyle w:val="BodyText"/>
        <w:spacing w:line="319" w:lineRule="auto" w:before="19"/>
        <w:ind w:left="513" w:right="6754"/>
        <w:jc w:val="left"/>
        <w:rPr>
          <w:rFonts w:ascii="宋体" w:hAnsi="宋体" w:cs="宋体" w:eastAsia="宋体" w:hint="default"/>
        </w:rPr>
      </w:pPr>
      <w:r>
        <w:rPr>
          <w:rFonts w:ascii="宋体" w:hAnsi="宋体" w:cs="宋体" w:eastAsia="宋体" w:hint="default"/>
        </w:rPr>
        <w:t>2</w:t>
      </w:r>
      <w:r>
        <w:rPr/>
        <w:t>、审计应对</w:t>
      </w:r>
      <w:r>
        <w:rPr>
          <w:rFonts w:ascii="宋体" w:hAnsi="宋体" w:cs="宋体" w:eastAsia="宋体" w:hint="default"/>
        </w:rPr>
        <w:t> </w:t>
      </w:r>
      <w:r>
        <w:rPr/>
        <w:t>我们执行的主要审计程序如下：</w:t>
      </w:r>
      <w:r>
        <w:rPr>
          <w:rFonts w:ascii="宋体" w:hAnsi="宋体" w:cs="宋体" w:eastAsia="宋体" w:hint="default"/>
        </w:rPr>
        <w:t> </w:t>
      </w:r>
    </w:p>
    <w:p>
      <w:pPr>
        <w:pStyle w:val="BodyText"/>
        <w:spacing w:line="316" w:lineRule="auto" w:before="17"/>
        <w:ind w:right="178" w:firstLine="269"/>
        <w:jc w:val="left"/>
        <w:rPr>
          <w:rFonts w:ascii="宋体" w:hAnsi="宋体" w:cs="宋体" w:eastAsia="宋体" w:hint="default"/>
        </w:rPr>
      </w:pPr>
      <w:r>
        <w:rPr>
          <w:spacing w:val="-2"/>
        </w:rPr>
        <w:t>（</w:t>
      </w:r>
      <w:r>
        <w:rPr>
          <w:rFonts w:ascii="宋体" w:hAnsi="宋体" w:cs="宋体" w:eastAsia="宋体" w:hint="default"/>
          <w:spacing w:val="-2"/>
        </w:rPr>
        <w:t>1</w:t>
      </w:r>
      <w:r>
        <w:rPr>
          <w:spacing w:val="-2"/>
        </w:rPr>
        <w:t>）我们通过与管理层访谈和检查销售合同等相关程序文件，了解、评估并测试了与收入确认相关的内部控制设计和运</w:t>
      </w:r>
      <w:r>
        <w:rPr/>
        <w:t> 行的有效性；</w:t>
      </w:r>
      <w:r>
        <w:rPr>
          <w:rFonts w:ascii="宋体" w:hAnsi="宋体" w:cs="宋体" w:eastAsia="宋体" w:hint="default"/>
        </w:rPr>
        <w:t> </w:t>
      </w:r>
    </w:p>
    <w:p>
      <w:pPr>
        <w:pStyle w:val="BodyText"/>
        <w:spacing w:line="240" w:lineRule="auto" w:before="19"/>
        <w:ind w:left="422" w:right="178"/>
        <w:jc w:val="left"/>
        <w:rPr>
          <w:rFonts w:ascii="宋体" w:hAnsi="宋体" w:cs="宋体" w:eastAsia="宋体" w:hint="default"/>
        </w:rPr>
      </w:pPr>
      <w:r>
        <w:rPr/>
        <w:t>（</w:t>
      </w:r>
      <w:r>
        <w:rPr>
          <w:rFonts w:ascii="宋体" w:hAnsi="宋体" w:cs="宋体" w:eastAsia="宋体" w:hint="default"/>
        </w:rPr>
        <w:t>2</w:t>
      </w:r>
      <w:r>
        <w:rPr/>
        <w:t>）结合业务类型我们对收入执行了分析性复核程序，以判断营业收入、毛利及毛利率变动的合理性；</w:t>
      </w:r>
      <w:r>
        <w:rPr>
          <w:rFonts w:ascii="宋体" w:hAnsi="宋体" w:cs="宋体" w:eastAsia="宋体" w:hint="default"/>
        </w:rPr>
        <w:t> </w:t>
      </w:r>
    </w:p>
    <w:p>
      <w:pPr>
        <w:pStyle w:val="BodyText"/>
        <w:spacing w:line="316" w:lineRule="auto" w:before="76"/>
        <w:ind w:right="178" w:firstLine="269"/>
        <w:jc w:val="left"/>
        <w:rPr>
          <w:rFonts w:ascii="宋体" w:hAnsi="宋体" w:cs="宋体" w:eastAsia="宋体" w:hint="default"/>
        </w:rPr>
      </w:pPr>
      <w:r>
        <w:rPr>
          <w:spacing w:val="-2"/>
        </w:rPr>
        <w:t>（</w:t>
      </w:r>
      <w:r>
        <w:rPr>
          <w:rFonts w:ascii="宋体" w:hAnsi="宋体" w:cs="宋体" w:eastAsia="宋体" w:hint="default"/>
          <w:spacing w:val="-2"/>
        </w:rPr>
        <w:t>3</w:t>
      </w:r>
      <w:r>
        <w:rPr>
          <w:spacing w:val="-2"/>
        </w:rPr>
        <w:t>）我们对重要客户执行了交易测试，境内销售检查了销售订单或合同、出库记录、发运单、签收记录及银行收款记录</w:t>
      </w:r>
      <w:r>
        <w:rPr/>
        <w:t> </w:t>
      </w:r>
      <w:r>
        <w:rPr>
          <w:spacing w:val="-2"/>
        </w:rPr>
        <w:t>等；境外销售检查了销售订单或合同、出库记录、报关单、提单和回款记录等，且与海关统计查询数据证明书进行了核对；</w:t>
      </w:r>
      <w:r>
        <w:rPr>
          <w:rFonts w:ascii="宋体" w:hAnsi="宋体" w:cs="宋体" w:eastAsia="宋体" w:hint="default"/>
        </w:rPr>
        <w:t> </w:t>
      </w:r>
    </w:p>
    <w:p>
      <w:pPr>
        <w:pStyle w:val="BodyText"/>
        <w:spacing w:line="240" w:lineRule="auto" w:before="18"/>
        <w:ind w:left="422" w:right="178"/>
        <w:jc w:val="left"/>
        <w:rPr>
          <w:rFonts w:ascii="宋体" w:hAnsi="宋体" w:cs="宋体" w:eastAsia="宋体" w:hint="default"/>
        </w:rPr>
      </w:pPr>
      <w:r>
        <w:rPr/>
        <w:t>（</w:t>
      </w:r>
      <w:r>
        <w:rPr>
          <w:rFonts w:ascii="宋体" w:hAnsi="宋体" w:cs="宋体" w:eastAsia="宋体" w:hint="default"/>
        </w:rPr>
        <w:t>4</w:t>
      </w:r>
      <w:r>
        <w:rPr/>
        <w:t>）我们根据客户交易的特点和性质，对重要客户执行了函证程序以确认应收账款余额和销售收入金额；对重要的</w:t>
      </w:r>
      <w:r>
        <w:rPr>
          <w:rFonts w:ascii="宋体" w:hAnsi="宋体" w:cs="宋体" w:eastAsia="宋体" w:hint="default"/>
        </w:rPr>
        <w:t>BT</w:t>
      </w:r>
    </w:p>
    <w:p>
      <w:pPr>
        <w:spacing w:after="0" w:line="240" w:lineRule="auto"/>
        <w:jc w:val="left"/>
        <w:rPr>
          <w:rFonts w:ascii="宋体" w:hAnsi="宋体" w:cs="宋体" w:eastAsia="宋体" w:hint="default"/>
        </w:rPr>
        <w:sectPr>
          <w:footerReference w:type="default" r:id="rId22"/>
          <w:pgSz w:w="11910" w:h="16840"/>
          <w:pgMar w:footer="980" w:header="745"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right="6754"/>
        <w:jc w:val="left"/>
        <w:rPr>
          <w:rFonts w:ascii="宋体" w:hAnsi="宋体" w:cs="宋体" w:eastAsia="宋体" w:hint="default"/>
        </w:rPr>
      </w:pPr>
      <w:r>
        <w:rPr/>
        <w:t>项目执行了实地走访程序；</w:t>
      </w:r>
      <w:r>
        <w:rPr>
          <w:rFonts w:ascii="宋体" w:hAnsi="宋体" w:cs="宋体" w:eastAsia="宋体" w:hint="default"/>
        </w:rPr>
        <w:t> </w:t>
      </w:r>
    </w:p>
    <w:p>
      <w:pPr>
        <w:pStyle w:val="BodyText"/>
        <w:spacing w:line="240" w:lineRule="auto" w:before="77"/>
        <w:ind w:left="422" w:right="178"/>
        <w:jc w:val="left"/>
        <w:rPr>
          <w:rFonts w:ascii="宋体" w:hAnsi="宋体" w:cs="宋体" w:eastAsia="宋体" w:hint="default"/>
        </w:rPr>
      </w:pPr>
      <w:r>
        <w:rPr/>
        <w:t>（</w:t>
      </w:r>
      <w:r>
        <w:rPr>
          <w:rFonts w:ascii="宋体" w:hAnsi="宋体" w:cs="宋体" w:eastAsia="宋体" w:hint="default"/>
        </w:rPr>
        <w:t>5</w:t>
      </w:r>
      <w:r>
        <w:rPr/>
        <w:t>）结合业务类型我们对收入执行了截止测试程序。</w:t>
      </w:r>
      <w:r>
        <w:rPr>
          <w:rFonts w:ascii="宋体" w:hAnsi="宋体" w:cs="宋体" w:eastAsia="宋体" w:hint="default"/>
        </w:rPr>
        <w:t> </w:t>
      </w:r>
    </w:p>
    <w:p>
      <w:pPr>
        <w:pStyle w:val="BodyText"/>
        <w:spacing w:line="316" w:lineRule="auto" w:before="76"/>
        <w:ind w:left="513" w:right="6754" w:hanging="92"/>
        <w:jc w:val="left"/>
        <w:rPr>
          <w:rFonts w:ascii="宋体" w:hAnsi="宋体" w:cs="宋体" w:eastAsia="宋体" w:hint="default"/>
        </w:rPr>
      </w:pPr>
      <w:r>
        <w:rPr/>
        <w:t>（二）应收账款坏账准备</w:t>
      </w:r>
      <w:r>
        <w:rPr>
          <w:rFonts w:ascii="宋体" w:hAnsi="宋体" w:cs="宋体" w:eastAsia="宋体" w:hint="default"/>
        </w:rPr>
        <w:t> 1</w:t>
      </w:r>
      <w:r>
        <w:rPr/>
        <w:t>、事项描述</w:t>
      </w:r>
      <w:r>
        <w:rPr>
          <w:rFonts w:ascii="宋体" w:hAnsi="宋体" w:cs="宋体" w:eastAsia="宋体" w:hint="default"/>
        </w:rPr>
        <w:t> </w:t>
      </w:r>
    </w:p>
    <w:p>
      <w:pPr>
        <w:pStyle w:val="BodyText"/>
        <w:spacing w:line="316" w:lineRule="auto" w:before="19"/>
        <w:ind w:right="186" w:firstLine="360"/>
        <w:jc w:val="both"/>
        <w:rPr>
          <w:rFonts w:ascii="宋体" w:hAnsi="宋体" w:cs="宋体" w:eastAsia="宋体" w:hint="default"/>
        </w:rPr>
      </w:pPr>
      <w:r>
        <w:rPr>
          <w:spacing w:val="-2"/>
        </w:rPr>
        <w:t>参见财务报表附注三、（十一）及五、（三）。</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日证通电子公司的应收账款账面余额</w:t>
      </w:r>
      <w:r>
        <w:rPr>
          <w:rFonts w:ascii="宋体" w:hAnsi="宋体" w:cs="宋体" w:eastAsia="宋体" w:hint="default"/>
          <w:spacing w:val="-2"/>
        </w:rPr>
        <w:t>129,264.29</w:t>
      </w:r>
      <w:r>
        <w:rPr>
          <w:spacing w:val="-2"/>
        </w:rPr>
        <w:t>万元，占</w:t>
      </w:r>
      <w:r>
        <w:rPr/>
        <w:t> 证通电子公司资产总额的</w:t>
      </w:r>
      <w:r>
        <w:rPr>
          <w:rFonts w:ascii="宋体" w:hAnsi="宋体" w:cs="宋体" w:eastAsia="宋体" w:hint="default"/>
        </w:rPr>
        <w:t>24.31%</w:t>
      </w:r>
      <w:r>
        <w:rPr/>
        <w:t>，对其计提坏账准备</w:t>
      </w:r>
      <w:r>
        <w:rPr>
          <w:rFonts w:ascii="宋体" w:hAnsi="宋体" w:cs="宋体" w:eastAsia="宋体" w:hint="default"/>
        </w:rPr>
        <w:t>14,440.91</w:t>
      </w:r>
      <w:r>
        <w:rPr/>
        <w:t>万元。应收账款为证通电子公司合并资产负债表的重要组成 项目，且计提坏账准备的合理性存在潜在错报风险，为此我们将应收账款坏账准备确定为关键审计事项。</w:t>
      </w:r>
      <w:r>
        <w:rPr>
          <w:rFonts w:ascii="宋体" w:hAnsi="宋体" w:cs="宋体" w:eastAsia="宋体" w:hint="default"/>
        </w:rPr>
        <w:t> </w:t>
      </w:r>
    </w:p>
    <w:p>
      <w:pPr>
        <w:pStyle w:val="BodyText"/>
        <w:spacing w:line="316" w:lineRule="auto" w:before="19"/>
        <w:ind w:left="513" w:right="6754"/>
        <w:jc w:val="left"/>
        <w:rPr>
          <w:rFonts w:ascii="宋体" w:hAnsi="宋体" w:cs="宋体" w:eastAsia="宋体" w:hint="default"/>
        </w:rPr>
      </w:pPr>
      <w:r>
        <w:rPr>
          <w:rFonts w:ascii="宋体" w:hAnsi="宋体" w:cs="宋体" w:eastAsia="宋体" w:hint="default"/>
        </w:rPr>
        <w:t>2</w:t>
      </w:r>
      <w:r>
        <w:rPr/>
        <w:t>、审计应对</w:t>
      </w:r>
      <w:r>
        <w:rPr>
          <w:rFonts w:ascii="宋体" w:hAnsi="宋体" w:cs="宋体" w:eastAsia="宋体" w:hint="default"/>
        </w:rPr>
        <w:t> </w:t>
      </w:r>
      <w:r>
        <w:rPr/>
        <w:t>我们执行的主要审计程序如下：</w:t>
      </w:r>
      <w:r>
        <w:rPr>
          <w:rFonts w:ascii="宋体" w:hAnsi="宋体" w:cs="宋体" w:eastAsia="宋体" w:hint="default"/>
        </w:rPr>
        <w:t> </w:t>
      </w:r>
    </w:p>
    <w:p>
      <w:pPr>
        <w:pStyle w:val="BodyText"/>
        <w:spacing w:line="316" w:lineRule="auto" w:before="19"/>
        <w:ind w:right="192" w:firstLine="269"/>
        <w:jc w:val="both"/>
        <w:rPr>
          <w:rFonts w:ascii="宋体" w:hAnsi="宋体" w:cs="宋体" w:eastAsia="宋体" w:hint="default"/>
        </w:rPr>
      </w:pPr>
      <w:r>
        <w:rPr>
          <w:spacing w:val="-2"/>
        </w:rPr>
        <w:t>（</w:t>
      </w:r>
      <w:r>
        <w:rPr>
          <w:rFonts w:ascii="宋体" w:hAnsi="宋体" w:cs="宋体" w:eastAsia="宋体" w:hint="default"/>
          <w:spacing w:val="-2"/>
        </w:rPr>
        <w:t>1</w:t>
      </w:r>
      <w:r>
        <w:rPr>
          <w:spacing w:val="-2"/>
        </w:rPr>
        <w:t>）我们通过与管理层访谈和检查销售合同等相关程序文件，了解、评估并测试了与应收账款相关的内部控制设计和运</w:t>
      </w:r>
      <w:r>
        <w:rPr/>
        <w:t> 行的有效性；</w:t>
      </w:r>
      <w:r>
        <w:rPr>
          <w:rFonts w:ascii="宋体" w:hAnsi="宋体" w:cs="宋体" w:eastAsia="宋体" w:hint="default"/>
        </w:rPr>
        <w:t> </w:t>
      </w:r>
    </w:p>
    <w:p>
      <w:pPr>
        <w:pStyle w:val="BodyText"/>
        <w:spacing w:line="240" w:lineRule="auto" w:before="19"/>
        <w:ind w:left="422" w:right="178"/>
        <w:jc w:val="left"/>
        <w:rPr>
          <w:rFonts w:ascii="宋体" w:hAnsi="宋体" w:cs="宋体" w:eastAsia="宋体" w:hint="default"/>
        </w:rPr>
      </w:pPr>
      <w:r>
        <w:rPr/>
        <w:t>（</w:t>
      </w:r>
      <w:r>
        <w:rPr>
          <w:rFonts w:ascii="宋体" w:hAnsi="宋体" w:cs="宋体" w:eastAsia="宋体" w:hint="default"/>
        </w:rPr>
        <w:t>2</w:t>
      </w:r>
      <w:r>
        <w:rPr/>
        <w:t>）我们通过检查销售合同审批流程，了解、评估并测试了应收账款坏账准备计提的会计政策；</w:t>
      </w:r>
      <w:r>
        <w:rPr>
          <w:rFonts w:ascii="宋体" w:hAnsi="宋体" w:cs="宋体" w:eastAsia="宋体" w:hint="default"/>
        </w:rPr>
        <w:t> </w:t>
      </w:r>
    </w:p>
    <w:p>
      <w:pPr>
        <w:pStyle w:val="BodyText"/>
        <w:spacing w:line="240" w:lineRule="auto" w:before="76"/>
        <w:ind w:left="422" w:right="178"/>
        <w:jc w:val="left"/>
        <w:rPr>
          <w:rFonts w:ascii="宋体" w:hAnsi="宋体" w:cs="宋体" w:eastAsia="宋体" w:hint="default"/>
        </w:rPr>
      </w:pPr>
      <w:r>
        <w:rPr/>
        <w:t>（</w:t>
      </w:r>
      <w:r>
        <w:rPr>
          <w:rFonts w:ascii="宋体" w:hAnsi="宋体" w:cs="宋体" w:eastAsia="宋体" w:hint="default"/>
        </w:rPr>
        <w:t>3</w:t>
      </w:r>
      <w:r>
        <w:rPr/>
        <w:t>）我们对管理层编制的应收账款账龄分析表进行了测试；</w:t>
      </w:r>
      <w:r>
        <w:rPr>
          <w:rFonts w:ascii="宋体" w:hAnsi="宋体" w:cs="宋体" w:eastAsia="宋体" w:hint="default"/>
        </w:rPr>
        <w:t> </w:t>
      </w:r>
    </w:p>
    <w:p>
      <w:pPr>
        <w:pStyle w:val="BodyText"/>
        <w:spacing w:line="240" w:lineRule="auto" w:before="77"/>
        <w:ind w:left="422" w:right="93"/>
        <w:jc w:val="left"/>
        <w:rPr>
          <w:rFonts w:ascii="宋体" w:hAnsi="宋体" w:cs="宋体" w:eastAsia="宋体" w:hint="default"/>
        </w:rPr>
      </w:pPr>
      <w:r>
        <w:rPr/>
        <w:t>（</w:t>
      </w:r>
      <w:r>
        <w:rPr>
          <w:rFonts w:ascii="宋体" w:hAnsi="宋体" w:cs="宋体" w:eastAsia="宋体" w:hint="default"/>
          <w:spacing w:val="1"/>
        </w:rPr>
        <w:t>4</w:t>
      </w:r>
      <w:r>
        <w:rPr/>
        <w:t>）我们对重要应收账款与管理层讨论了其可收回性，并测试了应收账款计提坏账准备所依据资料的相关性和可</w:t>
      </w:r>
      <w:r>
        <w:rPr>
          <w:spacing w:val="2"/>
        </w:rPr>
        <w:t>靠性</w:t>
      </w:r>
      <w:r>
        <w:rPr>
          <w:spacing w:val="-85"/>
        </w:rPr>
        <w:t>；</w:t>
      </w:r>
      <w:r>
        <w:rPr>
          <w:rFonts w:ascii="宋体" w:hAnsi="宋体" w:cs="宋体" w:eastAsia="宋体" w:hint="default"/>
        </w:rPr>
        <w:t> </w:t>
      </w:r>
    </w:p>
    <w:p>
      <w:pPr>
        <w:pStyle w:val="BodyText"/>
        <w:spacing w:line="316" w:lineRule="auto" w:before="76"/>
        <w:ind w:right="190" w:firstLine="269"/>
        <w:jc w:val="both"/>
        <w:rPr>
          <w:rFonts w:ascii="宋体" w:hAnsi="宋体" w:cs="宋体" w:eastAsia="宋体" w:hint="default"/>
        </w:rPr>
      </w:pPr>
      <w:r>
        <w:rPr>
          <w:spacing w:val="-2"/>
        </w:rPr>
        <w:t>（</w:t>
      </w:r>
      <w:r>
        <w:rPr>
          <w:rFonts w:ascii="宋体" w:hAnsi="宋体" w:cs="宋体" w:eastAsia="宋体" w:hint="default"/>
          <w:spacing w:val="-2"/>
        </w:rPr>
        <w:t>5</w:t>
      </w:r>
      <w:r>
        <w:rPr>
          <w:spacing w:val="-2"/>
        </w:rPr>
        <w:t>）我们通过比较前期坏账准备计提数与实际发生数，并结合对期后回款的测试，评价了应收账款坏账准备计提的合理</w:t>
      </w:r>
      <w:r>
        <w:rPr/>
        <w:t> 性。</w:t>
      </w:r>
      <w:r>
        <w:rPr>
          <w:rFonts w:ascii="宋体" w:hAnsi="宋体" w:cs="宋体" w:eastAsia="宋体" w:hint="default"/>
        </w:rPr>
        <w:t> </w:t>
      </w:r>
    </w:p>
    <w:p>
      <w:pPr>
        <w:pStyle w:val="BodyText"/>
        <w:spacing w:line="316" w:lineRule="auto" w:before="19"/>
        <w:ind w:left="513" w:right="6754"/>
        <w:jc w:val="left"/>
        <w:rPr>
          <w:rFonts w:ascii="宋体" w:hAnsi="宋体" w:cs="宋体" w:eastAsia="宋体" w:hint="default"/>
        </w:rPr>
      </w:pPr>
      <w:r>
        <w:rPr>
          <w:rFonts w:ascii="宋体" w:hAnsi="宋体" w:cs="宋体" w:eastAsia="宋体" w:hint="default"/>
        </w:rPr>
        <w:t>  </w:t>
      </w:r>
      <w:r>
        <w:rPr/>
        <w:t>四、其他信</w:t>
      </w:r>
      <w:r>
        <w:rPr>
          <w:spacing w:val="-1"/>
        </w:rPr>
        <w:t>息</w:t>
      </w:r>
      <w:r>
        <w:rPr>
          <w:rFonts w:ascii="宋体" w:hAnsi="宋体" w:cs="宋体" w:eastAsia="宋体" w:hint="default"/>
        </w:rPr>
        <w:t> </w:t>
      </w:r>
    </w:p>
    <w:p>
      <w:pPr>
        <w:pStyle w:val="BodyText"/>
        <w:spacing w:line="316" w:lineRule="auto" w:before="19"/>
        <w:ind w:right="193" w:firstLine="360"/>
        <w:jc w:val="both"/>
        <w:rPr>
          <w:rFonts w:ascii="宋体" w:hAnsi="宋体" w:cs="宋体" w:eastAsia="宋体" w:hint="default"/>
        </w:rPr>
      </w:pPr>
      <w:r>
        <w:rPr>
          <w:spacing w:val="-2"/>
        </w:rPr>
        <w:t>证通电子公司管理层（以下简称管理层）对其他信息负责。其他信息包括年度报告中涵盖的信息，但不包括财务报表和</w:t>
      </w:r>
      <w:r>
        <w:rPr/>
        <w:t> 我们的审计报告。</w:t>
      </w:r>
      <w:r>
        <w:rPr>
          <w:rFonts w:ascii="宋体" w:hAnsi="宋体" w:cs="宋体" w:eastAsia="宋体" w:hint="default"/>
        </w:rPr>
        <w:t> </w:t>
      </w:r>
    </w:p>
    <w:p>
      <w:pPr>
        <w:pStyle w:val="BodyText"/>
        <w:spacing w:line="316" w:lineRule="auto" w:before="19"/>
        <w:ind w:left="513" w:right="178"/>
        <w:jc w:val="left"/>
      </w:pPr>
      <w:r>
        <w:rPr/>
        <w:t>我们对财务报表发表的审计意见不涵盖其他信息，我们也不对其他信息发表任何形式的鉴证结论。</w:t>
      </w:r>
      <w:r>
        <w:rPr>
          <w:rFonts w:ascii="宋体" w:hAnsi="宋体" w:cs="宋体" w:eastAsia="宋体" w:hint="default"/>
        </w:rPr>
        <w:t> </w:t>
      </w:r>
      <w:r>
        <w:rPr>
          <w:spacing w:val="-2"/>
        </w:rPr>
        <w:t>结合我们对财务报表的审计，我们的责任是阅读其他信息，在此过程中，考虑其他信息是否与财务报表或我们在审计过</w:t>
      </w:r>
    </w:p>
    <w:p>
      <w:pPr>
        <w:pStyle w:val="BodyText"/>
        <w:spacing w:line="316" w:lineRule="auto" w:before="19"/>
        <w:ind w:left="513" w:right="178" w:hanging="361"/>
        <w:jc w:val="left"/>
      </w:pPr>
      <w:r>
        <w:rPr/>
        <w:t>程中了解到的情况存在重大不一致或者似乎存在重大错报。</w:t>
      </w:r>
      <w:r>
        <w:rPr>
          <w:rFonts w:ascii="宋体" w:hAnsi="宋体" w:cs="宋体" w:eastAsia="宋体" w:hint="default"/>
        </w:rPr>
        <w:t> </w:t>
      </w:r>
      <w:r>
        <w:rPr>
          <w:spacing w:val="-2"/>
        </w:rPr>
        <w:t>基于我们已执行的工作，如果我们确定其他信息存在重大错报，我们应当报告该事实。在这方面，我们无任何事项需要</w:t>
      </w:r>
    </w:p>
    <w:p>
      <w:pPr>
        <w:pStyle w:val="BodyText"/>
        <w:spacing w:line="240" w:lineRule="auto" w:before="19"/>
        <w:ind w:right="6754"/>
        <w:jc w:val="left"/>
        <w:rPr>
          <w:rFonts w:ascii="宋体" w:hAnsi="宋体" w:cs="宋体" w:eastAsia="宋体" w:hint="default"/>
        </w:rPr>
      </w:pPr>
      <w:r>
        <w:rPr/>
        <w:t>报告。</w:t>
      </w:r>
      <w:r>
        <w:rPr>
          <w:rFonts w:ascii="宋体" w:hAnsi="宋体" w:cs="宋体" w:eastAsia="宋体" w:hint="default"/>
        </w:rPr>
        <w:t> </w:t>
      </w:r>
    </w:p>
    <w:p>
      <w:pPr>
        <w:pStyle w:val="BodyText"/>
        <w:spacing w:line="316" w:lineRule="auto" w:before="77"/>
        <w:ind w:left="513" w:right="178"/>
        <w:jc w:val="left"/>
        <w:rPr>
          <w:rFonts w:ascii="宋体" w:hAnsi="宋体" w:cs="宋体" w:eastAsia="宋体" w:hint="default"/>
        </w:rPr>
      </w:pPr>
      <w:r>
        <w:rPr>
          <w:rFonts w:ascii="宋体" w:hAnsi="宋体" w:cs="宋体" w:eastAsia="宋体" w:hint="default"/>
        </w:rPr>
        <w:t>  </w:t>
      </w:r>
      <w:r>
        <w:rPr/>
        <w:t>五、管理层和治理层对财务报表的责任</w:t>
      </w:r>
      <w:r>
        <w:rPr>
          <w:rFonts w:ascii="宋体" w:hAnsi="宋体" w:cs="宋体" w:eastAsia="宋体" w:hint="default"/>
        </w:rPr>
        <w:t> </w:t>
      </w:r>
    </w:p>
    <w:p>
      <w:pPr>
        <w:pStyle w:val="BodyText"/>
        <w:spacing w:line="316" w:lineRule="auto" w:before="19"/>
        <w:ind w:right="193" w:firstLine="360"/>
        <w:jc w:val="both"/>
        <w:rPr>
          <w:rFonts w:ascii="宋体" w:hAnsi="宋体" w:cs="宋体" w:eastAsia="宋体" w:hint="default"/>
        </w:rPr>
      </w:pPr>
      <w:r>
        <w:rPr>
          <w:spacing w:val="-2"/>
        </w:rPr>
        <w:t>管理层负责按照企业会计准则的规定编制财务报表，使其实现公允反映，并设计、执行和维护必要的内部控制，以使财</w:t>
      </w:r>
      <w:r>
        <w:rPr/>
        <w:t> 务报表不存在由于舞弊或错误导致的重大错报。</w:t>
      </w:r>
      <w:r>
        <w:rPr>
          <w:rFonts w:ascii="宋体" w:hAnsi="宋体" w:cs="宋体" w:eastAsia="宋体" w:hint="default"/>
        </w:rPr>
        <w:t> </w:t>
      </w:r>
    </w:p>
    <w:p>
      <w:pPr>
        <w:pStyle w:val="BodyText"/>
        <w:spacing w:line="316" w:lineRule="auto" w:before="19"/>
        <w:ind w:right="193" w:firstLine="360"/>
        <w:jc w:val="both"/>
        <w:rPr>
          <w:rFonts w:ascii="宋体" w:hAnsi="宋体" w:cs="宋体" w:eastAsia="宋体" w:hint="default"/>
        </w:rPr>
      </w:pPr>
      <w:r>
        <w:rPr>
          <w:spacing w:val="-2"/>
        </w:rPr>
        <w:t>在编制财务报表时，管理层负责评估证通电子公司的持续经营能力，披露与持续经营相关的事项（如适用），并运用持</w:t>
      </w:r>
      <w:r>
        <w:rPr/>
        <w:t> 续经营假设，除非管理层计划清证通电子公司、终止运营或别无其他现实的选择。</w:t>
      </w:r>
      <w:r>
        <w:rPr>
          <w:rFonts w:ascii="宋体" w:hAnsi="宋体" w:cs="宋体" w:eastAsia="宋体" w:hint="default"/>
        </w:rPr>
        <w:t> </w:t>
      </w:r>
    </w:p>
    <w:p>
      <w:pPr>
        <w:pStyle w:val="BodyText"/>
        <w:spacing w:line="240" w:lineRule="auto" w:before="19"/>
        <w:ind w:left="513" w:right="178"/>
        <w:jc w:val="left"/>
        <w:rPr>
          <w:rFonts w:ascii="宋体" w:hAnsi="宋体" w:cs="宋体" w:eastAsia="宋体" w:hint="default"/>
        </w:rPr>
      </w:pPr>
      <w:r>
        <w:rPr/>
        <w:t>治理层负责监督证通电子公司的财务报告过程。</w:t>
      </w:r>
      <w:r>
        <w:rPr>
          <w:rFonts w:ascii="宋体" w:hAnsi="宋体" w:cs="宋体" w:eastAsia="宋体" w:hint="default"/>
        </w:rPr>
        <w:t> </w:t>
      </w:r>
    </w:p>
    <w:p>
      <w:pPr>
        <w:pStyle w:val="BodyText"/>
        <w:spacing w:line="316" w:lineRule="auto" w:before="76"/>
        <w:ind w:left="513" w:right="178"/>
        <w:jc w:val="left"/>
        <w:rPr>
          <w:rFonts w:ascii="宋体" w:hAnsi="宋体" w:cs="宋体" w:eastAsia="宋体" w:hint="default"/>
        </w:rPr>
      </w:pPr>
      <w:r>
        <w:rPr>
          <w:rFonts w:ascii="宋体" w:hAnsi="宋体" w:cs="宋体" w:eastAsia="宋体" w:hint="default"/>
        </w:rPr>
        <w:t>  </w:t>
      </w:r>
      <w:r>
        <w:rPr/>
        <w:t>六、注册会计师对财务报表审计的责任</w:t>
      </w:r>
      <w:r>
        <w:rPr>
          <w:rFonts w:ascii="宋体" w:hAnsi="宋体" w:cs="宋体" w:eastAsia="宋体" w:hint="default"/>
        </w:rPr>
        <w:t> </w:t>
      </w:r>
    </w:p>
    <w:p>
      <w:pPr>
        <w:pStyle w:val="BodyText"/>
        <w:spacing w:line="319" w:lineRule="auto" w:before="19"/>
        <w:ind w:right="190" w:firstLine="360"/>
        <w:jc w:val="both"/>
        <w:rPr>
          <w:rFonts w:ascii="宋体" w:hAnsi="宋体" w:cs="宋体" w:eastAsia="宋体" w:hint="default"/>
        </w:rPr>
      </w:pPr>
      <w:r>
        <w:rPr>
          <w:spacing w:val="-2"/>
        </w:rPr>
        <w:t>我们的目标是对财务报表整体是否不存在由于舞弊或错误导致的重大错报获取合理保证，并出具包含审计意见的审计报</w:t>
      </w:r>
      <w:r>
        <w:rPr/>
        <w:t> </w:t>
      </w:r>
      <w:r>
        <w:rPr>
          <w:spacing w:val="-2"/>
        </w:rPr>
        <w:t>告。合理保证是高水平的保证，但并不能保证按照审计准则执行的审计在某一重大错报存在时总能发现。错报可能由于舞弊</w:t>
      </w:r>
      <w:r>
        <w:rPr>
          <w:spacing w:val="-63"/>
        </w:rPr>
        <w:t> </w:t>
      </w:r>
      <w:r>
        <w:rPr>
          <w:spacing w:val="-63"/>
        </w:rPr>
      </w:r>
      <w:r>
        <w:rPr>
          <w:spacing w:val="-2"/>
        </w:rPr>
        <w:t>或错误导致，如果合理预期错报单独或汇总起来可能影响财务报表使用者依据财务报表作出的经济决策，则通常认为错报是</w:t>
      </w:r>
      <w:r>
        <w:rPr>
          <w:spacing w:val="-63"/>
        </w:rPr>
        <w:t> </w:t>
      </w:r>
      <w:r>
        <w:rPr>
          <w:spacing w:val="-63"/>
        </w:rPr>
      </w:r>
      <w:r>
        <w:rPr/>
        <w:t>重大的。</w:t>
      </w:r>
      <w:r>
        <w:rPr>
          <w:rFonts w:ascii="宋体" w:hAnsi="宋体" w:cs="宋体" w:eastAsia="宋体" w:hint="default"/>
        </w:rPr>
        <w:t> </w:t>
      </w:r>
    </w:p>
    <w:p>
      <w:pPr>
        <w:pStyle w:val="BodyText"/>
        <w:spacing w:line="240" w:lineRule="auto" w:before="17"/>
        <w:ind w:left="513" w:right="178"/>
        <w:jc w:val="left"/>
        <w:rPr>
          <w:rFonts w:ascii="宋体" w:hAnsi="宋体" w:cs="宋体" w:eastAsia="宋体" w:hint="default"/>
        </w:rPr>
      </w:pPr>
      <w:r>
        <w:rPr/>
        <w:t>在按照审计准则执行审计工作的过程中，我们运用职业判断，并保持职业怀疑。同时，我们也执行以下工作：</w:t>
      </w:r>
      <w:r>
        <w:rPr>
          <w:rFonts w:ascii="宋体" w:hAnsi="宋体" w:cs="宋体" w:eastAsia="宋体" w:hint="default"/>
        </w:rPr>
        <w:t> </w:t>
      </w:r>
    </w:p>
    <w:p>
      <w:pPr>
        <w:pStyle w:val="BodyText"/>
        <w:spacing w:line="316" w:lineRule="auto" w:before="76"/>
        <w:ind w:right="193" w:firstLine="269"/>
        <w:jc w:val="both"/>
        <w:rPr>
          <w:rFonts w:ascii="宋体" w:hAnsi="宋体" w:cs="宋体" w:eastAsia="宋体" w:hint="default"/>
        </w:rPr>
      </w:pPr>
      <w:r>
        <w:rPr>
          <w:spacing w:val="-2"/>
        </w:rPr>
        <w:t>（</w:t>
      </w:r>
      <w:r>
        <w:rPr>
          <w:rFonts w:ascii="宋体" w:hAnsi="宋体" w:cs="宋体" w:eastAsia="宋体" w:hint="default"/>
          <w:spacing w:val="-2"/>
        </w:rPr>
        <w:t>1</w:t>
      </w:r>
      <w:r>
        <w:rPr>
          <w:spacing w:val="-2"/>
        </w:rPr>
        <w:t>）识别和评估由于舞弊或错误导致的财务报表重大错报风险，设计和实施审计程序以应对这些风险，并获取充分、适</w:t>
      </w:r>
      <w:r>
        <w:rPr/>
        <w:t> </w:t>
      </w:r>
      <w:r>
        <w:rPr>
          <w:spacing w:val="-2"/>
        </w:rPr>
        <w:t>当的审计证据，作为发表审计意见的基础。由于舞弊可能涉及串通、伪造、故意遗漏、虚假陈述或凌驾于内部控制之上，未</w:t>
      </w:r>
      <w:r>
        <w:rPr>
          <w:spacing w:val="-70"/>
        </w:rPr>
        <w:t> </w:t>
      </w:r>
      <w:r>
        <w:rPr>
          <w:spacing w:val="-70"/>
        </w:rPr>
      </w:r>
      <w:r>
        <w:rPr/>
        <w:t>能发现由于舞弊导致的重大错报的风险高于未能发现由于错误导致的重大错报的风险。</w:t>
      </w:r>
      <w:r>
        <w:rPr>
          <w:rFonts w:ascii="宋体" w:hAnsi="宋体" w:cs="宋体" w:eastAsia="宋体" w:hint="default"/>
        </w:rPr>
        <w:t> </w:t>
      </w:r>
    </w:p>
    <w:p>
      <w:pPr>
        <w:pStyle w:val="BodyText"/>
        <w:spacing w:line="240" w:lineRule="auto" w:before="19"/>
        <w:ind w:left="422" w:right="178"/>
        <w:jc w:val="left"/>
        <w:rPr>
          <w:rFonts w:ascii="宋体" w:hAnsi="宋体" w:cs="宋体" w:eastAsia="宋体" w:hint="default"/>
        </w:rPr>
      </w:pPr>
      <w:r>
        <w:rPr/>
        <w:t>（</w:t>
      </w:r>
      <w:r>
        <w:rPr>
          <w:rFonts w:ascii="宋体" w:hAnsi="宋体" w:cs="宋体" w:eastAsia="宋体" w:hint="default"/>
        </w:rPr>
        <w:t>2</w:t>
      </w:r>
      <w:r>
        <w:rPr/>
        <w:t>）了解与审计相关的内部控制，以设计恰当的审计程序，但目的并非对内部控制的有效性发表意见。</w:t>
      </w:r>
      <w:r>
        <w:rPr>
          <w:rFonts w:ascii="宋体" w:hAnsi="宋体" w:cs="宋体" w:eastAsia="宋体" w:hint="default"/>
        </w:rPr>
        <w:t> </w:t>
      </w:r>
    </w:p>
    <w:p>
      <w:pPr>
        <w:pStyle w:val="BodyText"/>
        <w:spacing w:line="240" w:lineRule="auto" w:before="76"/>
        <w:ind w:left="422" w:right="178"/>
        <w:jc w:val="left"/>
        <w:rPr>
          <w:rFonts w:ascii="宋体" w:hAnsi="宋体" w:cs="宋体" w:eastAsia="宋体" w:hint="default"/>
        </w:rPr>
      </w:pPr>
      <w:r>
        <w:rPr/>
        <w:t>（</w:t>
      </w:r>
      <w:r>
        <w:rPr>
          <w:rFonts w:ascii="宋体" w:hAnsi="宋体" w:cs="宋体" w:eastAsia="宋体" w:hint="default"/>
        </w:rPr>
        <w:t>3</w:t>
      </w:r>
      <w:r>
        <w:rPr/>
        <w:t>）评价管理层选用会计政策的恰当性和作出会计估计及相关披露的合理性。</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23"/>
          <w:pgSz w:w="11910" w:h="16840"/>
          <w:pgMar w:footer="980" w:header="745" w:top="1060" w:bottom="1160" w:left="980" w:right="940"/>
          <w:pgNumType w:start="101"/>
        </w:sectPr>
      </w:pPr>
    </w:p>
    <w:p>
      <w:pPr>
        <w:spacing w:line="240" w:lineRule="auto" w:before="9"/>
        <w:rPr>
          <w:rFonts w:ascii="宋体" w:hAnsi="宋体" w:cs="宋体" w:eastAsia="宋体" w:hint="default"/>
          <w:sz w:val="25"/>
          <w:szCs w:val="25"/>
        </w:rPr>
      </w:pPr>
    </w:p>
    <w:p>
      <w:pPr>
        <w:pStyle w:val="BodyText"/>
        <w:spacing w:line="319" w:lineRule="auto" w:before="44"/>
        <w:ind w:right="150" w:firstLine="269"/>
        <w:jc w:val="both"/>
        <w:rPr>
          <w:rFonts w:ascii="宋体" w:hAnsi="宋体" w:cs="宋体" w:eastAsia="宋体" w:hint="default"/>
        </w:rPr>
      </w:pPr>
      <w:r>
        <w:rPr>
          <w:spacing w:val="-2"/>
        </w:rPr>
        <w:t>（</w:t>
      </w:r>
      <w:r>
        <w:rPr>
          <w:rFonts w:ascii="宋体" w:hAnsi="宋体" w:cs="宋体" w:eastAsia="宋体" w:hint="default"/>
          <w:spacing w:val="-2"/>
        </w:rPr>
        <w:t>4</w:t>
      </w:r>
      <w:r>
        <w:rPr>
          <w:spacing w:val="-2"/>
        </w:rPr>
        <w:t>）对管理层使用持续经营假设的恰当性得出结论。同时，根据获取的审计证据，就可能导致对证通电子公司持续经营</w:t>
      </w:r>
      <w:r>
        <w:rPr/>
        <w:t> </w:t>
      </w:r>
      <w:r>
        <w:rPr>
          <w:spacing w:val="-2"/>
        </w:rPr>
        <w:t>能力产生重大疑虑的事项或情况是否存在重大不确定性得出结论。如果我们得出结论认为存在重大不确定性，审计准则要求</w:t>
      </w:r>
      <w:r>
        <w:rPr>
          <w:spacing w:val="-64"/>
        </w:rPr>
        <w:t> </w:t>
      </w:r>
      <w:r>
        <w:rPr>
          <w:spacing w:val="-64"/>
        </w:rPr>
      </w:r>
      <w:r>
        <w:rPr>
          <w:spacing w:val="-2"/>
        </w:rPr>
        <w:t>我们在审计报告中提请报表使用者注意财务报表中的相关披露；如果披露不充分，我们应当发表非无保留意见。我们的结论</w:t>
      </w:r>
      <w:r>
        <w:rPr>
          <w:spacing w:val="-66"/>
        </w:rPr>
        <w:t> </w:t>
      </w:r>
      <w:r>
        <w:rPr>
          <w:spacing w:val="-66"/>
        </w:rPr>
      </w:r>
      <w:r>
        <w:rPr/>
        <w:t>基于截至审计报告日可获得的信息。然而，未来的事项或情况可能导致证通电子公司不能持续经营。</w:t>
      </w:r>
      <w:r>
        <w:rPr>
          <w:rFonts w:ascii="宋体" w:hAnsi="宋体" w:cs="宋体" w:eastAsia="宋体" w:hint="default"/>
        </w:rPr>
        <w:t> </w:t>
      </w:r>
    </w:p>
    <w:p>
      <w:pPr>
        <w:pStyle w:val="BodyText"/>
        <w:spacing w:line="240" w:lineRule="auto" w:before="17"/>
        <w:ind w:left="422" w:right="0"/>
        <w:jc w:val="left"/>
        <w:rPr>
          <w:rFonts w:ascii="宋体" w:hAnsi="宋体" w:cs="宋体" w:eastAsia="宋体" w:hint="default"/>
        </w:rPr>
      </w:pPr>
      <w:r>
        <w:rPr/>
        <w:t>（</w:t>
      </w:r>
      <w:r>
        <w:rPr>
          <w:rFonts w:ascii="宋体" w:hAnsi="宋体" w:cs="宋体" w:eastAsia="宋体" w:hint="default"/>
        </w:rPr>
        <w:t>5</w:t>
      </w:r>
      <w:r>
        <w:rPr/>
        <w:t>）评价财务报表的总体列报、结构和内容（包括披露），并评价财务报表是否公允反映相关交易和事项。</w:t>
      </w:r>
      <w:r>
        <w:rPr>
          <w:rFonts w:ascii="宋体" w:hAnsi="宋体" w:cs="宋体" w:eastAsia="宋体" w:hint="default"/>
        </w:rPr>
        <w:t> </w:t>
      </w:r>
    </w:p>
    <w:p>
      <w:pPr>
        <w:pStyle w:val="BodyText"/>
        <w:spacing w:line="316" w:lineRule="auto" w:before="76"/>
        <w:ind w:right="153" w:firstLine="269"/>
        <w:jc w:val="both"/>
        <w:rPr>
          <w:rFonts w:ascii="宋体" w:hAnsi="宋体" w:cs="宋体" w:eastAsia="宋体" w:hint="default"/>
        </w:rPr>
      </w:pPr>
      <w:r>
        <w:rPr>
          <w:spacing w:val="-2"/>
        </w:rPr>
        <w:t>（</w:t>
      </w:r>
      <w:r>
        <w:rPr>
          <w:rFonts w:ascii="宋体" w:hAnsi="宋体" w:cs="宋体" w:eastAsia="宋体" w:hint="default"/>
          <w:spacing w:val="-2"/>
        </w:rPr>
        <w:t>6</w:t>
      </w:r>
      <w:r>
        <w:rPr>
          <w:spacing w:val="-2"/>
        </w:rPr>
        <w:t>）就证通电子公司中实体或业务活动的财务信息获取充分、适当的审计证据，以对财务报表发表审计意见。我们负责</w:t>
      </w:r>
      <w:r>
        <w:rPr/>
        <w:t> 指导、监督和执行集团审计，并对审计意见承担全部责任。</w:t>
      </w:r>
      <w:r>
        <w:rPr>
          <w:rFonts w:ascii="宋体" w:hAnsi="宋体" w:cs="宋体" w:eastAsia="宋体" w:hint="default"/>
        </w:rPr>
        <w:t> </w:t>
      </w:r>
    </w:p>
    <w:p>
      <w:pPr>
        <w:pStyle w:val="BodyText"/>
        <w:spacing w:line="316" w:lineRule="auto" w:before="19"/>
        <w:ind w:right="152" w:firstLine="360"/>
        <w:jc w:val="both"/>
        <w:rPr>
          <w:rFonts w:ascii="宋体" w:hAnsi="宋体" w:cs="宋体" w:eastAsia="宋体" w:hint="default"/>
        </w:rPr>
      </w:pPr>
      <w:r>
        <w:rPr>
          <w:spacing w:val="-2"/>
        </w:rPr>
        <w:t>我们与治理层就计划的审计范围、时间安排和重大审计发现等事项进行沟通，包括沟通我们在审计中识别出的值得关注</w:t>
      </w:r>
      <w:r>
        <w:rPr/>
        <w:t> 的内部控制缺陷。</w:t>
      </w:r>
      <w:r>
        <w:rPr>
          <w:rFonts w:ascii="宋体" w:hAnsi="宋体" w:cs="宋体" w:eastAsia="宋体" w:hint="default"/>
        </w:rPr>
        <w:t> </w:t>
      </w:r>
    </w:p>
    <w:p>
      <w:pPr>
        <w:pStyle w:val="BodyText"/>
        <w:spacing w:line="316" w:lineRule="auto" w:before="19"/>
        <w:ind w:right="152" w:firstLine="360"/>
        <w:jc w:val="both"/>
        <w:rPr>
          <w:rFonts w:ascii="宋体" w:hAnsi="宋体" w:cs="宋体" w:eastAsia="宋体" w:hint="default"/>
        </w:rPr>
      </w:pPr>
      <w:r>
        <w:rPr>
          <w:spacing w:val="-2"/>
        </w:rPr>
        <w:t>我们还就已遵守与独立性相关的职业道德要求向治理层提供声明，并与治理层沟通可能被合理认为影响我们独立性的所</w:t>
      </w:r>
      <w:r>
        <w:rPr/>
        <w:t> 有关系和其他事项，以及相关的防范措施。</w:t>
      </w:r>
      <w:r>
        <w:rPr>
          <w:rFonts w:ascii="宋体" w:hAnsi="宋体" w:cs="宋体" w:eastAsia="宋体" w:hint="default"/>
        </w:rPr>
        <w:t> </w:t>
      </w:r>
    </w:p>
    <w:p>
      <w:pPr>
        <w:pStyle w:val="BodyText"/>
        <w:spacing w:line="319" w:lineRule="auto" w:before="19"/>
        <w:ind w:right="150" w:firstLine="360"/>
        <w:jc w:val="both"/>
        <w:rPr>
          <w:rFonts w:ascii="宋体" w:hAnsi="宋体" w:cs="宋体" w:eastAsia="宋体" w:hint="default"/>
        </w:rPr>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3"/>
        </w:rPr>
        <w:t> </w:t>
      </w:r>
      <w:r>
        <w:rPr>
          <w:spacing w:val="-63"/>
        </w:rPr>
      </w:r>
      <w:r>
        <w:rPr/>
        <w:t>的负面后果超过在公众利益方面产生的益处，我们确定不应在审计报告中沟通该事项。</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Heading2"/>
        <w:spacing w:line="240" w:lineRule="auto"/>
        <w:ind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240" w:lineRule="auto" w:before="44"/>
        <w:ind w:right="-20"/>
        <w:jc w:val="left"/>
      </w:pPr>
      <w:r>
        <w:rPr/>
        <w:t>编制单位：深圳市证通电子股份有限公司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19"/>
        <w:jc w:val="left"/>
      </w:pPr>
      <w:r>
        <w:rPr/>
        <w:t>单位：元</w:t>
      </w:r>
    </w:p>
    <w:p>
      <w:pPr>
        <w:spacing w:after="0" w:line="240" w:lineRule="auto"/>
        <w:jc w:val="left"/>
        <w:sectPr>
          <w:type w:val="continuous"/>
          <w:pgSz w:w="11910" w:h="16840"/>
          <w:pgMar w:top="1060" w:bottom="1160" w:left="980" w:right="980"/>
          <w:cols w:num="3" w:equalWidth="0">
            <w:col w:w="3393" w:space="683"/>
            <w:col w:w="1642" w:space="3202"/>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420,947,286.79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1,407,723,705.59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149,592,783.02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206,514,149.64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1,148,233,852.21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795,863,173.01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100,543,282.24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24,241,488.53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157,761,683.50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30,563,483.43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313,907,328.33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303,060,612.04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96,635,064.72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58,394,350.38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467,168,728.13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59,691,523.42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2,854,790,008.94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2,886,052,486.04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94,784,169.23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99,540,000.00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498,009,380.29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334,887,982.21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24,661,070.83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25,209,459.89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43,991,918.76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45,359,323.72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851,226,705.92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807,148,099.43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619,163,657.50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306,776,614.59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249,978,203.77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186,351,883.57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22,153,877.58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27,988,141.83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27,628,748.91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1,752,790.31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34,797,973.42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28,018,883.15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2,466,395,706.21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1,863,033,178.70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5,321,185,715.15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4,749,085,664.74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961,233,510.40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354,327,244.00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169,907,364.06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194,764,738.94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515,004,315.69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641,398,423.26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18,457,095.76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28,610,329.11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27,043,105.13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24,475,696.75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52,560,737.28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38,095,923.80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11,705,361.97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10,581,633.57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317,036.41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11,873,874.04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34,298,269.89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887,094.42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42,082,930.48</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1,807,072,458.75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1,368,952,226.21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161,600,000.00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397,985,675.62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397,327,323.81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85,928,008.10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115,319,372.35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22,912,236.79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5,334,800.00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24,005,666.67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61,603,333.34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7,310,839.39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9,870,920.71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5,394,130.04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17,518,690.50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705,136,556.61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606,974,440.71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2,512,209,015.36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1,975,926,666.92</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515,156,948.00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519,678,668.00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1,805,503,137.45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1,805,755,249.07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23,016,198.33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-302,715.44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2,128,830.84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36,442,010.41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30,185,286.42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410,061,468.61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398,980,440.32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2,766,860,849.03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2,733,712,276.32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42,115,850.76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39,446,721.50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2,808,976,699.79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2,773,158,997.82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5,321,185,715.15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4,749,085,664.74</w:t>
            </w:r>
          </w:p>
        </w:tc>
      </w:tr>
    </w:tbl>
    <w:p>
      <w:pPr>
        <w:spacing w:line="240" w:lineRule="auto" w:before="11"/>
        <w:rPr>
          <w:rFonts w:ascii="Times New Roman" w:hAnsi="Times New Roman" w:cs="Times New Roman" w:eastAsia="Times New Roman" w:hint="default"/>
          <w:sz w:val="22"/>
          <w:szCs w:val="22"/>
        </w:rPr>
      </w:pPr>
    </w:p>
    <w:p>
      <w:pPr>
        <w:pStyle w:val="BodyText"/>
        <w:tabs>
          <w:tab w:pos="3514" w:val="left" w:leader="none"/>
          <w:tab w:pos="7566" w:val="left" w:leader="none"/>
        </w:tabs>
        <w:spacing w:line="240" w:lineRule="auto" w:before="44"/>
        <w:ind w:left="0" w:right="245"/>
        <w:jc w:val="right"/>
      </w:pPr>
      <w:r>
        <w:rPr/>
        <w:t>法定代表人：曾胜强</w:t>
        <w:tab/>
      </w:r>
      <w:r>
        <w:rPr>
          <w:spacing w:val="-1"/>
        </w:rPr>
        <w:t>主管会计工作负责人：黄毅</w:t>
        <w:tab/>
      </w:r>
      <w:r>
        <w:rPr/>
        <w:t>会计机构负责人：谌光荣</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255,573,150.39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1,292,879,655.90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149,592,783.02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206,514,149.64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876,695,666.62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701,851,436.67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74,728,347.60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20,603,658.51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1,319,388,246.73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737,055,295.04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220,690,013.41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200,414,780.14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50,006,615.81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52,001,863.89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369,000,259.62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21,992,742.18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3,315,675,083.20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3,233,313,581.97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90,494,169.23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95,250,000.00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395,455,189.03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232,815,225.13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552,902,991.00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305,351,379.06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43,991,918.76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45,359,323.72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259,532,499.24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192,674,585.15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223,499,124.51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129,784,192.93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146,248,848.74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107,884,481.13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12,196,677.20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10,905,666.18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28,253,253.26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22,161,299.19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1,752,574,670.97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1,142,186,152.49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5,068,249,754.17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4,375,499,734.46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732,744,700.00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164,907,364.06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435,764,738.94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720,877,040.16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780,002,278.89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17,445,416.10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27,909,912.61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18,266,260.56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16,472,928.53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40,219,225.23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27,253,992.98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6,068,381.89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4,795,555.59</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317,036.41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277,975,329.31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108,351,198.61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持有待售的负债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38,004,631.82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2,016,903,717.31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1,468,872,274.38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111,600,000.00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397,985,675.62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397,327,323.81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12,006,373.14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5,334,800.00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23,605,666.67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32,183,333.33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131,949.97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1,939,225.26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10,281,942.76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547,136,940.69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445,259,349.87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2,564,040,658.00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1,914,131,624.25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515,156,948.00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519,678,668.00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1,792,139,279.23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1,804,602,164.14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23,016,198.33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36,442,010.41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30,185,286.42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160,470,858.53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129,918,189.98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2,504,209,096.17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2,461,368,110.21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5,068,249,754.17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4,375,499,734.46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2"/>
        <w:rPr>
          <w:rFonts w:ascii="Times New Roman" w:hAnsi="Times New Roman" w:cs="Times New Roman" w:eastAsia="Times New Roman" w:hint="default"/>
          <w:sz w:val="28"/>
          <w:szCs w:val="28"/>
        </w:rPr>
      </w:pPr>
      <w:r>
        <w:rPr/>
        <w:pict>
          <v:group style="position:absolute;margin-left:211.009995pt;margin-top:629.409973pt;width:158.9pt;height:20.65pt;mso-position-horizontal-relative:page;mso-position-vertical-relative:page;z-index:-1152472" coordorigin="4220,12588" coordsize="3178,413">
            <v:group style="position:absolute;left:4231;top:12599;width:2;height:392" coordorigin="4231,12599" coordsize="2,392">
              <v:shape style="position:absolute;left:4231;top:12599;width:2;height:392" coordorigin="4231,12599" coordsize="0,392" path="m4231,12599l4231,12990e" filled="false" stroked="true" strokeweight="1.08pt" strokecolor="#ffffff">
                <v:path arrowok="t"/>
              </v:shape>
            </v:group>
            <v:group style="position:absolute;left:4242;top:12599;width:3157;height:392" coordorigin="4242,12599" coordsize="3157,392">
              <v:shape style="position:absolute;left:4242;top:12599;width:3157;height:392" coordorigin="4242,12599" coordsize="3157,392" path="m4242,12990l7398,12990,7398,12599,4242,12599,4242,12990xe" filled="true" fillcolor="#ffffff" stroked="false">
                <v:path arrowok="t"/>
                <v:fill type="solid"/>
              </v:shape>
            </v:group>
            <w10:wrap type="none"/>
          </v:group>
        </w:pict>
      </w:r>
    </w:p>
    <w:p>
      <w:pPr>
        <w:pStyle w:val="Heading3"/>
        <w:spacing w:line="240" w:lineRule="auto" w:before="36"/>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1,682,593,168.29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1,795,906,799.75</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1,682,593,168.29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1,795,906,799.75</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1,656,029,150.60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1,741,207,274.64</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1,244,752,658.85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1,365,730,427.77</w:t>
            </w: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提取保险合同准备金净额</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10,814,238.71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8,124,766.73</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137,795,980.69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135,807,317.82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157,691,239.90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143,921,900.01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36,478,668.95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40,037,270.47</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68,496,363.50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47,585,591.84</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7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315,296.77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-550,360.22</w:t>
            </w:r>
          </w:p>
        </w:tc>
      </w:tr>
      <w:tr>
        <w:trPr>
          <w:trHeight w:val="715"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-548,389.06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-550,360.22</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资产处置收益（损失以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-27,007.84</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6,451,599.35</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33,303,905.97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54,149,164.89</w:t>
            </w:r>
          </w:p>
        </w:tc>
      </w:tr>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16,346,297.21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13,451,367.81</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12,803,035.47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5,706,829.12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211.009995pt;margin-top:71.939980pt;width:158.9pt;height:20.65pt;mso-position-horizontal-relative:page;mso-position-vertical-relative:page;z-index:-1152448" coordorigin="4220,1439" coordsize="3178,413">
            <v:group style="position:absolute;left:4231;top:1450;width:2;height:392" coordorigin="4231,1450" coordsize="2,392">
              <v:shape style="position:absolute;left:4231;top:1450;width:2;height:392" coordorigin="4231,1450" coordsize="0,392" path="m4231,1450l4231,1841e" filled="false" stroked="true" strokeweight="1.08pt" strokecolor="#ffffff">
                <v:path arrowok="t"/>
              </v:shape>
            </v:group>
            <v:group style="position:absolute;left:4242;top:1450;width:3157;height:392" coordorigin="4242,1450" coordsize="3157,392">
              <v:shape style="position:absolute;left:4242;top:1450;width:3157;height:392" coordorigin="4242,1450" coordsize="3157,392" path="m4242,1841l7398,1841,7398,1450,4242,1450,4242,184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68"/>
        <w:gridCol w:w="1117"/>
        <w:gridCol w:w="2105"/>
        <w:gridCol w:w="3277"/>
      </w:tblGrid>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17"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36,847,167.71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61,893,703.58</w:t>
            </w:r>
          </w:p>
        </w:tc>
      </w:tr>
      <w:tr>
        <w:trPr>
          <w:trHeight w:val="404"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7,429,574.21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11,585,045.58</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29,417,593.50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50,308,658.00</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（一）持续经营净利润（净亏损以</w:t>
            </w:r>
          </w:p>
          <w:p>
            <w:pPr>
              <w:pStyle w:val="TableParagraph"/>
              <w:spacing w:line="240" w:lineRule="auto" w:before="7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29,417,593.50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50,308,658.00</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2"/>
                <w:sz w:val="18"/>
                <w:szCs w:val="18"/>
              </w:rPr>
              <w:t> </w:t>
            </w:r>
            <w:r>
              <w:rPr>
                <w:rFonts w:ascii="宋体" w:hAnsi="宋体" w:cs="宋体" w:eastAsia="宋体" w:hint="default"/>
                <w:spacing w:val="-2"/>
                <w:sz w:val="18"/>
                <w:szCs w:val="18"/>
              </w:rPr>
              <w:t>（二）终止经营净利润（净亏损以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归属于母公司所有者的净利润</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43,095,599.68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54,395,643.64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少数股东损益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86" w:right="0"/>
              <w:jc w:val="left"/>
              <w:rPr>
                <w:rFonts w:ascii="Times New Roman" w:hAnsi="Times New Roman" w:cs="Times New Roman" w:eastAsia="Times New Roman" w:hint="default"/>
                <w:sz w:val="18"/>
                <w:szCs w:val="18"/>
              </w:rPr>
            </w:pPr>
            <w:r>
              <w:rPr>
                <w:rFonts w:ascii="Times New Roman"/>
                <w:sz w:val="18"/>
              </w:rPr>
              <w:t>-13,678,006.18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-4,086,985.64</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-3,473,637.55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3,041,186.91</w:t>
            </w: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5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-2,431,546.28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2,128,830.84</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 能重分类进损益的其他综合收益中享 有的份额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-2,431,546.28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2,128,830.84</w:t>
            </w:r>
          </w:p>
        </w:tc>
      </w:tr>
      <w:tr>
        <w:trPr>
          <w:trHeight w:val="1028"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 部分</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-2,431,546.28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2,128,830.84</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2" w:right="153"/>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-1,042,091.27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912,356.07</w:t>
            </w:r>
          </w:p>
        </w:tc>
      </w:tr>
      <w:tr>
        <w:trPr>
          <w:trHeight w:val="401"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25,943,955.95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53,349,844.91</w:t>
            </w:r>
          </w:p>
        </w:tc>
      </w:tr>
      <w:tr>
        <w:trPr>
          <w:trHeight w:val="715"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5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40,664,053.40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56,524,474.48</w:t>
            </w:r>
          </w:p>
        </w:tc>
      </w:tr>
      <w:tr>
        <w:trPr>
          <w:trHeight w:val="403" w:hRule="exact"/>
        </w:trPr>
        <w:tc>
          <w:tcPr>
            <w:tcW w:w="3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2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86" w:right="0"/>
              <w:jc w:val="left"/>
              <w:rPr>
                <w:rFonts w:ascii="Times New Roman" w:hAnsi="Times New Roman" w:cs="Times New Roman" w:eastAsia="Times New Roman" w:hint="default"/>
                <w:sz w:val="18"/>
                <w:szCs w:val="18"/>
              </w:rPr>
            </w:pPr>
            <w:r>
              <w:rPr>
                <w:rFonts w:ascii="Times New Roman"/>
                <w:sz w:val="18"/>
              </w:rPr>
              <w:t>-14,720,097.45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-3,174,629.57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7"/>
        <w:gridCol w:w="3222"/>
        <w:gridCol w:w="3277"/>
      </w:tblGrid>
      <w:tr>
        <w:trPr>
          <w:trHeight w:val="401"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0.12</w:t>
            </w:r>
          </w:p>
        </w:tc>
      </w:tr>
      <w:tr>
        <w:trPr>
          <w:trHeight w:val="403" w:hRule="exact"/>
        </w:trPr>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0.12</w:t>
            </w:r>
          </w:p>
        </w:tc>
      </w:tr>
    </w:tbl>
    <w:p>
      <w:pPr>
        <w:pStyle w:val="BodyText"/>
        <w:tabs>
          <w:tab w:pos="3667" w:val="left" w:leader="none"/>
          <w:tab w:pos="7718" w:val="left" w:leader="none"/>
        </w:tabs>
        <w:spacing w:line="595" w:lineRule="auto" w:before="49"/>
        <w:ind w:right="245"/>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19"/>
        </w:rPr>
        <w:t> </w:t>
      </w:r>
      <w:r>
        <w:rPr>
          <w:spacing w:val="-3"/>
        </w:rPr>
        <w:t>元。 </w:t>
      </w:r>
      <w:r>
        <w:rPr/>
        <w:t>法定代表人：曾胜强</w:t>
        <w:tab/>
      </w:r>
      <w:r>
        <w:rPr>
          <w:spacing w:val="-1"/>
        </w:rPr>
        <w:t>主管会计工作负责人：黄毅</w:t>
        <w:tab/>
      </w:r>
      <w:r>
        <w:rPr/>
        <w:t>会计机构负责人：谌光荣</w:t>
      </w:r>
      <w:r>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1,274,408,272.65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1,719,219,749.52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944,557,127.14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1,410,632,459.94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7,446,645.90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6,749,661.06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106,692,363.10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108,276,791.47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101,068,669.08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94,172,867.66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-2,846,751.73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15,112,567.41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49,136,745.24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40,636,105.29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315,296.77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-550,360.22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-548,389.06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-550,360.22</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2,775,366.32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71,444,137.01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43,088,936.47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647,699.28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8,336,954.79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2,726,277.77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1,730,194.93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69,365,558.52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49,695,696.33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6,798,318.58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5,991,123.89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62,567,239.94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43,704,572.44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62,567,239.94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43,704,572.44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4"/>
          <w:pgSz w:w="11910" w:h="16840"/>
          <w:pgMar w:footer="980" w:header="745" w:top="1060" w:bottom="1160" w:left="980" w:right="980"/>
          <w:pgNumType w:start="11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36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2"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（一）以后不能重分类进损益的 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（二）以后将重分类进损益的其 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2"/>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8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 效部分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62,567,239.94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43,704,572.44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013" w:right="0"/>
              <w:jc w:val="left"/>
              <w:rPr>
                <w:rFonts w:ascii="Times New Roman" w:hAnsi="Times New Roman" w:cs="Times New Roman" w:eastAsia="Times New Roman" w:hint="default"/>
                <w:sz w:val="18"/>
                <w:szCs w:val="18"/>
              </w:rPr>
            </w:pPr>
            <w:r>
              <w:rPr>
                <w:rFonts w:ascii="Times New Roman"/>
                <w:sz w:val="18"/>
              </w:rPr>
              <w:t>1,242,180,884.74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9" w:right="0"/>
              <w:jc w:val="left"/>
              <w:rPr>
                <w:rFonts w:ascii="Times New Roman" w:hAnsi="Times New Roman" w:cs="Times New Roman" w:eastAsia="Times New Roman" w:hint="default"/>
                <w:sz w:val="18"/>
                <w:szCs w:val="18"/>
              </w:rPr>
            </w:pPr>
            <w:r>
              <w:rPr>
                <w:rFonts w:ascii="Times New Roman"/>
                <w:sz w:val="18"/>
              </w:rPr>
              <w:t>1,706,743,417.54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处置以公允价值计量且其变动计 入当期损益的金融资产净增加额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2,816,060.69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9,750,329.93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47,066,400.19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36,438,337.81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1,292,063,345.62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1,752,932,085.28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1,461,612,878.68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1,177,643,942.54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229,304,152.75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179,632,418.44</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58,445,072.50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68,590,896.62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267,374,633.16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180,257,687.03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2,016,736,737.09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1,606,124,944.63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-724,673,391.47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146,807,140.65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4,755,830.77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863,685.83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307,718.56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146,650.84</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21,790,000.00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9,527,235.16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21,936,650.84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552,810,247.96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430,499,855.82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38,790,000.00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384,500,000.00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937,310,247.96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469,289,855.82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-927,783,012.80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-447,353,204.98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2,983,801.66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1,482,427,321.63</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1,557,741,266.40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1,134,287,836.00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130,535,685.74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110,696,879.93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1,691,260,753.80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2,727,412,037.56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750,835,000.00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1,419,320,876.99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87,527,733.86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72,501,066.22</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47,622,956.55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151,380,884.72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885,985,690.41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1,643,202,827.93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805,275,063.39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1,084,209,209.63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-9,059,392.18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3,794,040.89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-856,240,733.06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787,457,186.19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1,265,263,705.59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477,806,519.40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409,022,972.53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1,265,263,705.59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992,771,559.20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1,455,129,463.57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1,800,363.87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6,429,550.41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282,516,723.14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101,659,754.63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1,277,088,646.21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1,563,218,768.61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1,311,771,504.55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865,904,892.47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163,193,104.20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136,580,307.33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34,313,975.21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67,146,840.15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673,092,035.61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380,397,138.97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2,182,370,619.57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1,450,029,178.92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-905,281,973.36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113,189,589.69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5,281,301.35</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863,685.83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154,058.54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162,939.26</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132,988,149.74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7,970,000.00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139,287,195.46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8,132,939.26</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233,664,980.07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97,098,427.19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248,625,471.58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144,500,000.00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369,000,000.00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851,290,451.65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241,598,427.19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-712,003,256.19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-233,465,487.93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-23,016,198.33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1,478,077,321.62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1,603,579,700.00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841,000,000.00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1,580,563,501.67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2,319,077,321.62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773,851,198.33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1,256,000,000.00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87,724,398.10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71,236,689.33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118,053,294.50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861,575,596.43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1,445,289,983.83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718,987,905.24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873,787,337.79</w:t>
            </w:r>
          </w:p>
        </w:tc>
      </w:tr>
      <w:tr>
        <w:trPr>
          <w:trHeight w:val="716"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-6,021,031.46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744,122.35</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-904,318,355.77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754,255,561.90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1,150,419,655.90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396,164,094.00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246,101,300.13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1,150,419,655.90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7"/>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26"/>
        <w:gridCol w:w="562"/>
        <w:gridCol w:w="533"/>
        <w:gridCol w:w="531"/>
        <w:gridCol w:w="530"/>
        <w:gridCol w:w="665"/>
        <w:gridCol w:w="665"/>
        <w:gridCol w:w="665"/>
        <w:gridCol w:w="665"/>
        <w:gridCol w:w="665"/>
        <w:gridCol w:w="665"/>
        <w:gridCol w:w="665"/>
        <w:gridCol w:w="665"/>
        <w:gridCol w:w="660"/>
      </w:tblGrid>
      <w:tr>
        <w:trPr>
          <w:trHeight w:val="401" w:hRule="exact"/>
        </w:trPr>
        <w:tc>
          <w:tcPr>
            <w:tcW w:w="1426" w:type="dxa"/>
            <w:vMerge w:val="restart"/>
            <w:tcBorders>
              <w:top w:val="single" w:sz="4" w:space="0" w:color="000000"/>
              <w:left w:val="single" w:sz="4" w:space="0" w:color="000000"/>
              <w:right w:val="single" w:sz="4" w:space="0" w:color="000000"/>
            </w:tcBorders>
            <w:shd w:val="clear" w:color="auto" w:fill="D2D2D2"/>
          </w:tcPr>
          <w:p>
            <w:pPr/>
          </w:p>
        </w:tc>
        <w:tc>
          <w:tcPr>
            <w:tcW w:w="813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2" w:hRule="exact"/>
        </w:trPr>
        <w:tc>
          <w:tcPr>
            <w:tcW w:w="1426"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6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5"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4" w:hRule="exact"/>
        </w:trPr>
        <w:tc>
          <w:tcPr>
            <w:tcW w:w="14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53"/>
              <w:ind w:left="57" w:right="5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0" w:type="dxa"/>
            <w:vMerge/>
            <w:tcBorders>
              <w:left w:val="single" w:sz="4" w:space="0" w:color="000000"/>
              <w:right w:val="single" w:sz="4" w:space="0" w:color="000000"/>
            </w:tcBorders>
            <w:shd w:val="clear" w:color="auto" w:fill="D2D2D2"/>
          </w:tcPr>
          <w:p>
            <w:pPr/>
          </w:p>
        </w:tc>
      </w:tr>
      <w:tr>
        <w:trPr>
          <w:trHeight w:val="174" w:hRule="exact"/>
        </w:trPr>
        <w:tc>
          <w:tcPr>
            <w:tcW w:w="1426"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4"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5"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7"/>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57" w:right="55"/>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48" w:right="56"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84" w:hRule="exact"/>
        </w:trPr>
        <w:tc>
          <w:tcPr>
            <w:tcW w:w="1426"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0" w:right="79"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1"/>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69" w:hRule="exact"/>
        </w:trPr>
        <w:tc>
          <w:tcPr>
            <w:tcW w:w="1426"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r>
      <w:tr>
        <w:trPr>
          <w:trHeight w:val="156" w:hRule="exact"/>
        </w:trPr>
        <w:tc>
          <w:tcPr>
            <w:tcW w:w="1426"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3"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0"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6"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3"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519,67</w:t>
            </w:r>
          </w:p>
          <w:p>
            <w:pPr>
              <w:pStyle w:val="TableParagraph"/>
              <w:spacing w:line="240" w:lineRule="auto" w:before="102"/>
              <w:ind w:left="71" w:right="0"/>
              <w:jc w:val="left"/>
              <w:rPr>
                <w:rFonts w:ascii="Times New Roman" w:hAnsi="Times New Roman" w:cs="Times New Roman" w:eastAsia="Times New Roman" w:hint="default"/>
                <w:sz w:val="18"/>
                <w:szCs w:val="18"/>
              </w:rPr>
            </w:pPr>
            <w:r>
              <w:rPr>
                <w:rFonts w:ascii="Times New Roman"/>
                <w:sz w:val="18"/>
              </w:rPr>
              <w:t>8,668.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1,805,7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55,249.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23,016,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198.33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2,128,8</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30.84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30,185,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286.42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398,980</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,440.32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39,446,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721.50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2,773,1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58,997.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82</w:t>
            </w:r>
          </w:p>
        </w:tc>
      </w:tr>
      <w:tr>
        <w:trPr>
          <w:trHeight w:val="391"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519,67</w:t>
            </w:r>
          </w:p>
          <w:p>
            <w:pPr>
              <w:pStyle w:val="TableParagraph"/>
              <w:spacing w:line="240" w:lineRule="auto" w:before="105"/>
              <w:ind w:left="71" w:right="0"/>
              <w:jc w:val="left"/>
              <w:rPr>
                <w:rFonts w:ascii="Times New Roman" w:hAnsi="Times New Roman" w:cs="Times New Roman" w:eastAsia="Times New Roman" w:hint="default"/>
                <w:sz w:val="18"/>
                <w:szCs w:val="18"/>
              </w:rPr>
            </w:pPr>
            <w:r>
              <w:rPr>
                <w:rFonts w:ascii="Times New Roman"/>
                <w:sz w:val="18"/>
              </w:rPr>
              <w:t>8,668.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55,249.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23,016,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198.33</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2,128,8</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30.84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30,185,</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286.42</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398,980</w:t>
            </w:r>
          </w:p>
          <w:p>
            <w:pPr>
              <w:pStyle w:val="TableParagraph"/>
              <w:spacing w:line="240" w:lineRule="auto" w:before="105"/>
              <w:ind w:left="93" w:right="0"/>
              <w:jc w:val="left"/>
              <w:rPr>
                <w:rFonts w:ascii="Times New Roman" w:hAnsi="Times New Roman" w:cs="Times New Roman" w:eastAsia="Times New Roman" w:hint="default"/>
                <w:sz w:val="18"/>
                <w:szCs w:val="18"/>
              </w:rPr>
            </w:pPr>
            <w:r>
              <w:rPr>
                <w:rFonts w:ascii="Times New Roman"/>
                <w:sz w:val="18"/>
              </w:rPr>
              <w:t>,440.32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39,446,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721.50</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2,773,1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58,997.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82</w:t>
            </w:r>
          </w:p>
        </w:tc>
      </w:tr>
      <w:tr>
        <w:trPr>
          <w:trHeight w:val="394"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317"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102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-4,521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-252,11</w:t>
            </w:r>
          </w:p>
          <w:p>
            <w:pPr>
              <w:pStyle w:val="TableParagraph"/>
              <w:spacing w:line="240" w:lineRule="auto" w:before="102"/>
              <w:ind w:left="316" w:right="0"/>
              <w:jc w:val="left"/>
              <w:rPr>
                <w:rFonts w:ascii="Times New Roman" w:hAnsi="Times New Roman" w:cs="Times New Roman" w:eastAsia="Times New Roman" w:hint="default"/>
                <w:sz w:val="18"/>
                <w:szCs w:val="18"/>
              </w:rPr>
            </w:pPr>
            <w:r>
              <w:rPr>
                <w:rFonts w:ascii="Times New Roman"/>
                <w:sz w:val="18"/>
              </w:rPr>
              <w:t>1.62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-23,016,</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198.33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-2,431,5</w:t>
            </w:r>
          </w:p>
          <w:p>
            <w:pPr>
              <w:pStyle w:val="TableParagraph"/>
              <w:spacing w:line="240" w:lineRule="auto" w:before="102"/>
              <w:ind w:left="206" w:right="0"/>
              <w:jc w:val="center"/>
              <w:rPr>
                <w:rFonts w:ascii="Times New Roman" w:hAnsi="Times New Roman" w:cs="Times New Roman" w:eastAsia="Times New Roman" w:hint="default"/>
                <w:sz w:val="18"/>
                <w:szCs w:val="18"/>
              </w:rPr>
            </w:pPr>
            <w:r>
              <w:rPr>
                <w:rFonts w:ascii="Times New Roman"/>
                <w:sz w:val="18"/>
              </w:rPr>
              <w:t>46.28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6,256,7</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23.99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11,081,</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028.29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2,669,1</w:t>
            </w:r>
          </w:p>
          <w:p>
            <w:pPr>
              <w:pStyle w:val="TableParagraph"/>
              <w:spacing w:line="240" w:lineRule="auto" w:before="102"/>
              <w:ind w:left="207" w:right="0"/>
              <w:jc w:val="center"/>
              <w:rPr>
                <w:rFonts w:ascii="Times New Roman" w:hAnsi="Times New Roman" w:cs="Times New Roman" w:eastAsia="Times New Roman" w:hint="default"/>
                <w:sz w:val="18"/>
                <w:szCs w:val="18"/>
              </w:rPr>
            </w:pPr>
            <w:r>
              <w:rPr>
                <w:rFonts w:ascii="Times New Roman"/>
                <w:sz w:val="18"/>
              </w:rPr>
              <w:t>29.26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35,817,</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701.97</w:t>
            </w:r>
          </w:p>
        </w:tc>
      </w:tr>
      <w:tr>
        <w:trPr>
          <w:trHeight w:val="716"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-2,431,5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46.28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43,095,</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599.68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-14,720,</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097.45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25,943,</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955.95</w:t>
            </w:r>
          </w:p>
        </w:tc>
      </w:tr>
      <w:tr>
        <w:trPr>
          <w:trHeight w:val="161" w:hRule="exact"/>
        </w:trPr>
        <w:tc>
          <w:tcPr>
            <w:tcW w:w="142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10"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-4,521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-9,883,7</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05.04</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-23,016,</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198.33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17,389,</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226.71</w:t>
            </w:r>
          </w:p>
        </w:tc>
        <w:tc>
          <w:tcPr>
            <w:tcW w:w="6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26,000,</w:t>
            </w:r>
          </w:p>
          <w:p>
            <w:pPr>
              <w:pStyle w:val="TableParagraph"/>
              <w:spacing w:line="240" w:lineRule="auto" w:before="102"/>
              <w:ind w:left="131" w:right="0"/>
              <w:jc w:val="left"/>
              <w:rPr>
                <w:rFonts w:ascii="Times New Roman" w:hAnsi="Times New Roman" w:cs="Times New Roman" w:eastAsia="Times New Roman" w:hint="default"/>
                <w:sz w:val="18"/>
                <w:szCs w:val="18"/>
              </w:rPr>
            </w:pPr>
            <w:r>
              <w:rPr>
                <w:rFonts w:ascii="Times New Roman"/>
                <w:sz w:val="18"/>
              </w:rPr>
              <w:t>000.00</w:t>
            </w:r>
          </w:p>
        </w:tc>
      </w:tr>
      <w:tr>
        <w:trPr>
          <w:trHeight w:val="703" w:hRule="exact"/>
        </w:trPr>
        <w:tc>
          <w:tcPr>
            <w:tcW w:w="14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2" w:type="dxa"/>
            <w:vMerge/>
            <w:tcBorders>
              <w:left w:val="single" w:sz="10" w:space="0" w:color="D2D2D2"/>
              <w:right w:val="single" w:sz="4" w:space="0" w:color="000000"/>
            </w:tcBorders>
          </w:tcPr>
          <w:p>
            <w:pPr/>
          </w:p>
        </w:tc>
        <w:tc>
          <w:tcPr>
            <w:tcW w:w="533"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0" w:type="dxa"/>
            <w:vMerge/>
            <w:tcBorders>
              <w:left w:val="single" w:sz="4" w:space="0" w:color="000000"/>
              <w:right w:val="single" w:sz="4" w:space="0" w:color="000000"/>
            </w:tcBorders>
          </w:tcPr>
          <w:p>
            <w:pPr/>
          </w:p>
        </w:tc>
      </w:tr>
      <w:tr>
        <w:trPr>
          <w:trHeight w:val="161" w:hRule="exact"/>
        </w:trPr>
        <w:tc>
          <w:tcPr>
            <w:tcW w:w="142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10" w:space="0" w:color="D2D2D2"/>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0" w:type="dxa"/>
            <w:vMerge/>
            <w:tcBorders>
              <w:left w:val="single" w:sz="4" w:space="0" w:color="000000"/>
              <w:bottom w:val="single" w:sz="4" w:space="0" w:color="000000"/>
              <w:right w:val="single" w:sz="4" w:space="0" w:color="000000"/>
            </w:tcBorders>
          </w:tcPr>
          <w:p>
            <w:pPr/>
          </w:p>
        </w:tc>
      </w:tr>
      <w:tr>
        <w:trPr>
          <w:trHeight w:val="715" w:hRule="exact"/>
        </w:trPr>
        <w:tc>
          <w:tcPr>
            <w:tcW w:w="1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10" w:space="0" w:color="D2D2D2"/>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Times New Roman" w:hAnsi="Times New Roman" w:cs="Times New Roman" w:eastAsia="Times New Roman" w:hint="default"/>
                <w:sz w:val="18"/>
                <w:szCs w:val="18"/>
              </w:rPr>
            </w:pPr>
            <w:r>
              <w:rPr>
                <w:rFonts w:ascii="Times New Roman"/>
                <w:sz w:val="18"/>
              </w:rPr>
              <w:t>26,000,</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000.00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26,000,</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000.00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3"/>
        <w:gridCol w:w="531"/>
        <w:gridCol w:w="530"/>
        <w:gridCol w:w="665"/>
        <w:gridCol w:w="665"/>
        <w:gridCol w:w="665"/>
        <w:gridCol w:w="665"/>
        <w:gridCol w:w="665"/>
        <w:gridCol w:w="665"/>
        <w:gridCol w:w="665"/>
        <w:gridCol w:w="665"/>
        <w:gridCol w:w="660"/>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-4,521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-18,494,</w:t>
            </w:r>
          </w:p>
          <w:p>
            <w:pPr>
              <w:pStyle w:val="TableParagraph"/>
              <w:spacing w:line="240" w:lineRule="auto" w:before="102"/>
              <w:ind w:left="113" w:right="0"/>
              <w:jc w:val="center"/>
              <w:rPr>
                <w:rFonts w:ascii="Times New Roman" w:hAnsi="Times New Roman" w:cs="Times New Roman" w:eastAsia="Times New Roman" w:hint="default"/>
                <w:sz w:val="18"/>
                <w:szCs w:val="18"/>
              </w:rPr>
            </w:pPr>
            <w:r>
              <w:rPr>
                <w:rFonts w:ascii="Times New Roman"/>
                <w:sz w:val="18"/>
              </w:rPr>
              <w:t>478.33</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-23,016,</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198.33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8,610,7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73.29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-8,610,7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73.29</w:t>
            </w: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center"/>
              <w:rPr>
                <w:rFonts w:ascii="Times New Roman" w:hAnsi="Times New Roman" w:cs="Times New Roman" w:eastAsia="Times New Roman" w:hint="default"/>
                <w:sz w:val="18"/>
                <w:szCs w:val="18"/>
              </w:rPr>
            </w:pPr>
            <w:r>
              <w:rPr>
                <w:rFonts w:ascii="Times New Roman"/>
                <w:sz w:val="18"/>
              </w:rPr>
              <w:t>6,256,7</w:t>
            </w:r>
          </w:p>
          <w:p>
            <w:pPr>
              <w:pStyle w:val="TableParagraph"/>
              <w:spacing w:line="240" w:lineRule="auto" w:before="102"/>
              <w:ind w:left="202" w:right="0"/>
              <w:jc w:val="center"/>
              <w:rPr>
                <w:rFonts w:ascii="Times New Roman" w:hAnsi="Times New Roman" w:cs="Times New Roman" w:eastAsia="Times New Roman" w:hint="default"/>
                <w:sz w:val="18"/>
                <w:szCs w:val="18"/>
              </w:rPr>
            </w:pPr>
            <w:r>
              <w:rPr>
                <w:rFonts w:ascii="Times New Roman"/>
                <w:sz w:val="18"/>
              </w:rPr>
              <w:t>23.99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-32,014,</w:t>
            </w:r>
          </w:p>
          <w:p>
            <w:pPr>
              <w:pStyle w:val="TableParagraph"/>
              <w:spacing w:line="240" w:lineRule="auto" w:before="102"/>
              <w:ind w:left="117" w:right="0"/>
              <w:jc w:val="center"/>
              <w:rPr>
                <w:rFonts w:ascii="Times New Roman" w:hAnsi="Times New Roman" w:cs="Times New Roman" w:eastAsia="Times New Roman" w:hint="default"/>
                <w:sz w:val="18"/>
                <w:szCs w:val="18"/>
              </w:rPr>
            </w:pPr>
            <w:r>
              <w:rPr>
                <w:rFonts w:ascii="Times New Roman"/>
                <w:sz w:val="18"/>
              </w:rPr>
              <w:t>571.39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-25,757,</w:t>
            </w:r>
          </w:p>
          <w:p>
            <w:pPr>
              <w:pStyle w:val="TableParagraph"/>
              <w:spacing w:line="240" w:lineRule="auto" w:before="102"/>
              <w:ind w:left="108" w:right="0"/>
              <w:jc w:val="center"/>
              <w:rPr>
                <w:rFonts w:ascii="Times New Roman" w:hAnsi="Times New Roman" w:cs="Times New Roman" w:eastAsia="Times New Roman" w:hint="default"/>
                <w:sz w:val="18"/>
                <w:szCs w:val="18"/>
              </w:rPr>
            </w:pPr>
            <w:r>
              <w:rPr>
                <w:rFonts w:ascii="Times New Roman"/>
                <w:sz w:val="18"/>
              </w:rPr>
              <w:t>847.40</w:t>
            </w: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6,256,7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23.99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-6,256,7</w:t>
            </w:r>
          </w:p>
          <w:p>
            <w:pPr>
              <w:pStyle w:val="TableParagraph"/>
              <w:spacing w:line="240" w:lineRule="auto" w:before="105"/>
              <w:ind w:left="207" w:right="0"/>
              <w:jc w:val="center"/>
              <w:rPr>
                <w:rFonts w:ascii="Times New Roman" w:hAnsi="Times New Roman" w:cs="Times New Roman" w:eastAsia="Times New Roman" w:hint="default"/>
                <w:sz w:val="18"/>
                <w:szCs w:val="18"/>
              </w:rPr>
            </w:pPr>
            <w:r>
              <w:rPr>
                <w:rFonts w:ascii="Times New Roman"/>
                <w:sz w:val="18"/>
              </w:rPr>
              <w:t>23.99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-25,757,</w:t>
            </w:r>
          </w:p>
          <w:p>
            <w:pPr>
              <w:pStyle w:val="TableParagraph"/>
              <w:spacing w:line="240" w:lineRule="auto" w:before="105"/>
              <w:ind w:left="117" w:right="0"/>
              <w:jc w:val="center"/>
              <w:rPr>
                <w:rFonts w:ascii="Times New Roman" w:hAnsi="Times New Roman" w:cs="Times New Roman" w:eastAsia="Times New Roman" w:hint="default"/>
                <w:sz w:val="18"/>
                <w:szCs w:val="18"/>
              </w:rPr>
            </w:pPr>
            <w:r>
              <w:rPr>
                <w:rFonts w:ascii="Times New Roman"/>
                <w:sz w:val="18"/>
              </w:rPr>
              <w:t>847.40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-25,757,</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847.40</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9,631,5</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93.42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9,631,5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93.42</w:t>
            </w:r>
          </w:p>
        </w:tc>
      </w:tr>
      <w:tr>
        <w:trPr>
          <w:trHeight w:val="1028"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515,15</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6,948.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3"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1,805,5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03,137.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-302,71</w:t>
            </w:r>
          </w:p>
          <w:p>
            <w:pPr>
              <w:pStyle w:val="TableParagraph"/>
              <w:spacing w:line="240" w:lineRule="auto" w:before="102"/>
              <w:ind w:left="319" w:right="0"/>
              <w:jc w:val="left"/>
              <w:rPr>
                <w:rFonts w:ascii="Times New Roman" w:hAnsi="Times New Roman" w:cs="Times New Roman" w:eastAsia="Times New Roman" w:hint="default"/>
                <w:sz w:val="18"/>
                <w:szCs w:val="18"/>
              </w:rPr>
            </w:pPr>
            <w:r>
              <w:rPr>
                <w:rFonts w:ascii="Times New Roman"/>
                <w:sz w:val="18"/>
              </w:rPr>
              <w:t>5.44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36,442,</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010.41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410,061</w:t>
            </w:r>
          </w:p>
          <w:p>
            <w:pPr>
              <w:pStyle w:val="TableParagraph"/>
              <w:spacing w:line="240" w:lineRule="auto" w:before="102"/>
              <w:ind w:left="93" w:right="0"/>
              <w:jc w:val="left"/>
              <w:rPr>
                <w:rFonts w:ascii="Times New Roman" w:hAnsi="Times New Roman" w:cs="Times New Roman" w:eastAsia="Times New Roman" w:hint="default"/>
                <w:sz w:val="18"/>
                <w:szCs w:val="18"/>
              </w:rPr>
            </w:pPr>
            <w:r>
              <w:rPr>
                <w:rFonts w:ascii="Times New Roman"/>
                <w:sz w:val="18"/>
              </w:rPr>
              <w:t>,468.61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42,115,</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850.76</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2,808,9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76,699.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r>
    </w:tbl>
    <w:p>
      <w:pPr>
        <w:pStyle w:val="BodyText"/>
        <w:spacing w:line="240" w:lineRule="auto" w:before="49"/>
        <w:ind w:right="0"/>
        <w:jc w:val="left"/>
      </w:pPr>
      <w:r>
        <w:rPr/>
        <w:t>上期金额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1594"/>
        <w:gridCol w:w="662"/>
        <w:gridCol w:w="665"/>
        <w:gridCol w:w="668"/>
        <w:gridCol w:w="665"/>
        <w:gridCol w:w="662"/>
        <w:gridCol w:w="665"/>
        <w:gridCol w:w="680"/>
        <w:gridCol w:w="653"/>
        <w:gridCol w:w="658"/>
      </w:tblGrid>
      <w:tr>
        <w:trPr>
          <w:trHeight w:val="403" w:hRule="exact"/>
        </w:trPr>
        <w:tc>
          <w:tcPr>
            <w:tcW w:w="14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3" w:type="dxa"/>
            <w:gridSpan w:val="11"/>
            <w:tcBorders>
              <w:top w:val="single" w:sz="4" w:space="0" w:color="000000"/>
              <w:left w:val="single" w:sz="4" w:space="0" w:color="000000"/>
              <w:bottom w:val="single" w:sz="4" w:space="0" w:color="FFFFFF"/>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1437" w:type="dxa"/>
            <w:vMerge/>
            <w:tcBorders>
              <w:left w:val="single" w:sz="4" w:space="0" w:color="000000"/>
              <w:right w:val="single" w:sz="4" w:space="0" w:color="000000"/>
            </w:tcBorders>
            <w:shd w:val="clear" w:color="auto" w:fill="D2D2D2"/>
          </w:tcPr>
          <w:p>
            <w:pPr/>
          </w:p>
        </w:tc>
        <w:tc>
          <w:tcPr>
            <w:tcW w:w="6822" w:type="dxa"/>
            <w:gridSpan w:val="9"/>
            <w:tcBorders>
              <w:top w:val="single" w:sz="4"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3" w:type="dxa"/>
            <w:vMerge w:val="restart"/>
            <w:tcBorders>
              <w:top w:val="single" w:sz="4" w:space="0" w:color="FFFFFF"/>
              <w:left w:val="single" w:sz="4" w:space="0" w:color="000000"/>
              <w:right w:val="single" w:sz="4" w:space="0" w:color="000000"/>
            </w:tcBorders>
            <w:shd w:val="clear" w:color="auto" w:fill="D2D2D2"/>
          </w:tcPr>
          <w:p>
            <w:pPr>
              <w:pStyle w:val="TableParagraph"/>
              <w:spacing w:line="314" w:lineRule="auto" w:before="94"/>
              <w:ind w:left="50" w:right="50"/>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8" w:type="dxa"/>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13"/>
              <w:ind w:left="55" w:right="50"/>
              <w:jc w:val="left"/>
              <w:rPr>
                <w:rFonts w:ascii="宋体" w:hAnsi="宋体" w:cs="宋体" w:eastAsia="宋体" w:hint="default"/>
                <w:sz w:val="18"/>
                <w:szCs w:val="18"/>
              </w:rPr>
            </w:pPr>
            <w:r>
              <w:rPr>
                <w:rFonts w:ascii="宋体" w:hAnsi="宋体" w:cs="宋体" w:eastAsia="宋体" w:hint="default"/>
                <w:sz w:val="18"/>
                <w:szCs w:val="18"/>
              </w:rPr>
              <w:t>所有者 权益合</w:t>
            </w:r>
          </w:p>
        </w:tc>
      </w:tr>
      <w:tr>
        <w:trPr>
          <w:trHeight w:val="403"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资本公</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减：库</w:t>
            </w:r>
          </w:p>
        </w:tc>
        <w:tc>
          <w:tcPr>
            <w:tcW w:w="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9" w:right="0"/>
              <w:jc w:val="left"/>
              <w:rPr>
                <w:rFonts w:ascii="宋体" w:hAnsi="宋体" w:cs="宋体" w:eastAsia="宋体" w:hint="default"/>
                <w:sz w:val="18"/>
                <w:szCs w:val="18"/>
              </w:rPr>
            </w:pPr>
            <w:r>
              <w:rPr>
                <w:rFonts w:ascii="宋体" w:hAnsi="宋体" w:cs="宋体" w:eastAsia="宋体" w:hint="default"/>
                <w:sz w:val="18"/>
                <w:szCs w:val="18"/>
              </w:rPr>
              <w:t>其他综</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专项储</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盈余公</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57" w:right="0"/>
              <w:jc w:val="left"/>
              <w:rPr>
                <w:rFonts w:ascii="宋体" w:hAnsi="宋体" w:cs="宋体" w:eastAsia="宋体" w:hint="default"/>
                <w:sz w:val="18"/>
                <w:szCs w:val="18"/>
              </w:rPr>
            </w:pPr>
            <w:r>
              <w:rPr>
                <w:rFonts w:ascii="宋体" w:hAnsi="宋体" w:cs="宋体" w:eastAsia="宋体" w:hint="default"/>
                <w:sz w:val="18"/>
                <w:szCs w:val="18"/>
              </w:rPr>
              <w:t>一般风</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64" w:right="0"/>
              <w:jc w:val="left"/>
              <w:rPr>
                <w:rFonts w:ascii="宋体" w:hAnsi="宋体" w:cs="宋体" w:eastAsia="宋体" w:hint="default"/>
                <w:sz w:val="18"/>
                <w:szCs w:val="18"/>
              </w:rPr>
            </w:pPr>
            <w:r>
              <w:rPr>
                <w:rFonts w:ascii="宋体" w:hAnsi="宋体" w:cs="宋体" w:eastAsia="宋体" w:hint="default"/>
                <w:sz w:val="18"/>
                <w:szCs w:val="18"/>
              </w:rPr>
              <w:t>未分配</w:t>
            </w: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15"/>
        <w:gridCol w:w="572"/>
        <w:gridCol w:w="530"/>
        <w:gridCol w:w="531"/>
        <w:gridCol w:w="533"/>
        <w:gridCol w:w="662"/>
        <w:gridCol w:w="665"/>
        <w:gridCol w:w="668"/>
        <w:gridCol w:w="665"/>
        <w:gridCol w:w="662"/>
        <w:gridCol w:w="665"/>
        <w:gridCol w:w="680"/>
        <w:gridCol w:w="653"/>
        <w:gridCol w:w="658"/>
      </w:tblGrid>
      <w:tr>
        <w:trPr>
          <w:trHeight w:val="161" w:hRule="exact"/>
        </w:trPr>
        <w:tc>
          <w:tcPr>
            <w:tcW w:w="1415" w:type="dxa"/>
            <w:vMerge w:val="restart"/>
            <w:tcBorders>
              <w:top w:val="single" w:sz="4" w:space="0" w:color="000000"/>
              <w:left w:val="single" w:sz="4" w:space="0" w:color="000000"/>
              <w:right w:val="single" w:sz="4" w:space="0" w:color="000000"/>
            </w:tcBorders>
            <w:shd w:val="clear" w:color="auto" w:fill="D2D2D2"/>
          </w:tcPr>
          <w:p>
            <w:pPr/>
          </w:p>
        </w:tc>
        <w:tc>
          <w:tcPr>
            <w:tcW w:w="572" w:type="dxa"/>
            <w:vMerge w:val="restart"/>
            <w:tcBorders>
              <w:top w:val="single" w:sz="4" w:space="0" w:color="000000"/>
              <w:left w:val="single" w:sz="4" w:space="0" w:color="000000"/>
              <w:right w:val="single" w:sz="4" w:space="0" w:color="000000"/>
            </w:tcBorders>
            <w:shd w:val="clear" w:color="auto" w:fill="D2D2D2"/>
          </w:tcPr>
          <w:p>
            <w:pP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70" w:right="77"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71" w:right="7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3" w:type="dxa"/>
            <w:tcBorders>
              <w:top w:val="single" w:sz="4" w:space="0" w:color="000000"/>
              <w:left w:val="single" w:sz="4" w:space="0" w:color="000000"/>
              <w:bottom w:val="nil" w:sz="6" w:space="0" w:color="auto"/>
              <w:right w:val="single" w:sz="4" w:space="0" w:color="000000"/>
            </w:tcBorders>
            <w:shd w:val="clear" w:color="auto" w:fill="D2D2D2"/>
          </w:tcPr>
          <w:p>
            <w:pP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148" w:right="0"/>
              <w:jc w:val="left"/>
              <w:rPr>
                <w:rFonts w:ascii="宋体" w:hAnsi="宋体" w:cs="宋体" w:eastAsia="宋体" w:hint="default"/>
                <w:sz w:val="18"/>
                <w:szCs w:val="18"/>
              </w:rPr>
            </w:pPr>
            <w:r>
              <w:rPr>
                <w:rFonts w:ascii="宋体" w:hAnsi="宋体" w:cs="宋体" w:eastAsia="宋体" w:hint="default"/>
                <w:sz w:val="18"/>
                <w:szCs w:val="18"/>
              </w:rPr>
              <w:t>存股</w:t>
            </w:r>
          </w:p>
        </w:tc>
        <w:tc>
          <w:tcPr>
            <w:tcW w:w="6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59"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备</w:t>
            </w:r>
          </w:p>
        </w:tc>
        <w:tc>
          <w:tcPr>
            <w:tcW w:w="6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积</w:t>
            </w:r>
          </w:p>
        </w:tc>
        <w:tc>
          <w:tcPr>
            <w:tcW w:w="665" w:type="dxa"/>
            <w:vMerge w:val="restart"/>
            <w:tcBorders>
              <w:top w:val="single" w:sz="4" w:space="0" w:color="000000"/>
              <w:left w:val="single" w:sz="10" w:space="0" w:color="D2D2D2"/>
              <w:right w:val="single" w:sz="4" w:space="0" w:color="000000"/>
            </w:tcBorders>
          </w:tcPr>
          <w:p>
            <w:pPr>
              <w:pStyle w:val="TableParagraph"/>
              <w:spacing w:line="240" w:lineRule="auto" w:before="8"/>
              <w:ind w:left="50" w:right="0"/>
              <w:jc w:val="left"/>
              <w:rPr>
                <w:rFonts w:ascii="宋体" w:hAnsi="宋体" w:cs="宋体" w:eastAsia="宋体" w:hint="default"/>
                <w:sz w:val="18"/>
                <w:szCs w:val="18"/>
              </w:rPr>
            </w:pPr>
            <w:r>
              <w:rPr>
                <w:rFonts w:ascii="宋体" w:hAnsi="宋体" w:cs="宋体" w:eastAsia="宋体" w:hint="default"/>
                <w:sz w:val="18"/>
                <w:szCs w:val="18"/>
              </w:rPr>
              <w:t>险准备</w:t>
            </w: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8"/>
              <w:ind w:left="153"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653" w:type="dxa"/>
            <w:vMerge w:val="restart"/>
            <w:tcBorders>
              <w:top w:val="single" w:sz="4" w:space="0" w:color="000000"/>
              <w:left w:val="single" w:sz="4" w:space="0" w:color="000000"/>
              <w:right w:val="single" w:sz="4" w:space="0" w:color="000000"/>
            </w:tcBorders>
            <w:shd w:val="clear" w:color="auto" w:fill="D2D2D2"/>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计</w:t>
            </w:r>
          </w:p>
        </w:tc>
      </w:tr>
      <w:tr>
        <w:trPr>
          <w:trHeight w:val="197"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8"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2"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10" w:space="0" w:color="D2D2D2"/>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tcPr>
          <w:p>
            <w:pPr/>
          </w:p>
        </w:tc>
      </w:tr>
      <w:tr>
        <w:trPr>
          <w:trHeight w:val="195" w:hRule="exact"/>
        </w:trPr>
        <w:tc>
          <w:tcPr>
            <w:tcW w:w="1415" w:type="dxa"/>
            <w:vMerge/>
            <w:tcBorders>
              <w:left w:val="single" w:sz="4" w:space="0" w:color="000000"/>
              <w:right w:val="single" w:sz="4" w:space="0" w:color="000000"/>
            </w:tcBorders>
            <w:shd w:val="clear" w:color="auto" w:fill="D2D2D2"/>
          </w:tcPr>
          <w:p>
            <w:pPr/>
          </w:p>
        </w:tc>
        <w:tc>
          <w:tcPr>
            <w:tcW w:w="57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1" w:type="dxa"/>
            <w:vMerge/>
            <w:tcBorders>
              <w:left w:val="single" w:sz="4" w:space="0" w:color="000000"/>
              <w:right w:val="single" w:sz="4" w:space="0" w:color="000000"/>
            </w:tcBorders>
            <w:shd w:val="clear" w:color="auto" w:fill="D2D2D2"/>
          </w:tcPr>
          <w:p>
            <w:pPr/>
          </w:p>
        </w:tc>
        <w:tc>
          <w:tcPr>
            <w:tcW w:w="533" w:type="dxa"/>
            <w:vMerge/>
            <w:tcBorders>
              <w:left w:val="single" w:sz="4" w:space="0" w:color="000000"/>
              <w:bottom w:val="nil" w:sz="6" w:space="0" w:color="auto"/>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8" w:type="dxa"/>
            <w:vMerge w:val="restart"/>
            <w:tcBorders>
              <w:top w:val="nil" w:sz="6" w:space="0" w:color="auto"/>
              <w:left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62" w:type="dxa"/>
            <w:vMerge w:val="restart"/>
            <w:tcBorders>
              <w:top w:val="nil" w:sz="6" w:space="0" w:color="auto"/>
              <w:left w:val="single" w:sz="4" w:space="0" w:color="000000"/>
              <w:right w:val="single" w:sz="4" w:space="0" w:color="000000"/>
            </w:tcBorders>
            <w:shd w:val="clear" w:color="auto" w:fill="D2D2D2"/>
          </w:tcPr>
          <w:p>
            <w:pPr/>
          </w:p>
        </w:tc>
        <w:tc>
          <w:tcPr>
            <w:tcW w:w="665" w:type="dxa"/>
            <w:vMerge/>
            <w:tcBorders>
              <w:left w:val="single" w:sz="10" w:space="0" w:color="D2D2D2"/>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shd w:val="clear" w:color="auto" w:fill="D2D2D2"/>
          </w:tcPr>
          <w:p>
            <w:pPr/>
          </w:p>
        </w:tc>
        <w:tc>
          <w:tcPr>
            <w:tcW w:w="658" w:type="dxa"/>
            <w:vMerge/>
            <w:tcBorders>
              <w:left w:val="single" w:sz="4" w:space="0" w:color="000000"/>
              <w:right w:val="single" w:sz="4" w:space="0" w:color="000000"/>
            </w:tcBorders>
          </w:tcPr>
          <w:p>
            <w:pPr/>
          </w:p>
        </w:tc>
      </w:tr>
      <w:tr>
        <w:trPr>
          <w:trHeight w:val="161" w:hRule="exact"/>
        </w:trPr>
        <w:tc>
          <w:tcPr>
            <w:tcW w:w="1415" w:type="dxa"/>
            <w:vMerge/>
            <w:tcBorders>
              <w:left w:val="single" w:sz="4" w:space="0" w:color="000000"/>
              <w:bottom w:val="single" w:sz="4" w:space="0" w:color="000000"/>
              <w:right w:val="single" w:sz="4" w:space="0" w:color="000000"/>
            </w:tcBorders>
            <w:shd w:val="clear" w:color="auto" w:fill="D2D2D2"/>
          </w:tcPr>
          <w:p>
            <w:pPr/>
          </w:p>
        </w:tc>
        <w:tc>
          <w:tcPr>
            <w:tcW w:w="57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1" w:type="dxa"/>
            <w:vMerge/>
            <w:tcBorders>
              <w:left w:val="single" w:sz="4" w:space="0" w:color="000000"/>
              <w:bottom w:val="single" w:sz="4" w:space="0" w:color="000000"/>
              <w:right w:val="single" w:sz="4" w:space="0" w:color="000000"/>
            </w:tcBorders>
            <w:shd w:val="clear" w:color="auto" w:fill="D2D2D2"/>
          </w:tcPr>
          <w:p>
            <w:pPr/>
          </w:p>
        </w:tc>
        <w:tc>
          <w:tcPr>
            <w:tcW w:w="53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8"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10" w:space="0" w:color="D2D2D2"/>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shd w:val="clear" w:color="auto" w:fill="D2D2D2"/>
          </w:tcPr>
          <w:p>
            <w:pPr/>
          </w:p>
        </w:tc>
        <w:tc>
          <w:tcPr>
            <w:tcW w:w="658" w:type="dxa"/>
            <w:vMerge/>
            <w:tcBorders>
              <w:left w:val="single" w:sz="4" w:space="0" w:color="000000"/>
              <w:bottom w:val="single" w:sz="4" w:space="0" w:color="000000"/>
              <w:right w:val="single" w:sz="4" w:space="0" w:color="000000"/>
            </w:tcBorders>
          </w:tcPr>
          <w:p>
            <w:pPr/>
          </w:p>
        </w:tc>
      </w:tr>
      <w:tr>
        <w:trPr>
          <w:trHeight w:val="319"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426,03</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6,752.</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420,251</w:t>
            </w:r>
          </w:p>
          <w:p>
            <w:pPr>
              <w:pStyle w:val="TableParagraph"/>
              <w:spacing w:line="240" w:lineRule="auto" w:before="102"/>
              <w:ind w:left="91" w:right="0"/>
              <w:jc w:val="left"/>
              <w:rPr>
                <w:rFonts w:ascii="Times New Roman" w:hAnsi="Times New Roman" w:cs="Times New Roman" w:eastAsia="Times New Roman" w:hint="default"/>
                <w:sz w:val="18"/>
                <w:szCs w:val="18"/>
              </w:rPr>
            </w:pPr>
            <w:r>
              <w:rPr>
                <w:rFonts w:ascii="Times New Roman"/>
                <w:sz w:val="18"/>
              </w:rPr>
              <w:t>,800.75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41,394,</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159.00</w:t>
            </w: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25,814,</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829.18</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374,067</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,979.84</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39,424,</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436.00</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1,244,2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01,638.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77</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同一控 制下企业合并</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426,03</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6,752.</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420,251</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,800.75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41,394,</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159.00</w:t>
            </w: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25,814,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829.18</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374,067</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,979.84</w:t>
            </w: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39,424,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436.00</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01,638.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77</w:t>
            </w: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317"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027"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1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93,641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,916.0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1,385,5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03,448.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-18,377,</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960.67</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2,128,8</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30.84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0" w:right="0"/>
              <w:jc w:val="center"/>
              <w:rPr>
                <w:rFonts w:ascii="Times New Roman" w:hAnsi="Times New Roman" w:cs="Times New Roman" w:eastAsia="Times New Roman" w:hint="default"/>
                <w:sz w:val="18"/>
                <w:szCs w:val="18"/>
              </w:rPr>
            </w:pPr>
            <w:r>
              <w:rPr>
                <w:rFonts w:ascii="Times New Roman"/>
                <w:sz w:val="18"/>
              </w:rPr>
              <w:t>4,370,4</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57.24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24,912,</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460.48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22,285.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1,528,9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57,359.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05</w:t>
            </w:r>
          </w:p>
        </w:tc>
      </w:tr>
      <w:tr>
        <w:trPr>
          <w:trHeight w:val="713"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2,128,8</w:t>
            </w:r>
          </w:p>
          <w:p>
            <w:pPr>
              <w:pStyle w:val="TableParagraph"/>
              <w:spacing w:line="240" w:lineRule="auto" w:before="105"/>
              <w:ind w:left="209" w:right="0"/>
              <w:jc w:val="center"/>
              <w:rPr>
                <w:rFonts w:ascii="Times New Roman" w:hAnsi="Times New Roman" w:cs="Times New Roman" w:eastAsia="Times New Roman" w:hint="default"/>
                <w:sz w:val="18"/>
                <w:szCs w:val="18"/>
              </w:rPr>
            </w:pPr>
            <w:r>
              <w:rPr>
                <w:rFonts w:ascii="Times New Roman"/>
                <w:sz w:val="18"/>
              </w:rPr>
              <w:t>30.84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54,395,</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643.64</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-3,174,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629.57</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53,349,</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844.91</w:t>
            </w:r>
          </w:p>
        </w:tc>
      </w:tr>
      <w:tr>
        <w:trPr>
          <w:trHeight w:val="163"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93,641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,916.0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1,385,5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03,448.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-17,914,</w:t>
            </w:r>
          </w:p>
          <w:p>
            <w:pPr>
              <w:pStyle w:val="TableParagraph"/>
              <w:spacing w:line="240" w:lineRule="auto" w:before="102"/>
              <w:ind w:left="118" w:right="0"/>
              <w:jc w:val="center"/>
              <w:rPr>
                <w:rFonts w:ascii="Times New Roman" w:hAnsi="Times New Roman" w:cs="Times New Roman" w:eastAsia="Times New Roman" w:hint="default"/>
                <w:sz w:val="18"/>
                <w:szCs w:val="18"/>
              </w:rPr>
            </w:pPr>
            <w:r>
              <w:rPr>
                <w:rFonts w:ascii="Times New Roman"/>
                <w:sz w:val="18"/>
              </w:rPr>
              <w:t>475.07</w:t>
            </w: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3,196,9</w:t>
            </w:r>
          </w:p>
          <w:p>
            <w:pPr>
              <w:pStyle w:val="TableParagraph"/>
              <w:spacing w:line="240" w:lineRule="auto" w:before="102"/>
              <w:ind w:left="190" w:right="0"/>
              <w:jc w:val="center"/>
              <w:rPr>
                <w:rFonts w:ascii="Times New Roman" w:hAnsi="Times New Roman" w:cs="Times New Roman" w:eastAsia="Times New Roman" w:hint="default"/>
                <w:sz w:val="18"/>
                <w:szCs w:val="18"/>
              </w:rPr>
            </w:pPr>
            <w:r>
              <w:rPr>
                <w:rFonts w:ascii="Times New Roman"/>
                <w:sz w:val="18"/>
              </w:rPr>
              <w:t>15.07</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56,754.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r>
      <w:tr>
        <w:trPr>
          <w:trHeight w:val="70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49"/>
              <w:ind w:left="12" w:right="1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和减少资本</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93,888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1,385,3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06,133.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4,350,0</w:t>
            </w:r>
          </w:p>
          <w:p>
            <w:pPr>
              <w:pStyle w:val="TableParagraph"/>
              <w:spacing w:line="240" w:lineRule="auto" w:before="105"/>
              <w:ind w:left="190" w:right="0"/>
              <w:jc w:val="center"/>
              <w:rPr>
                <w:rFonts w:ascii="Times New Roman" w:hAnsi="Times New Roman" w:cs="Times New Roman" w:eastAsia="Times New Roman" w:hint="default"/>
                <w:sz w:val="18"/>
                <w:szCs w:val="18"/>
              </w:rPr>
            </w:pPr>
            <w:r>
              <w:rPr>
                <w:rFonts w:ascii="Times New Roman"/>
                <w:sz w:val="18"/>
              </w:rPr>
              <w:t>00.00</w:t>
            </w: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1,483,5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44,449.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94</w:t>
            </w:r>
          </w:p>
        </w:tc>
      </w:tr>
      <w:tr>
        <w:trPr>
          <w:trHeight w:val="703"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-246,4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-955,77</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0.55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 w:right="0"/>
              <w:jc w:val="center"/>
              <w:rPr>
                <w:rFonts w:ascii="Times New Roman" w:hAnsi="Times New Roman" w:cs="Times New Roman" w:eastAsia="Times New Roman" w:hint="default"/>
                <w:sz w:val="18"/>
                <w:szCs w:val="18"/>
              </w:rPr>
            </w:pPr>
            <w:r>
              <w:rPr>
                <w:rFonts w:ascii="Times New Roman"/>
                <w:sz w:val="18"/>
              </w:rPr>
              <w:t>-17,914,</w:t>
            </w:r>
          </w:p>
          <w:p>
            <w:pPr>
              <w:pStyle w:val="TableParagraph"/>
              <w:spacing w:line="240" w:lineRule="auto" w:before="105"/>
              <w:ind w:left="118" w:right="0"/>
              <w:jc w:val="center"/>
              <w:rPr>
                <w:rFonts w:ascii="Times New Roman" w:hAnsi="Times New Roman" w:cs="Times New Roman" w:eastAsia="Times New Roman" w:hint="default"/>
                <w:sz w:val="18"/>
                <w:szCs w:val="18"/>
              </w:rPr>
            </w:pPr>
            <w:r>
              <w:rPr>
                <w:rFonts w:ascii="Times New Roman"/>
                <w:sz w:val="18"/>
              </w:rPr>
              <w:t>475.07</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16,712,</w:t>
            </w:r>
          </w:p>
          <w:p>
            <w:pPr>
              <w:pStyle w:val="TableParagraph"/>
              <w:spacing w:line="240" w:lineRule="auto" w:before="105"/>
              <w:ind w:left="131" w:right="0"/>
              <w:jc w:val="left"/>
              <w:rPr>
                <w:rFonts w:ascii="Times New Roman" w:hAnsi="Times New Roman" w:cs="Times New Roman" w:eastAsia="Times New Roman" w:hint="default"/>
                <w:sz w:val="18"/>
                <w:szCs w:val="18"/>
              </w:rPr>
            </w:pPr>
            <w:r>
              <w:rPr>
                <w:rFonts w:ascii="Times New Roman"/>
                <w:sz w:val="18"/>
              </w:rPr>
              <w:t>304.52</w:t>
            </w:r>
          </w:p>
        </w:tc>
      </w:tr>
      <w:tr>
        <w:trPr>
          <w:trHeight w:val="163"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1,153,0</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84.93</w:t>
            </w: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
        </w:tc>
        <w:tc>
          <w:tcPr>
            <w:tcW w:w="653" w:type="dxa"/>
            <w:vMerge w:val="restart"/>
            <w:tcBorders>
              <w:top w:val="single" w:sz="4" w:space="0" w:color="000000"/>
              <w:left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-1,153,</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084.93</w:t>
            </w:r>
          </w:p>
        </w:tc>
        <w:tc>
          <w:tcPr>
            <w:tcW w:w="658" w:type="dxa"/>
            <w:vMerge w:val="restart"/>
            <w:tcBorders>
              <w:top w:val="single" w:sz="4" w:space="0" w:color="000000"/>
              <w:left w:val="single" w:sz="4" w:space="0" w:color="000000"/>
              <w:right w:val="single" w:sz="4" w:space="0" w:color="000000"/>
            </w:tcBorders>
          </w:tcPr>
          <w:p>
            <w:pP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61"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-463,48</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5.60</w:t>
            </w: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1"/>
              <w:ind w:left="70" w:right="0"/>
              <w:jc w:val="center"/>
              <w:rPr>
                <w:rFonts w:ascii="Times New Roman" w:hAnsi="Times New Roman" w:cs="Times New Roman" w:eastAsia="Times New Roman" w:hint="default"/>
                <w:sz w:val="18"/>
                <w:szCs w:val="18"/>
              </w:rPr>
            </w:pPr>
            <w:r>
              <w:rPr>
                <w:rFonts w:ascii="Times New Roman"/>
                <w:sz w:val="18"/>
              </w:rPr>
              <w:t>4,370,4</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57.24</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-29,483,</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183.16</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-24,649,</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240.32</w:t>
            </w:r>
          </w:p>
        </w:tc>
      </w:tr>
      <w:tr>
        <w:trPr>
          <w:trHeight w:val="392"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163" w:hRule="exact"/>
        </w:trPr>
        <w:tc>
          <w:tcPr>
            <w:tcW w:w="1415" w:type="dxa"/>
            <w:tcBorders>
              <w:top w:val="single" w:sz="4" w:space="0" w:color="000000"/>
              <w:left w:val="single" w:sz="4" w:space="0" w:color="000000"/>
              <w:bottom w:val="nil" w:sz="6" w:space="0" w:color="auto"/>
              <w:right w:val="single" w:sz="4" w:space="0" w:color="000000"/>
            </w:tcBorders>
            <w:shd w:val="clear" w:color="auto" w:fill="D2D2D2"/>
          </w:tcPr>
          <w:p>
            <w:pPr/>
          </w:p>
        </w:tc>
        <w:tc>
          <w:tcPr>
            <w:tcW w:w="572"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1"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8"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4,370,4</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57.24</w:t>
            </w:r>
          </w:p>
        </w:tc>
        <w:tc>
          <w:tcPr>
            <w:tcW w:w="665" w:type="dxa"/>
            <w:vMerge w:val="restart"/>
            <w:tcBorders>
              <w:top w:val="single" w:sz="4" w:space="0" w:color="000000"/>
              <w:left w:val="single" w:sz="4" w:space="0" w:color="000000"/>
              <w:right w:val="single" w:sz="4" w:space="0" w:color="000000"/>
            </w:tcBorders>
          </w:tcPr>
          <w:p>
            <w:pPr/>
          </w:p>
        </w:tc>
        <w:tc>
          <w:tcPr>
            <w:tcW w:w="680" w:type="dxa"/>
            <w:vMerge w:val="restart"/>
            <w:tcBorders>
              <w:top w:val="single" w:sz="4" w:space="0" w:color="000000"/>
              <w:left w:val="single" w:sz="4" w:space="0" w:color="000000"/>
              <w:right w:val="single" w:sz="4" w:space="0" w:color="000000"/>
            </w:tcBorders>
          </w:tcPr>
          <w:p>
            <w:pPr>
              <w:pStyle w:val="TableParagraph"/>
              <w:spacing w:line="240" w:lineRule="auto" w:before="93"/>
              <w:ind w:left="21" w:right="0"/>
              <w:jc w:val="center"/>
              <w:rPr>
                <w:rFonts w:ascii="Times New Roman" w:hAnsi="Times New Roman" w:cs="Times New Roman" w:eastAsia="Times New Roman" w:hint="default"/>
                <w:sz w:val="18"/>
                <w:szCs w:val="18"/>
              </w:rPr>
            </w:pPr>
            <w:r>
              <w:rPr>
                <w:rFonts w:ascii="Times New Roman"/>
                <w:sz w:val="18"/>
              </w:rPr>
              <w:t>-4,370,4</w:t>
            </w:r>
          </w:p>
          <w:p>
            <w:pPr>
              <w:pStyle w:val="TableParagraph"/>
              <w:spacing w:line="240" w:lineRule="auto" w:before="102"/>
              <w:ind w:left="217" w:right="0"/>
              <w:jc w:val="center"/>
              <w:rPr>
                <w:rFonts w:ascii="Times New Roman" w:hAnsi="Times New Roman" w:cs="Times New Roman" w:eastAsia="Times New Roman" w:hint="default"/>
                <w:sz w:val="18"/>
                <w:szCs w:val="18"/>
              </w:rPr>
            </w:pPr>
            <w:r>
              <w:rPr>
                <w:rFonts w:ascii="Times New Roman"/>
                <w:sz w:val="18"/>
              </w:rPr>
              <w:t>57.24</w:t>
            </w:r>
          </w:p>
        </w:tc>
        <w:tc>
          <w:tcPr>
            <w:tcW w:w="653" w:type="dxa"/>
            <w:vMerge w:val="restart"/>
            <w:tcBorders>
              <w:top w:val="single" w:sz="4" w:space="0" w:color="000000"/>
              <w:left w:val="single" w:sz="4" w:space="0" w:color="000000"/>
              <w:right w:val="single" w:sz="4" w:space="0" w:color="000000"/>
            </w:tcBorders>
          </w:tcPr>
          <w:p>
            <w:pPr/>
          </w:p>
        </w:tc>
        <w:tc>
          <w:tcPr>
            <w:tcW w:w="658" w:type="dxa"/>
            <w:vMerge w:val="restart"/>
            <w:tcBorders>
              <w:top w:val="single" w:sz="4" w:space="0" w:color="000000"/>
              <w:left w:val="single" w:sz="4" w:space="0" w:color="000000"/>
              <w:right w:val="single" w:sz="4" w:space="0" w:color="000000"/>
            </w:tcBorders>
          </w:tcPr>
          <w:p>
            <w:pPr/>
          </w:p>
        </w:tc>
      </w:tr>
      <w:tr>
        <w:trPr>
          <w:trHeight w:val="391" w:hRule="exact"/>
        </w:trPr>
        <w:tc>
          <w:tcPr>
            <w:tcW w:w="14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7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1"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8"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80" w:type="dxa"/>
            <w:vMerge/>
            <w:tcBorders>
              <w:left w:val="single" w:sz="4" w:space="0" w:color="000000"/>
              <w:right w:val="single" w:sz="4" w:space="0" w:color="000000"/>
            </w:tcBorders>
          </w:tcPr>
          <w:p>
            <w:pPr/>
          </w:p>
        </w:tc>
        <w:tc>
          <w:tcPr>
            <w:tcW w:w="653" w:type="dxa"/>
            <w:vMerge/>
            <w:tcBorders>
              <w:left w:val="single" w:sz="4" w:space="0" w:color="000000"/>
              <w:right w:val="single" w:sz="4" w:space="0" w:color="000000"/>
            </w:tcBorders>
          </w:tcPr>
          <w:p>
            <w:pPr/>
          </w:p>
        </w:tc>
        <w:tc>
          <w:tcPr>
            <w:tcW w:w="658" w:type="dxa"/>
            <w:vMerge/>
            <w:tcBorders>
              <w:left w:val="single" w:sz="4" w:space="0" w:color="000000"/>
              <w:right w:val="single" w:sz="4" w:space="0" w:color="000000"/>
            </w:tcBorders>
          </w:tcPr>
          <w:p>
            <w:pPr/>
          </w:p>
        </w:tc>
      </w:tr>
      <w:tr>
        <w:trPr>
          <w:trHeight w:val="161" w:hRule="exact"/>
        </w:trPr>
        <w:tc>
          <w:tcPr>
            <w:tcW w:w="1415" w:type="dxa"/>
            <w:tcBorders>
              <w:top w:val="nil" w:sz="6" w:space="0" w:color="auto"/>
              <w:left w:val="single" w:sz="4" w:space="0" w:color="000000"/>
              <w:bottom w:val="single" w:sz="4" w:space="0" w:color="000000"/>
              <w:right w:val="single" w:sz="4" w:space="0" w:color="000000"/>
            </w:tcBorders>
            <w:shd w:val="clear" w:color="auto" w:fill="D2D2D2"/>
          </w:tcPr>
          <w:p>
            <w:pPr/>
          </w:p>
        </w:tc>
        <w:tc>
          <w:tcPr>
            <w:tcW w:w="57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1"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8"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80" w:type="dxa"/>
            <w:vMerge/>
            <w:tcBorders>
              <w:left w:val="single" w:sz="4" w:space="0" w:color="000000"/>
              <w:bottom w:val="single" w:sz="4" w:space="0" w:color="000000"/>
              <w:right w:val="single" w:sz="4" w:space="0" w:color="000000"/>
            </w:tcBorders>
          </w:tcPr>
          <w:p>
            <w:pPr/>
          </w:p>
        </w:tc>
        <w:tc>
          <w:tcPr>
            <w:tcW w:w="653" w:type="dxa"/>
            <w:vMerge/>
            <w:tcBorders>
              <w:left w:val="single" w:sz="4" w:space="0" w:color="000000"/>
              <w:bottom w:val="single" w:sz="4" w:space="0" w:color="000000"/>
              <w:right w:val="single" w:sz="4" w:space="0" w:color="000000"/>
            </w:tcBorders>
          </w:tcPr>
          <w:p>
            <w:pPr/>
          </w:p>
        </w:tc>
        <w:tc>
          <w:tcPr>
            <w:tcW w:w="658" w:type="dxa"/>
            <w:vMerge/>
            <w:tcBorders>
              <w:left w:val="single" w:sz="4" w:space="0" w:color="000000"/>
              <w:bottom w:val="single" w:sz="4" w:space="0" w:color="000000"/>
              <w:right w:val="single" w:sz="4" w:space="0" w:color="000000"/>
            </w:tcBorders>
          </w:tcPr>
          <w:p>
            <w:pPr/>
          </w:p>
        </w:tc>
      </w:tr>
      <w:tr>
        <w:trPr>
          <w:trHeight w:val="715" w:hRule="exact"/>
        </w:trPr>
        <w:tc>
          <w:tcPr>
            <w:tcW w:w="14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72" w:type="dxa"/>
            <w:tcBorders>
              <w:top w:val="single" w:sz="4" w:space="0" w:color="000000"/>
              <w:left w:val="single" w:sz="12"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1"/>
        <w:gridCol w:w="533"/>
        <w:gridCol w:w="662"/>
        <w:gridCol w:w="665"/>
        <w:gridCol w:w="668"/>
        <w:gridCol w:w="665"/>
        <w:gridCol w:w="662"/>
        <w:gridCol w:w="665"/>
        <w:gridCol w:w="680"/>
        <w:gridCol w:w="653"/>
        <w:gridCol w:w="658"/>
      </w:tblGrid>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-463,48</w:t>
            </w:r>
          </w:p>
          <w:p>
            <w:pPr>
              <w:pStyle w:val="TableParagraph"/>
              <w:spacing w:line="240" w:lineRule="auto" w:before="105"/>
              <w:ind w:left="319" w:right="0"/>
              <w:jc w:val="left"/>
              <w:rPr>
                <w:rFonts w:ascii="Times New Roman" w:hAnsi="Times New Roman" w:cs="Times New Roman" w:eastAsia="Times New Roman" w:hint="default"/>
                <w:sz w:val="18"/>
                <w:szCs w:val="18"/>
              </w:rPr>
            </w:pPr>
            <w:r>
              <w:rPr>
                <w:rFonts w:ascii="Times New Roman"/>
                <w:sz w:val="18"/>
              </w:rPr>
              <w:t>5.60</w:t>
            </w: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-25,112,</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725.92</w:t>
            </w: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-24,649,</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240.32</w:t>
            </w: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5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519,67</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8,668.</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1"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1,805,7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55,249.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23,016,</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198.33</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2,128,8</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30.84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30,185,</w:t>
            </w:r>
          </w:p>
          <w:p>
            <w:pPr>
              <w:pStyle w:val="TableParagraph"/>
              <w:spacing w:line="240" w:lineRule="auto" w:before="102"/>
              <w:ind w:left="136" w:right="0"/>
              <w:jc w:val="left"/>
              <w:rPr>
                <w:rFonts w:ascii="Times New Roman" w:hAnsi="Times New Roman" w:cs="Times New Roman" w:eastAsia="Times New Roman" w:hint="default"/>
                <w:sz w:val="18"/>
                <w:szCs w:val="18"/>
              </w:rPr>
            </w:pPr>
            <w:r>
              <w:rPr>
                <w:rFonts w:ascii="Times New Roman"/>
                <w:sz w:val="18"/>
              </w:rPr>
              <w:t>286.42</w:t>
            </w:r>
          </w:p>
        </w:tc>
        <w:tc>
          <w:tcPr>
            <w:tcW w:w="665"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398,980</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,440.32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39,446,</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721.50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2,773,1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58,997.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本期金额</w:t>
      </w:r>
    </w:p>
    <w:p>
      <w:pPr>
        <w:pStyle w:val="BodyText"/>
        <w:spacing w:line="240" w:lineRule="auto" w:before="115"/>
        <w:ind w:left="0" w:right="15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2"/>
        <w:gridCol w:w="665"/>
        <w:gridCol w:w="667"/>
        <w:gridCol w:w="665"/>
        <w:gridCol w:w="797"/>
        <w:gridCol w:w="797"/>
        <w:gridCol w:w="797"/>
        <w:gridCol w:w="799"/>
        <w:gridCol w:w="797"/>
        <w:gridCol w:w="677"/>
        <w:gridCol w:w="780"/>
      </w:tblGrid>
      <w:tr>
        <w:trPr>
          <w:trHeight w:val="398"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9"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7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2"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519,678,</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668.00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1,804,602</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,164.14</w:t>
            </w:r>
          </w:p>
        </w:tc>
        <w:tc>
          <w:tcPr>
            <w:tcW w:w="797" w:type="dxa"/>
            <w:vMerge w:val="restart"/>
            <w:tcBorders>
              <w:top w:val="single" w:sz="22" w:space="0" w:color="D2D2D2"/>
              <w:left w:val="single" w:sz="4" w:space="0" w:color="000000"/>
              <w:right w:val="single" w:sz="4" w:space="0" w:color="000000"/>
            </w:tcBorders>
          </w:tcPr>
          <w:p>
            <w:pPr>
              <w:pStyle w:val="TableParagraph"/>
              <w:spacing w:line="240" w:lineRule="auto" w:before="68"/>
              <w:ind w:left="45" w:right="0"/>
              <w:jc w:val="left"/>
              <w:rPr>
                <w:rFonts w:ascii="Times New Roman" w:hAnsi="Times New Roman" w:cs="Times New Roman" w:eastAsia="Times New Roman" w:hint="default"/>
                <w:sz w:val="18"/>
                <w:szCs w:val="18"/>
              </w:rPr>
            </w:pPr>
            <w:r>
              <w:rPr>
                <w:rFonts w:ascii="Times New Roman"/>
                <w:sz w:val="18"/>
              </w:rPr>
              <w:t>23,016,19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8.33</w:t>
            </w:r>
          </w:p>
        </w:tc>
        <w:tc>
          <w:tcPr>
            <w:tcW w:w="797" w:type="dxa"/>
            <w:vMerge w:val="restart"/>
            <w:tcBorders>
              <w:top w:val="single" w:sz="22"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30,185,28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6.42</w:t>
            </w:r>
          </w:p>
        </w:tc>
        <w:tc>
          <w:tcPr>
            <w:tcW w:w="677" w:type="dxa"/>
            <w:vMerge w:val="restart"/>
            <w:tcBorders>
              <w:top w:val="single" w:sz="22" w:space="0" w:color="D2D2D2"/>
              <w:left w:val="single" w:sz="4" w:space="0" w:color="000000"/>
              <w:right w:val="single" w:sz="4" w:space="0" w:color="000000"/>
            </w:tcBorders>
          </w:tcPr>
          <w:p>
            <w:pPr>
              <w:pStyle w:val="TableParagraph"/>
              <w:spacing w:line="240" w:lineRule="auto" w:before="68"/>
              <w:ind w:left="57" w:right="0"/>
              <w:jc w:val="left"/>
              <w:rPr>
                <w:rFonts w:ascii="Times New Roman" w:hAnsi="Times New Roman" w:cs="Times New Roman" w:eastAsia="Times New Roman" w:hint="default"/>
                <w:sz w:val="18"/>
                <w:szCs w:val="18"/>
              </w:rPr>
            </w:pPr>
            <w:r>
              <w:rPr>
                <w:rFonts w:ascii="Times New Roman"/>
                <w:sz w:val="18"/>
              </w:rPr>
              <w:t>129,918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,189.98</w:t>
            </w:r>
          </w:p>
        </w:tc>
        <w:tc>
          <w:tcPr>
            <w:tcW w:w="780" w:type="dxa"/>
            <w:vMerge w:val="restart"/>
            <w:tcBorders>
              <w:top w:val="single" w:sz="22" w:space="0" w:color="D2D2D2"/>
              <w:left w:val="single" w:sz="4" w:space="0" w:color="000000"/>
              <w:right w:val="single" w:sz="4" w:space="0" w:color="000000"/>
            </w:tcBorders>
          </w:tcPr>
          <w:p>
            <w:pPr>
              <w:pStyle w:val="TableParagraph"/>
              <w:spacing w:line="240" w:lineRule="auto" w:before="68"/>
              <w:ind w:left="7" w:right="0"/>
              <w:jc w:val="center"/>
              <w:rPr>
                <w:rFonts w:ascii="Times New Roman" w:hAnsi="Times New Roman" w:cs="Times New Roman" w:eastAsia="Times New Roman" w:hint="default"/>
                <w:sz w:val="18"/>
                <w:szCs w:val="18"/>
              </w:rPr>
            </w:pPr>
            <w:r>
              <w:rPr>
                <w:rFonts w:ascii="Times New Roman"/>
                <w:sz w:val="18"/>
              </w:rPr>
              <w:t>2,461,368</w:t>
            </w:r>
          </w:p>
          <w:p>
            <w:pPr>
              <w:pStyle w:val="TableParagraph"/>
              <w:spacing w:line="240" w:lineRule="auto" w:before="102"/>
              <w:ind w:left="194" w:right="0"/>
              <w:jc w:val="center"/>
              <w:rPr>
                <w:rFonts w:ascii="Times New Roman" w:hAnsi="Times New Roman" w:cs="Times New Roman" w:eastAsia="Times New Roman" w:hint="default"/>
                <w:sz w:val="18"/>
                <w:szCs w:val="18"/>
              </w:rPr>
            </w:pPr>
            <w:r>
              <w:rPr>
                <w:rFonts w:ascii="Times New Roman"/>
                <w:sz w:val="18"/>
              </w:rPr>
              <w:t>,110.21</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3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702"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2" w:type="dxa"/>
            <w:vMerge w:val="restart"/>
            <w:tcBorders>
              <w:top w:val="single" w:sz="4" w:space="0" w:color="000000"/>
              <w:left w:val="single" w:sz="10" w:space="0" w:color="D2D2D2"/>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519,678,</w:t>
            </w:r>
          </w:p>
          <w:p>
            <w:pPr>
              <w:pStyle w:val="TableParagraph"/>
              <w:spacing w:line="240" w:lineRule="auto" w:before="102"/>
              <w:ind w:left="152" w:right="0"/>
              <w:jc w:val="center"/>
              <w:rPr>
                <w:rFonts w:ascii="Times New Roman" w:hAnsi="Times New Roman" w:cs="Times New Roman" w:eastAsia="Times New Roman" w:hint="default"/>
                <w:sz w:val="18"/>
                <w:szCs w:val="18"/>
              </w:rPr>
            </w:pPr>
            <w:r>
              <w:rPr>
                <w:rFonts w:ascii="Times New Roman"/>
                <w:sz w:val="18"/>
              </w:rPr>
              <w:t>668.00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1,804,602</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,164.14</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23,016,19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8.33</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30,185,28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6.42</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129,918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,189.98</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2,461,368</w:t>
            </w:r>
          </w:p>
          <w:p>
            <w:pPr>
              <w:pStyle w:val="TableParagraph"/>
              <w:spacing w:line="240" w:lineRule="auto" w:before="102"/>
              <w:ind w:left="194" w:right="0"/>
              <w:jc w:val="center"/>
              <w:rPr>
                <w:rFonts w:ascii="Times New Roman" w:hAnsi="Times New Roman" w:cs="Times New Roman" w:eastAsia="Times New Roman" w:hint="default"/>
                <w:sz w:val="18"/>
                <w:szCs w:val="18"/>
              </w:rPr>
            </w:pPr>
            <w:r>
              <w:rPr>
                <w:rFonts w:ascii="Times New Roman"/>
                <w:sz w:val="18"/>
              </w:rPr>
              <w:t>,110.21</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2"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2"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12" w:right="8"/>
              <w:jc w:val="left"/>
              <w:rPr>
                <w:rFonts w:ascii="Times New Roman" w:hAnsi="Times New Roman" w:cs="Times New Roman" w:eastAsia="Times New Roman"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p>
        </w:tc>
        <w:tc>
          <w:tcPr>
            <w:tcW w:w="7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7" w:right="0"/>
              <w:jc w:val="center"/>
              <w:rPr>
                <w:rFonts w:ascii="Times New Roman" w:hAnsi="Times New Roman" w:cs="Times New Roman" w:eastAsia="Times New Roman" w:hint="default"/>
                <w:sz w:val="18"/>
                <w:szCs w:val="18"/>
              </w:rPr>
            </w:pPr>
            <w:r>
              <w:rPr>
                <w:rFonts w:ascii="Times New Roman"/>
                <w:sz w:val="18"/>
              </w:rPr>
              <w:t>-4,521,7</w:t>
            </w:r>
          </w:p>
          <w:p>
            <w:pPr>
              <w:pStyle w:val="TableParagraph"/>
              <w:spacing w:line="240" w:lineRule="auto" w:before="105"/>
              <w:ind w:left="242" w:right="0"/>
              <w:jc w:val="center"/>
              <w:rPr>
                <w:rFonts w:ascii="Times New Roman" w:hAnsi="Times New Roman" w:cs="Times New Roman" w:eastAsia="Times New Roman" w:hint="default"/>
                <w:sz w:val="18"/>
                <w:szCs w:val="18"/>
              </w:rPr>
            </w:pPr>
            <w:r>
              <w:rPr>
                <w:rFonts w:ascii="Times New Roman"/>
                <w:sz w:val="18"/>
              </w:rPr>
              <w:t>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-12,462,8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84.91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-23,016,1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98.33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6,256,723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30,552,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668.55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42,840,98</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5.96</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362"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62,567,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239.94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62,567,23</w:t>
            </w:r>
          </w:p>
          <w:p>
            <w:pPr>
              <w:pStyle w:val="TableParagraph"/>
              <w:spacing w:line="240" w:lineRule="auto" w:before="105"/>
              <w:ind w:left="434" w:right="0"/>
              <w:jc w:val="left"/>
              <w:rPr>
                <w:rFonts w:ascii="Times New Roman" w:hAnsi="Times New Roman" w:cs="Times New Roman" w:eastAsia="Times New Roman" w:hint="default"/>
                <w:sz w:val="18"/>
                <w:szCs w:val="18"/>
              </w:rPr>
            </w:pPr>
            <w:r>
              <w:rPr>
                <w:rFonts w:ascii="Times New Roman"/>
                <w:sz w:val="18"/>
              </w:rPr>
              <w:t>9.94</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center"/>
              <w:rPr>
                <w:rFonts w:ascii="Times New Roman" w:hAnsi="Times New Roman" w:cs="Times New Roman" w:eastAsia="Times New Roman" w:hint="default"/>
                <w:sz w:val="18"/>
                <w:szCs w:val="18"/>
              </w:rPr>
            </w:pPr>
            <w:r>
              <w:rPr>
                <w:rFonts w:ascii="Times New Roman"/>
                <w:sz w:val="18"/>
              </w:rPr>
              <w:t>-4,521,7</w:t>
            </w:r>
          </w:p>
          <w:p>
            <w:pPr>
              <w:pStyle w:val="TableParagraph"/>
              <w:spacing w:line="240" w:lineRule="auto" w:before="105"/>
              <w:ind w:left="238" w:right="0"/>
              <w:jc w:val="center"/>
              <w:rPr>
                <w:rFonts w:ascii="Times New Roman" w:hAnsi="Times New Roman" w:cs="Times New Roman" w:eastAsia="Times New Roman" w:hint="default"/>
                <w:sz w:val="18"/>
                <w:szCs w:val="18"/>
              </w:rPr>
            </w:pPr>
            <w:r>
              <w:rPr>
                <w:rFonts w:ascii="Times New Roman"/>
                <w:sz w:val="18"/>
              </w:rPr>
              <w:t>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-18,494,4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78.33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-23,016,1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98.33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-4,521,7</w:t>
            </w:r>
          </w:p>
          <w:p>
            <w:pPr>
              <w:pStyle w:val="TableParagraph"/>
              <w:spacing w:line="240" w:lineRule="auto" w:before="105"/>
              <w:ind w:left="238" w:right="0"/>
              <w:jc w:val="center"/>
              <w:rPr>
                <w:rFonts w:ascii="Times New Roman" w:hAnsi="Times New Roman" w:cs="Times New Roman" w:eastAsia="Times New Roman" w:hint="default"/>
                <w:sz w:val="18"/>
                <w:szCs w:val="18"/>
              </w:rPr>
            </w:pPr>
            <w:r>
              <w:rPr>
                <w:rFonts w:ascii="Times New Roman"/>
                <w:sz w:val="18"/>
              </w:rPr>
              <w:t>20.00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-18,494,4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78.33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-23,016,1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98.33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6,256,723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-32,014,</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571.39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-25,757,8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47.40</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6,256,723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.99</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-6,256,7</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23.99</w:t>
            </w: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-25,757,</w:t>
            </w:r>
          </w:p>
          <w:p>
            <w:pPr>
              <w:pStyle w:val="TableParagraph"/>
              <w:spacing w:line="240" w:lineRule="auto" w:before="105"/>
              <w:ind w:left="125" w:right="0"/>
              <w:jc w:val="center"/>
              <w:rPr>
                <w:rFonts w:ascii="Times New Roman" w:hAnsi="Times New Roman" w:cs="Times New Roman" w:eastAsia="Times New Roman" w:hint="default"/>
                <w:sz w:val="18"/>
                <w:szCs w:val="18"/>
              </w:rPr>
            </w:pPr>
            <w:r>
              <w:rPr>
                <w:rFonts w:ascii="Times New Roman"/>
                <w:sz w:val="18"/>
              </w:rPr>
              <w:t>847.40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-25,757,8</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47.40</w:t>
            </w: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6,031,593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6,031,593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.42</w:t>
            </w: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515,156,</w:t>
            </w:r>
          </w:p>
          <w:p>
            <w:pPr>
              <w:pStyle w:val="TableParagraph"/>
              <w:spacing w:line="240" w:lineRule="auto" w:before="105"/>
              <w:ind w:left="149" w:right="0"/>
              <w:jc w:val="center"/>
              <w:rPr>
                <w:rFonts w:ascii="Times New Roman" w:hAnsi="Times New Roman" w:cs="Times New Roman" w:eastAsia="Times New Roman" w:hint="default"/>
                <w:sz w:val="18"/>
                <w:szCs w:val="18"/>
              </w:rPr>
            </w:pPr>
            <w:r>
              <w:rPr>
                <w:rFonts w:ascii="Times New Roman"/>
                <w:sz w:val="18"/>
              </w:rPr>
              <w:t>948.00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1,792,139</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,279.23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36,442,01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0.41</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160,470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,858.53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2,504,209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,096.17</w:t>
            </w:r>
          </w:p>
        </w:tc>
      </w:tr>
    </w:tbl>
    <w:p>
      <w:pPr>
        <w:pStyle w:val="BodyText"/>
        <w:spacing w:line="240" w:lineRule="auto" w:before="49"/>
        <w:ind w:right="0"/>
        <w:jc w:val="left"/>
      </w:pPr>
      <w:r>
        <w:rPr/>
        <w:t>上期金额</w:t>
      </w:r>
    </w:p>
    <w:p>
      <w:pPr>
        <w:pStyle w:val="BodyText"/>
        <w:spacing w:line="240" w:lineRule="auto" w:before="114"/>
        <w:ind w:left="0" w:right="151"/>
        <w:jc w:val="right"/>
      </w:pPr>
      <w:r>
        <w:rPr/>
        <w:t>单位：元</w:t>
      </w:r>
    </w:p>
    <w:p>
      <w:pPr>
        <w:spacing w:after="0" w:line="240" w:lineRule="auto"/>
        <w:jc w:val="right"/>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1428"/>
        <w:gridCol w:w="691"/>
        <w:gridCol w:w="665"/>
        <w:gridCol w:w="667"/>
        <w:gridCol w:w="665"/>
        <w:gridCol w:w="797"/>
        <w:gridCol w:w="797"/>
        <w:gridCol w:w="797"/>
        <w:gridCol w:w="799"/>
        <w:gridCol w:w="797"/>
        <w:gridCol w:w="677"/>
        <w:gridCol w:w="780"/>
      </w:tblGrid>
      <w:tr>
        <w:trPr>
          <w:trHeight w:val="396"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2" w:hRule="exact"/>
        </w:trPr>
        <w:tc>
          <w:tcPr>
            <w:tcW w:w="14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05" w:right="33" w:hanging="272"/>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13"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53" w:right="62"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15" w:right="23"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2" w:hRule="exact"/>
        </w:trPr>
        <w:tc>
          <w:tcPr>
            <w:tcW w:w="1428"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7"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2" w:hRule="exact"/>
        </w:trPr>
        <w:tc>
          <w:tcPr>
            <w:tcW w:w="1428"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7"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7" w:type="dxa"/>
            <w:vMerge/>
            <w:tcBorders>
              <w:left w:val="single" w:sz="4" w:space="0" w:color="000000"/>
              <w:right w:val="single" w:sz="4" w:space="0" w:color="000000"/>
            </w:tcBorders>
            <w:shd w:val="clear" w:color="auto" w:fill="D2D2D2"/>
          </w:tcPr>
          <w:p>
            <w:pPr/>
          </w:p>
        </w:tc>
        <w:tc>
          <w:tcPr>
            <w:tcW w:w="780" w:type="dxa"/>
            <w:vMerge/>
            <w:tcBorders>
              <w:left w:val="single" w:sz="4" w:space="0" w:color="000000"/>
              <w:right w:val="single" w:sz="4" w:space="0" w:color="000000"/>
            </w:tcBorders>
            <w:shd w:val="clear" w:color="auto" w:fill="D2D2D2"/>
          </w:tcPr>
          <w:p>
            <w:pPr/>
          </w:p>
        </w:tc>
      </w:tr>
      <w:tr>
        <w:trPr>
          <w:trHeight w:val="204" w:hRule="exact"/>
        </w:trPr>
        <w:tc>
          <w:tcPr>
            <w:tcW w:w="1428"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7"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7"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426,036,</w:t>
            </w:r>
          </w:p>
          <w:p>
            <w:pPr>
              <w:pStyle w:val="TableParagraph"/>
              <w:spacing w:line="240" w:lineRule="auto" w:before="102"/>
              <w:ind w:left="142" w:right="0"/>
              <w:jc w:val="center"/>
              <w:rPr>
                <w:rFonts w:ascii="Times New Roman" w:hAnsi="Times New Roman" w:cs="Times New Roman" w:eastAsia="Times New Roman" w:hint="default"/>
                <w:sz w:val="18"/>
                <w:szCs w:val="18"/>
              </w:rPr>
            </w:pPr>
            <w:r>
              <w:rPr>
                <w:rFonts w:ascii="Times New Roman"/>
                <w:sz w:val="18"/>
              </w:rPr>
              <w:t>752.00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420,251,8</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00.75</w:t>
            </w:r>
          </w:p>
        </w:tc>
        <w:tc>
          <w:tcPr>
            <w:tcW w:w="797" w:type="dxa"/>
            <w:vMerge w:val="restart"/>
            <w:tcBorders>
              <w:top w:val="single" w:sz="21" w:space="0" w:color="D2D2D2"/>
              <w:left w:val="single" w:sz="4" w:space="0" w:color="000000"/>
              <w:right w:val="single" w:sz="4" w:space="0" w:color="000000"/>
            </w:tcBorders>
          </w:tcPr>
          <w:p>
            <w:pPr>
              <w:pStyle w:val="TableParagraph"/>
              <w:spacing w:line="240" w:lineRule="auto" w:before="72"/>
              <w:ind w:left="45" w:right="0"/>
              <w:jc w:val="left"/>
              <w:rPr>
                <w:rFonts w:ascii="Times New Roman" w:hAnsi="Times New Roman" w:cs="Times New Roman" w:eastAsia="Times New Roman" w:hint="default"/>
                <w:sz w:val="18"/>
                <w:szCs w:val="18"/>
              </w:rPr>
            </w:pPr>
            <w:r>
              <w:rPr>
                <w:rFonts w:ascii="Times New Roman"/>
                <w:sz w:val="18"/>
              </w:rPr>
              <w:t>41,394,15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9.00</w:t>
            </w:r>
          </w:p>
        </w:tc>
        <w:tc>
          <w:tcPr>
            <w:tcW w:w="797" w:type="dxa"/>
            <w:vMerge w:val="restart"/>
            <w:tcBorders>
              <w:top w:val="single" w:sz="21" w:space="0" w:color="D2D2D2"/>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25,814,82</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9.18</w:t>
            </w:r>
          </w:p>
        </w:tc>
        <w:tc>
          <w:tcPr>
            <w:tcW w:w="677" w:type="dxa"/>
            <w:vMerge w:val="restart"/>
            <w:tcBorders>
              <w:top w:val="single" w:sz="21" w:space="0" w:color="D2D2D2"/>
              <w:left w:val="single" w:sz="4" w:space="0" w:color="000000"/>
              <w:right w:val="single" w:sz="4" w:space="0" w:color="000000"/>
            </w:tcBorders>
          </w:tcPr>
          <w:p>
            <w:pPr>
              <w:pStyle w:val="TableParagraph"/>
              <w:spacing w:line="240" w:lineRule="auto" w:before="72"/>
              <w:ind w:left="64" w:right="0"/>
              <w:jc w:val="left"/>
              <w:rPr>
                <w:rFonts w:ascii="Times New Roman" w:hAnsi="Times New Roman" w:cs="Times New Roman" w:eastAsia="Times New Roman" w:hint="default"/>
                <w:sz w:val="18"/>
                <w:szCs w:val="18"/>
              </w:rPr>
            </w:pPr>
            <w:r>
              <w:rPr>
                <w:rFonts w:ascii="Times New Roman"/>
                <w:sz w:val="18"/>
              </w:rPr>
              <w:t>115,696</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,800.70</w:t>
            </w:r>
          </w:p>
        </w:tc>
        <w:tc>
          <w:tcPr>
            <w:tcW w:w="780" w:type="dxa"/>
            <w:vMerge w:val="restart"/>
            <w:tcBorders>
              <w:top w:val="single" w:sz="21" w:space="0" w:color="D2D2D2"/>
              <w:left w:val="single" w:sz="4" w:space="0" w:color="000000"/>
              <w:right w:val="single" w:sz="4" w:space="0" w:color="000000"/>
            </w:tcBorders>
          </w:tcPr>
          <w:p>
            <w:pPr>
              <w:pStyle w:val="TableParagraph"/>
              <w:spacing w:line="240" w:lineRule="auto" w:before="72"/>
              <w:ind w:left="28" w:right="0"/>
              <w:jc w:val="left"/>
              <w:rPr>
                <w:rFonts w:ascii="Times New Roman" w:hAnsi="Times New Roman" w:cs="Times New Roman" w:eastAsia="Times New Roman" w:hint="default"/>
                <w:sz w:val="18"/>
                <w:szCs w:val="18"/>
              </w:rPr>
            </w:pPr>
            <w:r>
              <w:rPr>
                <w:rFonts w:ascii="Times New Roman"/>
                <w:sz w:val="18"/>
              </w:rPr>
              <w:t>946,406,0</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23.63</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4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前期差 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3"/>
              <w:ind w:left="5" w:right="0"/>
              <w:jc w:val="center"/>
              <w:rPr>
                <w:rFonts w:ascii="Times New Roman" w:hAnsi="Times New Roman" w:cs="Times New Roman" w:eastAsia="Times New Roman" w:hint="default"/>
                <w:sz w:val="18"/>
                <w:szCs w:val="18"/>
              </w:rPr>
            </w:pPr>
            <w:r>
              <w:rPr>
                <w:rFonts w:ascii="Times New Roman"/>
                <w:sz w:val="18"/>
              </w:rPr>
              <w:t>426,036,</w:t>
            </w:r>
          </w:p>
          <w:p>
            <w:pPr>
              <w:pStyle w:val="TableParagraph"/>
              <w:spacing w:line="240" w:lineRule="auto" w:before="103"/>
              <w:ind w:left="142" w:right="0"/>
              <w:jc w:val="center"/>
              <w:rPr>
                <w:rFonts w:ascii="Times New Roman" w:hAnsi="Times New Roman" w:cs="Times New Roman" w:eastAsia="Times New Roman" w:hint="default"/>
                <w:sz w:val="18"/>
                <w:szCs w:val="18"/>
              </w:rPr>
            </w:pPr>
            <w:r>
              <w:rPr>
                <w:rFonts w:ascii="Times New Roman"/>
                <w:sz w:val="18"/>
              </w:rPr>
              <w:t>752.00</w:t>
            </w: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420,251,8</w:t>
            </w:r>
          </w:p>
          <w:p>
            <w:pPr>
              <w:pStyle w:val="TableParagraph"/>
              <w:spacing w:line="240" w:lineRule="auto" w:before="103"/>
              <w:ind w:left="359" w:right="0"/>
              <w:jc w:val="left"/>
              <w:rPr>
                <w:rFonts w:ascii="Times New Roman" w:hAnsi="Times New Roman" w:cs="Times New Roman" w:eastAsia="Times New Roman" w:hint="default"/>
                <w:sz w:val="18"/>
                <w:szCs w:val="18"/>
              </w:rPr>
            </w:pPr>
            <w:r>
              <w:rPr>
                <w:rFonts w:ascii="Times New Roman"/>
                <w:sz w:val="18"/>
              </w:rPr>
              <w:t>00.75</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41,394,15</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9.00</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25,814,82</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9.18</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115,696</w:t>
            </w:r>
          </w:p>
          <w:p>
            <w:pPr>
              <w:pStyle w:val="TableParagraph"/>
              <w:spacing w:line="240" w:lineRule="auto" w:before="103"/>
              <w:ind w:left="103" w:right="0"/>
              <w:jc w:val="left"/>
              <w:rPr>
                <w:rFonts w:ascii="Times New Roman" w:hAnsi="Times New Roman" w:cs="Times New Roman" w:eastAsia="Times New Roman" w:hint="default"/>
                <w:sz w:val="18"/>
                <w:szCs w:val="18"/>
              </w:rPr>
            </w:pPr>
            <w:r>
              <w:rPr>
                <w:rFonts w:ascii="Times New Roman"/>
                <w:sz w:val="18"/>
              </w:rPr>
              <w:t>,800.70</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946,406,0</w:t>
            </w:r>
          </w:p>
          <w:p>
            <w:pPr>
              <w:pStyle w:val="TableParagraph"/>
              <w:spacing w:line="240" w:lineRule="auto" w:before="103"/>
              <w:ind w:left="343" w:right="0"/>
              <w:jc w:val="left"/>
              <w:rPr>
                <w:rFonts w:ascii="Times New Roman" w:hAnsi="Times New Roman" w:cs="Times New Roman" w:eastAsia="Times New Roman" w:hint="default"/>
                <w:sz w:val="18"/>
                <w:szCs w:val="18"/>
              </w:rPr>
            </w:pPr>
            <w:r>
              <w:rPr>
                <w:rFonts w:ascii="Times New Roman"/>
                <w:sz w:val="18"/>
              </w:rPr>
              <w:t>23.63</w:t>
            </w:r>
          </w:p>
        </w:tc>
      </w:tr>
      <w:tr>
        <w:trPr>
          <w:trHeight w:val="392"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2" w:right="18"/>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93,641,9</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16.00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1,384,350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,363.39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-18,377,9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60.67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4,370,457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14,221,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389.28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1,514,962</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,086.58</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43,704,</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572.44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43,704,57</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2.44</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93,641,9</w:t>
            </w:r>
          </w:p>
          <w:p>
            <w:pPr>
              <w:pStyle w:val="TableParagraph"/>
              <w:spacing w:line="240" w:lineRule="auto" w:before="105"/>
              <w:ind w:left="249" w:right="0"/>
              <w:jc w:val="left"/>
              <w:rPr>
                <w:rFonts w:ascii="Times New Roman" w:hAnsi="Times New Roman" w:cs="Times New Roman" w:eastAsia="Times New Roman" w:hint="default"/>
                <w:sz w:val="18"/>
                <w:szCs w:val="18"/>
              </w:rPr>
            </w:pPr>
            <w:r>
              <w:rPr>
                <w:rFonts w:ascii="Times New Roman"/>
                <w:sz w:val="18"/>
              </w:rPr>
              <w:t>16.00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1,384,350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,363.39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-17,914,4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75.07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1,495,906</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,754.46</w:t>
            </w: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93,888,3</w:t>
            </w:r>
          </w:p>
          <w:p>
            <w:pPr>
              <w:pStyle w:val="TableParagraph"/>
              <w:spacing w:line="240" w:lineRule="auto" w:before="102"/>
              <w:ind w:left="249" w:right="0"/>
              <w:jc w:val="left"/>
              <w:rPr>
                <w:rFonts w:ascii="Times New Roman" w:hAnsi="Times New Roman" w:cs="Times New Roman" w:eastAsia="Times New Roman" w:hint="default"/>
                <w:sz w:val="18"/>
                <w:szCs w:val="18"/>
              </w:rPr>
            </w:pPr>
            <w:r>
              <w:rPr>
                <w:rFonts w:ascii="Times New Roman"/>
                <w:sz w:val="18"/>
              </w:rPr>
              <w:t>16.00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1,385,306</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,133.94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1,479,194</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,449.94</w:t>
            </w:r>
          </w:p>
        </w:tc>
      </w:tr>
      <w:tr>
        <w:trPr>
          <w:trHeight w:val="713"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-246,40</w:t>
            </w:r>
          </w:p>
          <w:p>
            <w:pPr>
              <w:pStyle w:val="TableParagraph"/>
              <w:spacing w:line="240" w:lineRule="auto" w:before="102"/>
              <w:ind w:left="340"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-955,770.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-17,914,4</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75.07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16,712,30</w:t>
            </w:r>
          </w:p>
          <w:p>
            <w:pPr>
              <w:pStyle w:val="TableParagraph"/>
              <w:spacing w:line="240" w:lineRule="auto" w:before="102"/>
              <w:ind w:left="434" w:right="0"/>
              <w:jc w:val="left"/>
              <w:rPr>
                <w:rFonts w:ascii="Times New Roman" w:hAnsi="Times New Roman" w:cs="Times New Roman" w:eastAsia="Times New Roman" w:hint="default"/>
                <w:sz w:val="18"/>
                <w:szCs w:val="18"/>
              </w:rPr>
            </w:pPr>
            <w:r>
              <w:rPr>
                <w:rFonts w:ascii="Times New Roman"/>
                <w:sz w:val="18"/>
              </w:rPr>
              <w:t>4.52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63"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-463,485.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60</w:t>
            </w: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4,370,457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.24</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3"/>
              <w:ind w:left="20" w:right="0"/>
              <w:jc w:val="center"/>
              <w:rPr>
                <w:rFonts w:ascii="Times New Roman" w:hAnsi="Times New Roman" w:cs="Times New Roman" w:eastAsia="Times New Roman" w:hint="default"/>
                <w:sz w:val="18"/>
                <w:szCs w:val="18"/>
              </w:rPr>
            </w:pPr>
            <w:r>
              <w:rPr>
                <w:rFonts w:ascii="Times New Roman"/>
                <w:sz w:val="18"/>
              </w:rPr>
              <w:t>-29,483,</w:t>
            </w:r>
          </w:p>
          <w:p>
            <w:pPr>
              <w:pStyle w:val="TableParagraph"/>
              <w:spacing w:line="240" w:lineRule="auto" w:before="102"/>
              <w:ind w:left="125" w:right="0"/>
              <w:jc w:val="center"/>
              <w:rPr>
                <w:rFonts w:ascii="Times New Roman" w:hAnsi="Times New Roman" w:cs="Times New Roman" w:eastAsia="Times New Roman" w:hint="default"/>
                <w:sz w:val="18"/>
                <w:szCs w:val="18"/>
              </w:rPr>
            </w:pPr>
            <w:r>
              <w:rPr>
                <w:rFonts w:ascii="Times New Roman"/>
                <w:sz w:val="18"/>
              </w:rPr>
              <w:t>183.16</w:t>
            </w:r>
          </w:p>
        </w:tc>
        <w:tc>
          <w:tcPr>
            <w:tcW w:w="780" w:type="dxa"/>
            <w:vMerge w:val="restart"/>
            <w:tcBorders>
              <w:top w:val="single" w:sz="4" w:space="0" w:color="000000"/>
              <w:left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-24,649,2</w:t>
            </w:r>
          </w:p>
          <w:p>
            <w:pPr>
              <w:pStyle w:val="TableParagraph"/>
              <w:spacing w:line="240" w:lineRule="auto" w:before="102"/>
              <w:ind w:left="343" w:right="0"/>
              <w:jc w:val="left"/>
              <w:rPr>
                <w:rFonts w:ascii="Times New Roman" w:hAnsi="Times New Roman" w:cs="Times New Roman" w:eastAsia="Times New Roman" w:hint="default"/>
                <w:sz w:val="18"/>
                <w:szCs w:val="18"/>
              </w:rPr>
            </w:pPr>
            <w:r>
              <w:rPr>
                <w:rFonts w:ascii="Times New Roman"/>
                <w:sz w:val="18"/>
              </w:rPr>
              <w:t>40.32</w:t>
            </w: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161" w:hRule="exact"/>
        </w:trPr>
        <w:tc>
          <w:tcPr>
            <w:tcW w:w="1428"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9"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4,370,457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.24</w:t>
            </w:r>
          </w:p>
        </w:tc>
        <w:tc>
          <w:tcPr>
            <w:tcW w:w="677" w:type="dxa"/>
            <w:vMerge w:val="restart"/>
            <w:tcBorders>
              <w:top w:val="single" w:sz="4" w:space="0" w:color="000000"/>
              <w:left w:val="single" w:sz="4" w:space="0" w:color="000000"/>
              <w:right w:val="single" w:sz="4" w:space="0" w:color="000000"/>
            </w:tcBorders>
          </w:tcPr>
          <w:p>
            <w:pPr>
              <w:pStyle w:val="TableParagraph"/>
              <w:spacing w:line="240" w:lineRule="auto" w:before="91"/>
              <w:ind w:left="19" w:right="0"/>
              <w:jc w:val="center"/>
              <w:rPr>
                <w:rFonts w:ascii="Times New Roman" w:hAnsi="Times New Roman" w:cs="Times New Roman" w:eastAsia="Times New Roman" w:hint="default"/>
                <w:sz w:val="18"/>
                <w:szCs w:val="18"/>
              </w:rPr>
            </w:pPr>
            <w:r>
              <w:rPr>
                <w:rFonts w:ascii="Times New Roman"/>
                <w:sz w:val="18"/>
              </w:rPr>
              <w:t>-4,370,4</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57.24</w:t>
            </w:r>
          </w:p>
        </w:tc>
        <w:tc>
          <w:tcPr>
            <w:tcW w:w="780" w:type="dxa"/>
            <w:vMerge w:val="restart"/>
            <w:tcBorders>
              <w:top w:val="single" w:sz="4" w:space="0" w:color="000000"/>
              <w:left w:val="single" w:sz="4" w:space="0" w:color="000000"/>
              <w:right w:val="single" w:sz="4" w:space="0" w:color="000000"/>
            </w:tcBorders>
          </w:tcPr>
          <w:p>
            <w:pPr/>
          </w:p>
        </w:tc>
      </w:tr>
      <w:tr>
        <w:trPr>
          <w:trHeight w:val="391" w:hRule="exact"/>
        </w:trPr>
        <w:tc>
          <w:tcPr>
            <w:tcW w:w="14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9"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0" w:type="dxa"/>
            <w:vMerge/>
            <w:tcBorders>
              <w:left w:val="single" w:sz="4" w:space="0" w:color="000000"/>
              <w:right w:val="single" w:sz="4" w:space="0" w:color="000000"/>
            </w:tcBorders>
          </w:tcPr>
          <w:p>
            <w:pPr/>
          </w:p>
        </w:tc>
      </w:tr>
      <w:tr>
        <w:trPr>
          <w:trHeight w:val="161" w:hRule="exact"/>
        </w:trPr>
        <w:tc>
          <w:tcPr>
            <w:tcW w:w="1428"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9"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0" w:type="dxa"/>
            <w:vMerge/>
            <w:tcBorders>
              <w:left w:val="single" w:sz="4" w:space="0" w:color="000000"/>
              <w:bottom w:val="single" w:sz="4" w:space="0" w:color="000000"/>
              <w:right w:val="single" w:sz="4" w:space="0" w:color="000000"/>
            </w:tcBorders>
          </w:tcPr>
          <w:p>
            <w:pPr/>
          </w:p>
        </w:tc>
      </w:tr>
      <w:tr>
        <w:trPr>
          <w:trHeight w:val="716"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-463,485.</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-25,112,</w:t>
            </w:r>
          </w:p>
          <w:p>
            <w:pPr>
              <w:pStyle w:val="TableParagraph"/>
              <w:spacing w:line="240" w:lineRule="auto" w:before="103"/>
              <w:ind w:left="148" w:right="0"/>
              <w:jc w:val="left"/>
              <w:rPr>
                <w:rFonts w:ascii="Times New Roman" w:hAnsi="Times New Roman" w:cs="Times New Roman" w:eastAsia="Times New Roman" w:hint="default"/>
                <w:sz w:val="18"/>
                <w:szCs w:val="18"/>
              </w:rPr>
            </w:pPr>
            <w:r>
              <w:rPr>
                <w:rFonts w:ascii="Times New Roman"/>
                <w:sz w:val="18"/>
              </w:rPr>
              <w:t>725.92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-24,649,2</w:t>
            </w:r>
          </w:p>
          <w:p>
            <w:pPr>
              <w:pStyle w:val="TableParagraph"/>
              <w:spacing w:line="240" w:lineRule="auto" w:before="103"/>
              <w:ind w:left="343" w:right="0"/>
              <w:jc w:val="left"/>
              <w:rPr>
                <w:rFonts w:ascii="Times New Roman" w:hAnsi="Times New Roman" w:cs="Times New Roman" w:eastAsia="Times New Roman" w:hint="default"/>
                <w:sz w:val="18"/>
                <w:szCs w:val="18"/>
              </w:rPr>
            </w:pPr>
            <w:r>
              <w:rPr>
                <w:rFonts w:ascii="Times New Roman"/>
                <w:sz w:val="18"/>
              </w:rPr>
              <w:t>40.32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5"/>
          <w:pgSz w:w="11910" w:h="16840"/>
          <w:pgMar w:footer="980" w:header="745" w:top="1060" w:bottom="1160" w:left="980" w:right="98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9"/>
        <w:gridCol w:w="691"/>
        <w:gridCol w:w="665"/>
        <w:gridCol w:w="667"/>
        <w:gridCol w:w="665"/>
        <w:gridCol w:w="797"/>
        <w:gridCol w:w="797"/>
        <w:gridCol w:w="797"/>
        <w:gridCol w:w="799"/>
        <w:gridCol w:w="797"/>
        <w:gridCol w:w="677"/>
        <w:gridCol w:w="780"/>
      </w:tblGrid>
      <w:tr>
        <w:trPr>
          <w:trHeight w:val="71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519,678,</w:t>
            </w:r>
          </w:p>
          <w:p>
            <w:pPr>
              <w:pStyle w:val="TableParagraph"/>
              <w:spacing w:line="240" w:lineRule="auto" w:before="102"/>
              <w:ind w:left="149" w:right="0"/>
              <w:jc w:val="center"/>
              <w:rPr>
                <w:rFonts w:ascii="Times New Roman" w:hAnsi="Times New Roman" w:cs="Times New Roman" w:eastAsia="Times New Roman" w:hint="default"/>
                <w:sz w:val="18"/>
                <w:szCs w:val="18"/>
              </w:rPr>
            </w:pPr>
            <w:r>
              <w:rPr>
                <w:rFonts w:ascii="Times New Roman"/>
                <w:sz w:val="18"/>
              </w:rPr>
              <w:t>668.00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center"/>
              <w:rPr>
                <w:rFonts w:ascii="Times New Roman" w:hAnsi="Times New Roman" w:cs="Times New Roman" w:eastAsia="Times New Roman" w:hint="default"/>
                <w:sz w:val="18"/>
                <w:szCs w:val="18"/>
              </w:rPr>
            </w:pPr>
            <w:r>
              <w:rPr>
                <w:rFonts w:ascii="Times New Roman"/>
                <w:sz w:val="18"/>
              </w:rPr>
              <w:t>1,804,602</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,164.14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23,016,19</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8.33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30,185,28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6.42</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129,918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,189.98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2,461,368</w:t>
            </w:r>
          </w:p>
          <w:p>
            <w:pPr>
              <w:pStyle w:val="TableParagraph"/>
              <w:spacing w:line="240" w:lineRule="auto" w:before="102"/>
              <w:ind w:left="194" w:right="0"/>
              <w:jc w:val="center"/>
              <w:rPr>
                <w:rFonts w:ascii="Times New Roman" w:hAnsi="Times New Roman" w:cs="Times New Roman" w:eastAsia="Times New Roman" w:hint="default"/>
                <w:sz w:val="18"/>
                <w:szCs w:val="18"/>
              </w:rPr>
            </w:pPr>
            <w:r>
              <w:rPr>
                <w:rFonts w:ascii="Times New Roman"/>
                <w:sz w:val="18"/>
              </w:rPr>
              <w:t>,110.21</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both"/>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left="513" w:right="333"/>
        <w:jc w:val="left"/>
      </w:pPr>
      <w:r>
        <w:rPr>
          <w:rFonts w:ascii="Times New Roman" w:hAnsi="Times New Roman" w:cs="Times New Roman" w:eastAsia="Times New Roman" w:hint="default"/>
        </w:rPr>
        <w:t>1</w:t>
      </w:r>
      <w:r>
        <w:rPr/>
        <w:t>、公司基本情况 深圳市证通电子股份有限公司</w:t>
      </w:r>
      <w:r>
        <w:rPr>
          <w:rFonts w:ascii="Times New Roman" w:hAnsi="Times New Roman" w:cs="Times New Roman" w:eastAsia="Times New Roman" w:hint="default"/>
        </w:rPr>
        <w:t>(</w:t>
      </w:r>
      <w:r>
        <w:rPr/>
        <w:t>以下简称公司或本公司</w:t>
      </w:r>
      <w:r>
        <w:rPr>
          <w:rFonts w:ascii="Times New Roman" w:hAnsi="Times New Roman" w:cs="Times New Roman" w:eastAsia="Times New Roman" w:hint="default"/>
        </w:rPr>
        <w:t>)</w:t>
      </w:r>
      <w:r>
        <w:rPr/>
        <w:t>前身系深圳市证通电子有限公司于</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4</w:t>
      </w:r>
      <w:r>
        <w:rPr/>
        <w:t>日经深圳市工商</w:t>
      </w:r>
    </w:p>
    <w:p>
      <w:pPr>
        <w:pStyle w:val="BodyText"/>
        <w:spacing w:line="300" w:lineRule="auto" w:before="13"/>
        <w:ind w:right="191"/>
        <w:jc w:val="both"/>
      </w:pPr>
      <w:r>
        <w:rPr/>
        <w:t>行政管理局核准成立。公司的企业法人营业执照注册号：</w:t>
      </w:r>
      <w:r>
        <w:rPr>
          <w:rFonts w:ascii="Times New Roman" w:hAnsi="Times New Roman" w:cs="Times New Roman" w:eastAsia="Times New Roman" w:hint="default"/>
        </w:rPr>
        <w:t>440301103106038</w:t>
      </w:r>
      <w:r>
        <w:rPr/>
        <w:t>。根据公司</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12</w:t>
      </w:r>
      <w:r>
        <w:rPr/>
        <w:t>日发起人协议和股东会 </w:t>
      </w:r>
      <w:r>
        <w:rPr>
          <w:spacing w:val="-2"/>
        </w:rPr>
        <w:t>决议由深圳市证通电子有限公司整体改制变更而成，</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23</w:t>
      </w:r>
      <w:r>
        <w:rPr>
          <w:spacing w:val="-2"/>
        </w:rPr>
        <w:t>日经中国证券监督管理委员会核准，公司向社会公开发行</w:t>
      </w:r>
      <w:r>
        <w:rPr>
          <w:spacing w:val="-59"/>
        </w:rPr>
        <w:t> </w:t>
      </w:r>
      <w:r>
        <w:rPr>
          <w:spacing w:val="-59"/>
        </w:rPr>
      </w:r>
      <w:r>
        <w:rPr>
          <w:spacing w:val="-4"/>
        </w:rPr>
        <w:t>人民币普通股</w:t>
      </w:r>
      <w:r>
        <w:rPr>
          <w:rFonts w:ascii="Times New Roman" w:hAnsi="Times New Roman" w:cs="Times New Roman" w:eastAsia="Times New Roman" w:hint="default"/>
          <w:spacing w:val="-4"/>
        </w:rPr>
        <w:t>2,200</w:t>
      </w:r>
      <w:r>
        <w:rPr>
          <w:spacing w:val="-4"/>
        </w:rPr>
        <w:t>万股</w:t>
      </w:r>
      <w:r>
        <w:rPr>
          <w:rFonts w:ascii="Times New Roman" w:hAnsi="Times New Roman" w:cs="Times New Roman" w:eastAsia="Times New Roman" w:hint="default"/>
          <w:spacing w:val="-4"/>
        </w:rPr>
        <w:t>(</w:t>
      </w:r>
      <w:r>
        <w:rPr>
          <w:spacing w:val="-4"/>
        </w:rPr>
        <w:t>每股面值</w:t>
      </w:r>
      <w:r>
        <w:rPr>
          <w:rFonts w:ascii="Times New Roman" w:hAnsi="Times New Roman" w:cs="Times New Roman" w:eastAsia="Times New Roman" w:hint="default"/>
          <w:spacing w:val="-4"/>
        </w:rPr>
        <w:t>1</w:t>
      </w:r>
      <w:r>
        <w:rPr>
          <w:spacing w:val="-4"/>
        </w:rPr>
        <w:t>元</w:t>
      </w:r>
      <w:r>
        <w:rPr>
          <w:rFonts w:ascii="Times New Roman" w:hAnsi="Times New Roman" w:cs="Times New Roman" w:eastAsia="Times New Roman" w:hint="default"/>
          <w:spacing w:val="-4"/>
        </w:rPr>
        <w:t>)</w:t>
      </w:r>
      <w:r>
        <w:rPr>
          <w:spacing w:val="-4"/>
        </w:rPr>
        <w:t>，发行后股本增至</w:t>
      </w:r>
      <w:r>
        <w:rPr>
          <w:rFonts w:ascii="Times New Roman" w:hAnsi="Times New Roman" w:cs="Times New Roman" w:eastAsia="Times New Roman" w:hint="default"/>
          <w:spacing w:val="-4"/>
        </w:rPr>
        <w:t>8,743</w:t>
      </w:r>
      <w:r>
        <w:rPr>
          <w:spacing w:val="-4"/>
        </w:rPr>
        <w:t>万股，</w:t>
      </w:r>
      <w:r>
        <w:rPr>
          <w:rFonts w:ascii="Times New Roman" w:hAnsi="Times New Roman" w:cs="Times New Roman" w:eastAsia="Times New Roman" w:hint="default"/>
          <w:spacing w:val="-4"/>
        </w:rPr>
        <w:t>2007</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18</w:t>
      </w:r>
      <w:r>
        <w:rPr>
          <w:spacing w:val="-4"/>
        </w:rPr>
        <w:t>日在深圳证券交易所挂牌交易，股票简称：</w:t>
      </w:r>
      <w:r>
        <w:rPr>
          <w:spacing w:val="-39"/>
        </w:rPr>
        <w:t> </w:t>
      </w:r>
      <w:r>
        <w:rPr>
          <w:spacing w:val="-39"/>
        </w:rPr>
      </w:r>
      <w:r>
        <w:rPr/>
        <w:t>证通电子，股票代码</w:t>
      </w:r>
      <w:r>
        <w:rPr>
          <w:rFonts w:ascii="Times New Roman" w:hAnsi="Times New Roman" w:cs="Times New Roman" w:eastAsia="Times New Roman" w:hint="default"/>
        </w:rPr>
        <w:t>002197,</w:t>
      </w:r>
      <w:r>
        <w:rPr>
          <w:rFonts w:ascii="Times New Roman" w:hAnsi="Times New Roman" w:cs="Times New Roman" w:eastAsia="Times New Roman" w:hint="default"/>
          <w:spacing w:val="27"/>
        </w:rPr>
        <w:t> </w:t>
      </w:r>
      <w:r>
        <w:rPr/>
        <w:t>本次发行后，公司注册的资本变更为</w:t>
      </w:r>
      <w:r>
        <w:rPr>
          <w:rFonts w:ascii="Times New Roman" w:hAnsi="Times New Roman" w:cs="Times New Roman" w:eastAsia="Times New Roman" w:hint="default"/>
        </w:rPr>
        <w:t>8,743.00</w:t>
      </w:r>
      <w:r>
        <w:rPr/>
        <w:t>万元。</w:t>
      </w:r>
    </w:p>
    <w:p>
      <w:pPr>
        <w:pStyle w:val="BodyText"/>
        <w:spacing w:line="300" w:lineRule="auto" w:before="13"/>
        <w:ind w:right="209" w:firstLine="360"/>
        <w:jc w:val="left"/>
      </w:pPr>
      <w:r>
        <w:rPr/>
        <w:t>公司现持有统一社会信用代码为</w:t>
      </w:r>
      <w:r>
        <w:rPr>
          <w:rFonts w:ascii="Times New Roman" w:hAnsi="Times New Roman" w:cs="Times New Roman" w:eastAsia="Times New Roman" w:hint="default"/>
        </w:rPr>
        <w:t>91440300279402305L</w:t>
      </w:r>
      <w:r>
        <w:rPr/>
        <w:t>的营业执照，注册资本</w:t>
      </w:r>
      <w:r>
        <w:rPr>
          <w:rFonts w:ascii="Times New Roman" w:hAnsi="Times New Roman" w:cs="Times New Roman" w:eastAsia="Times New Roman" w:hint="default"/>
        </w:rPr>
        <w:t>515,156,948.00</w:t>
      </w:r>
      <w:r>
        <w:rPr/>
        <w:t>元，股份总数为</w:t>
      </w:r>
      <w:r>
        <w:rPr>
          <w:rFonts w:ascii="Times New Roman" w:hAnsi="Times New Roman" w:cs="Times New Roman" w:eastAsia="Times New Roman" w:hint="default"/>
        </w:rPr>
        <w:t>515,156,948 </w:t>
      </w:r>
      <w:r>
        <w:rPr/>
        <w:t>股</w:t>
      </w:r>
      <w:r>
        <w:rPr>
          <w:rFonts w:ascii="Times New Roman" w:hAnsi="Times New Roman" w:cs="Times New Roman" w:eastAsia="Times New Roman" w:hint="default"/>
        </w:rPr>
        <w:t>(</w:t>
      </w:r>
      <w:r>
        <w:rPr/>
        <w:t>每股面值</w:t>
      </w:r>
      <w:r>
        <w:rPr>
          <w:rFonts w:ascii="Times New Roman" w:hAnsi="Times New Roman" w:cs="Times New Roman" w:eastAsia="Times New Roman" w:hint="default"/>
        </w:rPr>
        <w:t>1</w:t>
      </w:r>
      <w:r>
        <w:rPr/>
        <w:t>元</w:t>
      </w:r>
      <w:r>
        <w:rPr>
          <w:rFonts w:ascii="Times New Roman" w:hAnsi="Times New Roman" w:cs="Times New Roman" w:eastAsia="Times New Roman" w:hint="default"/>
        </w:rPr>
        <w:t>)</w:t>
      </w:r>
      <w:r>
        <w:rPr/>
        <w:t>，其中：有限售条件的流通股份为</w:t>
      </w:r>
      <w:r>
        <w:rPr>
          <w:rFonts w:ascii="Times New Roman" w:hAnsi="Times New Roman" w:cs="Times New Roman" w:eastAsia="Times New Roman" w:hint="default"/>
        </w:rPr>
        <w:t>80,527,634</w:t>
      </w:r>
      <w:r>
        <w:rPr/>
        <w:t>股；无限售条件的流通股份为</w:t>
      </w:r>
      <w:r>
        <w:rPr>
          <w:rFonts w:ascii="Times New Roman" w:hAnsi="Times New Roman" w:cs="Times New Roman" w:eastAsia="Times New Roman" w:hint="default"/>
        </w:rPr>
        <w:t>434,629,314</w:t>
      </w:r>
      <w:r>
        <w:rPr/>
        <w:t>股。</w:t>
      </w:r>
    </w:p>
    <w:p>
      <w:pPr>
        <w:pStyle w:val="BodyText"/>
        <w:spacing w:line="240" w:lineRule="auto" w:before="13"/>
        <w:ind w:left="513" w:right="178"/>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日公司股本为</w:t>
      </w:r>
      <w:r>
        <w:rPr>
          <w:rFonts w:ascii="Times New Roman" w:hAnsi="Times New Roman" w:cs="Times New Roman" w:eastAsia="Times New Roman" w:hint="default"/>
        </w:rPr>
        <w:t>515,156,948.00</w:t>
      </w:r>
      <w:r>
        <w:rPr/>
        <w:t>元。</w:t>
      </w:r>
    </w:p>
    <w:p>
      <w:pPr>
        <w:pStyle w:val="BodyText"/>
        <w:spacing w:line="240" w:lineRule="auto" w:before="63"/>
        <w:ind w:left="513" w:right="178"/>
        <w:jc w:val="left"/>
      </w:pPr>
      <w:r>
        <w:rPr>
          <w:rFonts w:ascii="Times New Roman" w:hAnsi="Times New Roman" w:cs="Times New Roman" w:eastAsia="Times New Roman" w:hint="default"/>
        </w:rPr>
        <w:t>2</w:t>
      </w:r>
      <w:r>
        <w:rPr/>
        <w:t>、企业的业务性质：通用设备制造业。</w:t>
      </w:r>
    </w:p>
    <w:p>
      <w:pPr>
        <w:pStyle w:val="BodyText"/>
        <w:spacing w:line="307" w:lineRule="auto" w:before="63"/>
        <w:ind w:right="99" w:firstLine="360"/>
        <w:jc w:val="left"/>
      </w:pPr>
      <w:r>
        <w:rPr>
          <w:rFonts w:ascii="Times New Roman" w:hAnsi="Times New Roman" w:cs="Times New Roman" w:eastAsia="Times New Roman" w:hint="default"/>
          <w:spacing w:val="-2"/>
        </w:rPr>
        <w:t>3</w:t>
      </w:r>
      <w:r>
        <w:rPr>
          <w:spacing w:val="-2"/>
        </w:rPr>
        <w:t>、主要经营活动：计算机软件、硬件、外围设备</w:t>
      </w:r>
      <w:r>
        <w:rPr>
          <w:rFonts w:ascii="Times New Roman" w:hAnsi="Times New Roman" w:cs="Times New Roman" w:eastAsia="Times New Roman" w:hint="default"/>
          <w:spacing w:val="-2"/>
        </w:rPr>
        <w:t>,</w:t>
      </w:r>
      <w:r>
        <w:rPr>
          <w:spacing w:val="-2"/>
        </w:rPr>
        <w:t>电子产品</w:t>
      </w:r>
      <w:r>
        <w:rPr>
          <w:rFonts w:ascii="Times New Roman" w:hAnsi="Times New Roman" w:cs="Times New Roman" w:eastAsia="Times New Roman" w:hint="default"/>
          <w:spacing w:val="-2"/>
        </w:rPr>
        <w:t>,</w:t>
      </w:r>
      <w:r>
        <w:rPr>
          <w:spacing w:val="-2"/>
        </w:rPr>
        <w:t>自助设备及配件</w:t>
      </w:r>
      <w:r>
        <w:rPr>
          <w:rFonts w:ascii="Times New Roman" w:hAnsi="Times New Roman" w:cs="Times New Roman" w:eastAsia="Times New Roman" w:hint="default"/>
          <w:spacing w:val="-2"/>
        </w:rPr>
        <w:t>,</w:t>
      </w:r>
      <w:r>
        <w:rPr>
          <w:spacing w:val="-2"/>
        </w:rPr>
        <w:t>金融机具设备</w:t>
      </w:r>
      <w:r>
        <w:rPr>
          <w:rFonts w:ascii="Times New Roman" w:hAnsi="Times New Roman" w:cs="Times New Roman" w:eastAsia="Times New Roman" w:hint="default"/>
          <w:spacing w:val="-2"/>
        </w:rPr>
        <w:t>,</w:t>
      </w:r>
      <w:r>
        <w:rPr>
          <w:spacing w:val="-2"/>
        </w:rPr>
        <w:t>通讯设备</w:t>
      </w:r>
      <w:r>
        <w:rPr>
          <w:rFonts w:ascii="Times New Roman" w:hAnsi="Times New Roman" w:cs="Times New Roman" w:eastAsia="Times New Roman" w:hint="default"/>
          <w:spacing w:val="-2"/>
        </w:rPr>
        <w:t>,</w:t>
      </w:r>
      <w:r>
        <w:rPr>
          <w:spacing w:val="-2"/>
        </w:rPr>
        <w:t>金融支付终端设备</w:t>
      </w:r>
      <w:r>
        <w:rPr>
          <w:rFonts w:ascii="Times New Roman" w:hAnsi="Times New Roman" w:cs="Times New Roman" w:eastAsia="Times New Roman" w:hint="default"/>
          <w:spacing w:val="-2"/>
        </w:rPr>
        <w:t>,</w:t>
      </w:r>
      <w:r>
        <w:rPr>
          <w:rFonts w:ascii="Times New Roman" w:hAnsi="Times New Roman" w:cs="Times New Roman" w:eastAsia="Times New Roman" w:hint="default"/>
        </w:rPr>
        <w:t> </w:t>
      </w:r>
      <w:r>
        <w:rPr/>
        <w:t>办公用品</w:t>
      </w:r>
      <w:r>
        <w:rPr>
          <w:rFonts w:ascii="Times New Roman" w:hAnsi="Times New Roman" w:cs="Times New Roman" w:eastAsia="Times New Roman" w:hint="default"/>
        </w:rPr>
        <w:t>,</w:t>
      </w:r>
      <w:r>
        <w:rPr/>
        <w:t>耗材的开发、销售、租赁、维护、运营、营销推广及服务；电子计算机系统集成及技术服务；</w:t>
      </w:r>
      <w:r>
        <w:rPr>
          <w:rFonts w:ascii="Times New Roman" w:hAnsi="Times New Roman" w:cs="Times New Roman" w:eastAsia="Times New Roman" w:hint="default"/>
        </w:rPr>
        <w:t>LED</w:t>
      </w:r>
      <w:r>
        <w:rPr/>
        <w:t>照明、城市道 </w:t>
      </w:r>
      <w:r>
        <w:rPr>
          <w:spacing w:val="-2"/>
        </w:rPr>
        <w:t>路照明工程、风光发电设备、太阳能应用系统及相关应用工程、汽车电子产品的开发、销售；节能方案咨询；为企事业单位</w:t>
      </w:r>
      <w:r>
        <w:rPr>
          <w:spacing w:val="-66"/>
        </w:rPr>
        <w:t> </w:t>
      </w:r>
      <w:r>
        <w:rPr>
          <w:spacing w:val="-66"/>
        </w:rPr>
      </w:r>
      <w:r>
        <w:rPr/>
        <w:t>提供节能服务、能源监测、能源管理、设备维护服务及</w:t>
      </w:r>
      <w:r>
        <w:rPr>
          <w:rFonts w:ascii="Times New Roman" w:hAnsi="Times New Roman" w:cs="Times New Roman" w:eastAsia="Times New Roman" w:hint="default"/>
        </w:rPr>
        <w:t>EMC</w:t>
      </w:r>
      <w:r>
        <w:rPr/>
        <w:t>合同能源管理服务；自有房屋租赁；进出口业务</w:t>
      </w:r>
      <w:r>
        <w:rPr>
          <w:rFonts w:ascii="Times New Roman" w:hAnsi="Times New Roman" w:cs="Times New Roman" w:eastAsia="Times New Roman" w:hint="default"/>
        </w:rPr>
        <w:t>(</w:t>
      </w:r>
      <w:r>
        <w:rPr/>
        <w:t>具体按深贸管</w:t>
      </w:r>
      <w:r>
        <w:rPr>
          <w:spacing w:val="-88"/>
        </w:rPr>
        <w:t> </w:t>
      </w:r>
      <w:r>
        <w:rPr>
          <w:spacing w:val="-3"/>
        </w:rPr>
        <w:t>登证字第</w:t>
      </w:r>
      <w:r>
        <w:rPr>
          <w:rFonts w:ascii="Times New Roman" w:hAnsi="Times New Roman" w:cs="Times New Roman" w:eastAsia="Times New Roman" w:hint="default"/>
          <w:spacing w:val="-3"/>
        </w:rPr>
        <w:t>2001-101</w:t>
      </w:r>
      <w:r>
        <w:rPr>
          <w:spacing w:val="-3"/>
        </w:rPr>
        <w:t>号资格证书办</w:t>
      </w:r>
      <w:r>
        <w:rPr>
          <w:rFonts w:ascii="Times New Roman" w:hAnsi="Times New Roman" w:cs="Times New Roman" w:eastAsia="Times New Roman" w:hint="default"/>
          <w:spacing w:val="-3"/>
        </w:rPr>
        <w:t>)</w:t>
      </w:r>
      <w:r>
        <w:rPr>
          <w:spacing w:val="-3"/>
        </w:rPr>
        <w:t>；设备租赁</w:t>
      </w:r>
      <w:r>
        <w:rPr>
          <w:rFonts w:ascii="Times New Roman" w:hAnsi="Times New Roman" w:cs="Times New Roman" w:eastAsia="Times New Roman" w:hint="default"/>
          <w:spacing w:val="-3"/>
        </w:rPr>
        <w:t>(</w:t>
      </w:r>
      <w:r>
        <w:rPr>
          <w:spacing w:val="-3"/>
        </w:rPr>
        <w:t>设备租赁范围</w:t>
      </w:r>
      <w:r>
        <w:rPr>
          <w:rFonts w:ascii="Times New Roman" w:hAnsi="Times New Roman" w:cs="Times New Roman" w:eastAsia="Times New Roman" w:hint="default"/>
          <w:spacing w:val="-3"/>
        </w:rPr>
        <w:t>:</w:t>
      </w:r>
      <w:r>
        <w:rPr>
          <w:spacing w:val="-3"/>
        </w:rPr>
        <w:t>电子产品</w:t>
      </w:r>
      <w:r>
        <w:rPr>
          <w:rFonts w:ascii="Times New Roman" w:hAnsi="Times New Roman" w:cs="Times New Roman" w:eastAsia="Times New Roman" w:hint="default"/>
          <w:spacing w:val="-3"/>
        </w:rPr>
        <w:t>,</w:t>
      </w:r>
      <w:r>
        <w:rPr>
          <w:spacing w:val="-3"/>
        </w:rPr>
        <w:t>自助设备及配件</w:t>
      </w:r>
      <w:r>
        <w:rPr>
          <w:rFonts w:ascii="Times New Roman" w:hAnsi="Times New Roman" w:cs="Times New Roman" w:eastAsia="Times New Roman" w:hint="default"/>
          <w:spacing w:val="-3"/>
        </w:rPr>
        <w:t>,</w:t>
      </w:r>
      <w:r>
        <w:rPr>
          <w:spacing w:val="-3"/>
        </w:rPr>
        <w:t>金融机具设备</w:t>
      </w:r>
      <w:r>
        <w:rPr>
          <w:rFonts w:ascii="Times New Roman" w:hAnsi="Times New Roman" w:cs="Times New Roman" w:eastAsia="Times New Roman" w:hint="default"/>
          <w:spacing w:val="-3"/>
        </w:rPr>
        <w:t>,</w:t>
      </w:r>
      <w:r>
        <w:rPr>
          <w:spacing w:val="-3"/>
        </w:rPr>
        <w:t>通讯设备</w:t>
      </w:r>
      <w:r>
        <w:rPr>
          <w:rFonts w:ascii="Times New Roman" w:hAnsi="Times New Roman" w:cs="Times New Roman" w:eastAsia="Times New Roman" w:hint="default"/>
          <w:spacing w:val="-3"/>
        </w:rPr>
        <w:t>)</w:t>
      </w:r>
      <w:r>
        <w:rPr>
          <w:spacing w:val="-3"/>
        </w:rPr>
        <w:t>；机器人系统、</w:t>
      </w:r>
      <w:r>
        <w:rPr>
          <w:spacing w:val="-50"/>
        </w:rPr>
        <w:t> </w:t>
      </w:r>
      <w:r>
        <w:rPr>
          <w:spacing w:val="-50"/>
        </w:rPr>
      </w:r>
      <w:r>
        <w:rPr>
          <w:spacing w:val="-2"/>
        </w:rPr>
        <w:t>智能机器人、智能机电、自动化产品、物联网技术的研究研发、销售、租赁及技术咨询、技术服务相关业务；信息技术咨询</w:t>
      </w:r>
      <w:r>
        <w:rPr>
          <w:spacing w:val="-73"/>
        </w:rPr>
        <w:t> </w:t>
      </w:r>
      <w:r>
        <w:rPr>
          <w:spacing w:val="-73"/>
        </w:rPr>
      </w:r>
      <w:r>
        <w:rPr/>
        <w:t>服务、商品信息咨询服务、科技信息咨询服务、企业管理咨询服务</w:t>
      </w:r>
      <w:r>
        <w:rPr>
          <w:rFonts w:ascii="Times New Roman" w:hAnsi="Times New Roman" w:cs="Times New Roman" w:eastAsia="Times New Roman" w:hint="default"/>
        </w:rPr>
        <w:t>(</w:t>
      </w:r>
      <w:r>
        <w:rPr/>
        <w:t>不含限制项目</w:t>
      </w:r>
      <w:r>
        <w:rPr>
          <w:rFonts w:ascii="Times New Roman" w:hAnsi="Times New Roman" w:cs="Times New Roman" w:eastAsia="Times New Roman" w:hint="default"/>
        </w:rPr>
        <w:t>)</w:t>
      </w:r>
      <w:r>
        <w:rPr/>
        <w:t>；数据处理和存储服务；数据中心运维服 </w:t>
      </w:r>
      <w:r>
        <w:rPr>
          <w:spacing w:val="-2"/>
        </w:rPr>
        <w:t>务；数据库技术服务数据处理等信息技术和业务流程外包服务；数据中心建设规划、运营、服务外包；云计算技术及相关产</w:t>
      </w:r>
      <w:r>
        <w:rPr>
          <w:spacing w:val="-67"/>
        </w:rPr>
        <w:t> </w:t>
      </w:r>
      <w:r>
        <w:rPr>
          <w:spacing w:val="-67"/>
        </w:rPr>
      </w:r>
      <w:r>
        <w:rPr/>
        <w:t>品的开发、销售和租赁</w:t>
      </w:r>
      <w:r>
        <w:rPr>
          <w:rFonts w:ascii="Times New Roman" w:hAnsi="Times New Roman" w:cs="Times New Roman" w:eastAsia="Times New Roman" w:hint="default"/>
        </w:rPr>
        <w:t>(</w:t>
      </w:r>
      <w:r>
        <w:rPr/>
        <w:t>以上项目法律、行政法规、国务院决定禁止的项目除外</w:t>
      </w:r>
      <w:r>
        <w:rPr>
          <w:rFonts w:ascii="Times New Roman" w:hAnsi="Times New Roman" w:cs="Times New Roman" w:eastAsia="Times New Roman" w:hint="default"/>
        </w:rPr>
        <w:t>,</w:t>
      </w:r>
      <w:r>
        <w:rPr/>
        <w:t>限制的项目须取得许可后方可经营</w:t>
      </w:r>
      <w:r>
        <w:rPr>
          <w:rFonts w:ascii="Times New Roman" w:hAnsi="Times New Roman" w:cs="Times New Roman" w:eastAsia="Times New Roman" w:hint="default"/>
        </w:rPr>
        <w:t>)</w:t>
      </w:r>
      <w:r>
        <w:rPr/>
        <w:t>；计算机 软件、硬件、外围设备</w:t>
      </w:r>
      <w:r>
        <w:rPr>
          <w:rFonts w:ascii="Times New Roman" w:hAnsi="Times New Roman" w:cs="Times New Roman" w:eastAsia="Times New Roman" w:hint="default"/>
        </w:rPr>
        <w:t>,</w:t>
      </w:r>
      <w:r>
        <w:rPr/>
        <w:t>电子产品</w:t>
      </w:r>
      <w:r>
        <w:rPr>
          <w:rFonts w:ascii="Times New Roman" w:hAnsi="Times New Roman" w:cs="Times New Roman" w:eastAsia="Times New Roman" w:hint="default"/>
        </w:rPr>
        <w:t>,</w:t>
      </w:r>
      <w:r>
        <w:rPr/>
        <w:t>自助设备及配件</w:t>
      </w:r>
      <w:r>
        <w:rPr>
          <w:rFonts w:ascii="Times New Roman" w:hAnsi="Times New Roman" w:cs="Times New Roman" w:eastAsia="Times New Roman" w:hint="default"/>
        </w:rPr>
        <w:t>,</w:t>
      </w:r>
      <w:r>
        <w:rPr/>
        <w:t>金融机具设备</w:t>
      </w:r>
      <w:r>
        <w:rPr>
          <w:rFonts w:ascii="Times New Roman" w:hAnsi="Times New Roman" w:cs="Times New Roman" w:eastAsia="Times New Roman" w:hint="default"/>
        </w:rPr>
        <w:t>,</w:t>
      </w:r>
      <w:r>
        <w:rPr/>
        <w:t>通讯设备</w:t>
      </w:r>
      <w:r>
        <w:rPr>
          <w:rFonts w:ascii="Times New Roman" w:hAnsi="Times New Roman" w:cs="Times New Roman" w:eastAsia="Times New Roman" w:hint="default"/>
        </w:rPr>
        <w:t>,</w:t>
      </w:r>
      <w:r>
        <w:rPr/>
        <w:t>金融支付终端设备</w:t>
      </w:r>
      <w:r>
        <w:rPr>
          <w:rFonts w:ascii="Times New Roman" w:hAnsi="Times New Roman" w:cs="Times New Roman" w:eastAsia="Times New Roman" w:hint="default"/>
        </w:rPr>
        <w:t>,</w:t>
      </w:r>
      <w:r>
        <w:rPr/>
        <w:t>办公用品</w:t>
      </w:r>
      <w:r>
        <w:rPr>
          <w:rFonts w:ascii="Times New Roman" w:hAnsi="Times New Roman" w:cs="Times New Roman" w:eastAsia="Times New Roman" w:hint="default"/>
        </w:rPr>
        <w:t>,</w:t>
      </w:r>
      <w:r>
        <w:rPr/>
        <w:t>耗材的生产；经国家 密码管理机构批准的商用密码产品的开发、生产、销售、维护保养及相关技术咨询和运营维护</w:t>
      </w:r>
      <w:r>
        <w:rPr>
          <w:rFonts w:ascii="Times New Roman" w:hAnsi="Times New Roman" w:cs="Times New Roman" w:eastAsia="Times New Roman" w:hint="default"/>
        </w:rPr>
        <w:t>(</w:t>
      </w:r>
      <w:r>
        <w:rPr/>
        <w:t>以上均不含限制项目</w:t>
      </w:r>
      <w:r>
        <w:rPr>
          <w:rFonts w:ascii="Times New Roman" w:hAnsi="Times New Roman" w:cs="Times New Roman" w:eastAsia="Times New Roman" w:hint="default"/>
        </w:rPr>
        <w:t>)</w:t>
      </w:r>
      <w:r>
        <w:rPr/>
        <w:t>；</w:t>
      </w:r>
      <w:r>
        <w:rPr>
          <w:rFonts w:ascii="Times New Roman" w:hAnsi="Times New Roman" w:cs="Times New Roman" w:eastAsia="Times New Roman" w:hint="default"/>
        </w:rPr>
        <w:t>LED</w:t>
      </w:r>
      <w:r>
        <w:rPr>
          <w:rFonts w:ascii="Times New Roman" w:hAnsi="Times New Roman" w:cs="Times New Roman" w:eastAsia="Times New Roman" w:hint="default"/>
          <w:w w:val="99"/>
        </w:rPr>
        <w:t> </w:t>
      </w:r>
      <w:r>
        <w:rPr>
          <w:spacing w:val="-2"/>
        </w:rPr>
        <w:t>照明、城市道路照明工程、风光发电设备、太阳能应用系统及相关应用工程、汽车电子产品的生产；能源管理方案的设计和</w:t>
      </w:r>
      <w:r>
        <w:rPr>
          <w:spacing w:val="-67"/>
        </w:rPr>
        <w:t> </w:t>
      </w:r>
      <w:r>
        <w:rPr>
          <w:spacing w:val="-67"/>
        </w:rPr>
      </w:r>
      <w:r>
        <w:rPr>
          <w:spacing w:val="-5"/>
        </w:rPr>
        <w:t>实施及运营；机器人系统、智能机器人、智能机电、自动化产品、物联网技术的生产；因特网数据传输服务和接入服务业务；</w:t>
      </w:r>
      <w:r>
        <w:rPr>
          <w:spacing w:val="-79"/>
        </w:rPr>
        <w:t> </w:t>
      </w:r>
      <w:r>
        <w:rPr>
          <w:spacing w:val="-79"/>
        </w:rPr>
      </w:r>
      <w:r>
        <w:rPr/>
        <w:t>因特网数据中心业务。</w:t>
      </w:r>
    </w:p>
    <w:p>
      <w:pPr>
        <w:pStyle w:val="BodyText"/>
        <w:spacing w:line="240" w:lineRule="auto" w:before="26"/>
        <w:ind w:left="513" w:right="178"/>
        <w:jc w:val="left"/>
      </w:pPr>
      <w:r>
        <w:rPr/>
        <w:t>公司主要从事金融自助服务终端、金融支付终端设备、</w:t>
      </w:r>
      <w:r>
        <w:rPr>
          <w:rFonts w:ascii="Times New Roman" w:hAnsi="Times New Roman" w:cs="Times New Roman" w:eastAsia="Times New Roman" w:hint="default"/>
        </w:rPr>
        <w:t>LED</w:t>
      </w:r>
      <w:r>
        <w:rPr/>
        <w:t>照明产品、</w:t>
      </w:r>
      <w:r>
        <w:rPr>
          <w:rFonts w:ascii="Times New Roman" w:hAnsi="Times New Roman" w:cs="Times New Roman" w:eastAsia="Times New Roman" w:hint="default"/>
        </w:rPr>
        <w:t>IDC</w:t>
      </w:r>
      <w:r>
        <w:rPr/>
        <w:t>及云计算等开发、生产和销售。</w:t>
      </w:r>
    </w:p>
    <w:p>
      <w:pPr>
        <w:pStyle w:val="BodyText"/>
        <w:spacing w:line="240" w:lineRule="auto" w:before="63"/>
        <w:ind w:left="513" w:right="178"/>
        <w:jc w:val="left"/>
      </w:pPr>
      <w:r>
        <w:rPr>
          <w:rFonts w:ascii="Times New Roman" w:hAnsi="Times New Roman" w:cs="Times New Roman" w:eastAsia="Times New Roman" w:hint="default"/>
        </w:rPr>
        <w:t>4</w:t>
      </w:r>
      <w:r>
        <w:rPr/>
        <w:t>、公司注册地：深圳市南山区南油天安工业村</w:t>
      </w:r>
      <w:r>
        <w:rPr>
          <w:rFonts w:ascii="Times New Roman" w:hAnsi="Times New Roman" w:cs="Times New Roman" w:eastAsia="Times New Roman" w:hint="default"/>
        </w:rPr>
        <w:t>8</w:t>
      </w:r>
      <w:r>
        <w:rPr/>
        <w:t>座</w:t>
      </w:r>
      <w:r>
        <w:rPr>
          <w:rFonts w:ascii="Times New Roman" w:hAnsi="Times New Roman" w:cs="Times New Roman" w:eastAsia="Times New Roman" w:hint="default"/>
        </w:rPr>
        <w:t>3A</w:t>
      </w:r>
      <w:r>
        <w:rPr/>
        <w:t>单元。</w:t>
      </w:r>
    </w:p>
    <w:p>
      <w:pPr>
        <w:pStyle w:val="BodyText"/>
        <w:spacing w:line="240" w:lineRule="auto" w:before="62"/>
        <w:ind w:left="513" w:right="178"/>
        <w:jc w:val="left"/>
      </w:pPr>
      <w:r>
        <w:rPr>
          <w:rFonts w:ascii="Times New Roman" w:hAnsi="Times New Roman" w:cs="Times New Roman" w:eastAsia="Times New Roman" w:hint="default"/>
        </w:rPr>
        <w:t>5</w:t>
      </w:r>
      <w:r>
        <w:rPr/>
        <w:t>、本公司的实际控制人为曾胜强、许忠桂夫妇持有深圳市证通电子股份有限公司</w:t>
      </w:r>
      <w:r>
        <w:rPr>
          <w:rFonts w:ascii="Times New Roman" w:hAnsi="Times New Roman" w:cs="Times New Roman" w:eastAsia="Times New Roman" w:hint="default"/>
        </w:rPr>
        <w:t>26.15%</w:t>
      </w:r>
      <w:r>
        <w:rPr/>
        <w:t>的股权。</w:t>
      </w:r>
    </w:p>
    <w:p>
      <w:pPr>
        <w:pStyle w:val="BodyText"/>
        <w:spacing w:line="240" w:lineRule="auto" w:before="63"/>
        <w:ind w:left="513" w:right="6754"/>
        <w:jc w:val="left"/>
      </w:pPr>
      <w:r>
        <w:rPr>
          <w:rFonts w:ascii="Times New Roman" w:hAnsi="Times New Roman" w:cs="Times New Roman" w:eastAsia="Times New Roman" w:hint="default"/>
        </w:rPr>
        <w:t>6</w:t>
      </w:r>
      <w:r>
        <w:rPr/>
        <w:t>、财务报告的批准报出日</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left="513" w:right="2033"/>
        <w:jc w:val="left"/>
      </w:pPr>
      <w:r>
        <w:rPr/>
        <w:t>本财务报表经公司第四届董事会第二十三次会议批准于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日报出。 </w:t>
      </w: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合并财务报表范围 截至报告期末，纳入合并财务报表范围的子公司及孙公司共计</w:t>
      </w:r>
      <w:r>
        <w:rPr>
          <w:rFonts w:ascii="Times New Roman" w:hAnsi="Times New Roman" w:cs="Times New Roman" w:eastAsia="Times New Roman" w:hint="default"/>
        </w:rPr>
        <w:t>15</w:t>
      </w:r>
      <w:r>
        <w:rPr/>
        <w:t>家，详见本附注六和附注七。</w:t>
      </w:r>
    </w:p>
    <w:p>
      <w:pPr>
        <w:pStyle w:val="BodyText"/>
        <w:spacing w:line="300" w:lineRule="auto" w:before="13"/>
        <w:ind w:left="513" w:right="323"/>
        <w:jc w:val="left"/>
      </w:pPr>
      <w:r>
        <w:rPr/>
        <w:t>本报告期内，公司因设立，合并报表范围增加全资子公司贵州证通光电有限公司，持股比例为</w:t>
      </w:r>
      <w:r>
        <w:rPr>
          <w:rFonts w:ascii="Times New Roman" w:hAnsi="Times New Roman" w:cs="Times New Roman" w:eastAsia="Times New Roman" w:hint="default"/>
        </w:rPr>
        <w:t>100%</w:t>
      </w:r>
      <w:r>
        <w:rPr/>
        <w:t>。 本报告期内，公司因出资参股设立，合并范围增加控股子公司证通邦客</w:t>
      </w:r>
      <w:r>
        <w:rPr>
          <w:rFonts w:ascii="Times New Roman" w:hAnsi="Times New Roman" w:cs="Times New Roman" w:eastAsia="Times New Roman" w:hint="default"/>
        </w:rPr>
        <w:t>(</w:t>
      </w:r>
      <w:r>
        <w:rPr/>
        <w:t>广州</w:t>
      </w:r>
      <w:r>
        <w:rPr>
          <w:rFonts w:ascii="Times New Roman" w:hAnsi="Times New Roman" w:cs="Times New Roman" w:eastAsia="Times New Roman" w:hint="default"/>
        </w:rPr>
        <w:t>)</w:t>
      </w:r>
      <w:r>
        <w:rPr/>
        <w:t>信息科技有限公司，持股比例为</w:t>
      </w:r>
      <w:r>
        <w:rPr>
          <w:rFonts w:ascii="Times New Roman" w:hAnsi="Times New Roman" w:cs="Times New Roman" w:eastAsia="Times New Roman" w:hint="default"/>
        </w:rPr>
        <w:t>60%</w:t>
      </w:r>
      <w:r>
        <w:rPr/>
        <w:t>。</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151" w:firstLine="360"/>
        <w:jc w:val="both"/>
        <w:rPr>
          <w:rFonts w:ascii="宋体" w:hAnsi="宋体" w:cs="宋体" w:eastAsia="宋体" w:hint="default"/>
        </w:rPr>
      </w:pPr>
      <w:r>
        <w:rPr>
          <w:spacing w:val="-5"/>
        </w:rPr>
        <w:t>本公司财务报表以持续经营假设为基础，根据实际发生的交易和事项，按照财政部发布的《企业会计准则——基本准则》</w:t>
      </w:r>
      <w:r>
        <w:rPr/>
        <w:t> </w:t>
      </w:r>
      <w:r>
        <w:rPr>
          <w:rFonts w:ascii="宋体" w:hAnsi="宋体" w:cs="宋体" w:eastAsia="宋体" w:hint="default"/>
        </w:rPr>
        <w:t>(</w:t>
      </w:r>
      <w:r>
        <w:rPr/>
        <w:t>财政部令第</w:t>
      </w:r>
      <w:r>
        <w:rPr>
          <w:rFonts w:ascii="宋体" w:hAnsi="宋体" w:cs="宋体" w:eastAsia="宋体" w:hint="default"/>
        </w:rPr>
        <w:t>33</w:t>
      </w:r>
      <w:r>
        <w:rPr/>
        <w:t>号发布、财政部令第</w:t>
      </w:r>
      <w:r>
        <w:rPr>
          <w:rFonts w:ascii="宋体" w:hAnsi="宋体" w:cs="宋体" w:eastAsia="宋体" w:hint="default"/>
        </w:rPr>
        <w:t>76</w:t>
      </w:r>
      <w:r>
        <w:rPr/>
        <w:t>号修订</w:t>
      </w:r>
      <w:r>
        <w:rPr>
          <w:rFonts w:ascii="宋体" w:hAnsi="宋体" w:cs="宋体" w:eastAsia="宋体" w:hint="default"/>
        </w:rPr>
        <w:t>)</w:t>
      </w:r>
      <w:r>
        <w:rPr/>
        <w:t>、于</w:t>
      </w:r>
      <w:r>
        <w:rPr>
          <w:rFonts w:ascii="宋体" w:hAnsi="宋体" w:cs="宋体" w:eastAsia="宋体" w:hint="default"/>
        </w:rPr>
        <w:t>2006</w:t>
      </w:r>
      <w:r>
        <w:rPr/>
        <w:t>年</w:t>
      </w:r>
      <w:r>
        <w:rPr>
          <w:rFonts w:ascii="宋体" w:hAnsi="宋体" w:cs="宋体" w:eastAsia="宋体" w:hint="default"/>
        </w:rPr>
        <w:t>2</w:t>
      </w:r>
      <w:r>
        <w:rPr/>
        <w:t>月</w:t>
      </w:r>
      <w:r>
        <w:rPr>
          <w:rFonts w:ascii="宋体" w:hAnsi="宋体" w:cs="宋体" w:eastAsia="宋体" w:hint="default"/>
        </w:rPr>
        <w:t>15</w:t>
      </w:r>
      <w:r>
        <w:rPr/>
        <w:t>日及其后颁布和修订的</w:t>
      </w:r>
      <w:r>
        <w:rPr>
          <w:rFonts w:ascii="宋体" w:hAnsi="宋体" w:cs="宋体" w:eastAsia="宋体" w:hint="default"/>
        </w:rPr>
        <w:t>42</w:t>
      </w:r>
      <w:r>
        <w:rPr/>
        <w:t>项具体会计准则、企业会计准则应 </w:t>
      </w:r>
      <w:r>
        <w:rPr>
          <w:spacing w:val="-2"/>
        </w:rPr>
        <w:t>用指南、企业会计准则解释及其他相关规定</w:t>
      </w:r>
      <w:r>
        <w:rPr>
          <w:rFonts w:ascii="宋体" w:hAnsi="宋体" w:cs="宋体" w:eastAsia="宋体" w:hint="default"/>
          <w:spacing w:val="-2"/>
        </w:rPr>
        <w:t>(</w:t>
      </w:r>
      <w:r>
        <w:rPr>
          <w:spacing w:val="-2"/>
        </w:rPr>
        <w:t>以下合称“企业会计准则”</w:t>
      </w:r>
      <w:r>
        <w:rPr>
          <w:rFonts w:ascii="宋体" w:hAnsi="宋体" w:cs="宋体" w:eastAsia="宋体" w:hint="default"/>
          <w:spacing w:val="-2"/>
        </w:rPr>
        <w:t>)</w:t>
      </w:r>
      <w:r>
        <w:rPr>
          <w:spacing w:val="-2"/>
        </w:rPr>
        <w:t>，以及中国证券监督管理委员会《公开发行证券的</w:t>
      </w:r>
      <w:r>
        <w:rPr>
          <w:spacing w:val="-63"/>
        </w:rPr>
        <w:t> </w:t>
      </w:r>
      <w:r>
        <w:rPr>
          <w:spacing w:val="-63"/>
        </w:rPr>
      </w:r>
      <w:r>
        <w:rPr/>
        <w:t>公司信息披露编报规则第</w:t>
      </w:r>
      <w:r>
        <w:rPr>
          <w:rFonts w:ascii="宋体" w:hAnsi="宋体" w:cs="宋体" w:eastAsia="宋体" w:hint="default"/>
        </w:rPr>
        <w:t>15</w:t>
      </w:r>
      <w:r>
        <w:rPr/>
        <w:t>号——财务报告的一般规定》</w:t>
      </w:r>
      <w:r>
        <w:rPr>
          <w:rFonts w:ascii="宋体" w:hAnsi="宋体" w:cs="宋体" w:eastAsia="宋体" w:hint="default"/>
        </w:rPr>
        <w:t>(2014</w:t>
      </w:r>
      <w:r>
        <w:rPr/>
        <w:t>年修订</w:t>
      </w:r>
      <w:r>
        <w:rPr>
          <w:rFonts w:ascii="宋体" w:hAnsi="宋体" w:cs="宋体" w:eastAsia="宋体" w:hint="default"/>
        </w:rPr>
        <w:t>)</w:t>
      </w:r>
      <w:r>
        <w:rPr/>
        <w:t>的披露规定编制。</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52" w:firstLine="360"/>
        <w:jc w:val="both"/>
        <w:rPr>
          <w:rFonts w:ascii="宋体" w:hAnsi="宋体" w:cs="宋体" w:eastAsia="宋体" w:hint="default"/>
        </w:rPr>
      </w:pPr>
      <w:r>
        <w:rPr>
          <w:spacing w:val="-2"/>
        </w:rPr>
        <w:t>本公司管理层对公司持续经营能力评估后认为公司</w:t>
      </w:r>
      <w:r>
        <w:rPr>
          <w:rFonts w:ascii="宋体" w:hAnsi="宋体" w:cs="宋体" w:eastAsia="宋体" w:hint="default"/>
          <w:spacing w:val="-2"/>
        </w:rPr>
        <w:t>12</w:t>
      </w:r>
      <w:r>
        <w:rPr>
          <w:spacing w:val="-2"/>
        </w:rPr>
        <w:t>个月内能持续经营，不存在可能导致持续经营产生重大疑虑的事项</w:t>
      </w:r>
      <w:r>
        <w:rPr/>
        <w:t> 和情况，本公司财务报表是按照持续经营假设为基础编制的。</w:t>
      </w:r>
      <w:r>
        <w:rPr>
          <w:rFonts w:ascii="宋体" w:hAnsi="宋体" w:cs="宋体" w:eastAsia="宋体" w:hint="default"/>
          <w:spacing w:val="1"/>
        </w:rPr>
        <w:t> </w:t>
      </w:r>
      <w:r>
        <w:rPr>
          <w:rFonts w:ascii="宋体" w:hAnsi="宋体" w:cs="宋体" w:eastAsia="宋体" w:hint="default"/>
        </w:rPr>
        <w:t> </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6714"/>
        <w:jc w:val="left"/>
      </w:pPr>
      <w:r>
        <w:rPr/>
        <w:t>公司是否需要遵守特殊行业的披露要求 否</w:t>
      </w:r>
    </w:p>
    <w:p>
      <w:pPr>
        <w:pStyle w:val="BodyText"/>
        <w:spacing w:line="360" w:lineRule="auto" w:before="25"/>
        <w:ind w:right="7114"/>
        <w:jc w:val="left"/>
      </w:pPr>
      <w:r>
        <w:rPr/>
        <w:t>具体会计政策和会计估计提示：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本公司所编制的财务报表符合企业会计准则的要求，真实、完整地反映了公司的财务状况、经营成果、股东权益。</w:t>
      </w:r>
    </w:p>
    <w:p>
      <w:pPr>
        <w:spacing w:line="240" w:lineRule="auto" w:before="0"/>
        <w:rPr>
          <w:rFonts w:ascii="宋体" w:hAnsi="宋体" w:cs="宋体" w:eastAsia="宋体" w:hint="default"/>
          <w:sz w:val="18"/>
          <w:szCs w:val="18"/>
        </w:rPr>
      </w:pPr>
    </w:p>
    <w:p>
      <w:pPr>
        <w:spacing w:line="544" w:lineRule="auto" w:before="120"/>
        <w:ind w:left="152" w:right="59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04"/>
          <w:sz w:val="21"/>
          <w:szCs w:val="21"/>
        </w:rPr>
        <w:t> </w:t>
      </w:r>
      <w:r>
        <w:rPr>
          <w:rFonts w:ascii="宋体" w:hAnsi="宋体" w:cs="宋体" w:eastAsia="宋体" w:hint="default"/>
          <w:sz w:val="18"/>
          <w:szCs w:val="18"/>
        </w:rPr>
        <w:t>本公司会计年度自公历</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日起至</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日止。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spacing w:line="547" w:lineRule="auto" w:before="49"/>
        <w:ind w:left="152" w:right="7254" w:firstLine="0"/>
        <w:jc w:val="left"/>
        <w:rPr>
          <w:rFonts w:ascii="宋体" w:hAnsi="宋体" w:cs="宋体" w:eastAsia="宋体" w:hint="default"/>
          <w:sz w:val="18"/>
          <w:szCs w:val="18"/>
        </w:rPr>
      </w:pPr>
      <w:r>
        <w:rPr>
          <w:rFonts w:ascii="宋体" w:hAnsi="宋体" w:cs="宋体" w:eastAsia="宋体" w:hint="default"/>
          <w:sz w:val="18"/>
          <w:szCs w:val="18"/>
        </w:rPr>
        <w:t>本公司营业周期为</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spacing w:val="-103"/>
          <w:sz w:val="21"/>
          <w:szCs w:val="21"/>
        </w:rPr>
        <w:t> </w:t>
      </w:r>
      <w:r>
        <w:rPr>
          <w:rFonts w:ascii="宋体" w:hAnsi="宋体" w:cs="宋体" w:eastAsia="宋体" w:hint="default"/>
          <w:sz w:val="18"/>
          <w:szCs w:val="18"/>
        </w:rPr>
        <w:t>本公司以人民币为记账本位币。</w:t>
      </w:r>
    </w:p>
    <w:p>
      <w:pPr>
        <w:spacing w:after="0" w:line="547"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left="513" w:right="0"/>
        <w:jc w:val="left"/>
      </w:pPr>
      <w:r>
        <w:rPr>
          <w:rFonts w:ascii="宋体" w:hAnsi="宋体" w:cs="宋体" w:eastAsia="宋体" w:hint="default"/>
        </w:rPr>
        <w:t>1</w:t>
      </w:r>
      <w:r>
        <w:rPr/>
        <w:t>、同一控制下企业合并</w:t>
      </w:r>
      <w:r>
        <w:rPr>
          <w:rFonts w:ascii="宋体" w:hAnsi="宋体" w:cs="宋体" w:eastAsia="宋体" w:hint="default"/>
        </w:rPr>
        <w:t> </w:t>
      </w:r>
      <w:r>
        <w:rPr>
          <w:spacing w:val="-2"/>
        </w:rPr>
        <w:t>参与合并的企业在合并前后均受同一方或相同的多方最终控制，且该控制并非暂时性的，为同一控制下的企业合并。同</w:t>
      </w:r>
    </w:p>
    <w:p>
      <w:pPr>
        <w:pStyle w:val="BodyText"/>
        <w:spacing w:line="316" w:lineRule="auto" w:before="19"/>
        <w:ind w:right="149"/>
        <w:jc w:val="left"/>
        <w:rPr>
          <w:rFonts w:ascii="宋体" w:hAnsi="宋体" w:cs="宋体" w:eastAsia="宋体" w:hint="default"/>
        </w:rPr>
      </w:pPr>
      <w:r>
        <w:rPr>
          <w:spacing w:val="-5"/>
        </w:rPr>
        <w:t>一控制下的企业合并，在合并日取得对其他参与合并企业控制权的一方为合并方，参与合并的其他企业为被合并方。合并日，</w:t>
      </w:r>
      <w:r>
        <w:rPr>
          <w:spacing w:val="-76"/>
        </w:rPr>
        <w:t> </w:t>
      </w:r>
      <w:r>
        <w:rPr>
          <w:spacing w:val="-76"/>
        </w:rPr>
      </w:r>
      <w:r>
        <w:rPr/>
        <w:t>是指合并方实际取得对被合并方控制权的日期。</w:t>
      </w:r>
      <w:r>
        <w:rPr>
          <w:rFonts w:ascii="宋体" w:hAnsi="宋体" w:cs="宋体" w:eastAsia="宋体" w:hint="default"/>
        </w:rPr>
        <w:t> </w:t>
      </w:r>
    </w:p>
    <w:p>
      <w:pPr>
        <w:pStyle w:val="BodyText"/>
        <w:spacing w:line="316" w:lineRule="auto" w:before="19"/>
        <w:ind w:right="152" w:firstLine="360"/>
        <w:jc w:val="both"/>
        <w:rPr>
          <w:rFonts w:ascii="宋体" w:hAnsi="宋体" w:cs="宋体" w:eastAsia="宋体" w:hint="default"/>
        </w:rPr>
      </w:pPr>
      <w:r>
        <w:rPr>
          <w:spacing w:val="-2"/>
        </w:rPr>
        <w:t>合并方取得的资产和负债均按合并日在被合并方的账面价值计量。合并方取得的净资产账面价值与支付的合并对价账面</w:t>
      </w:r>
      <w:r>
        <w:rPr/>
        <w:t> 价值</w:t>
      </w:r>
      <w:r>
        <w:rPr>
          <w:rFonts w:ascii="宋体" w:hAnsi="宋体" w:cs="宋体" w:eastAsia="宋体" w:hint="default"/>
        </w:rPr>
        <w:t>(</w:t>
      </w:r>
      <w:r>
        <w:rPr/>
        <w:t>或发行股份面值总额</w:t>
      </w:r>
      <w:r>
        <w:rPr>
          <w:rFonts w:ascii="宋体" w:hAnsi="宋体" w:cs="宋体" w:eastAsia="宋体" w:hint="default"/>
        </w:rPr>
        <w:t>)</w:t>
      </w:r>
      <w:r>
        <w:rPr/>
        <w:t>的差额，调整资本公积</w:t>
      </w:r>
      <w:r>
        <w:rPr>
          <w:rFonts w:ascii="宋体" w:hAnsi="宋体" w:cs="宋体" w:eastAsia="宋体" w:hint="default"/>
        </w:rPr>
        <w:t>(</w:t>
      </w:r>
      <w:r>
        <w:rPr/>
        <w:t>股本溢价</w:t>
      </w:r>
      <w:r>
        <w:rPr>
          <w:rFonts w:ascii="宋体" w:hAnsi="宋体" w:cs="宋体" w:eastAsia="宋体" w:hint="default"/>
        </w:rPr>
        <w:t>)</w:t>
      </w:r>
      <w:r>
        <w:rPr/>
        <w:t>；资本公积</w:t>
      </w:r>
      <w:r>
        <w:rPr>
          <w:rFonts w:ascii="宋体" w:hAnsi="宋体" w:cs="宋体" w:eastAsia="宋体" w:hint="default"/>
        </w:rPr>
        <w:t>(</w:t>
      </w:r>
      <w:r>
        <w:rPr/>
        <w:t>股本溢价</w:t>
      </w:r>
      <w:r>
        <w:rPr>
          <w:rFonts w:ascii="宋体" w:hAnsi="宋体" w:cs="宋体" w:eastAsia="宋体" w:hint="default"/>
        </w:rPr>
        <w:t>)</w:t>
      </w:r>
      <w:r>
        <w:rPr/>
        <w:t>不足以冲减的，调整留存收益。</w:t>
      </w:r>
      <w:r>
        <w:rPr>
          <w:rFonts w:ascii="宋体" w:hAnsi="宋体" w:cs="宋体" w:eastAsia="宋体" w:hint="default"/>
        </w:rPr>
        <w:t> </w:t>
      </w:r>
    </w:p>
    <w:p>
      <w:pPr>
        <w:pStyle w:val="BodyText"/>
        <w:spacing w:line="316" w:lineRule="auto" w:before="19"/>
        <w:ind w:left="513" w:right="3654"/>
        <w:jc w:val="left"/>
        <w:rPr>
          <w:rFonts w:ascii="宋体" w:hAnsi="宋体" w:cs="宋体" w:eastAsia="宋体" w:hint="default"/>
        </w:rPr>
      </w:pPr>
      <w:r>
        <w:rPr/>
        <w:t>合并方为进行企业合并发生的各项直接费用，于发生时计入当期损益。</w:t>
      </w:r>
      <w:r>
        <w:rPr>
          <w:rFonts w:ascii="宋体" w:hAnsi="宋体" w:cs="宋体" w:eastAsia="宋体" w:hint="default"/>
        </w:rPr>
        <w:t> 2</w:t>
      </w:r>
      <w:r>
        <w:rPr/>
        <w:t>、非同一控制下企业合并</w:t>
      </w:r>
      <w:r>
        <w:rPr>
          <w:rFonts w:ascii="宋体" w:hAnsi="宋体" w:cs="宋体" w:eastAsia="宋体" w:hint="default"/>
        </w:rPr>
        <w:t> </w:t>
      </w:r>
    </w:p>
    <w:p>
      <w:pPr>
        <w:pStyle w:val="BodyText"/>
        <w:spacing w:line="316" w:lineRule="auto" w:before="19"/>
        <w:ind w:right="151" w:firstLine="360"/>
        <w:jc w:val="both"/>
        <w:rPr>
          <w:rFonts w:ascii="宋体" w:hAnsi="宋体" w:cs="宋体" w:eastAsia="宋体" w:hint="default"/>
        </w:rPr>
      </w:pPr>
      <w:r>
        <w:rPr>
          <w:spacing w:val="-2"/>
        </w:rPr>
        <w:t>参与合并的企业在合并前后不受同一方或相同的多方最终控制的，为非同一控制下的企业合并。非同一控制下的企业合</w:t>
      </w:r>
      <w:r>
        <w:rPr/>
        <w:t> </w:t>
      </w:r>
      <w:r>
        <w:rPr>
          <w:spacing w:val="-2"/>
        </w:rPr>
        <w:t>并，在购买日取得对其他参与合并企业控制权的一方为购买方，参与合并的其他企业为被购买方。购买日，是指为购买方实</w:t>
      </w:r>
      <w:r>
        <w:rPr>
          <w:spacing w:val="-64"/>
        </w:rPr>
        <w:t> </w:t>
      </w:r>
      <w:r>
        <w:rPr>
          <w:spacing w:val="-64"/>
        </w:rPr>
      </w:r>
      <w:r>
        <w:rPr/>
        <w:t>际取得对被购买方控制权的日期。</w:t>
      </w:r>
      <w:r>
        <w:rPr>
          <w:rFonts w:ascii="宋体" w:hAnsi="宋体" w:cs="宋体" w:eastAsia="宋体" w:hint="default"/>
        </w:rPr>
        <w:t> </w:t>
      </w:r>
    </w:p>
    <w:p>
      <w:pPr>
        <w:pStyle w:val="BodyText"/>
        <w:spacing w:line="316" w:lineRule="auto" w:before="19"/>
        <w:ind w:right="151" w:firstLine="360"/>
        <w:jc w:val="both"/>
        <w:rPr>
          <w:rFonts w:ascii="宋体" w:hAnsi="宋体" w:cs="宋体" w:eastAsia="宋体" w:hint="default"/>
        </w:rPr>
      </w:pPr>
      <w:r>
        <w:rPr>
          <w:spacing w:val="-2"/>
        </w:rPr>
        <w:t>对于非同一控制下的企业合并，合并成本包含购买日购买方为取得对被购买方的控制权而付出的资产、发生或承担的负</w:t>
      </w:r>
      <w:r>
        <w:rPr/>
        <w:t> </w:t>
      </w:r>
      <w:r>
        <w:rPr>
          <w:spacing w:val="-2"/>
        </w:rPr>
        <w:t>债以及发行的权益性证券的公允价值，为企业合并发生的审计、法律服务、评估咨询等中介费用以及其他管理费用于发生时</w:t>
      </w:r>
      <w:r>
        <w:rPr>
          <w:spacing w:val="-65"/>
        </w:rPr>
        <w:t> </w:t>
      </w:r>
      <w:r>
        <w:rPr>
          <w:spacing w:val="-65"/>
        </w:rPr>
      </w:r>
      <w:r>
        <w:rPr>
          <w:spacing w:val="-2"/>
        </w:rPr>
        <w:t>计入当期损益。购买方作为合并对价发行的权益性证券或债务性证券的交易费用，计入权益性证券或债务性证券的初始确认</w:t>
      </w:r>
      <w:r>
        <w:rPr>
          <w:spacing w:val="-64"/>
        </w:rPr>
        <w:t> </w:t>
      </w:r>
      <w:r>
        <w:rPr>
          <w:spacing w:val="-64"/>
        </w:rPr>
      </w:r>
      <w:r>
        <w:rPr>
          <w:spacing w:val="-2"/>
        </w:rPr>
        <w:t>金额。所涉及的或有对价按其在购买日的公允价值计入合并成本，购买日后</w:t>
      </w:r>
      <w:r>
        <w:rPr>
          <w:rFonts w:ascii="宋体" w:hAnsi="宋体" w:cs="宋体" w:eastAsia="宋体" w:hint="default"/>
          <w:spacing w:val="-2"/>
        </w:rPr>
        <w:t>12</w:t>
      </w:r>
      <w:r>
        <w:rPr>
          <w:spacing w:val="-2"/>
        </w:rPr>
        <w:t>个月内出现对购买日已存在情况的新的或进一</w:t>
      </w:r>
      <w:r>
        <w:rPr>
          <w:spacing w:val="-62"/>
        </w:rPr>
        <w:t> </w:t>
      </w:r>
      <w:r>
        <w:rPr>
          <w:spacing w:val="-62"/>
        </w:rPr>
      </w:r>
      <w:r>
        <w:rPr>
          <w:spacing w:val="-2"/>
        </w:rPr>
        <w:t>步证据而需要调整或有对价的，相应调整合并商誉。购买方发生的合并成本及在合并中取得的可辨认净资产按购买日的公允</w:t>
      </w:r>
      <w:r>
        <w:rPr>
          <w:spacing w:val="-64"/>
        </w:rPr>
        <w:t> </w:t>
      </w:r>
      <w:r>
        <w:rPr>
          <w:spacing w:val="-64"/>
        </w:rPr>
      </w:r>
      <w:r>
        <w:rPr>
          <w:spacing w:val="-2"/>
        </w:rPr>
        <w:t>价值计量。合并成本大于合并中取得的被购买方于购买日可辨认净资产公允价值份额的差额，确认为商誉。合并成本小于合</w:t>
      </w:r>
      <w:r>
        <w:rPr>
          <w:spacing w:val="-66"/>
        </w:rPr>
        <w:t> </w:t>
      </w:r>
      <w:r>
        <w:rPr>
          <w:spacing w:val="-66"/>
        </w:rPr>
      </w:r>
      <w:r>
        <w:rPr>
          <w:spacing w:val="-2"/>
        </w:rPr>
        <w:t>并中取得的被购买方可辨认净资产公允价值份额的，首先对取得的被购买方各项可辨认资产、负债及或有负债的公允价值以</w:t>
      </w:r>
      <w:r>
        <w:rPr>
          <w:spacing w:val="-64"/>
        </w:rPr>
        <w:t> </w:t>
      </w:r>
      <w:r>
        <w:rPr>
          <w:spacing w:val="-64"/>
        </w:rPr>
      </w:r>
      <w:r>
        <w:rPr>
          <w:spacing w:val="-2"/>
        </w:rPr>
        <w:t>及合并成本的计量进行复核，复核后合并成本仍小于合并中取得的被购买方可辨认净资产公允价值份额的，其差额计入当期</w:t>
      </w:r>
      <w:r>
        <w:rPr>
          <w:spacing w:val="-64"/>
        </w:rPr>
        <w:t> </w:t>
      </w:r>
      <w:r>
        <w:rPr>
          <w:spacing w:val="-64"/>
        </w:rPr>
      </w:r>
      <w:r>
        <w:rPr/>
        <w:t>损益。</w:t>
      </w:r>
      <w:r>
        <w:rPr>
          <w:rFonts w:ascii="宋体" w:hAnsi="宋体" w:cs="宋体" w:eastAsia="宋体" w:hint="default"/>
        </w:rPr>
        <w:t> </w:t>
      </w:r>
    </w:p>
    <w:p>
      <w:pPr>
        <w:pStyle w:val="BodyText"/>
        <w:spacing w:line="319" w:lineRule="auto" w:before="19"/>
        <w:ind w:right="0" w:firstLine="360"/>
        <w:jc w:val="left"/>
        <w:rPr>
          <w:rFonts w:ascii="宋体" w:hAnsi="宋体" w:cs="宋体" w:eastAsia="宋体" w:hint="default"/>
        </w:rPr>
      </w:pPr>
      <w:r>
        <w:rPr/>
        <w:t>购买方取得被购买方的可抵扣暂时性差异，在购买日因不符合递延所得税资产确认条件而未予确认的，在购买日后</w:t>
      </w:r>
      <w:r>
        <w:rPr>
          <w:rFonts w:ascii="宋体" w:hAnsi="宋体" w:cs="宋体" w:eastAsia="宋体" w:hint="default"/>
        </w:rPr>
        <w:t>12</w:t>
      </w:r>
      <w:r>
        <w:rPr>
          <w:rFonts w:ascii="宋体" w:hAnsi="宋体" w:cs="宋体" w:eastAsia="宋体" w:hint="default"/>
          <w:spacing w:val="1"/>
        </w:rPr>
        <w:t> </w:t>
      </w:r>
      <w:r>
        <w:rPr>
          <w:spacing w:val="-2"/>
        </w:rPr>
        <w:t>个月内，如取得新的或进一步的信息表明购买日的相关情况已经存在，预期被购买方在购买日可抵扣暂时性差异带来的经济</w:t>
      </w:r>
      <w:r>
        <w:rPr>
          <w:spacing w:val="-64"/>
        </w:rPr>
        <w:t> </w:t>
      </w:r>
      <w:r>
        <w:rPr>
          <w:spacing w:val="-64"/>
        </w:rPr>
      </w:r>
      <w:r>
        <w:rPr>
          <w:spacing w:val="-2"/>
        </w:rPr>
        <w:t>利益能够实现的，则确认相关的递延所得税资产，同时减少商誉，商誉不足冲减的，差额部分确认为当期损益；除上述情况</w:t>
      </w:r>
      <w:r>
        <w:rPr>
          <w:spacing w:val="-66"/>
        </w:rPr>
        <w:t> </w:t>
      </w:r>
      <w:r>
        <w:rPr>
          <w:spacing w:val="-66"/>
        </w:rPr>
      </w:r>
      <w:r>
        <w:rPr/>
        <w:t>以外，确认与企业合并相关的递延所得税资产的，计入当期损益。</w:t>
      </w:r>
      <w:r>
        <w:rPr>
          <w:rFonts w:ascii="宋体" w:hAnsi="宋体" w:cs="宋体" w:eastAsia="宋体" w:hint="default"/>
        </w:rPr>
        <w:t> </w:t>
      </w:r>
    </w:p>
    <w:p>
      <w:pPr>
        <w:pStyle w:val="BodyText"/>
        <w:spacing w:line="316" w:lineRule="auto" w:before="17"/>
        <w:ind w:right="148" w:firstLine="360"/>
        <w:jc w:val="both"/>
        <w:rPr>
          <w:rFonts w:ascii="宋体" w:hAnsi="宋体" w:cs="宋体" w:eastAsia="宋体" w:hint="default"/>
        </w:rPr>
      </w:pPr>
      <w:r>
        <w:rPr>
          <w:spacing w:val="-5"/>
        </w:rPr>
        <w:t>通过多次交易分步实现的非同一控制下企业合并，根据《财政部关于印发企业会计准则解释第</w:t>
      </w:r>
      <w:r>
        <w:rPr>
          <w:rFonts w:ascii="宋体" w:hAnsi="宋体" w:cs="宋体" w:eastAsia="宋体" w:hint="default"/>
          <w:spacing w:val="-5"/>
        </w:rPr>
        <w:t>5</w:t>
      </w:r>
      <w:r>
        <w:rPr>
          <w:spacing w:val="-5"/>
        </w:rPr>
        <w:t>号的通知》</w:t>
      </w:r>
      <w:r>
        <w:rPr>
          <w:rFonts w:ascii="宋体" w:hAnsi="宋体" w:cs="宋体" w:eastAsia="宋体" w:hint="default"/>
          <w:spacing w:val="-5"/>
        </w:rPr>
        <w:t>(</w:t>
      </w:r>
      <w:r>
        <w:rPr>
          <w:spacing w:val="-5"/>
        </w:rPr>
        <w:t>财会〔</w:t>
      </w:r>
      <w:r>
        <w:rPr>
          <w:rFonts w:ascii="宋体" w:hAnsi="宋体" w:cs="宋体" w:eastAsia="宋体" w:hint="default"/>
          <w:spacing w:val="-5"/>
        </w:rPr>
        <w:t>2012</w:t>
      </w:r>
      <w:r>
        <w:rPr>
          <w:spacing w:val="-5"/>
        </w:rPr>
        <w:t>〕</w:t>
      </w:r>
      <w:r>
        <w:rPr/>
        <w:t> </w:t>
      </w:r>
      <w:r>
        <w:rPr>
          <w:rFonts w:ascii="宋体" w:hAnsi="宋体" w:cs="宋体" w:eastAsia="宋体" w:hint="default"/>
          <w:spacing w:val="-2"/>
        </w:rPr>
        <w:t>19</w:t>
      </w:r>
      <w:r>
        <w:rPr>
          <w:spacing w:val="-2"/>
        </w:rPr>
        <w:t>号</w:t>
      </w:r>
      <w:r>
        <w:rPr>
          <w:rFonts w:ascii="宋体" w:hAnsi="宋体" w:cs="宋体" w:eastAsia="宋体" w:hint="default"/>
          <w:spacing w:val="-2"/>
        </w:rPr>
        <w:t>)</w:t>
      </w:r>
      <w:r>
        <w:rPr>
          <w:spacing w:val="-2"/>
        </w:rPr>
        <w:t>和《企业会计准则第</w:t>
      </w:r>
      <w:r>
        <w:rPr>
          <w:rFonts w:ascii="宋体" w:hAnsi="宋体" w:cs="宋体" w:eastAsia="宋体" w:hint="default"/>
          <w:spacing w:val="-2"/>
        </w:rPr>
        <w:t>33</w:t>
      </w:r>
      <w:r>
        <w:rPr>
          <w:spacing w:val="-2"/>
        </w:rPr>
        <w:t>号——合并财务报表》第五十一条关于“一揽子交易”的判断标准</w:t>
      </w:r>
      <w:r>
        <w:rPr>
          <w:rFonts w:ascii="宋体" w:hAnsi="宋体" w:cs="宋体" w:eastAsia="宋体" w:hint="default"/>
          <w:spacing w:val="-2"/>
        </w:rPr>
        <w:t>(</w:t>
      </w:r>
      <w:r>
        <w:rPr>
          <w:spacing w:val="-2"/>
        </w:rPr>
        <w:t>参见本附注三、</w:t>
      </w:r>
      <w:r>
        <w:rPr>
          <w:rFonts w:ascii="宋体" w:hAnsi="宋体" w:cs="宋体" w:eastAsia="宋体" w:hint="default"/>
          <w:spacing w:val="-2"/>
        </w:rPr>
        <w:t>(</w:t>
      </w:r>
      <w:r>
        <w:rPr>
          <w:spacing w:val="-2"/>
        </w:rPr>
        <w:t>五</w:t>
      </w:r>
      <w:r>
        <w:rPr>
          <w:rFonts w:ascii="宋体" w:hAnsi="宋体" w:cs="宋体" w:eastAsia="宋体" w:hint="default"/>
          <w:spacing w:val="-2"/>
        </w:rPr>
        <w:t>)2)</w:t>
      </w:r>
      <w:r>
        <w:rPr>
          <w:spacing w:val="-2"/>
        </w:rPr>
        <w:t>，判</w:t>
      </w:r>
      <w:r>
        <w:rPr>
          <w:spacing w:val="-77"/>
        </w:rPr>
        <w:t> </w:t>
      </w:r>
      <w:r>
        <w:rPr>
          <w:spacing w:val="-2"/>
        </w:rPr>
        <w:t>断该多次交易是否属于“一揽子交易”。属于“一揽子交易”的，参考本部分前面各段描述及本附注三、</w:t>
      </w:r>
      <w:r>
        <w:rPr>
          <w:rFonts w:ascii="宋体" w:hAnsi="宋体" w:cs="宋体" w:eastAsia="宋体" w:hint="default"/>
          <w:spacing w:val="-2"/>
        </w:rPr>
        <w:t>(</w:t>
      </w:r>
      <w:r>
        <w:rPr>
          <w:spacing w:val="-2"/>
        </w:rPr>
        <w:t>十四</w:t>
      </w:r>
      <w:r>
        <w:rPr>
          <w:rFonts w:ascii="宋体" w:hAnsi="宋体" w:cs="宋体" w:eastAsia="宋体" w:hint="default"/>
          <w:spacing w:val="-2"/>
        </w:rPr>
        <w:t>)</w:t>
      </w:r>
      <w:r>
        <w:rPr>
          <w:spacing w:val="-2"/>
        </w:rPr>
        <w:t>“长期股权</w:t>
      </w:r>
      <w:r>
        <w:rPr>
          <w:spacing w:val="-63"/>
        </w:rPr>
        <w:t> </w:t>
      </w:r>
      <w:r>
        <w:rPr>
          <w:spacing w:val="-63"/>
        </w:rPr>
      </w:r>
      <w:r>
        <w:rPr/>
        <w:t>投资”准则进行会计处理；不属于“一揽子交易”的，区分个别财务报表和合并财务报表进行相关会计处理：</w:t>
      </w:r>
      <w:r>
        <w:rPr>
          <w:rFonts w:ascii="宋体" w:hAnsi="宋体" w:cs="宋体" w:eastAsia="宋体" w:hint="default"/>
        </w:rPr>
        <w:t> </w:t>
      </w:r>
    </w:p>
    <w:p>
      <w:pPr>
        <w:pStyle w:val="BodyText"/>
        <w:spacing w:line="316" w:lineRule="auto" w:before="19"/>
        <w:ind w:right="152" w:firstLine="360"/>
        <w:jc w:val="both"/>
        <w:rPr>
          <w:rFonts w:ascii="宋体" w:hAnsi="宋体" w:cs="宋体" w:eastAsia="宋体" w:hint="default"/>
        </w:rPr>
      </w:pPr>
      <w:r>
        <w:rPr>
          <w:spacing w:val="-2"/>
        </w:rPr>
        <w:t>在个别财务报表中，以购买日之前所持被购买方的股权投资的账面价值与购买日新增投资成本之和，作为该项投资的初</w:t>
      </w:r>
      <w:r>
        <w:rPr/>
        <w:t> </w:t>
      </w:r>
      <w:r>
        <w:rPr>
          <w:spacing w:val="-2"/>
        </w:rPr>
        <w:t>始投资成本；购买日之前持有的被购买方的股权涉及其他综合收益的，在处置该项投资时将与其相关的其他综合收益采用与</w:t>
      </w:r>
      <w:r>
        <w:rPr>
          <w:spacing w:val="-64"/>
        </w:rPr>
        <w:t> </w:t>
      </w:r>
      <w:r>
        <w:rPr>
          <w:spacing w:val="-64"/>
        </w:rPr>
      </w:r>
      <w:r>
        <w:rPr/>
        <w:t>被购买方直接处置相关资产或负债相同的基础进行会计处理</w:t>
      </w:r>
      <w:r>
        <w:rPr>
          <w:rFonts w:ascii="宋体" w:hAnsi="宋体" w:cs="宋体" w:eastAsia="宋体" w:hint="default"/>
        </w:rPr>
        <w:t>(</w:t>
      </w:r>
      <w:r>
        <w:rPr/>
        <w:t>即，除了按照权益法核算的在被购买方重新计量设定受益计划 净负债或净资产导致的变动中的相应份额以外，其余转入当期投资收益</w:t>
      </w:r>
      <w:r>
        <w:rPr>
          <w:rFonts w:ascii="宋体" w:hAnsi="宋体" w:cs="宋体" w:eastAsia="宋体" w:hint="default"/>
        </w:rPr>
        <w:t>)</w:t>
      </w:r>
      <w:r>
        <w:rPr/>
        <w:t>。</w:t>
      </w:r>
      <w:r>
        <w:rPr>
          <w:rFonts w:ascii="宋体" w:hAnsi="宋体" w:cs="宋体" w:eastAsia="宋体" w:hint="default"/>
        </w:rPr>
        <w:t> </w:t>
      </w:r>
    </w:p>
    <w:p>
      <w:pPr>
        <w:pStyle w:val="BodyText"/>
        <w:spacing w:line="316" w:lineRule="auto" w:before="19"/>
        <w:ind w:right="150" w:firstLine="360"/>
        <w:jc w:val="both"/>
        <w:rPr>
          <w:rFonts w:ascii="宋体" w:hAnsi="宋体" w:cs="宋体" w:eastAsia="宋体" w:hint="default"/>
        </w:rPr>
      </w:pPr>
      <w:r>
        <w:rPr>
          <w:spacing w:val="-2"/>
        </w:rPr>
        <w:t>在合并财务报表中，对于购买日之前持有的被购买方的股权，按照该股权在购买日的公允价值进行重新计量，公允价值</w:t>
      </w:r>
      <w:r>
        <w:rPr/>
        <w:t> </w:t>
      </w:r>
      <w:r>
        <w:rPr>
          <w:spacing w:val="-2"/>
        </w:rPr>
        <w:t>与其账面价值的差额计入当期投资收益；购买日之前持有的被购买方的股权涉及其他综合收益的，与其相关的其他综合收益</w:t>
      </w:r>
      <w:r>
        <w:rPr>
          <w:spacing w:val="-64"/>
        </w:rPr>
        <w:t> </w:t>
      </w:r>
      <w:r>
        <w:rPr>
          <w:spacing w:val="-64"/>
        </w:rPr>
      </w:r>
      <w:r>
        <w:rPr/>
        <w:t>应当采用与被购买方直接处置相关资产或负债相同的基础进行会计处理</w:t>
      </w:r>
      <w:r>
        <w:rPr>
          <w:rFonts w:ascii="宋体" w:hAnsi="宋体" w:cs="宋体" w:eastAsia="宋体" w:hint="default"/>
        </w:rPr>
        <w:t>(</w:t>
      </w:r>
      <w:r>
        <w:rPr/>
        <w:t>即，除了按照权益法核算的在被购买方重新计量设 定受益计划净负债或净资产导致的变动中的相应份额以外，其余转为购买日所属当期投资收益</w:t>
      </w:r>
      <w:r>
        <w:rPr>
          <w:rFonts w:ascii="宋体" w:hAnsi="宋体" w:cs="宋体" w:eastAsia="宋体" w:hint="default"/>
        </w:rPr>
        <w:t>)</w:t>
      </w:r>
      <w:r>
        <w:rPr/>
        <w:t>。</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0"/>
        <w:jc w:val="left"/>
      </w:pPr>
      <w:r>
        <w:rPr>
          <w:rFonts w:ascii="Times New Roman" w:hAnsi="Times New Roman" w:cs="Times New Roman" w:eastAsia="Times New Roman" w:hint="default"/>
        </w:rPr>
        <w:t>1</w:t>
      </w:r>
      <w:r>
        <w:rPr/>
        <w:t>、合并财务报表范围的确定原则 </w:t>
      </w:r>
      <w:r>
        <w:rPr>
          <w:spacing w:val="-2"/>
        </w:rPr>
        <w:t>合并财务报表的合并范围以控制为基础予以确定。控制是指本公司拥有对被投资方的权力，通过参与被投资方的相关活</w:t>
      </w:r>
    </w:p>
    <w:p>
      <w:pPr>
        <w:pStyle w:val="BodyText"/>
        <w:spacing w:line="240" w:lineRule="auto" w:before="31"/>
        <w:ind w:right="0"/>
        <w:jc w:val="left"/>
      </w:pPr>
      <w:r>
        <w:rPr/>
        <w:t>动而享有可变回报，并且有能力运用对被投资方的权力影响其回报金额。相关活动是指对被投资方的回报产生重大影响的活</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2" w:lineRule="auto" w:before="44"/>
        <w:ind w:left="513" w:right="178" w:hanging="361"/>
        <w:jc w:val="left"/>
      </w:pPr>
      <w:r>
        <w:rPr/>
        <w:t>动。合并范围包括本公司及全部子公司。子公司，是指被本公司控制的企业或主体。 一旦相关事实和情况的变化导致上述控制定义涉及的相关要素发生了变化，本公司将进行重新评估。 </w:t>
      </w:r>
      <w:r>
        <w:rPr>
          <w:rFonts w:ascii="Times New Roman" w:hAnsi="Times New Roman" w:cs="Times New Roman" w:eastAsia="Times New Roman" w:hint="default"/>
        </w:rPr>
        <w:t>2</w:t>
      </w:r>
      <w:r>
        <w:rPr/>
        <w:t>、合并财务报表编制的方法 </w:t>
      </w:r>
      <w:r>
        <w:rPr>
          <w:spacing w:val="-2"/>
        </w:rPr>
        <w:t>从取得子公司的净资产和生产经营决策的实际控制权之日起，本公司开始将其纳入合并范围；从丧失实际控制权之日起</w:t>
      </w:r>
    </w:p>
    <w:p>
      <w:pPr>
        <w:pStyle w:val="BodyText"/>
        <w:spacing w:line="316" w:lineRule="auto" w:before="22"/>
        <w:ind w:right="93"/>
        <w:jc w:val="left"/>
      </w:pPr>
      <w:r>
        <w:rPr>
          <w:spacing w:val="-4"/>
        </w:rPr>
        <w:t>停止纳入合并范围。对于处置的子公司，处置日前的经营成果和现金流量已经适当地包括在合并利润表和合并现金流量表中；</w:t>
      </w:r>
      <w:r>
        <w:rPr>
          <w:spacing w:val="-44"/>
        </w:rPr>
        <w:t> </w:t>
      </w:r>
      <w:r>
        <w:rPr>
          <w:spacing w:val="-44"/>
        </w:rPr>
      </w:r>
      <w:r>
        <w:rPr>
          <w:spacing w:val="-2"/>
        </w:rPr>
        <w:t>当期处置的子公司，不调整合并资产负债表的期初数。非同一控制下企业合并增加的子公司，其购买日后的经营成果及现金</w:t>
      </w:r>
      <w:r>
        <w:rPr>
          <w:spacing w:val="-63"/>
        </w:rPr>
        <w:t> </w:t>
      </w:r>
      <w:r>
        <w:rPr>
          <w:spacing w:val="-63"/>
        </w:rPr>
      </w:r>
      <w:r>
        <w:rPr>
          <w:spacing w:val="-2"/>
        </w:rPr>
        <w:t>流量已经适当地包括在合并利润表和合并现金流量表中，且不调整合并财务报表的期初数和对比数。同一控制下企业合并增</w:t>
      </w:r>
      <w:r>
        <w:rPr>
          <w:spacing w:val="-64"/>
        </w:rPr>
        <w:t> </w:t>
      </w:r>
      <w:r>
        <w:rPr>
          <w:spacing w:val="-64"/>
        </w:rPr>
      </w:r>
      <w:r>
        <w:rPr>
          <w:spacing w:val="-2"/>
        </w:rPr>
        <w:t>加的子公司，其自合并当期期初至合并日的经营成果和现金流量已经适当地包括在合并利润表和合并现金流量表中，并且同</w:t>
      </w:r>
      <w:r>
        <w:rPr>
          <w:spacing w:val="-63"/>
        </w:rPr>
        <w:t> </w:t>
      </w:r>
      <w:r>
        <w:rPr>
          <w:spacing w:val="-63"/>
        </w:rPr>
      </w:r>
      <w:r>
        <w:rPr/>
        <w:t>时调整合并财务报表的对比数。</w:t>
      </w:r>
    </w:p>
    <w:p>
      <w:pPr>
        <w:pStyle w:val="BodyText"/>
        <w:spacing w:line="316" w:lineRule="auto" w:before="19"/>
        <w:ind w:right="192" w:firstLine="360"/>
        <w:jc w:val="both"/>
      </w:pPr>
      <w:r>
        <w:rPr>
          <w:spacing w:val="-2"/>
        </w:rPr>
        <w:t>在编制合并财务报表时，子公司与本公司采用的会计政策或会计期间不一致的，按照本公司的会计政策和会计期间对子</w:t>
      </w:r>
      <w:r>
        <w:rPr/>
        <w:t> </w:t>
      </w:r>
      <w:r>
        <w:rPr>
          <w:spacing w:val="-2"/>
        </w:rPr>
        <w:t>公司财务报表进行必要的调整。对于非同一控制下企业合并取得的子公司，以购买日可辨认净资产公允价值为基础对其财务</w:t>
      </w:r>
      <w:r>
        <w:rPr>
          <w:spacing w:val="-64"/>
        </w:rPr>
        <w:t> </w:t>
      </w:r>
      <w:r>
        <w:rPr>
          <w:spacing w:val="-64"/>
        </w:rPr>
      </w:r>
      <w:r>
        <w:rPr/>
        <w:t>报表进行调整。</w:t>
      </w:r>
    </w:p>
    <w:p>
      <w:pPr>
        <w:pStyle w:val="BodyText"/>
        <w:spacing w:line="319" w:lineRule="auto" w:before="19"/>
        <w:ind w:left="513" w:right="273"/>
        <w:jc w:val="left"/>
      </w:pPr>
      <w:r>
        <w:rPr/>
        <w:t>公司内所有重大往来余额、交易及未实现利润在合并财务报表编制时予以抵销 子公司的股东权益及当期净损益中不属于本公司所拥有的部分分别作为少数股东权益及少数股东损益在合并财务报表</w:t>
      </w:r>
    </w:p>
    <w:p>
      <w:pPr>
        <w:pStyle w:val="BodyText"/>
        <w:spacing w:line="300" w:lineRule="auto" w:before="17"/>
        <w:ind w:right="210"/>
        <w:jc w:val="both"/>
      </w:pPr>
      <w:r>
        <w:rPr/>
        <w:t>中股东权益及净利润项下单独列示。子公司当期净损益中属于少数股东权益的份额，在合并利润表中净利润项目下以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 股东损益</w:t>
      </w:r>
      <w:r>
        <w:rPr>
          <w:rFonts w:ascii="Times New Roman" w:hAnsi="Times New Roman" w:cs="Times New Roman" w:eastAsia="Times New Roman" w:hint="default"/>
        </w:rPr>
        <w:t>”</w:t>
      </w:r>
      <w:r>
        <w:rPr/>
        <w:t>项目列示。少数股东分担的子公司的亏损超过了少数股东在该子公司期初股东权益中所享有的份额，仍冲减少数 股东权益。</w:t>
      </w:r>
    </w:p>
    <w:p>
      <w:pPr>
        <w:pStyle w:val="BodyText"/>
        <w:spacing w:line="309" w:lineRule="auto" w:before="31"/>
        <w:ind w:right="179" w:firstLine="360"/>
        <w:jc w:val="left"/>
      </w:pPr>
      <w:r>
        <w:rPr>
          <w:spacing w:val="-2"/>
        </w:rPr>
        <w:t>当因处置部分股权投资或其他原因丧失了对原有子公司的控制权时，对于剩余股权，按照其在丧失控制权日的公允价值</w:t>
      </w:r>
      <w:r>
        <w:rPr/>
        <w:t> </w:t>
      </w:r>
      <w:r>
        <w:rPr>
          <w:spacing w:val="-2"/>
        </w:rPr>
        <w:t>进行重新计量。处置股权取得的对价与剩余股权公允价值之和，减去按原持股比例计算应享有原有子公司自购买日开始持续</w:t>
      </w:r>
      <w:r>
        <w:rPr>
          <w:spacing w:val="-64"/>
        </w:rPr>
        <w:t> </w:t>
      </w:r>
      <w:r>
        <w:rPr>
          <w:spacing w:val="-64"/>
        </w:rPr>
      </w:r>
      <w:r>
        <w:rPr>
          <w:spacing w:val="-2"/>
        </w:rPr>
        <w:t>计算的净资产的份额之间的差额，计入丧失控制权当期的投资收益。与原有子公司股权投资相关的其他综合收益，在丧失控</w:t>
      </w:r>
      <w:r>
        <w:rPr>
          <w:spacing w:val="-63"/>
        </w:rPr>
        <w:t> </w:t>
      </w:r>
      <w:r>
        <w:rPr>
          <w:spacing w:val="-63"/>
        </w:rPr>
      </w:r>
      <w:r>
        <w:rPr/>
        <w:t>制权时采用与被购买方直接处置相关资产或负债相同的基础进行会计处理</w:t>
      </w:r>
      <w:r>
        <w:rPr>
          <w:rFonts w:ascii="Times New Roman" w:hAnsi="Times New Roman" w:cs="Times New Roman" w:eastAsia="Times New Roman" w:hint="default"/>
        </w:rPr>
        <w:t>(</w:t>
      </w:r>
      <w:r>
        <w:rPr/>
        <w:t>即，除了在该原有子公司重新计量设定受益计划 </w:t>
      </w:r>
      <w:r>
        <w:rPr>
          <w:spacing w:val="-1"/>
        </w:rPr>
        <w:t>净负债或净资产导致的变动以外，其余一并转为当期投资收益</w:t>
      </w:r>
      <w:r>
        <w:rPr>
          <w:rFonts w:ascii="Times New Roman" w:hAnsi="Times New Roman" w:cs="Times New Roman" w:eastAsia="Times New Roman" w:hint="default"/>
          <w:spacing w:val="-1"/>
        </w:rPr>
        <w:t>)</w:t>
      </w:r>
      <w:r>
        <w:rPr>
          <w:spacing w:val="-1"/>
        </w:rPr>
        <w:t>。其后，对该部分剩余股权按照《企业会计准则第</w:t>
      </w:r>
      <w:r>
        <w:rPr>
          <w:rFonts w:ascii="Times New Roman" w:hAnsi="Times New Roman" w:cs="Times New Roman" w:eastAsia="Times New Roman" w:hint="default"/>
          <w:spacing w:val="-1"/>
        </w:rPr>
        <w:t>2</w:t>
      </w:r>
      <w:r>
        <w:rPr>
          <w:spacing w:val="-1"/>
        </w:rPr>
        <w:t>号</w:t>
      </w:r>
      <w:r>
        <w:rPr>
          <w:rFonts w:ascii="Times New Roman" w:hAnsi="Times New Roman" w:cs="Times New Roman" w:eastAsia="Times New Roman" w:hint="default"/>
          <w:spacing w:val="-1"/>
        </w:rPr>
        <w:t>——</w:t>
      </w:r>
      <w:r>
        <w:rPr>
          <w:spacing w:val="-1"/>
        </w:rPr>
        <w:t>长</w:t>
      </w:r>
      <w:r>
        <w:rPr/>
        <w:t> 期股权投资》或《企业会计准则第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金融工具确认和计量》等相关规定进行后续计量，详见本附注三、</w:t>
      </w: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t>长期 股权投资</w:t>
      </w:r>
      <w:r>
        <w:rPr>
          <w:rFonts w:ascii="Times New Roman" w:hAnsi="Times New Roman" w:cs="Times New Roman" w:eastAsia="Times New Roman" w:hint="default"/>
        </w:rPr>
        <w:t>”</w:t>
      </w:r>
      <w:r>
        <w:rPr/>
        <w:t>或本附注三、</w:t>
      </w: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t>金融工具</w:t>
      </w:r>
      <w:r>
        <w:rPr>
          <w:rFonts w:ascii="Times New Roman" w:hAnsi="Times New Roman" w:cs="Times New Roman" w:eastAsia="Times New Roman" w:hint="default"/>
        </w:rPr>
        <w:t>”</w:t>
      </w:r>
      <w:r>
        <w:rPr/>
        <w:t>。</w:t>
      </w:r>
    </w:p>
    <w:p>
      <w:pPr>
        <w:pStyle w:val="BodyText"/>
        <w:spacing w:line="307" w:lineRule="auto" w:before="5"/>
        <w:ind w:right="178" w:firstLine="360"/>
        <w:jc w:val="left"/>
      </w:pPr>
      <w:r>
        <w:rPr>
          <w:spacing w:val="-2"/>
        </w:rPr>
        <w:t>本公司通过多次交易分步处置对子公司股权投资直至丧失控制权的，需区分处置对子公司股权投资直至丧失控制权的各</w:t>
      </w:r>
      <w:r>
        <w:rPr/>
        <w:t> </w:t>
      </w:r>
      <w:r>
        <w:rPr>
          <w:spacing w:val="-2"/>
        </w:rPr>
        <w:t>项交易是否属于一揽子交易。处置对子公司股权投资的各项交易的条款、条件以及经济影响符合以下一种或多种情况，通常</w:t>
      </w:r>
      <w:r>
        <w:rPr>
          <w:spacing w:val="-62"/>
        </w:rPr>
        <w:t> </w:t>
      </w:r>
      <w:r>
        <w:rPr>
          <w:spacing w:val="-62"/>
        </w:rPr>
      </w:r>
      <w:r>
        <w:rPr/>
        <w:t>表明应将多次交易事项作为一揽子交易进行会计处理：</w:t>
      </w:r>
      <w:r>
        <w:rPr>
          <w:rFonts w:ascii="Times New Roman" w:hAnsi="Times New Roman" w:cs="Times New Roman" w:eastAsia="Times New Roman" w:hint="default"/>
        </w:rPr>
        <w:t>(1)</w:t>
      </w:r>
      <w:r>
        <w:rPr/>
        <w:t>这些交易是同时或者在考虑了彼此影响的情况下订立的；</w:t>
      </w:r>
      <w:r>
        <w:rPr>
          <w:rFonts w:ascii="Times New Roman" w:hAnsi="Times New Roman" w:cs="Times New Roman" w:eastAsia="Times New Roman" w:hint="default"/>
        </w:rPr>
        <w:t>(2)</w:t>
      </w:r>
      <w:r>
        <w:rPr/>
        <w:t>这些</w:t>
      </w:r>
      <w:r>
        <w:rPr>
          <w:spacing w:val="-86"/>
        </w:rPr>
        <w:t> </w:t>
      </w:r>
      <w:r>
        <w:rPr/>
        <w:t>交易整体才能达成一项完整的商业结果；</w:t>
      </w:r>
      <w:r>
        <w:rPr>
          <w:rFonts w:ascii="Times New Roman" w:hAnsi="Times New Roman" w:cs="Times New Roman" w:eastAsia="Times New Roman" w:hint="default"/>
        </w:rPr>
        <w:t>(3)</w:t>
      </w:r>
      <w:r>
        <w:rPr/>
        <w:t>一项交易的发生取决于其他至少一项交易的发生；</w:t>
      </w:r>
      <w:r>
        <w:rPr>
          <w:rFonts w:ascii="Times New Roman" w:hAnsi="Times New Roman" w:cs="Times New Roman" w:eastAsia="Times New Roman" w:hint="default"/>
        </w:rPr>
        <w:t>(4)</w:t>
      </w:r>
      <w:r>
        <w:rPr/>
        <w:t>一项交易单独看是不经济</w:t>
      </w:r>
      <w:r>
        <w:rPr>
          <w:spacing w:val="-87"/>
        </w:rPr>
        <w:t> </w:t>
      </w:r>
      <w:r>
        <w:rPr/>
        <w:t>的，但是和其他交易一并考虑时是经济的。不属于一揽子交易的，对其中的每一项交易视情况分别按照</w:t>
      </w:r>
      <w:r>
        <w:rPr>
          <w:rFonts w:ascii="Times New Roman" w:hAnsi="Times New Roman" w:cs="Times New Roman" w:eastAsia="Times New Roman" w:hint="default"/>
        </w:rPr>
        <w:t>“</w:t>
      </w:r>
      <w:r>
        <w:rPr/>
        <w:t>不丧失控制权的情 </w:t>
      </w:r>
      <w:r>
        <w:rPr>
          <w:spacing w:val="-2"/>
        </w:rPr>
        <w:t>况下部分处置对子公司的长期股权投资</w:t>
      </w:r>
      <w:r>
        <w:rPr>
          <w:rFonts w:ascii="Times New Roman" w:hAnsi="Times New Roman" w:cs="Times New Roman" w:eastAsia="Times New Roman" w:hint="default"/>
          <w:spacing w:val="-2"/>
        </w:rPr>
        <w:t>”(</w:t>
      </w:r>
      <w:r>
        <w:rPr>
          <w:spacing w:val="-2"/>
        </w:rPr>
        <w:t>详见本附注三、</w:t>
      </w:r>
      <w:r>
        <w:rPr>
          <w:rFonts w:ascii="Times New Roman" w:hAnsi="Times New Roman" w:cs="Times New Roman" w:eastAsia="Times New Roman" w:hint="default"/>
          <w:spacing w:val="-2"/>
        </w:rPr>
        <w:t>(</w:t>
      </w:r>
      <w:r>
        <w:rPr>
          <w:spacing w:val="-2"/>
        </w:rPr>
        <w:t>十四</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w:t>
      </w:r>
      <w:r>
        <w:rPr>
          <w:spacing w:val="-2"/>
        </w:rPr>
        <w:t>和</w:t>
      </w:r>
      <w:r>
        <w:rPr>
          <w:rFonts w:ascii="Times New Roman" w:hAnsi="Times New Roman" w:cs="Times New Roman" w:eastAsia="Times New Roman" w:hint="default"/>
          <w:spacing w:val="-2"/>
        </w:rPr>
        <w:t>“</w:t>
      </w:r>
      <w:r>
        <w:rPr>
          <w:spacing w:val="-2"/>
        </w:rPr>
        <w:t>因处置部分股权投资或其他原因丧失了对原有子公</w:t>
      </w:r>
      <w:r>
        <w:rPr>
          <w:spacing w:val="-34"/>
        </w:rPr>
        <w:t> </w:t>
      </w:r>
      <w:r>
        <w:rPr>
          <w:spacing w:val="-34"/>
        </w:rPr>
      </w:r>
      <w:r>
        <w:rPr/>
        <w:t>司的控制权</w:t>
      </w:r>
      <w:r>
        <w:rPr>
          <w:rFonts w:ascii="Times New Roman" w:hAnsi="Times New Roman" w:cs="Times New Roman" w:eastAsia="Times New Roman" w:hint="default"/>
        </w:rPr>
        <w:t>”(</w:t>
      </w:r>
      <w:r>
        <w:rPr/>
        <w:t>详见前段</w:t>
      </w:r>
      <w:r>
        <w:rPr>
          <w:rFonts w:ascii="Times New Roman" w:hAnsi="Times New Roman" w:cs="Times New Roman" w:eastAsia="Times New Roman" w:hint="default"/>
        </w:rPr>
        <w:t>)</w:t>
      </w:r>
      <w:r>
        <w:rPr/>
        <w:t>适用的原则进行会计处理。处置对子公司股权投资直至丧失控制权的各项交易属于一揽子交易的， </w:t>
      </w:r>
      <w:r>
        <w:rPr>
          <w:spacing w:val="-2"/>
        </w:rPr>
        <w:t>将各项交易作为一项处置子公司并丧失控制权的交易进行会计处理；但是，在丧失控制权之前每一次处置价款与处置投资对</w:t>
      </w:r>
      <w:r>
        <w:rPr>
          <w:spacing w:val="-64"/>
        </w:rPr>
        <w:t> </w:t>
      </w:r>
      <w:r>
        <w:rPr>
          <w:spacing w:val="-64"/>
        </w:rPr>
      </w:r>
      <w:r>
        <w:rPr>
          <w:spacing w:val="-2"/>
        </w:rPr>
        <w:t>应的享有该子公司净资产份额的差额，在合并财务报表中确认为其他综合收益，在丧失控制权时一并转入丧失控制权当期的</w:t>
      </w:r>
      <w:r>
        <w:rPr>
          <w:spacing w:val="-64"/>
        </w:rPr>
        <w:t> </w:t>
      </w:r>
      <w:r>
        <w:rPr>
          <w:spacing w:val="-64"/>
        </w:rPr>
      </w:r>
      <w:r>
        <w:rPr/>
        <w:t>损益。</w:t>
      </w:r>
    </w:p>
    <w:p>
      <w:pPr>
        <w:spacing w:line="240" w:lineRule="auto" w:before="4"/>
        <w:rPr>
          <w:rFonts w:ascii="宋体" w:hAnsi="宋体" w:cs="宋体" w:eastAsia="宋体" w:hint="default"/>
          <w:sz w:val="23"/>
          <w:szCs w:val="23"/>
        </w:rPr>
      </w:pPr>
    </w:p>
    <w:p>
      <w:pPr>
        <w:pStyle w:val="Heading3"/>
        <w:spacing w:line="240" w:lineRule="auto"/>
        <w:ind w:right="178"/>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94" w:firstLine="360"/>
        <w:jc w:val="left"/>
      </w:pPr>
      <w:r>
        <w:rPr/>
        <w:t>合营安排，是指一项由两个或两个以上的参与方共同控制的安排。本公司根据在合营安排中享有的权利和承担的义务， </w:t>
      </w:r>
      <w:r>
        <w:rPr>
          <w:spacing w:val="-2"/>
        </w:rPr>
        <w:t>将合营安排分为共同经营和合营企业。共同经营，是指本公司享有该安排相关资产且承担该安排相关负债的合营安排。合营</w:t>
      </w:r>
      <w:r>
        <w:rPr>
          <w:spacing w:val="-65"/>
        </w:rPr>
        <w:t> </w:t>
      </w:r>
      <w:r>
        <w:rPr>
          <w:spacing w:val="-65"/>
        </w:rPr>
      </w:r>
      <w:r>
        <w:rPr/>
        <w:t>企业，是指本公司仅对该安排的净资产享有权利的合营安排。</w:t>
      </w:r>
    </w:p>
    <w:p>
      <w:pPr>
        <w:pStyle w:val="BodyText"/>
        <w:spacing w:line="300" w:lineRule="auto" w:before="17"/>
        <w:ind w:right="192" w:firstLine="360"/>
        <w:jc w:val="left"/>
      </w:pPr>
      <w:r>
        <w:rPr/>
        <w:t>本公司对合营企业的投资采用权益法核算，按照本附注三、</w:t>
      </w:r>
      <w:r>
        <w:rPr>
          <w:rFonts w:ascii="Times New Roman" w:hAnsi="Times New Roman" w:cs="Times New Roman" w:eastAsia="Times New Roman" w:hint="default"/>
        </w:rPr>
        <w:t>(</w:t>
      </w:r>
      <w:r>
        <w:rPr/>
        <w:t>十四</w:t>
      </w:r>
      <w:r>
        <w:rPr>
          <w:rFonts w:ascii="Times New Roman" w:hAnsi="Times New Roman" w:cs="Times New Roman" w:eastAsia="Times New Roman" w:hint="default"/>
        </w:rPr>
        <w:t>)2</w:t>
      </w:r>
      <w:r>
        <w:rPr/>
        <w:t>、</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rFonts w:ascii="Times New Roman" w:hAnsi="Times New Roman" w:cs="Times New Roman" w:eastAsia="Times New Roman" w:hint="default"/>
        </w:rPr>
        <w:t>“</w:t>
      </w:r>
      <w:r>
        <w:rPr/>
        <w:t>权益法核算的长期股权投资</w:t>
      </w:r>
      <w:r>
        <w:rPr>
          <w:rFonts w:ascii="Times New Roman" w:hAnsi="Times New Roman" w:cs="Times New Roman" w:eastAsia="Times New Roman" w:hint="default"/>
        </w:rPr>
        <w:t>”</w:t>
      </w:r>
      <w:r>
        <w:rPr/>
        <w:t>中所述的会计政 策处理。</w:t>
      </w:r>
    </w:p>
    <w:p>
      <w:pPr>
        <w:pStyle w:val="BodyText"/>
        <w:spacing w:line="240" w:lineRule="auto" w:before="31"/>
        <w:ind w:left="513" w:right="178"/>
        <w:jc w:val="left"/>
      </w:pPr>
      <w:r>
        <w:rPr/>
        <w:t>本公司确认与共同经营中利益份额相关的下列项目，并按照相关企业会计准则的规定进行会计处理：</w:t>
      </w:r>
    </w:p>
    <w:p>
      <w:pPr>
        <w:pStyle w:val="BodyText"/>
        <w:spacing w:line="240" w:lineRule="auto" w:before="76"/>
        <w:ind w:left="513" w:right="178"/>
        <w:jc w:val="left"/>
      </w:pPr>
      <w:r>
        <w:rPr>
          <w:rFonts w:ascii="Times New Roman" w:hAnsi="Times New Roman" w:cs="Times New Roman" w:eastAsia="Times New Roman" w:hint="default"/>
        </w:rPr>
        <w:t>1</w:t>
      </w:r>
      <w:r>
        <w:rPr/>
        <w:t>、确认本公司单独所持有的资产，以及按本公司份额确认共同持有的资产；</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13" w:right="194"/>
        <w:jc w:val="left"/>
      </w:pP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left="513" w:right="194"/>
        <w:jc w:val="left"/>
      </w:pP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left="513" w:right="194"/>
        <w:jc w:val="left"/>
      </w:pPr>
      <w:r>
        <w:rPr>
          <w:rFonts w:ascii="Times New Roman" w:hAnsi="Times New Roman" w:cs="Times New Roman" w:eastAsia="Times New Roman" w:hint="default"/>
        </w:rPr>
        <w:t>4</w:t>
      </w:r>
      <w:r>
        <w:rPr/>
        <w:t>、按本公司份额确认共同经营因出售产出所产生的收入；</w:t>
      </w:r>
    </w:p>
    <w:p>
      <w:pPr>
        <w:pStyle w:val="BodyText"/>
        <w:spacing w:line="300" w:lineRule="auto" w:before="63"/>
        <w:ind w:left="513" w:right="3703"/>
        <w:jc w:val="left"/>
      </w:pP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十四</w:t>
      </w:r>
      <w:r>
        <w:rPr>
          <w:rFonts w:ascii="Times New Roman" w:hAnsi="Times New Roman" w:cs="Times New Roman" w:eastAsia="Times New Roman" w:hint="default"/>
        </w:rPr>
        <w:t>)</w:t>
      </w:r>
      <w:r>
        <w:rPr/>
        <w:t>长期股权投资</w:t>
      </w:r>
      <w:r>
        <w:rPr>
          <w:rFonts w:ascii="Times New Roman" w:hAnsi="Times New Roman" w:cs="Times New Roman" w:eastAsia="Times New Roman" w:hint="default"/>
        </w:rPr>
        <w:t>”</w:t>
      </w:r>
      <w:r>
        <w:rPr/>
        <w:t>。</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314" w:firstLine="360"/>
        <w:jc w:val="left"/>
      </w:pPr>
      <w:r>
        <w:rPr/>
        <w:t>现金流量表的现金指企业库存现金及可以随时用于支付的存款。现金等价物指持有的期限短</w:t>
      </w:r>
      <w:r>
        <w:rPr>
          <w:rFonts w:ascii="Times New Roman" w:hAnsi="Times New Roman" w:cs="Times New Roman" w:eastAsia="Times New Roman" w:hint="default"/>
        </w:rPr>
        <w:t>(</w:t>
      </w:r>
      <w:r>
        <w:rPr/>
        <w:t>一般是指从购买日起三个 月内到期</w:t>
      </w:r>
      <w:r>
        <w:rPr>
          <w:rFonts w:ascii="Times New Roman" w:hAnsi="Times New Roman" w:cs="Times New Roman" w:eastAsia="Times New Roman" w:hint="default"/>
        </w:rPr>
        <w:t>)</w:t>
      </w:r>
      <w:r>
        <w:rPr/>
        <w:t>、流动性强、易于转换为已知金额现金、价值变动风险很小的投资。</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194"/>
        <w:jc w:val="left"/>
      </w:pPr>
      <w:r>
        <w:rPr>
          <w:rFonts w:ascii="Times New Roman" w:hAnsi="Times New Roman" w:cs="Times New Roman" w:eastAsia="Times New Roman" w:hint="default"/>
        </w:rPr>
        <w:t>1</w:t>
      </w:r>
      <w:r>
        <w:rPr/>
        <w:t>、外币业务折算 </w:t>
      </w:r>
      <w:r>
        <w:rPr>
          <w:spacing w:val="-2"/>
        </w:rPr>
        <w:t>外币交易在初始确认时，采用交易发生日的即期汇率折算为人民币金额。资产负债表日，外币货币性项目采用资产负债</w:t>
      </w:r>
    </w:p>
    <w:p>
      <w:pPr>
        <w:pStyle w:val="BodyText"/>
        <w:spacing w:line="316" w:lineRule="auto" w:before="31"/>
        <w:ind w:right="293"/>
        <w:jc w:val="both"/>
      </w:pPr>
      <w:r>
        <w:rPr>
          <w:spacing w:val="-2"/>
        </w:rPr>
        <w:t>表日即期汇率折算，因汇率不同而产生的汇兑差额，除与购建符合资本化条件资产有关的外币专门借款本金及利息的汇兑差</w:t>
      </w:r>
      <w:r>
        <w:rPr>
          <w:spacing w:val="-64"/>
        </w:rPr>
        <w:t> </w:t>
      </w:r>
      <w:r>
        <w:rPr>
          <w:spacing w:val="-64"/>
        </w:rPr>
      </w:r>
      <w:r>
        <w:rPr>
          <w:spacing w:val="-2"/>
        </w:rPr>
        <w:t>额外，计入当期损益；以历史成本计量的外币非货币性项目仍采用交易发生日的即期汇率折算，不改变其人民币金额；以公</w:t>
      </w:r>
      <w:r>
        <w:rPr>
          <w:spacing w:val="-66"/>
        </w:rPr>
        <w:t> </w:t>
      </w:r>
      <w:r>
        <w:rPr>
          <w:spacing w:val="-66"/>
        </w:rPr>
      </w:r>
      <w:r>
        <w:rPr/>
        <w:t>允价值计量的外币非货币性项目，采用公允价值确定日的即期汇率折算，差额计入当期损益或其他综合收益。</w:t>
      </w:r>
    </w:p>
    <w:p>
      <w:pPr>
        <w:pStyle w:val="BodyText"/>
        <w:spacing w:line="300" w:lineRule="auto" w:before="19"/>
        <w:ind w:left="513" w:right="194"/>
        <w:jc w:val="left"/>
      </w:pPr>
      <w:r>
        <w:rPr>
          <w:rFonts w:ascii="Times New Roman" w:hAnsi="Times New Roman" w:cs="Times New Roman" w:eastAsia="Times New Roman" w:hint="default"/>
        </w:rPr>
        <w:t>2</w:t>
      </w:r>
      <w:r>
        <w:rPr/>
        <w:t>、外币财务报表折算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316" w:lineRule="auto" w:before="13"/>
        <w:ind w:right="290"/>
        <w:jc w:val="both"/>
      </w:pPr>
      <w:r>
        <w:rPr>
          <w:spacing w:val="-2"/>
        </w:rPr>
        <w:t>目采用交易发生日的即期汇率折算；利润表中的收入和费用项目，采用交易发生日即期汇率的近似汇率。按照上述折算产生</w:t>
      </w:r>
      <w:r>
        <w:rPr>
          <w:spacing w:val="-63"/>
        </w:rPr>
        <w:t> </w:t>
      </w:r>
      <w:r>
        <w:rPr>
          <w:spacing w:val="-63"/>
        </w:rPr>
      </w:r>
      <w:r>
        <w:rPr>
          <w:spacing w:val="-2"/>
        </w:rPr>
        <w:t>的外币财务报表折算差额，在资产负债表中所有者权益项目下其他综合收益中列示。处置境外经营时，将与该境外经营相关</w:t>
      </w:r>
      <w:r>
        <w:rPr>
          <w:spacing w:val="-63"/>
        </w:rPr>
        <w:t> </w:t>
      </w:r>
      <w:r>
        <w:rPr>
          <w:spacing w:val="-63"/>
        </w:rPr>
      </w:r>
      <w:r>
        <w:rPr/>
        <w:t>的外币财务报表折算差额，自所有者权益项目转入处置当期损益。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03" w:firstLine="360"/>
        <w:jc w:val="left"/>
      </w:pPr>
      <w:r>
        <w:rPr>
          <w:spacing w:val="-2"/>
        </w:rPr>
        <w:t>在本公司成为金融工具合同的一方时确认一项金融资产或金融负债。金融资产和金融负债在初始确认时以公允价值计量。</w:t>
      </w:r>
      <w:r>
        <w:rPr/>
        <w:t> 对于以公允价值计量且其变动计入当期损益的金融资产和金融负债，相关的交易费用直接计入损益；对于其他类别的金融资 产和金融负债，相关交易费用计入初始确认金额。</w:t>
      </w:r>
    </w:p>
    <w:p>
      <w:pPr>
        <w:pStyle w:val="BodyText"/>
        <w:spacing w:line="300" w:lineRule="auto" w:before="19"/>
        <w:ind w:left="801" w:right="187" w:hanging="288"/>
        <w:jc w:val="left"/>
      </w:pPr>
      <w:r>
        <w:rPr>
          <w:rFonts w:ascii="Times New Roman" w:hAnsi="Times New Roman" w:cs="Times New Roman" w:eastAsia="Times New Roman" w:hint="default"/>
        </w:rPr>
        <w:t>1</w:t>
      </w:r>
      <w:r>
        <w:rPr/>
        <w:t>、金融资产和金融负债的公允价值确定方法 </w:t>
      </w:r>
      <w:r>
        <w:rPr>
          <w:spacing w:val="-2"/>
        </w:rPr>
        <w:t>公允价值，是指市场参与者在计量日发生的有序交易中，出售一项资产所能收到或者转移一项负债所需支付的价格。</w:t>
      </w:r>
    </w:p>
    <w:p>
      <w:pPr>
        <w:pStyle w:val="BodyText"/>
        <w:spacing w:line="316" w:lineRule="auto" w:before="31"/>
        <w:ind w:right="194"/>
        <w:jc w:val="left"/>
      </w:pPr>
      <w:r>
        <w:rPr>
          <w:spacing w:val="-2"/>
        </w:rPr>
        <w:t>金融工具存在活跃市场的，本公司采用活跃市场中的报价确定其公允价值。活跃市场中的报价是指易于定期从交易所、经纪</w:t>
      </w:r>
      <w:r>
        <w:rPr>
          <w:spacing w:val="-63"/>
        </w:rPr>
        <w:t> </w:t>
      </w:r>
      <w:r>
        <w:rPr>
          <w:spacing w:val="-63"/>
        </w:rPr>
      </w:r>
      <w:r>
        <w:rPr>
          <w:spacing w:val="-2"/>
        </w:rPr>
        <w:t>商、行业协会、定价服务机构等获得的价格，且代表了在公平交易中实际发生的市场交易的价格。金融工具不存在活跃市场</w:t>
      </w:r>
      <w:r>
        <w:rPr>
          <w:spacing w:val="-64"/>
        </w:rPr>
        <w:t> </w:t>
      </w:r>
      <w:r>
        <w:rPr>
          <w:spacing w:val="-64"/>
        </w:rPr>
      </w:r>
      <w:r>
        <w:rPr>
          <w:spacing w:val="-4"/>
        </w:rPr>
        <w:t>的，本公司采用估值技术确定其公允价值。估值技术包括参考熟悉情况并自愿交易的各方最近进行的市场交易中使用的价格、</w:t>
      </w:r>
      <w:r>
        <w:rPr>
          <w:spacing w:val="-44"/>
        </w:rPr>
        <w:t> </w:t>
      </w:r>
      <w:r>
        <w:rPr>
          <w:spacing w:val="-44"/>
        </w:rPr>
      </w:r>
      <w:r>
        <w:rPr/>
        <w:t>参照实质上相同的其他金融工具当前的公允价值、现金流量折现法和期权定价模型等。</w:t>
      </w:r>
    </w:p>
    <w:p>
      <w:pPr>
        <w:pStyle w:val="BodyText"/>
        <w:spacing w:line="300" w:lineRule="auto" w:before="19"/>
        <w:ind w:left="513" w:right="194"/>
        <w:jc w:val="left"/>
      </w:pPr>
      <w:r>
        <w:rPr>
          <w:rFonts w:ascii="Times New Roman" w:hAnsi="Times New Roman" w:cs="Times New Roman" w:eastAsia="Times New Roman" w:hint="default"/>
        </w:rPr>
        <w:t>2</w:t>
      </w:r>
      <w:r>
        <w:rPr/>
        <w:t>、金融资产的分类、确认和计量 </w:t>
      </w:r>
      <w:r>
        <w:rPr>
          <w:spacing w:val="-2"/>
        </w:rPr>
        <w:t>以常规方式买卖金融资产，按交易日进行会计确认和终止确认。金融资产在初始确认时划分为以公允价值计量且其变动</w:t>
      </w:r>
    </w:p>
    <w:p>
      <w:pPr>
        <w:pStyle w:val="BodyText"/>
        <w:spacing w:line="312" w:lineRule="auto" w:before="31"/>
        <w:ind w:left="513" w:right="194" w:hanging="361"/>
        <w:jc w:val="left"/>
      </w:pPr>
      <w:r>
        <w:rPr/>
        <w:t>计入当期损益的金融资产、持有至到期投资、贷款和应收款项以及可供出售金融资产。 </w:t>
      </w:r>
      <w:r>
        <w:rPr>
          <w:rFonts w:ascii="Times New Roman" w:hAnsi="Times New Roman" w:cs="Times New Roman" w:eastAsia="Times New Roman" w:hint="default"/>
        </w:rPr>
        <w:t>(1)</w:t>
      </w:r>
      <w:r>
        <w:rPr/>
        <w:t>以公允价值计量且其变动计入当期损益的金融资产 包括交易性金融资产和指定为以公允价值计量且其变动计入当期损益的金融资产。 </w:t>
      </w:r>
      <w:r>
        <w:rPr>
          <w:spacing w:val="-2"/>
        </w:rPr>
        <w:t>交易性金融资产是指满足下列条件之一的金融资产：①取得该金融资产的目的，主要是为了近期内出售；②属于进行集</w:t>
      </w:r>
    </w:p>
    <w:p>
      <w:pPr>
        <w:pStyle w:val="BodyText"/>
        <w:spacing w:line="316" w:lineRule="auto" w:before="22"/>
        <w:ind w:right="291"/>
        <w:jc w:val="both"/>
      </w:pPr>
      <w:r>
        <w:rPr>
          <w:spacing w:val="-2"/>
        </w:rPr>
        <w:t>中管理的可辨认金融工具组合的一部分，且有客观证据表明本公司近期采用短期获利方式对该组合进行管理；③属于衍生工</w:t>
      </w:r>
      <w:r>
        <w:rPr>
          <w:spacing w:val="-64"/>
        </w:rPr>
        <w:t> </w:t>
      </w:r>
      <w:r>
        <w:rPr>
          <w:spacing w:val="-64"/>
        </w:rPr>
      </w:r>
      <w:r>
        <w:rPr>
          <w:spacing w:val="-2"/>
        </w:rPr>
        <w:t>具，但是，被指定且为有效套期工具的衍生工具、属于财务担保合同的衍生工具、与在活跃市场中没有报价且其公允价值不</w:t>
      </w:r>
      <w:r>
        <w:rPr>
          <w:spacing w:val="-64"/>
        </w:rPr>
        <w:t> </w:t>
      </w:r>
      <w:r>
        <w:rPr>
          <w:spacing w:val="-64"/>
        </w:rPr>
      </w:r>
      <w:r>
        <w:rPr/>
        <w:t>能可靠计量的权益工具投资挂钩并须通过交付该权益工具结算的衍生工具除外。</w:t>
      </w:r>
    </w:p>
    <w:p>
      <w:pPr>
        <w:pStyle w:val="BodyText"/>
        <w:spacing w:line="240" w:lineRule="auto" w:before="19"/>
        <w:ind w:left="513" w:right="103"/>
        <w:jc w:val="left"/>
      </w:pPr>
      <w:r>
        <w:rPr/>
        <w:t>符合下述条件之一的金融资产，在初始确认时可指定为以公允价值计量且其变动计入当期损益的金融资产：①该指定可</w:t>
      </w:r>
    </w:p>
    <w:p>
      <w:pPr>
        <w:spacing w:after="0" w:line="240" w:lineRule="auto"/>
        <w:jc w:val="left"/>
        <w:sectPr>
          <w:pgSz w:w="11910" w:h="16840"/>
          <w:pgMar w:header="745" w:footer="980" w:top="1060" w:bottom="1160" w:left="980" w:right="840"/>
        </w:sectPr>
      </w:pPr>
    </w:p>
    <w:p>
      <w:pPr>
        <w:spacing w:line="240" w:lineRule="auto" w:before="9"/>
        <w:rPr>
          <w:rFonts w:ascii="宋体" w:hAnsi="宋体" w:cs="宋体" w:eastAsia="宋体" w:hint="default"/>
          <w:sz w:val="25"/>
          <w:szCs w:val="25"/>
        </w:rPr>
      </w:pPr>
    </w:p>
    <w:p>
      <w:pPr>
        <w:pStyle w:val="BodyText"/>
        <w:spacing w:line="319" w:lineRule="auto" w:before="44"/>
        <w:ind w:right="192"/>
        <w:jc w:val="both"/>
      </w:pPr>
      <w:r>
        <w:rPr>
          <w:spacing w:val="-2"/>
        </w:rPr>
        <w:t>以消除或明显减少由于该金融资产的计量基础不同所导致的相关利得或损失在确认或计量方面不一致的情况；②本公司风险</w:t>
      </w:r>
      <w:r>
        <w:rPr>
          <w:spacing w:val="-64"/>
        </w:rPr>
        <w:t> </w:t>
      </w:r>
      <w:r>
        <w:rPr>
          <w:spacing w:val="-64"/>
        </w:rPr>
      </w:r>
      <w:r>
        <w:rPr>
          <w:spacing w:val="-2"/>
        </w:rPr>
        <w:t>管理或投资策略的正式书面文件已载明，对该金融资产所在的金融资产组合或金融资产和金融负债组合以公允价值为基础进</w:t>
      </w:r>
      <w:r>
        <w:rPr>
          <w:spacing w:val="-64"/>
        </w:rPr>
        <w:t> </w:t>
      </w:r>
      <w:r>
        <w:rPr>
          <w:spacing w:val="-64"/>
        </w:rPr>
      </w:r>
      <w:r>
        <w:rPr/>
        <w:t>行管理、评价并向关键管理人员报告。</w:t>
      </w:r>
    </w:p>
    <w:p>
      <w:pPr>
        <w:pStyle w:val="BodyText"/>
        <w:spacing w:line="316" w:lineRule="auto" w:before="17"/>
        <w:ind w:right="192" w:firstLine="360"/>
        <w:jc w:val="both"/>
      </w:pPr>
      <w:r>
        <w:rPr>
          <w:spacing w:val="-2"/>
        </w:rPr>
        <w:t>以公允价值计量且其变动计入当期损益的金融资产采用公允价值进行后续计量，公允价值变动形成的利得或损失以及与</w:t>
      </w:r>
      <w:r>
        <w:rPr/>
        <w:t> 该等金融资产相关的股利和利息收入计入当期损益。</w:t>
      </w:r>
    </w:p>
    <w:p>
      <w:pPr>
        <w:pStyle w:val="BodyText"/>
        <w:spacing w:line="309" w:lineRule="auto" w:before="19"/>
        <w:ind w:left="513" w:right="178"/>
        <w:jc w:val="left"/>
      </w:pPr>
      <w:r>
        <w:rPr>
          <w:rFonts w:ascii="Times New Roman" w:hAnsi="Times New Roman" w:cs="Times New Roman" w:eastAsia="Times New Roman" w:hint="default"/>
        </w:rPr>
        <w:t>(2)</w:t>
      </w:r>
      <w:r>
        <w:rPr/>
        <w:t>持有至到期投资</w:t>
      </w:r>
      <w:r>
        <w:rPr>
          <w:w w:val="99"/>
        </w:rPr>
        <w:t> </w:t>
      </w:r>
      <w:r>
        <w:rPr/>
        <w:t>是指到期日固定、回收金额固定或可确定，且本公司有明确意图和能力持有至到期的非衍生金融资产。</w:t>
      </w:r>
      <w:r>
        <w:rPr>
          <w:w w:val="99"/>
        </w:rPr>
        <w:t> </w:t>
      </w:r>
      <w:r>
        <w:rPr>
          <w:spacing w:val="-2"/>
        </w:rPr>
        <w:t>持有至到期投资采用实际利率法，按摊余成本进行后续计量，在终止确认、发生减值或摊销时产生的利得或损失，计入</w:t>
      </w:r>
    </w:p>
    <w:p>
      <w:pPr>
        <w:pStyle w:val="BodyText"/>
        <w:spacing w:line="240" w:lineRule="auto" w:before="24"/>
        <w:ind w:right="0"/>
        <w:jc w:val="both"/>
      </w:pPr>
      <w:r>
        <w:rPr/>
        <w:t>当期损益。</w:t>
      </w:r>
    </w:p>
    <w:p>
      <w:pPr>
        <w:pStyle w:val="BodyText"/>
        <w:spacing w:line="309" w:lineRule="auto" w:before="76"/>
        <w:ind w:right="178" w:firstLine="360"/>
        <w:jc w:val="left"/>
      </w:pPr>
      <w:r>
        <w:rPr/>
        <w:t>实际利率法是指按照金融资产或金融负债</w:t>
      </w:r>
      <w:r>
        <w:rPr>
          <w:rFonts w:ascii="Times New Roman" w:hAnsi="Times New Roman" w:cs="Times New Roman" w:eastAsia="Times New Roman" w:hint="default"/>
        </w:rPr>
        <w:t>(</w:t>
      </w:r>
      <w:r>
        <w:rPr/>
        <w:t>含一组金融资产或金融负债</w:t>
      </w:r>
      <w:r>
        <w:rPr>
          <w:rFonts w:ascii="Times New Roman" w:hAnsi="Times New Roman" w:cs="Times New Roman" w:eastAsia="Times New Roman" w:hint="default"/>
        </w:rPr>
        <w:t>)</w:t>
      </w:r>
      <w:r>
        <w:rPr/>
        <w:t>的实际利率计算其摊余成本及各期利息收入或 </w:t>
      </w:r>
      <w:r>
        <w:rPr>
          <w:spacing w:val="-2"/>
        </w:rPr>
        <w:t>支出的方法。实际利率是指将金融资产或金融负债在预期存续期间或适用的更短期间内的未来现金流量，折现为该金融资产</w:t>
      </w:r>
      <w:r>
        <w:rPr>
          <w:spacing w:val="-64"/>
        </w:rPr>
        <w:t> </w:t>
      </w:r>
      <w:r>
        <w:rPr>
          <w:spacing w:val="-64"/>
        </w:rPr>
      </w:r>
      <w:r>
        <w:rPr/>
        <w:t>或金融负债当前账面价值所使用的利率。</w:t>
      </w:r>
    </w:p>
    <w:p>
      <w:pPr>
        <w:pStyle w:val="BodyText"/>
        <w:spacing w:line="300" w:lineRule="auto" w:before="24"/>
        <w:ind w:right="229" w:firstLine="360"/>
        <w:jc w:val="both"/>
      </w:pPr>
      <w:r>
        <w:rPr/>
        <w:t>在计算实际利率时，本公司将在考虑金融资产或金融负债所有合同条款的基础上预计未来现金流量</w:t>
      </w:r>
      <w:r>
        <w:rPr>
          <w:rFonts w:ascii="Times New Roman" w:hAnsi="Times New Roman" w:cs="Times New Roman" w:eastAsia="Times New Roman" w:hint="default"/>
        </w:rPr>
        <w:t>(</w:t>
      </w:r>
      <w:r>
        <w:rPr/>
        <w:t>不考虑未来的信用 损失</w:t>
      </w:r>
      <w:r>
        <w:rPr>
          <w:rFonts w:ascii="Times New Roman" w:hAnsi="Times New Roman" w:cs="Times New Roman" w:eastAsia="Times New Roman" w:hint="default"/>
        </w:rPr>
        <w:t>)</w:t>
      </w:r>
      <w:r>
        <w:rPr/>
        <w:t>，同时还将考虑金融资产或金融负债合同各方之间支付或收取的、属于实际利率组成部分的各项收费、交易费用及折 价或溢价等。</w:t>
      </w:r>
    </w:p>
    <w:p>
      <w:pPr>
        <w:pStyle w:val="BodyText"/>
        <w:spacing w:line="300" w:lineRule="auto" w:before="31"/>
        <w:ind w:left="513" w:right="178"/>
        <w:jc w:val="left"/>
      </w:pPr>
      <w:r>
        <w:rPr>
          <w:rFonts w:ascii="Times New Roman" w:hAnsi="Times New Roman" w:cs="Times New Roman" w:eastAsia="Times New Roman" w:hint="default"/>
        </w:rPr>
        <w:t>(3)</w:t>
      </w:r>
      <w:r>
        <w:rPr/>
        <w:t>贷款和应收款项</w:t>
      </w:r>
      <w:r>
        <w:rPr>
          <w:w w:val="99"/>
        </w:rPr>
        <w:t> </w:t>
      </w:r>
      <w:r>
        <w:rPr>
          <w:spacing w:val="-2"/>
        </w:rPr>
        <w:t>是指在活跃市场中没有报价、回收金额固定或可确定的非衍生金融资产。本公司划分为贷款和应收款的金融资产包括应</w:t>
      </w:r>
    </w:p>
    <w:p>
      <w:pPr>
        <w:pStyle w:val="BodyText"/>
        <w:spacing w:line="316" w:lineRule="auto" w:before="31"/>
        <w:ind w:left="513" w:right="178" w:hanging="361"/>
        <w:jc w:val="left"/>
      </w:pPr>
      <w:r>
        <w:rPr/>
        <w:t>收票据、应收账款、应收利息、应收股利及其他应收款等。 </w:t>
      </w:r>
      <w:r>
        <w:rPr>
          <w:spacing w:val="-2"/>
        </w:rPr>
        <w:t>贷款和应收款项采用实际利率法，按摊余成本进行后续计量，在终止确认、发生减值或摊销时产生的利得或损失，计入</w:t>
      </w:r>
    </w:p>
    <w:p>
      <w:pPr>
        <w:pStyle w:val="BodyText"/>
        <w:spacing w:line="240" w:lineRule="auto" w:before="19"/>
        <w:ind w:right="0"/>
        <w:jc w:val="both"/>
      </w:pPr>
      <w:r>
        <w:rPr/>
        <w:t>当期损益。</w:t>
      </w:r>
    </w:p>
    <w:p>
      <w:pPr>
        <w:pStyle w:val="BodyText"/>
        <w:spacing w:line="300" w:lineRule="auto" w:before="76"/>
        <w:ind w:left="513" w:right="93"/>
        <w:jc w:val="left"/>
      </w:pPr>
      <w:r>
        <w:rPr>
          <w:rFonts w:ascii="Times New Roman" w:hAnsi="Times New Roman" w:cs="Times New Roman" w:eastAsia="Times New Roman" w:hint="default"/>
        </w:rPr>
        <w:t>(4)</w:t>
      </w:r>
      <w:r>
        <w:rPr/>
        <w:t>可供出售金融资产</w:t>
      </w:r>
      <w:r>
        <w:rPr>
          <w:w w:val="99"/>
        </w:rPr>
        <w:t> </w:t>
      </w:r>
      <w:r>
        <w:rPr/>
        <w:t>包括初始确认时即被指定为可供出售的非衍生金融资产，以及除了以公允价值计量且其变动计入当期损益的金融资产、</w:t>
      </w:r>
    </w:p>
    <w:p>
      <w:pPr>
        <w:pStyle w:val="BodyText"/>
        <w:spacing w:line="316" w:lineRule="auto" w:before="31"/>
        <w:ind w:left="513" w:right="178" w:hanging="361"/>
        <w:jc w:val="left"/>
      </w:pPr>
      <w:r>
        <w:rPr/>
        <w:t>贷款和应收款项、持有至到期投资以外的金融资产。 </w:t>
      </w:r>
      <w:r>
        <w:rPr>
          <w:spacing w:val="-2"/>
        </w:rPr>
        <w:t>可供出售债务工具投资的期末成本按照摊余成本法确定，即初始确认金额扣除已偿还的本金，加上或减去采用实际利率</w:t>
      </w:r>
    </w:p>
    <w:p>
      <w:pPr>
        <w:pStyle w:val="BodyText"/>
        <w:spacing w:line="319" w:lineRule="auto" w:before="19"/>
        <w:ind w:right="193"/>
        <w:jc w:val="both"/>
      </w:pPr>
      <w:r>
        <w:rPr>
          <w:spacing w:val="-2"/>
        </w:rPr>
        <w:t>法将该初始确认金额与到期日金额之间的差额进行摊销形成的累计摊销额，并扣除已发生的减值损失后的金额。可供出售权</w:t>
      </w:r>
      <w:r>
        <w:rPr>
          <w:spacing w:val="-64"/>
        </w:rPr>
        <w:t> </w:t>
      </w:r>
      <w:r>
        <w:rPr>
          <w:spacing w:val="-64"/>
        </w:rPr>
      </w:r>
      <w:r>
        <w:rPr/>
        <w:t>益工具投资的期末成本为其初始取得成本。</w:t>
      </w:r>
    </w:p>
    <w:p>
      <w:pPr>
        <w:pStyle w:val="BodyText"/>
        <w:spacing w:line="316" w:lineRule="auto" w:before="17"/>
        <w:ind w:right="192" w:firstLine="360"/>
        <w:jc w:val="both"/>
      </w:pPr>
      <w:r>
        <w:rPr>
          <w:spacing w:val="-2"/>
        </w:rPr>
        <w:t>可供出售金融资产采用公允价值进行后续计量，公允价值变动形成的利得或损失，除减值损失和外币货币性金融资产与</w:t>
      </w:r>
      <w:r>
        <w:rPr/>
        <w:t> </w:t>
      </w:r>
      <w:r>
        <w:rPr>
          <w:spacing w:val="-2"/>
        </w:rPr>
        <w:t>摊余成本相关的汇兑差额计入当期损益外，确认为其他综合收益，在该金融资产终止确认时转出，计入当期损益。但是，在</w:t>
      </w:r>
      <w:r>
        <w:rPr>
          <w:spacing w:val="-67"/>
        </w:rPr>
        <w:t> </w:t>
      </w:r>
      <w:r>
        <w:rPr>
          <w:spacing w:val="-67"/>
        </w:rPr>
      </w:r>
      <w:r>
        <w:rPr>
          <w:spacing w:val="-2"/>
        </w:rPr>
        <w:t>活跃市场中没有报价且其公允价值不能可靠计量的权益工具投资，以及与该权益工具挂钩并须通过交付该权益工具结算的衍</w:t>
      </w:r>
      <w:r>
        <w:rPr>
          <w:spacing w:val="-64"/>
        </w:rPr>
        <w:t> </w:t>
      </w:r>
      <w:r>
        <w:rPr>
          <w:spacing w:val="-64"/>
        </w:rPr>
      </w:r>
      <w:r>
        <w:rPr/>
        <w:t>生金融资产，按照成本进行后续计量。</w:t>
      </w:r>
    </w:p>
    <w:p>
      <w:pPr>
        <w:pStyle w:val="BodyText"/>
        <w:spacing w:line="240" w:lineRule="auto" w:before="19"/>
        <w:ind w:left="513" w:right="178"/>
        <w:jc w:val="left"/>
      </w:pPr>
      <w:r>
        <w:rPr/>
        <w:t>可供出售金融资产持有期间取得的利息及被投资单位宣告发放的现金股利，计入投资收益。</w:t>
      </w:r>
    </w:p>
    <w:p>
      <w:pPr>
        <w:pStyle w:val="BodyText"/>
        <w:spacing w:line="300" w:lineRule="auto" w:before="76"/>
        <w:ind w:left="513" w:right="178"/>
        <w:jc w:val="left"/>
      </w:pPr>
      <w:r>
        <w:rPr>
          <w:rFonts w:ascii="Times New Roman" w:hAnsi="Times New Roman" w:cs="Times New Roman" w:eastAsia="Times New Roman" w:hint="default"/>
        </w:rPr>
        <w:t>3</w:t>
      </w:r>
      <w:r>
        <w:rPr/>
        <w:t>、金融资产的减值 </w:t>
      </w:r>
      <w:r>
        <w:rPr>
          <w:spacing w:val="-2"/>
        </w:rPr>
        <w:t>除了以公允价值计量且其变动计入当期损益的金融资产外，本公司在每个资产负债表日对其他金融资产的账面价值进行</w:t>
      </w:r>
    </w:p>
    <w:p>
      <w:pPr>
        <w:pStyle w:val="BodyText"/>
        <w:spacing w:line="316" w:lineRule="auto" w:before="31"/>
        <w:ind w:left="513" w:right="178" w:hanging="361"/>
        <w:jc w:val="left"/>
      </w:pPr>
      <w:r>
        <w:rPr/>
        <w:t>检查，有客观证据表明金融资产发生减值的，计提减值准备。 </w:t>
      </w:r>
      <w:r>
        <w:rPr>
          <w:spacing w:val="-2"/>
        </w:rPr>
        <w:t>本公司对单项金额重大的金融资产单独进行减值测试；对单项金额不重大的金融资产，单独进行减值测试或包括在具有</w:t>
      </w:r>
    </w:p>
    <w:p>
      <w:pPr>
        <w:pStyle w:val="BodyText"/>
        <w:spacing w:line="300" w:lineRule="auto" w:before="19"/>
        <w:ind w:right="230"/>
        <w:jc w:val="both"/>
      </w:pPr>
      <w:r>
        <w:rPr/>
        <w:t>类似信用风险特征的金融资产组合中进行减值测试。单独测试未发生减值的金融资产</w:t>
      </w:r>
      <w:r>
        <w:rPr>
          <w:rFonts w:ascii="Times New Roman" w:hAnsi="Times New Roman" w:cs="Times New Roman" w:eastAsia="Times New Roman" w:hint="default"/>
        </w:rPr>
        <w:t>(</w:t>
      </w:r>
      <w:r>
        <w:rPr/>
        <w:t>包括单项金额重大和不重大的金融资 产</w:t>
      </w:r>
      <w:r>
        <w:rPr>
          <w:rFonts w:ascii="Times New Roman" w:hAnsi="Times New Roman" w:cs="Times New Roman" w:eastAsia="Times New Roman" w:hint="default"/>
        </w:rPr>
        <w:t>)</w:t>
      </w:r>
      <w:r>
        <w:rPr/>
        <w:t>，包括在具有类似信用风险特征的金融资产组合中再进行减值测试。已单项确认减值损失的金融资产，不包括在具有类 似信用风险特征的金融资产组合中进行减值测试。</w:t>
      </w:r>
    </w:p>
    <w:p>
      <w:pPr>
        <w:pStyle w:val="BodyText"/>
        <w:spacing w:line="300" w:lineRule="auto" w:before="31"/>
        <w:ind w:left="513" w:right="178"/>
        <w:jc w:val="left"/>
      </w:pPr>
      <w:r>
        <w:rPr>
          <w:rFonts w:ascii="Times New Roman" w:hAnsi="Times New Roman" w:cs="Times New Roman" w:eastAsia="Times New Roman" w:hint="default"/>
        </w:rPr>
        <w:t>(1)</w:t>
      </w:r>
      <w:r>
        <w:rPr/>
        <w:t>持有至到期投资、贷款和应收款项减值</w:t>
      </w:r>
      <w:r>
        <w:rPr>
          <w:w w:val="99"/>
        </w:rPr>
        <w:t> </w:t>
      </w:r>
      <w:r>
        <w:rPr>
          <w:spacing w:val="-2"/>
        </w:rPr>
        <w:t>以成本或摊余成本计量的金融资产将其账面价值减记至预计未来现金流量现值，减记金额确认为减值损失，计入当期损</w:t>
      </w:r>
    </w:p>
    <w:p>
      <w:pPr>
        <w:pStyle w:val="BodyText"/>
        <w:spacing w:line="316" w:lineRule="auto" w:before="31"/>
        <w:ind w:right="191"/>
        <w:jc w:val="both"/>
      </w:pPr>
      <w:r>
        <w:rPr>
          <w:spacing w:val="-2"/>
        </w:rPr>
        <w:t>益。金融资产在确认减值损失后，如有客观证据表明该金融资产价值已恢复，且客观上与确认该损失后发生的事项有关，原</w:t>
      </w:r>
      <w:r>
        <w:rPr>
          <w:spacing w:val="-64"/>
        </w:rPr>
        <w:t> </w:t>
      </w:r>
      <w:r>
        <w:rPr>
          <w:spacing w:val="-64"/>
        </w:rPr>
      </w:r>
      <w:r>
        <w:rPr>
          <w:spacing w:val="-2"/>
        </w:rPr>
        <w:t>确认的减值损失予以转回，金融资产转回减值损失后的账面价值不超过假定不计提减值准备情况下该金融资产在转回日的摊</w:t>
      </w:r>
      <w:r>
        <w:rPr>
          <w:spacing w:val="-64"/>
        </w:rPr>
        <w:t> </w:t>
      </w:r>
      <w:r>
        <w:rPr>
          <w:spacing w:val="-64"/>
        </w:rPr>
      </w:r>
      <w:r>
        <w:rPr/>
        <w:t>余成本。</w:t>
      </w:r>
    </w:p>
    <w:p>
      <w:pPr>
        <w:pStyle w:val="BodyText"/>
        <w:spacing w:line="240" w:lineRule="auto" w:before="18"/>
        <w:ind w:left="513" w:right="6754"/>
        <w:jc w:val="left"/>
      </w:pPr>
      <w:r>
        <w:rPr>
          <w:rFonts w:ascii="Times New Roman" w:hAnsi="Times New Roman" w:cs="Times New Roman" w:eastAsia="Times New Roman" w:hint="default"/>
        </w:rPr>
        <w:t>(2)</w:t>
      </w:r>
      <w:r>
        <w:rPr/>
        <w:t>可供出售金融资产减值</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240" w:lineRule="auto" w:before="44"/>
        <w:ind w:left="513" w:right="178"/>
        <w:jc w:val="left"/>
      </w:pPr>
      <w:r>
        <w:rPr>
          <w:rFonts w:ascii="Times New Roman" w:hAnsi="Times New Roman" w:cs="Times New Roman" w:eastAsia="Times New Roman" w:hint="default"/>
        </w:rPr>
        <w:t>1)</w:t>
      </w:r>
      <w:r>
        <w:rPr/>
        <w:t>表明可供出售债务工具投资发生减值的客观证据包括：</w:t>
      </w:r>
    </w:p>
    <w:p>
      <w:pPr>
        <w:pStyle w:val="BodyText"/>
        <w:spacing w:line="240" w:lineRule="auto" w:before="63"/>
        <w:ind w:left="513" w:right="6754"/>
        <w:jc w:val="left"/>
      </w:pPr>
      <w:r>
        <w:rPr/>
        <w:t>①</w:t>
      </w:r>
      <w:r>
        <w:rPr>
          <w:spacing w:val="-18"/>
        </w:rPr>
        <w:t> </w:t>
      </w:r>
      <w:r>
        <w:rPr/>
        <w:t>债务人发生严重财务困难；</w:t>
      </w:r>
    </w:p>
    <w:p>
      <w:pPr>
        <w:pStyle w:val="BodyText"/>
        <w:spacing w:line="240" w:lineRule="auto" w:before="76"/>
        <w:ind w:left="513" w:right="178"/>
        <w:jc w:val="left"/>
      </w:pPr>
      <w:r>
        <w:rPr/>
        <w:t>②</w:t>
      </w:r>
      <w:r>
        <w:rPr>
          <w:spacing w:val="-18"/>
        </w:rPr>
        <w:t> </w:t>
      </w:r>
      <w:r>
        <w:rPr/>
        <w:t>债务人违反了合同条款，如偿付利息或本金发生违约或逾期；</w:t>
      </w:r>
    </w:p>
    <w:p>
      <w:pPr>
        <w:pStyle w:val="BodyText"/>
        <w:spacing w:line="240" w:lineRule="auto" w:before="76"/>
        <w:ind w:left="513" w:right="178"/>
        <w:jc w:val="left"/>
      </w:pPr>
      <w:r>
        <w:rPr/>
        <w:t>③</w:t>
      </w:r>
      <w:r>
        <w:rPr>
          <w:spacing w:val="-18"/>
        </w:rPr>
        <w:t> </w:t>
      </w:r>
      <w:r>
        <w:rPr/>
        <w:t>公司出于经济或法律等方面因素的考虑，对发生财务困难的债务人作出让步；</w:t>
      </w:r>
    </w:p>
    <w:p>
      <w:pPr>
        <w:pStyle w:val="BodyText"/>
        <w:spacing w:line="240" w:lineRule="auto" w:before="76"/>
        <w:ind w:left="513" w:right="178"/>
        <w:jc w:val="left"/>
      </w:pPr>
      <w:r>
        <w:rPr/>
        <w:t>④</w:t>
      </w:r>
      <w:r>
        <w:rPr>
          <w:spacing w:val="-18"/>
        </w:rPr>
        <w:t> </w:t>
      </w:r>
      <w:r>
        <w:rPr/>
        <w:t>债务人很可能倒闭或进行其他财务重组；</w:t>
      </w:r>
    </w:p>
    <w:p>
      <w:pPr>
        <w:pStyle w:val="BodyText"/>
        <w:spacing w:line="240" w:lineRule="auto" w:before="76"/>
        <w:ind w:left="513" w:right="178"/>
        <w:jc w:val="left"/>
      </w:pPr>
      <w:r>
        <w:rPr/>
        <w:t>⑤</w:t>
      </w:r>
      <w:r>
        <w:rPr>
          <w:spacing w:val="-18"/>
        </w:rPr>
        <w:t> </w:t>
      </w:r>
      <w:r>
        <w:rPr/>
        <w:t>因债务人发生重大财务困难，该债务工具无法在活跃市场继续交易；</w:t>
      </w:r>
    </w:p>
    <w:p>
      <w:pPr>
        <w:pStyle w:val="BodyText"/>
        <w:spacing w:line="240" w:lineRule="auto" w:before="76"/>
        <w:ind w:left="513" w:right="178"/>
        <w:jc w:val="left"/>
      </w:pPr>
      <w:r>
        <w:rPr/>
        <w:t>⑥</w:t>
      </w:r>
      <w:r>
        <w:rPr>
          <w:spacing w:val="-18"/>
        </w:rPr>
        <w:t> </w:t>
      </w:r>
      <w:r>
        <w:rPr/>
        <w:t>其他表明可供出售债务工具已经发生减值的情况。</w:t>
      </w:r>
    </w:p>
    <w:p>
      <w:pPr>
        <w:pStyle w:val="BodyText"/>
        <w:spacing w:line="300" w:lineRule="auto" w:before="76"/>
        <w:ind w:right="192" w:firstLine="360"/>
        <w:jc w:val="both"/>
      </w:pPr>
      <w:r>
        <w:rPr>
          <w:rFonts w:ascii="Times New Roman" w:hAnsi="Times New Roman" w:cs="Times New Roman" w:eastAsia="Times New Roman" w:hint="default"/>
          <w:spacing w:val="-1"/>
        </w:rPr>
        <w:t>2)</w:t>
      </w:r>
      <w:r>
        <w:rPr>
          <w:spacing w:val="-1"/>
        </w:rPr>
        <w:t>表明可供出售权益工具投资发生减值的客观证据包括权益工具投资的公允价值发生严重或非暂时性下跌，以及被投资</w:t>
      </w:r>
      <w:r>
        <w:rPr>
          <w:w w:val="99"/>
        </w:rPr>
        <w:t> </w:t>
      </w:r>
      <w:r>
        <w:rPr/>
        <w:t>单位经营所处的技术、市场、经济或法律环境等发生重大不利变化使公司可能无法收回投资成本。</w:t>
      </w:r>
    </w:p>
    <w:p>
      <w:pPr>
        <w:pStyle w:val="BodyText"/>
        <w:spacing w:line="307" w:lineRule="auto" w:before="31"/>
        <w:ind w:right="190" w:firstLine="360"/>
        <w:jc w:val="both"/>
      </w:pPr>
      <w:r>
        <w:rPr>
          <w:spacing w:val="-2"/>
        </w:rPr>
        <w:t>本公司于资产负债表日对各项可供出售权益工具投资单独进行检查。对于以公允价值计量的权益工具投资，若其于资产</w:t>
      </w:r>
      <w:r>
        <w:rPr/>
        <w:t> </w:t>
      </w:r>
      <w:r>
        <w:rPr>
          <w:spacing w:val="-2"/>
        </w:rPr>
        <w:t>负债表日的公允价值低于其成本超过</w:t>
      </w:r>
      <w:r>
        <w:rPr>
          <w:rFonts w:ascii="Times New Roman" w:hAnsi="Times New Roman" w:cs="Times New Roman" w:eastAsia="Times New Roman" w:hint="default"/>
          <w:spacing w:val="-2"/>
        </w:rPr>
        <w:t>50%(</w:t>
      </w:r>
      <w:r>
        <w:rPr>
          <w:spacing w:val="-2"/>
        </w:rPr>
        <w:t>含</w:t>
      </w:r>
      <w:r>
        <w:rPr>
          <w:rFonts w:ascii="Times New Roman" w:hAnsi="Times New Roman" w:cs="Times New Roman" w:eastAsia="Times New Roman" w:hint="default"/>
          <w:spacing w:val="-2"/>
        </w:rPr>
        <w:t>50%)</w:t>
      </w:r>
      <w:r>
        <w:rPr>
          <w:spacing w:val="-2"/>
        </w:rPr>
        <w:t>或低于其成本持续时间超过</w:t>
      </w:r>
      <w:r>
        <w:rPr>
          <w:rFonts w:ascii="Times New Roman" w:hAnsi="Times New Roman" w:cs="Times New Roman" w:eastAsia="Times New Roman" w:hint="default"/>
          <w:spacing w:val="-2"/>
        </w:rPr>
        <w:t>12</w:t>
      </w:r>
      <w:r>
        <w:rPr>
          <w:spacing w:val="-2"/>
        </w:rPr>
        <w:t>个月</w:t>
      </w:r>
      <w:r>
        <w:rPr>
          <w:rFonts w:ascii="Times New Roman" w:hAnsi="Times New Roman" w:cs="Times New Roman" w:eastAsia="Times New Roman" w:hint="default"/>
          <w:spacing w:val="-2"/>
        </w:rPr>
        <w:t>(</w:t>
      </w:r>
      <w:r>
        <w:rPr>
          <w:spacing w:val="-2"/>
        </w:rPr>
        <w:t>含</w:t>
      </w:r>
      <w:r>
        <w:rPr>
          <w:rFonts w:ascii="Times New Roman" w:hAnsi="Times New Roman" w:cs="Times New Roman" w:eastAsia="Times New Roman" w:hint="default"/>
          <w:spacing w:val="-2"/>
        </w:rPr>
        <w:t>12</w:t>
      </w:r>
      <w:r>
        <w:rPr>
          <w:spacing w:val="-2"/>
        </w:rPr>
        <w:t>个月</w:t>
      </w:r>
      <w:r>
        <w:rPr>
          <w:rFonts w:ascii="Times New Roman" w:hAnsi="Times New Roman" w:cs="Times New Roman" w:eastAsia="Times New Roman" w:hint="default"/>
          <w:spacing w:val="-2"/>
        </w:rPr>
        <w:t>)</w:t>
      </w:r>
      <w:r>
        <w:rPr>
          <w:spacing w:val="-2"/>
        </w:rPr>
        <w:t>的，则表明其发生减值；若其</w:t>
      </w:r>
      <w:r>
        <w:rPr>
          <w:spacing w:val="-54"/>
        </w:rPr>
        <w:t> </w:t>
      </w:r>
      <w:r>
        <w:rPr>
          <w:spacing w:val="-54"/>
        </w:rPr>
      </w:r>
      <w:r>
        <w:rPr>
          <w:spacing w:val="-1"/>
        </w:rPr>
        <w:t>于资产负债表日的公允价值低于其成本超过</w:t>
      </w:r>
      <w:r>
        <w:rPr>
          <w:rFonts w:ascii="Times New Roman" w:hAnsi="Times New Roman" w:cs="Times New Roman" w:eastAsia="Times New Roman" w:hint="default"/>
          <w:spacing w:val="-1"/>
        </w:rPr>
        <w:t>20%(</w:t>
      </w:r>
      <w:r>
        <w:rPr>
          <w:spacing w:val="-1"/>
        </w:rPr>
        <w:t>含</w:t>
      </w:r>
      <w:r>
        <w:rPr>
          <w:rFonts w:ascii="Times New Roman" w:hAnsi="Times New Roman" w:cs="Times New Roman" w:eastAsia="Times New Roman" w:hint="default"/>
          <w:spacing w:val="-1"/>
        </w:rPr>
        <w:t>20%)</w:t>
      </w:r>
      <w:r>
        <w:rPr>
          <w:spacing w:val="-1"/>
        </w:rPr>
        <w:t>但尚未达到</w:t>
      </w:r>
      <w:r>
        <w:rPr>
          <w:rFonts w:ascii="Times New Roman" w:hAnsi="Times New Roman" w:cs="Times New Roman" w:eastAsia="Times New Roman" w:hint="default"/>
          <w:spacing w:val="-1"/>
        </w:rPr>
        <w:t>50%</w:t>
      </w:r>
      <w:r>
        <w:rPr>
          <w:spacing w:val="-1"/>
        </w:rPr>
        <w:t>的，或低于其成本持续时间超过</w:t>
      </w:r>
      <w:r>
        <w:rPr>
          <w:rFonts w:ascii="Times New Roman" w:hAnsi="Times New Roman" w:cs="Times New Roman" w:eastAsia="Times New Roman" w:hint="default"/>
          <w:spacing w:val="-1"/>
        </w:rPr>
        <w:t>6</w:t>
      </w:r>
      <w:r>
        <w:rPr>
          <w:spacing w:val="-1"/>
        </w:rPr>
        <w:t>个月</w:t>
      </w:r>
      <w:r>
        <w:rPr>
          <w:rFonts w:ascii="Times New Roman" w:hAnsi="Times New Roman" w:cs="Times New Roman" w:eastAsia="Times New Roman" w:hint="default"/>
          <w:spacing w:val="-1"/>
        </w:rPr>
        <w:t>(</w:t>
      </w:r>
      <w:r>
        <w:rPr>
          <w:spacing w:val="-1"/>
        </w:rPr>
        <w:t>含</w:t>
      </w:r>
      <w:r>
        <w:rPr>
          <w:rFonts w:ascii="Times New Roman" w:hAnsi="Times New Roman" w:cs="Times New Roman" w:eastAsia="Times New Roman" w:hint="default"/>
          <w:spacing w:val="-1"/>
        </w:rPr>
        <w:t>6</w:t>
      </w:r>
      <w:r>
        <w:rPr>
          <w:spacing w:val="-1"/>
        </w:rPr>
        <w:t>个月</w:t>
      </w:r>
      <w:r>
        <w:rPr>
          <w:rFonts w:ascii="Times New Roman" w:hAnsi="Times New Roman" w:cs="Times New Roman" w:eastAsia="Times New Roman" w:hint="default"/>
          <w:spacing w:val="-1"/>
        </w:rPr>
        <w:t>)</w:t>
      </w:r>
      <w:r>
        <w:rPr>
          <w:spacing w:val="-1"/>
        </w:rPr>
        <w:t>但未</w:t>
      </w:r>
      <w:r>
        <w:rPr>
          <w:spacing w:val="-3"/>
        </w:rPr>
        <w:t> </w:t>
      </w:r>
      <w:r>
        <w:rPr>
          <w:spacing w:val="-2"/>
        </w:rPr>
        <w:t>超过</w:t>
      </w:r>
      <w:r>
        <w:rPr>
          <w:rFonts w:ascii="Times New Roman" w:hAnsi="Times New Roman" w:cs="Times New Roman" w:eastAsia="Times New Roman" w:hint="default"/>
          <w:spacing w:val="-2"/>
        </w:rPr>
        <w:t>12</w:t>
      </w:r>
      <w:r>
        <w:rPr>
          <w:spacing w:val="-2"/>
        </w:rPr>
        <w:t>个月的，本公司会综合考虑其他相关因素，诸如价格波动率等，判断该权益工具投资是否发生减值。对于以成本计量</w:t>
      </w:r>
      <w:r>
        <w:rPr>
          <w:spacing w:val="-63"/>
        </w:rPr>
        <w:t> </w:t>
      </w:r>
      <w:r>
        <w:rPr>
          <w:spacing w:val="-63"/>
        </w:rPr>
      </w:r>
      <w:r>
        <w:rPr>
          <w:spacing w:val="-2"/>
        </w:rPr>
        <w:t>的权益工具投资，公司综合考虑被投资单位经营所处的技术、市场、经济或法律环境等是否发生重大不利变化，判断该权益</w:t>
      </w:r>
      <w:r>
        <w:rPr>
          <w:spacing w:val="-64"/>
        </w:rPr>
        <w:t> </w:t>
      </w:r>
      <w:r>
        <w:rPr>
          <w:spacing w:val="-64"/>
        </w:rPr>
      </w:r>
      <w:r>
        <w:rPr/>
        <w:t>工具是否发生减值。</w:t>
      </w:r>
    </w:p>
    <w:p>
      <w:pPr>
        <w:pStyle w:val="BodyText"/>
        <w:spacing w:line="316" w:lineRule="auto" w:before="26"/>
        <w:ind w:right="189" w:firstLine="360"/>
        <w:jc w:val="both"/>
      </w:pPr>
      <w:r>
        <w:rPr>
          <w:spacing w:val="-2"/>
        </w:rPr>
        <w:t>以公允价值计量的可供出售金融资产发生减值时，原直接计入其他综合收益的因公允价值下降形成的累计损失予以转出</w:t>
      </w:r>
      <w:r>
        <w:rPr/>
        <w:t> </w:t>
      </w:r>
      <w:r>
        <w:rPr>
          <w:spacing w:val="-2"/>
        </w:rPr>
        <w:t>并计入减值损失。对已确认减值损失的可供出售债务工具投资，在期后公允价值回升且客观上与确认原减值损失后发生的事</w:t>
      </w:r>
      <w:r>
        <w:rPr>
          <w:spacing w:val="-64"/>
        </w:rPr>
        <w:t> </w:t>
      </w:r>
      <w:r>
        <w:rPr>
          <w:spacing w:val="-64"/>
        </w:rPr>
      </w:r>
      <w:r>
        <w:rPr>
          <w:spacing w:val="-2"/>
        </w:rPr>
        <w:t>项有关的，原确认的减值损失予以转回并计入当期损益。对已确认减值损失的可供出售权益工具投资，期后公允价值回升直</w:t>
      </w:r>
      <w:r>
        <w:rPr>
          <w:spacing w:val="-62"/>
        </w:rPr>
        <w:t> </w:t>
      </w:r>
      <w:r>
        <w:rPr>
          <w:spacing w:val="-62"/>
        </w:rPr>
      </w:r>
      <w:r>
        <w:rPr/>
        <w:t>接计入其他综合收益。</w:t>
      </w:r>
    </w:p>
    <w:p>
      <w:pPr>
        <w:pStyle w:val="BodyText"/>
        <w:spacing w:line="316" w:lineRule="auto" w:before="19"/>
        <w:ind w:right="192" w:firstLine="360"/>
        <w:jc w:val="both"/>
      </w:pPr>
      <w:r>
        <w:rPr>
          <w:spacing w:val="-2"/>
        </w:rPr>
        <w:t>以成本计量的可供出售权益工具发生减值时，将该权益工具投资的账面价值，与按照类似金融资产当时市场收益率对未</w:t>
      </w:r>
      <w:r>
        <w:rPr/>
        <w:t> 来现金流量折现确定的现值之间的差额，确认为减值损失，计入当期损益，发生的减值损失一经确认，不予转回。</w:t>
      </w:r>
    </w:p>
    <w:p>
      <w:pPr>
        <w:pStyle w:val="BodyText"/>
        <w:spacing w:line="300" w:lineRule="auto" w:before="19"/>
        <w:ind w:left="513" w:right="178"/>
        <w:jc w:val="left"/>
      </w:pPr>
      <w:r>
        <w:rPr>
          <w:rFonts w:ascii="Times New Roman" w:hAnsi="Times New Roman" w:cs="Times New Roman" w:eastAsia="Times New Roman" w:hint="default"/>
        </w:rPr>
        <w:t>4</w:t>
      </w:r>
      <w:r>
        <w:rPr/>
        <w:t>、金融资产转移的确认依据和计量方法 </w:t>
      </w:r>
      <w:r>
        <w:rPr>
          <w:spacing w:val="-2"/>
        </w:rPr>
        <w:t>满足下列条件之一的金融资产，予以终止确认：①收取该金融资产现金流量的合同权利终止；②该金融资产已转移，且</w:t>
      </w:r>
    </w:p>
    <w:p>
      <w:pPr>
        <w:pStyle w:val="BodyText"/>
        <w:spacing w:line="316" w:lineRule="auto" w:before="31"/>
        <w:ind w:right="178"/>
        <w:jc w:val="left"/>
      </w:pPr>
      <w:r>
        <w:rPr>
          <w:spacing w:val="-2"/>
        </w:rPr>
        <w:t>将金融资产所有权上几乎所有的风险和报酬转移给转入方；③该金融资产已转移，虽然企业既没有转移也没有保留金融资产</w:t>
      </w:r>
      <w:r>
        <w:rPr>
          <w:spacing w:val="-63"/>
        </w:rPr>
        <w:t> </w:t>
      </w:r>
      <w:r>
        <w:rPr>
          <w:spacing w:val="-63"/>
        </w:rPr>
      </w:r>
      <w:r>
        <w:rPr/>
        <w:t>所有权上几乎所有的风险和报酬，但是放弃了对该金融资产的控制。</w:t>
      </w:r>
    </w:p>
    <w:p>
      <w:pPr>
        <w:pStyle w:val="BodyText"/>
        <w:spacing w:line="316" w:lineRule="auto" w:before="19"/>
        <w:ind w:right="190" w:firstLine="360"/>
        <w:jc w:val="both"/>
      </w:pPr>
      <w:r>
        <w:rPr>
          <w:spacing w:val="-2"/>
        </w:rPr>
        <w:t>若企业既没有转移也没有保留金融资产所有权上几乎所有的风险和报酬，且未放弃对该金融资产的控制的，则按照继续</w:t>
      </w:r>
      <w:r>
        <w:rPr/>
        <w:t> </w:t>
      </w:r>
      <w:r>
        <w:rPr>
          <w:spacing w:val="-2"/>
        </w:rPr>
        <w:t>涉入所转移金融资产的程度确认有关金融资产，并相应确认有关负债。继续涉入所转移金融资产的程度，是指该金融资产价</w:t>
      </w:r>
      <w:r>
        <w:rPr>
          <w:spacing w:val="-63"/>
        </w:rPr>
        <w:t> </w:t>
      </w:r>
      <w:r>
        <w:rPr>
          <w:spacing w:val="-63"/>
        </w:rPr>
      </w:r>
      <w:r>
        <w:rPr/>
        <w:t>值变动使企业面临的风险水平。</w:t>
      </w:r>
    </w:p>
    <w:p>
      <w:pPr>
        <w:pStyle w:val="BodyText"/>
        <w:spacing w:line="316" w:lineRule="auto" w:before="19"/>
        <w:ind w:right="192" w:firstLine="360"/>
        <w:jc w:val="both"/>
      </w:pPr>
      <w:r>
        <w:rPr>
          <w:spacing w:val="-2"/>
        </w:rPr>
        <w:t>金融资产整体转移满足终止确认条件的，将所转移金融资产的账面价值及因转移而收到的对价与原计入其他综合收益的</w:t>
      </w:r>
      <w:r>
        <w:rPr/>
        <w:t> 公允价值变动累计额之和的差额计入当期损益。</w:t>
      </w:r>
    </w:p>
    <w:p>
      <w:pPr>
        <w:pStyle w:val="BodyText"/>
        <w:spacing w:line="316" w:lineRule="auto" w:before="19"/>
        <w:ind w:right="192" w:firstLine="360"/>
        <w:jc w:val="both"/>
      </w:pPr>
      <w:r>
        <w:rPr>
          <w:spacing w:val="-2"/>
        </w:rPr>
        <w:t>金融资产部分转移满足终止确认条件的，将所转移金融资产的账面价值在终止确认及未终止确认部分之间按其相对的公</w:t>
      </w:r>
      <w:r>
        <w:rPr/>
        <w:t> </w:t>
      </w:r>
      <w:r>
        <w:rPr>
          <w:spacing w:val="-2"/>
        </w:rPr>
        <w:t>允价值进行分摊，并将因转移而收到的对价与应分摊至终止确认部分的原计入其他综合收益的公允价值变动累计额之和与分</w:t>
      </w:r>
      <w:r>
        <w:rPr>
          <w:spacing w:val="-64"/>
        </w:rPr>
        <w:t> </w:t>
      </w:r>
      <w:r>
        <w:rPr>
          <w:spacing w:val="-64"/>
        </w:rPr>
      </w:r>
      <w:r>
        <w:rPr/>
        <w:t>摊的前述账面金额之差额计入当期损益。</w:t>
      </w:r>
    </w:p>
    <w:p>
      <w:pPr>
        <w:pStyle w:val="BodyText"/>
        <w:spacing w:line="316" w:lineRule="auto" w:before="19"/>
        <w:ind w:right="191" w:firstLine="360"/>
        <w:jc w:val="both"/>
      </w:pPr>
      <w:r>
        <w:rPr>
          <w:spacing w:val="-2"/>
        </w:rPr>
        <w:t>本公司对采用附追索权方式出售的金融资产，或将持有的金融资产背书转让，需确定该金融资产所有权上几乎所有的风</w:t>
      </w:r>
      <w:r>
        <w:rPr/>
        <w:t> </w:t>
      </w:r>
      <w:r>
        <w:rPr>
          <w:spacing w:val="-2"/>
        </w:rPr>
        <w:t>险和报酬是否已经转移。已将该金融资产所有权上几乎所有的风险和报酬转移给转入方的，终止确认该金融资产；保留了金</w:t>
      </w:r>
      <w:r>
        <w:rPr>
          <w:spacing w:val="-66"/>
        </w:rPr>
        <w:t> </w:t>
      </w:r>
      <w:r>
        <w:rPr>
          <w:spacing w:val="-66"/>
        </w:rPr>
      </w:r>
      <w:r>
        <w:rPr>
          <w:spacing w:val="-2"/>
        </w:rPr>
        <w:t>融资产所有权上几乎所有的风险和报酬的，不终止确认该金融资产；既没有转移也没有保留金融资产所有权上几乎所有的风</w:t>
      </w:r>
      <w:r>
        <w:rPr>
          <w:spacing w:val="-63"/>
        </w:rPr>
        <w:t> </w:t>
      </w:r>
      <w:r>
        <w:rPr>
          <w:spacing w:val="-63"/>
        </w:rPr>
      </w:r>
      <w:r>
        <w:rPr/>
        <w:t>险和报酬的，则继续判断企业是否对该资产保留了控制，并根据前面各段所述的原则进行会计处理。</w:t>
      </w:r>
    </w:p>
    <w:p>
      <w:pPr>
        <w:pStyle w:val="BodyText"/>
        <w:spacing w:line="300" w:lineRule="auto" w:before="19"/>
        <w:ind w:left="513" w:right="93"/>
        <w:jc w:val="left"/>
      </w:pPr>
      <w:r>
        <w:rPr>
          <w:rFonts w:ascii="Times New Roman" w:hAnsi="Times New Roman" w:cs="Times New Roman" w:eastAsia="Times New Roman" w:hint="default"/>
        </w:rPr>
        <w:t>5</w:t>
      </w:r>
      <w:r>
        <w:rPr/>
        <w:t>、金融负债的分类和计量 金融负债在初始确认时划分为以公允价值计量且其变动计入当期损益的金融负债和其他金融负债。初始确认金融负债，</w:t>
      </w:r>
    </w:p>
    <w:p>
      <w:pPr>
        <w:pStyle w:val="BodyText"/>
        <w:spacing w:line="316" w:lineRule="auto" w:before="31"/>
        <w:ind w:right="178"/>
        <w:jc w:val="left"/>
      </w:pPr>
      <w:r>
        <w:rPr>
          <w:spacing w:val="-2"/>
        </w:rPr>
        <w:t>以公允价值计量。对于以公允价值计量且其变动计入当期损益的金融负债，相关的交易费用直接计入当期损益；对于其他金</w:t>
      </w:r>
      <w:r>
        <w:rPr>
          <w:spacing w:val="-63"/>
        </w:rPr>
        <w:t> </w:t>
      </w:r>
      <w:r>
        <w:rPr>
          <w:spacing w:val="-63"/>
        </w:rPr>
      </w:r>
      <w:r>
        <w:rPr/>
        <w:t>融负债，相关交易费用计入初始确认金额。</w:t>
      </w:r>
    </w:p>
    <w:p>
      <w:pPr>
        <w:pStyle w:val="BodyText"/>
        <w:spacing w:line="300" w:lineRule="auto" w:before="19"/>
        <w:ind w:left="513" w:right="273"/>
        <w:jc w:val="left"/>
      </w:pPr>
      <w:r>
        <w:rPr>
          <w:rFonts w:ascii="Times New Roman" w:hAnsi="Times New Roman" w:cs="Times New Roman" w:eastAsia="Times New Roman" w:hint="default"/>
        </w:rPr>
        <w:t>(1)</w:t>
      </w:r>
      <w:r>
        <w:rPr/>
        <w:t>以公允价值计量且其变动计入当期损益的金融负债</w:t>
      </w:r>
      <w:r>
        <w:rPr>
          <w:w w:val="99"/>
        </w:rPr>
        <w:t> </w:t>
      </w:r>
      <w:r>
        <w:rPr/>
        <w:t>分类为交易性金融负债和在初始确认时指定为以公允价值计量且其变动计入当期损益的金融负债的条件与分类为交易</w:t>
      </w:r>
    </w:p>
    <w:p>
      <w:pPr>
        <w:pStyle w:val="BodyText"/>
        <w:spacing w:line="240" w:lineRule="auto" w:before="31"/>
        <w:ind w:right="178"/>
        <w:jc w:val="left"/>
      </w:pPr>
      <w:r>
        <w:rPr/>
        <w:t>性金融资产和在初始确认时指定为以公允价值计量且其变动计入当期损益的金融资产的条件一致。</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9" w:lineRule="auto" w:before="44"/>
        <w:ind w:left="513" w:right="178"/>
        <w:jc w:val="left"/>
      </w:pPr>
      <w:r>
        <w:rPr>
          <w:spacing w:val="-2"/>
        </w:rPr>
        <w:t>以公允价值计量且其变动计入当期损益的金融负债采用公允价值进行后续计量，公允价值的变动形成的利得或损失以及</w:t>
      </w:r>
      <w:r>
        <w:rPr>
          <w:spacing w:val="-68"/>
        </w:rPr>
        <w:t> </w:t>
      </w:r>
      <w:r>
        <w:rPr>
          <w:spacing w:val="-68"/>
        </w:rPr>
      </w:r>
      <w:r>
        <w:rPr>
          <w:rFonts w:ascii="Times New Roman" w:hAnsi="Times New Roman" w:cs="Times New Roman" w:eastAsia="Times New Roman" w:hint="default"/>
        </w:rPr>
        <w:t>(2)</w:t>
      </w:r>
      <w:r>
        <w:rPr/>
        <w:t>其他金融负债 </w:t>
      </w:r>
      <w:r>
        <w:rPr>
          <w:spacing w:val="-2"/>
        </w:rPr>
        <w:t>与在活跃市场中没有报价、公允价值不能可靠计量的权益工具挂钩并须通过交付该权益工具结算的衍生金融负债，按照</w:t>
      </w:r>
    </w:p>
    <w:p>
      <w:pPr>
        <w:pStyle w:val="BodyText"/>
        <w:spacing w:line="316" w:lineRule="auto" w:before="24"/>
        <w:ind w:right="178"/>
        <w:jc w:val="left"/>
      </w:pPr>
      <w:r>
        <w:rPr>
          <w:spacing w:val="-2"/>
        </w:rPr>
        <w:t>成本进行后续计量。其他金融负债采用实际利率法，按摊余成本进行后续计量，终止确认或摊销产生的利得或损失计入当期</w:t>
      </w:r>
      <w:r>
        <w:rPr>
          <w:spacing w:val="-63"/>
        </w:rPr>
        <w:t> </w:t>
      </w:r>
      <w:r>
        <w:rPr>
          <w:spacing w:val="-63"/>
        </w:rPr>
      </w:r>
      <w:r>
        <w:rPr/>
        <w:t>损益。</w:t>
      </w:r>
    </w:p>
    <w:p>
      <w:pPr>
        <w:pStyle w:val="BodyText"/>
        <w:spacing w:line="300" w:lineRule="auto" w:before="19"/>
        <w:ind w:left="513" w:right="178"/>
        <w:jc w:val="left"/>
      </w:pPr>
      <w:r>
        <w:rPr>
          <w:rFonts w:ascii="Times New Roman" w:hAnsi="Times New Roman" w:cs="Times New Roman" w:eastAsia="Times New Roman" w:hint="default"/>
        </w:rPr>
        <w:t>(3)</w:t>
      </w:r>
      <w:r>
        <w:rPr/>
        <w:t>财务担保合同</w:t>
      </w:r>
      <w:r>
        <w:rPr>
          <w:w w:val="99"/>
        </w:rPr>
        <w:t> </w:t>
      </w:r>
      <w:r>
        <w:rPr>
          <w:spacing w:val="-2"/>
        </w:rPr>
        <w:t>不属于指定为以公允价值计量且其变动计入当期损益的金融负债的财务担保合同，以公允价值进行初始确认，在初始确</w:t>
      </w:r>
    </w:p>
    <w:p>
      <w:pPr>
        <w:pStyle w:val="BodyText"/>
        <w:spacing w:line="300" w:lineRule="auto" w:before="31"/>
        <w:ind w:right="178"/>
        <w:jc w:val="left"/>
      </w:pPr>
      <w:r>
        <w:rPr>
          <w:spacing w:val="-2"/>
        </w:rPr>
        <w:t>认后按照《企业会计准则第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收入》的原则确</w:t>
      </w:r>
      <w:r>
        <w:rPr>
          <w:spacing w:val="-60"/>
        </w:rPr>
        <w:t> </w:t>
      </w:r>
      <w:r>
        <w:rPr>
          <w:spacing w:val="-60"/>
        </w:rPr>
      </w:r>
      <w:r>
        <w:rPr/>
        <w:t>定的累计摊销额后的余额之中的较高者进行后续计量。</w:t>
      </w:r>
    </w:p>
    <w:p>
      <w:pPr>
        <w:pStyle w:val="BodyText"/>
        <w:spacing w:line="300" w:lineRule="auto" w:before="31"/>
        <w:ind w:left="513" w:right="178"/>
        <w:jc w:val="left"/>
      </w:pPr>
      <w:r>
        <w:rPr>
          <w:rFonts w:ascii="Times New Roman" w:hAnsi="Times New Roman" w:cs="Times New Roman" w:eastAsia="Times New Roman" w:hint="default"/>
        </w:rPr>
        <w:t>6</w:t>
      </w:r>
      <w:r>
        <w:rPr/>
        <w:t>、金融负债的终止确认 </w:t>
      </w:r>
      <w:r>
        <w:rPr>
          <w:spacing w:val="-1"/>
        </w:rPr>
        <w:t>金融负债的现时义务全部或部分已经解除的，才能终止确认该金融负债或其一部分。本公司</w:t>
      </w:r>
      <w:r>
        <w:rPr>
          <w:rFonts w:ascii="Times New Roman" w:hAnsi="Times New Roman" w:cs="Times New Roman" w:eastAsia="Times New Roman" w:hint="default"/>
          <w:spacing w:val="-1"/>
        </w:rPr>
        <w:t>(</w:t>
      </w:r>
      <w:r>
        <w:rPr>
          <w:spacing w:val="-1"/>
        </w:rPr>
        <w:t>债务人</w:t>
      </w:r>
      <w:r>
        <w:rPr>
          <w:rFonts w:ascii="Times New Roman" w:hAnsi="Times New Roman" w:cs="Times New Roman" w:eastAsia="Times New Roman" w:hint="default"/>
          <w:spacing w:val="-1"/>
        </w:rPr>
        <w:t>)</w:t>
      </w:r>
      <w:r>
        <w:rPr>
          <w:spacing w:val="-1"/>
        </w:rPr>
        <w:t>与债权人之间签订</w:t>
      </w:r>
    </w:p>
    <w:p>
      <w:pPr>
        <w:pStyle w:val="BodyText"/>
        <w:spacing w:line="316" w:lineRule="auto" w:before="13"/>
        <w:ind w:right="178"/>
        <w:jc w:val="left"/>
      </w:pPr>
      <w:r>
        <w:rPr>
          <w:spacing w:val="-2"/>
        </w:rPr>
        <w:t>协议，以承担新金融负债方式替换现存金融负债，且新金融负债与现存金融负债的合同条款实质上不同的，终止确认现存金</w:t>
      </w:r>
      <w:r>
        <w:rPr>
          <w:spacing w:val="-63"/>
        </w:rPr>
        <w:t> </w:t>
      </w:r>
      <w:r>
        <w:rPr>
          <w:spacing w:val="-63"/>
        </w:rPr>
      </w:r>
      <w:r>
        <w:rPr/>
        <w:t>融负债，并同时确认新金融负债。</w:t>
      </w:r>
    </w:p>
    <w:p>
      <w:pPr>
        <w:pStyle w:val="BodyText"/>
        <w:spacing w:line="300" w:lineRule="auto" w:before="19"/>
        <w:ind w:right="214" w:firstLine="360"/>
        <w:jc w:val="left"/>
      </w:pPr>
      <w:r>
        <w:rPr/>
        <w:t>金融负债全部或部分终止确认的，将终止确认部分的账面价值与支付的对价</w:t>
      </w:r>
      <w:r>
        <w:rPr>
          <w:rFonts w:ascii="Times New Roman" w:hAnsi="Times New Roman" w:cs="Times New Roman" w:eastAsia="Times New Roman" w:hint="default"/>
        </w:rPr>
        <w:t>(</w:t>
      </w:r>
      <w:r>
        <w:rPr/>
        <w:t>包括转出的非现金资产或承担的新金融负 债</w:t>
      </w:r>
      <w:r>
        <w:rPr>
          <w:rFonts w:ascii="Times New Roman" w:hAnsi="Times New Roman" w:cs="Times New Roman" w:eastAsia="Times New Roman" w:hint="default"/>
        </w:rPr>
        <w:t>)</w:t>
      </w:r>
      <w:r>
        <w:rPr/>
        <w:t>之间的差额，计入当期损益。</w:t>
      </w:r>
    </w:p>
    <w:p>
      <w:pPr>
        <w:pStyle w:val="BodyText"/>
        <w:spacing w:line="300" w:lineRule="auto" w:before="13"/>
        <w:ind w:left="513" w:right="178"/>
        <w:jc w:val="left"/>
      </w:pPr>
      <w:r>
        <w:rPr>
          <w:rFonts w:ascii="Times New Roman" w:hAnsi="Times New Roman" w:cs="Times New Roman" w:eastAsia="Times New Roman" w:hint="default"/>
        </w:rPr>
        <w:t>7</w:t>
      </w:r>
      <w:r>
        <w:rPr/>
        <w:t>、衍生工具及嵌入衍生工具 </w:t>
      </w:r>
      <w:r>
        <w:rPr>
          <w:spacing w:val="-2"/>
        </w:rPr>
        <w:t>衍生工具于相关合同签署日以公允价值进行初始计量，并以公允价值进行后续计量。衍生工具的公允价值变动计入当期</w:t>
      </w:r>
    </w:p>
    <w:p>
      <w:pPr>
        <w:pStyle w:val="BodyText"/>
        <w:spacing w:line="240" w:lineRule="auto" w:before="31"/>
        <w:ind w:right="6754"/>
        <w:jc w:val="left"/>
      </w:pPr>
      <w:r>
        <w:rPr/>
        <w:t>损益。</w:t>
      </w:r>
    </w:p>
    <w:p>
      <w:pPr>
        <w:pStyle w:val="BodyText"/>
        <w:spacing w:line="316" w:lineRule="auto" w:before="76"/>
        <w:ind w:right="93" w:firstLine="360"/>
        <w:jc w:val="left"/>
      </w:pPr>
      <w:r>
        <w:rPr>
          <w:spacing w:val="-2"/>
        </w:rPr>
        <w:t>对包含嵌入衍生工具的混合工具，如未指定为以公允价值计量且其变动计入当期损益的金融资产或金融负债，嵌入衍生</w:t>
      </w:r>
      <w:r>
        <w:rPr/>
        <w:t> </w:t>
      </w:r>
      <w:r>
        <w:rPr>
          <w:spacing w:val="-4"/>
        </w:rPr>
        <w:t>工具与该主合同在经济特征及风险方面不存在紧密关系，且与嵌入衍生工具条件相同，单独存在的工具符合衍生工具定义的，</w:t>
      </w:r>
      <w:r>
        <w:rPr>
          <w:spacing w:val="-44"/>
        </w:rPr>
        <w:t> </w:t>
      </w:r>
      <w:r>
        <w:rPr>
          <w:spacing w:val="-44"/>
        </w:rPr>
      </w:r>
      <w:r>
        <w:rPr>
          <w:spacing w:val="-2"/>
        </w:rPr>
        <w:t>嵌入衍生工具从混合工具中分拆，作为单独的衍生金融工具处理。如果无法在取得时或后续的资产负债表日对嵌入衍生工具</w:t>
      </w:r>
      <w:r>
        <w:rPr>
          <w:spacing w:val="-64"/>
        </w:rPr>
        <w:t> </w:t>
      </w:r>
      <w:r>
        <w:rPr>
          <w:spacing w:val="-64"/>
        </w:rPr>
      </w:r>
      <w:r>
        <w:rPr/>
        <w:t>进行单独计量，则将混合工具整体指定为以公允价值计量且其变动计入当期损益的金融资产或金融负债。</w:t>
      </w:r>
    </w:p>
    <w:p>
      <w:pPr>
        <w:pStyle w:val="BodyText"/>
        <w:spacing w:line="300" w:lineRule="auto" w:before="19"/>
        <w:ind w:left="513" w:right="178"/>
        <w:jc w:val="left"/>
      </w:pPr>
      <w:r>
        <w:rPr>
          <w:rFonts w:ascii="Times New Roman" w:hAnsi="Times New Roman" w:cs="Times New Roman" w:eastAsia="Times New Roman" w:hint="default"/>
        </w:rPr>
        <w:t>8</w:t>
      </w:r>
      <w:r>
        <w:rPr/>
        <w:t>、金融资产和金融负债的抵销 </w:t>
      </w:r>
      <w:r>
        <w:rPr>
          <w:spacing w:val="-2"/>
        </w:rPr>
        <w:t>当本公司具有抵销已确认金融资产和金融负债的法定权利，且目前可执行该种法定权利，同时本公司计划以净额结算或</w:t>
      </w:r>
    </w:p>
    <w:p>
      <w:pPr>
        <w:pStyle w:val="BodyText"/>
        <w:spacing w:line="319" w:lineRule="auto" w:before="31"/>
        <w:ind w:right="178"/>
        <w:jc w:val="left"/>
      </w:pPr>
      <w:r>
        <w:rPr>
          <w:spacing w:val="-2"/>
        </w:rPr>
        <w:t>同时变现该金融资产和清偿该金融负债时，金融资产和金融负债以相互抵销后的金额在资产负债表内列示。除此以外，金融</w:t>
      </w:r>
      <w:r>
        <w:rPr>
          <w:spacing w:val="-64"/>
        </w:rPr>
        <w:t> </w:t>
      </w:r>
      <w:r>
        <w:rPr>
          <w:spacing w:val="-64"/>
        </w:rPr>
      </w:r>
      <w:r>
        <w:rPr/>
        <w:t>资产和金融负债在资产负债表内分别列示，不予相互抵销。</w:t>
      </w:r>
    </w:p>
    <w:p>
      <w:pPr>
        <w:pStyle w:val="BodyText"/>
        <w:spacing w:line="300" w:lineRule="auto" w:before="17"/>
        <w:ind w:left="513" w:right="178"/>
        <w:jc w:val="left"/>
      </w:pPr>
      <w:r>
        <w:rPr>
          <w:rFonts w:ascii="Times New Roman" w:hAnsi="Times New Roman" w:cs="Times New Roman" w:eastAsia="Times New Roman" w:hint="default"/>
        </w:rPr>
        <w:t>9</w:t>
      </w:r>
      <w:r>
        <w:rPr/>
        <w:t>、权益工具 </w:t>
      </w:r>
      <w:r>
        <w:rPr>
          <w:spacing w:val="-1"/>
        </w:rPr>
        <w:t>权益工具是指能证明拥有本公司在扣除所有负债后的资产中的剩余权益的合同。本公司发行</w:t>
      </w:r>
      <w:r>
        <w:rPr>
          <w:rFonts w:ascii="Times New Roman" w:hAnsi="Times New Roman" w:cs="Times New Roman" w:eastAsia="Times New Roman" w:hint="default"/>
          <w:spacing w:val="-1"/>
        </w:rPr>
        <w:t>(</w:t>
      </w:r>
      <w:r>
        <w:rPr>
          <w:spacing w:val="-1"/>
        </w:rPr>
        <w:t>含再融资</w:t>
      </w:r>
      <w:r>
        <w:rPr>
          <w:rFonts w:ascii="Times New Roman" w:hAnsi="Times New Roman" w:cs="Times New Roman" w:eastAsia="Times New Roman" w:hint="default"/>
          <w:spacing w:val="-1"/>
        </w:rPr>
        <w:t>)</w:t>
      </w:r>
      <w:r>
        <w:rPr>
          <w:spacing w:val="-1"/>
        </w:rPr>
        <w:t>、回购、出售或</w:t>
      </w:r>
    </w:p>
    <w:p>
      <w:pPr>
        <w:pStyle w:val="BodyText"/>
        <w:spacing w:line="316" w:lineRule="auto" w:before="13"/>
        <w:ind w:left="513" w:right="94" w:hanging="361"/>
        <w:jc w:val="left"/>
      </w:pPr>
      <w:r>
        <w:rPr/>
        <w:t>注销权益工具作为权益的变动处理。本公司不确认权益工具的公允价值变动。与权益性交易相关的交易费用从权益中扣减。</w:t>
      </w:r>
      <w:r>
        <w:rPr>
          <w:spacing w:val="-86"/>
        </w:rPr>
        <w:t> </w:t>
      </w:r>
      <w:r>
        <w:rPr>
          <w:spacing w:val="-86"/>
        </w:rPr>
      </w:r>
      <w:r>
        <w:rPr/>
        <w:t>本公司对权益工具持有方的各种分配</w:t>
      </w:r>
      <w:r>
        <w:rPr>
          <w:rFonts w:ascii="Times New Roman" w:hAnsi="Times New Roman" w:cs="Times New Roman" w:eastAsia="Times New Roman" w:hint="default"/>
        </w:rPr>
        <w:t>(</w:t>
      </w:r>
      <w:r>
        <w:rPr/>
        <w:t>不包括股票股利</w:t>
      </w:r>
      <w:r>
        <w:rPr>
          <w:rFonts w:ascii="Times New Roman" w:hAnsi="Times New Roman" w:cs="Times New Roman" w:eastAsia="Times New Roman" w:hint="default"/>
        </w:rPr>
        <w:t>)</w:t>
      </w:r>
      <w:r>
        <w:rPr/>
        <w:t>，减少股东权益。本公司不确认权益工具的公允价值变动额。</w:t>
      </w:r>
    </w:p>
    <w:p>
      <w:pPr>
        <w:spacing w:line="240" w:lineRule="auto" w:before="4"/>
        <w:rPr>
          <w:rFonts w:ascii="宋体" w:hAnsi="宋体" w:cs="宋体" w:eastAsia="宋体" w:hint="default"/>
          <w:sz w:val="21"/>
          <w:szCs w:val="21"/>
        </w:rPr>
      </w:pPr>
    </w:p>
    <w:p>
      <w:pPr>
        <w:pStyle w:val="Heading3"/>
        <w:spacing w:line="240" w:lineRule="auto"/>
        <w:ind w:right="6754"/>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8"/>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1028"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单项金额重大的应收账款指单笔金额为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万元以上的客户</w:t>
            </w:r>
          </w:p>
          <w:p>
            <w:pPr>
              <w:pStyle w:val="TableParagraph"/>
              <w:spacing w:line="300" w:lineRule="auto" w:before="63"/>
              <w:ind w:left="23" w:right="17"/>
              <w:jc w:val="left"/>
              <w:rPr>
                <w:rFonts w:ascii="宋体" w:hAnsi="宋体" w:cs="宋体" w:eastAsia="宋体" w:hint="default"/>
                <w:sz w:val="18"/>
                <w:szCs w:val="18"/>
              </w:rPr>
            </w:pPr>
            <w:r>
              <w:rPr>
                <w:rFonts w:ascii="宋体" w:hAnsi="宋体" w:cs="宋体" w:eastAsia="宋体" w:hint="default"/>
                <w:sz w:val="18"/>
                <w:szCs w:val="18"/>
              </w:rPr>
              <w:t>应收账款，单项金额重大的其他应收款指单笔金额为</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万元 以上的其他应收款。</w:t>
            </w:r>
          </w:p>
        </w:tc>
      </w:tr>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单独测试未发生减值的应收款项在具有类似信用风险特征的 应收款项组合中再进行减值测试。</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：以账龄特征划分为若干应收款项组合</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：应收合并范围内关联方款项</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49"/>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20.00%</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w:t>
            </w:r>
          </w:p>
        </w:tc>
      </w:tr>
    </w:tbl>
    <w:p>
      <w:pPr>
        <w:pStyle w:val="BodyText"/>
        <w:spacing w:line="240" w:lineRule="auto" w:before="49"/>
        <w:ind w:right="0"/>
        <w:jc w:val="left"/>
      </w:pPr>
      <w:r>
        <w:rPr/>
        <w:t>组合中，采用余额百分比法计提坏账准备的：</w:t>
      </w:r>
    </w:p>
    <w:p>
      <w:pPr>
        <w:pStyle w:val="BodyText"/>
        <w:spacing w:line="340" w:lineRule="auto" w:before="115"/>
        <w:ind w:right="65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227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3" w:right="19" w:firstLine="360"/>
              <w:jc w:val="both"/>
              <w:rPr>
                <w:rFonts w:ascii="宋体" w:hAnsi="宋体" w:cs="宋体" w:eastAsia="宋体" w:hint="default"/>
                <w:sz w:val="18"/>
                <w:szCs w:val="18"/>
              </w:rPr>
            </w:pPr>
            <w:r>
              <w:rPr>
                <w:rFonts w:ascii="宋体" w:hAnsi="宋体" w:cs="宋体" w:eastAsia="宋体" w:hint="default"/>
                <w:sz w:val="18"/>
                <w:szCs w:val="18"/>
              </w:rPr>
              <w:t>有客观证据表明可能发生减值，如债务人出现撤销、破 产或死亡，以其破产财产或遗产清偿后仍不能收回，现金流 量严重不足等情况的。单项金额虽不重大但单项计提坏账准 备的应收账款，是指单笔金额为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万元以下、账龄超过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年的应收款项。单项金额不重大但单项计提坏账准备的其他 应收账款，是指单笔金额为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万元以下、账龄超过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年的应 收款项。</w:t>
            </w:r>
          </w:p>
        </w:tc>
      </w:tr>
      <w:tr>
        <w:trPr>
          <w:trHeight w:val="165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0"/>
              <w:ind w:left="23" w:right="72" w:firstLine="360"/>
              <w:jc w:val="both"/>
              <w:rPr>
                <w:rFonts w:ascii="宋体" w:hAnsi="宋体" w:cs="宋体" w:eastAsia="宋体" w:hint="default"/>
                <w:sz w:val="18"/>
                <w:szCs w:val="18"/>
              </w:rPr>
            </w:pPr>
            <w:r>
              <w:rPr>
                <w:rFonts w:ascii="宋体" w:hAnsi="宋体" w:cs="宋体" w:eastAsia="宋体" w:hint="default"/>
                <w:sz w:val="18"/>
                <w:szCs w:val="18"/>
              </w:rPr>
              <w:t>对有客观证据表明可能发生了减值的应收款项，将其从 相关组合中分离出来，单独进行减值测试，根据其未来现金 流量现值低于其账面价值的差额，确认减值损失，计提坏账 准备。单独测试未发生减值的应收款项，将其归入相应组合 计提坏账准备。</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公司是否需要遵守特殊行业的披露要求</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6754"/>
        <w:jc w:val="left"/>
      </w:pPr>
      <w:r>
        <w:rPr/>
        <w:t>否</w:t>
      </w:r>
    </w:p>
    <w:p>
      <w:pPr>
        <w:pStyle w:val="BodyText"/>
        <w:spacing w:line="309" w:lineRule="auto" w:before="117"/>
        <w:ind w:left="513" w:right="1893"/>
        <w:jc w:val="left"/>
      </w:pPr>
      <w:r>
        <w:rPr>
          <w:rFonts w:ascii="Times New Roman" w:hAnsi="Times New Roman" w:cs="Times New Roman" w:eastAsia="Times New Roman" w:hint="default"/>
        </w:rPr>
        <w:t>1</w:t>
      </w:r>
      <w:r>
        <w:rPr/>
        <w:t>、存货的类别 存货分类为：原材料、包装物、库存商品、在产品、低值易耗品、发出商品、委托加工物资等。 </w:t>
      </w:r>
      <w:r>
        <w:rPr>
          <w:rFonts w:ascii="Times New Roman" w:hAnsi="Times New Roman" w:cs="Times New Roman" w:eastAsia="Times New Roman" w:hint="default"/>
        </w:rPr>
        <w:t>2</w:t>
      </w:r>
      <w:r>
        <w:rPr/>
        <w:t>、发出存货的计价方法</w:t>
      </w:r>
    </w:p>
    <w:p>
      <w:pPr>
        <w:pStyle w:val="BodyText"/>
        <w:spacing w:line="309" w:lineRule="auto" w:before="5"/>
        <w:ind w:left="513" w:right="2433"/>
        <w:jc w:val="left"/>
      </w:pPr>
      <w:r>
        <w:rPr/>
        <w:t>存货发出时按加权平均法计价。 </w:t>
      </w:r>
      <w:r>
        <w:rPr>
          <w:rFonts w:ascii="Times New Roman" w:hAnsi="Times New Roman" w:cs="Times New Roman" w:eastAsia="Times New Roman" w:hint="default"/>
        </w:rPr>
        <w:t>3</w:t>
      </w:r>
      <w:r>
        <w:rPr/>
        <w:t>、存货可变现净值的确定依据及存货跌价准备的计提方法 年末对存货进行全面清查后，按存货的成本与可变现净值孰低提取或调整存货跌价准备。</w:t>
      </w:r>
    </w:p>
    <w:p>
      <w:pPr>
        <w:pStyle w:val="BodyText"/>
        <w:spacing w:line="240" w:lineRule="auto" w:before="24"/>
        <w:ind w:left="513" w:right="0"/>
        <w:jc w:val="left"/>
      </w:pPr>
      <w:r>
        <w:rPr/>
        <w:t>产成品、库存商品和用于出售的材料等直接用于出售的商品存货，在正常生产经营过程中，以该存货的估计售价减去估</w:t>
      </w:r>
    </w:p>
    <w:p>
      <w:pPr>
        <w:pStyle w:val="BodyText"/>
        <w:spacing w:line="316" w:lineRule="auto" w:before="76"/>
        <w:ind w:right="190"/>
        <w:jc w:val="both"/>
      </w:pPr>
      <w:r>
        <w:rPr>
          <w:spacing w:val="-2"/>
        </w:rPr>
        <w:t>计的销售费用和相关税费后的金额，确定其可变现净值；需要经过加工的材料存货，在正常生产经营过程中，以所生产的产</w:t>
      </w:r>
      <w:r>
        <w:rPr>
          <w:spacing w:val="-64"/>
        </w:rPr>
        <w:t> </w:t>
      </w:r>
      <w:r>
        <w:rPr>
          <w:spacing w:val="-64"/>
        </w:rPr>
      </w:r>
      <w:r>
        <w:rPr>
          <w:spacing w:val="-2"/>
        </w:rPr>
        <w:t>成品的估计售价减去至完工时估计将要发生的成本、估计的销售费用和相关税费后的金额，确定其可变现净值；为执行销售</w:t>
      </w:r>
      <w:r>
        <w:rPr>
          <w:spacing w:val="-66"/>
        </w:rPr>
        <w:t> </w:t>
      </w:r>
      <w:r>
        <w:rPr>
          <w:spacing w:val="-66"/>
        </w:rPr>
      </w:r>
      <w:r>
        <w:rPr>
          <w:spacing w:val="-2"/>
        </w:rPr>
        <w:t>合同或者劳务合同而持有的存货，其可变现净值以合同价格为基础计算，若持有存货的数量多于销售合同订购数量的，超出</w:t>
      </w:r>
      <w:r>
        <w:rPr>
          <w:spacing w:val="-63"/>
        </w:rPr>
        <w:t> </w:t>
      </w:r>
      <w:r>
        <w:rPr>
          <w:spacing w:val="-63"/>
        </w:rPr>
      </w:r>
      <w:r>
        <w:rPr/>
        <w:t>部分的存货的可变现净值以一般销售价格为基础计算。</w:t>
      </w:r>
    </w:p>
    <w:p>
      <w:pPr>
        <w:pStyle w:val="BodyText"/>
        <w:spacing w:line="319" w:lineRule="auto" w:before="19"/>
        <w:ind w:right="190" w:firstLine="360"/>
        <w:jc w:val="both"/>
      </w:pPr>
      <w:r>
        <w:rPr>
          <w:spacing w:val="-2"/>
        </w:rPr>
        <w:t>年末按照单个存货项目计提存货跌价准备；但对于数量繁多、单价较低的存货，按照存货类别计提存货跌价准备；与在</w:t>
      </w:r>
      <w:r>
        <w:rPr/>
        <w:t> </w:t>
      </w:r>
      <w:r>
        <w:rPr>
          <w:spacing w:val="-2"/>
        </w:rPr>
        <w:t>同一地区生产和销售的产品系列相关、具有相同或类似最终用途或目的，且难以与其他项目分开计量的存货，则合并计提存</w:t>
      </w:r>
      <w:r>
        <w:rPr>
          <w:spacing w:val="-63"/>
        </w:rPr>
        <w:t> </w:t>
      </w:r>
      <w:r>
        <w:rPr>
          <w:spacing w:val="-63"/>
        </w:rPr>
      </w:r>
      <w:r>
        <w:rPr/>
        <w:t>货跌价准备。</w:t>
      </w:r>
    </w:p>
    <w:p>
      <w:pPr>
        <w:pStyle w:val="BodyText"/>
        <w:spacing w:line="316" w:lineRule="auto" w:before="17"/>
        <w:ind w:right="190" w:firstLine="360"/>
        <w:jc w:val="both"/>
      </w:pPr>
      <w:r>
        <w:rPr>
          <w:spacing w:val="-2"/>
        </w:rPr>
        <w:t>以前减记存货价值的影响因素已经消失的，减记的金额予以恢复，并在原已计提的存货跌价准备金额内转回，转回的金</w:t>
      </w:r>
      <w:r>
        <w:rPr/>
        <w:t> 额计入当期损益。</w:t>
      </w:r>
    </w:p>
    <w:p>
      <w:pPr>
        <w:pStyle w:val="BodyText"/>
        <w:spacing w:line="316" w:lineRule="auto" w:before="19"/>
        <w:ind w:left="513" w:right="453"/>
        <w:jc w:val="left"/>
      </w:pPr>
      <w:r>
        <w:rPr/>
        <w:t>除有明确证据表明资产负债表日市场价格异常外，存货项目的可变现净值以资产负债表日市场价格为基础确定。 资产负债表日市场价格异常的判断依据为：本年年末存货项目的可变现净值以资产负债表日市场价格为基础确定。 </w:t>
      </w:r>
      <w:r>
        <w:rPr>
          <w:rFonts w:ascii="Times New Roman" w:hAnsi="Times New Roman" w:cs="Times New Roman" w:eastAsia="Times New Roman" w:hint="default"/>
        </w:rPr>
        <w:t>4</w:t>
      </w:r>
      <w:r>
        <w:rPr/>
        <w:t>、存货的盘存制度</w:t>
      </w:r>
    </w:p>
    <w:p>
      <w:pPr>
        <w:pStyle w:val="BodyText"/>
        <w:spacing w:line="307" w:lineRule="auto"/>
        <w:ind w:left="513" w:right="6663"/>
        <w:jc w:val="left"/>
      </w:pPr>
      <w:r>
        <w:rPr/>
        <w:t>存货的盘存制度为永续盘存制。 </w:t>
      </w:r>
      <w:r>
        <w:rPr>
          <w:rFonts w:ascii="Times New Roman" w:hAnsi="Times New Roman" w:cs="Times New Roman" w:eastAsia="Times New Roman" w:hint="default"/>
        </w:rPr>
        <w:t>5</w:t>
      </w:r>
      <w:r>
        <w:rPr/>
        <w:t>、低值易耗品和包装物的摊销方法 </w:t>
      </w:r>
      <w:r>
        <w:rPr>
          <w:rFonts w:ascii="Times New Roman" w:hAnsi="Times New Roman" w:cs="Times New Roman" w:eastAsia="Times New Roman" w:hint="default"/>
        </w:rPr>
        <w:t>(1)</w:t>
      </w:r>
      <w:r>
        <w:rPr/>
        <w:t>低值易耗品 按照一次转销法进行摊销。 </w:t>
      </w:r>
      <w:r>
        <w:rPr>
          <w:rFonts w:ascii="Times New Roman" w:hAnsi="Times New Roman" w:cs="Times New Roman" w:eastAsia="Times New Roman" w:hint="default"/>
        </w:rPr>
        <w:t>(2)</w:t>
      </w:r>
      <w:r>
        <w:rPr/>
        <w:t>包装物 按照一次转销法进行摊销。</w:t>
      </w:r>
    </w:p>
    <w:p>
      <w:pPr>
        <w:spacing w:line="240" w:lineRule="auto" w:before="4"/>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13</w:t>
      </w:r>
      <w:r>
        <w:rPr/>
        <w:t>、持有待售资产</w:t>
      </w:r>
      <w:r>
        <w:rPr>
          <w:b w:val="0"/>
          <w:bCs w:val="0"/>
        </w:rPr>
      </w:r>
    </w:p>
    <w:p>
      <w:pPr>
        <w:spacing w:line="240" w:lineRule="auto" w:before="2"/>
        <w:rPr>
          <w:rFonts w:ascii="宋体" w:hAnsi="宋体" w:cs="宋体" w:eastAsia="宋体" w:hint="default"/>
          <w:b/>
          <w:bCs/>
          <w:sz w:val="26"/>
          <w:szCs w:val="26"/>
        </w:rPr>
      </w:pPr>
    </w:p>
    <w:p>
      <w:pPr>
        <w:pStyle w:val="BodyText"/>
        <w:spacing w:line="312" w:lineRule="auto"/>
        <w:ind w:right="190" w:firstLine="360"/>
        <w:jc w:val="both"/>
      </w:pPr>
      <w:r>
        <w:rPr>
          <w:spacing w:val="-1"/>
        </w:rPr>
        <w:t>本公司若主要通过出售</w:t>
      </w:r>
      <w:r>
        <w:rPr>
          <w:rFonts w:ascii="Times New Roman" w:hAnsi="Times New Roman" w:cs="Times New Roman" w:eastAsia="Times New Roman" w:hint="default"/>
          <w:spacing w:val="-1"/>
        </w:rPr>
        <w:t>(</w:t>
      </w:r>
      <w:r>
        <w:rPr>
          <w:spacing w:val="-1"/>
        </w:rPr>
        <w:t>包括具有商业实质的非货币性资产交换，下同</w:t>
      </w:r>
      <w:r>
        <w:rPr>
          <w:rFonts w:ascii="Times New Roman" w:hAnsi="Times New Roman" w:cs="Times New Roman" w:eastAsia="Times New Roman" w:hint="default"/>
          <w:spacing w:val="-1"/>
        </w:rPr>
        <w:t>)</w:t>
      </w:r>
      <w:r>
        <w:rPr>
          <w:spacing w:val="-1"/>
        </w:rPr>
        <w:t>而非持续使用一项非流动资产或处置组收回其账</w:t>
      </w:r>
      <w:r>
        <w:rPr/>
        <w:t> </w:t>
      </w:r>
      <w:r>
        <w:rPr>
          <w:spacing w:val="-2"/>
        </w:rPr>
        <w:t>面价值的，则将其划分为持有待售类别。具体标准为同时满足以下条件：某项非流动资产或处置组根据类似交易中出售此类</w:t>
      </w:r>
      <w:r>
        <w:rPr>
          <w:spacing w:val="-63"/>
        </w:rPr>
        <w:t> </w:t>
      </w:r>
      <w:r>
        <w:rPr>
          <w:spacing w:val="-63"/>
        </w:rPr>
      </w:r>
      <w:r>
        <w:rPr>
          <w:spacing w:val="-2"/>
        </w:rPr>
        <w:t>资产或处置组的惯例，在当前状况下即可立即出售；本公司已经就出售计划作出决议且获得确定的购买承诺；预计出售将在</w:t>
      </w:r>
      <w:r>
        <w:rPr>
          <w:spacing w:val="-63"/>
        </w:rPr>
        <w:t> </w:t>
      </w:r>
      <w:r>
        <w:rPr>
          <w:spacing w:val="-63"/>
        </w:rPr>
      </w:r>
      <w:r>
        <w:rPr>
          <w:spacing w:val="-2"/>
        </w:rPr>
        <w:t>一年内完成。其中，处置组是指在一项交易中作为整体通过出售或其他方式一并处置的一组资产，以及在该交易中转让的与</w:t>
      </w:r>
      <w:r>
        <w:rPr>
          <w:spacing w:val="-66"/>
        </w:rPr>
        <w:t> </w:t>
      </w:r>
      <w:r>
        <w:rPr>
          <w:spacing w:val="-66"/>
        </w:rPr>
      </w:r>
      <w:r>
        <w:rPr/>
        <w:t>这些资产直接相关的负债。处置组所属的资产组或资产组组合按照《企业会计准则第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t>号</w:t>
      </w:r>
      <w:r>
        <w:rPr>
          <w:rFonts w:ascii="Times New Roman" w:hAnsi="Times New Roman" w:cs="Times New Roman" w:eastAsia="Times New Roman" w:hint="default"/>
        </w:rPr>
        <w:t>——</w:t>
      </w:r>
      <w:r>
        <w:rPr/>
        <w:t>资产减值》分摊了企业合并 中取得的商誉的，该处置组应当包含分摊至处置组的商誉。</w:t>
      </w:r>
    </w:p>
    <w:p>
      <w:pPr>
        <w:pStyle w:val="BodyText"/>
        <w:spacing w:line="316" w:lineRule="auto" w:before="22"/>
        <w:ind w:right="94" w:firstLine="360"/>
        <w:jc w:val="left"/>
      </w:pPr>
      <w:r>
        <w:rPr>
          <w:spacing w:val="-2"/>
        </w:rPr>
        <w:t>本公司初始计量或在资产负债表日重新计量划分为持有待售的非流动资产和处置组时，其账面价值高于公允价值减去出</w:t>
      </w:r>
      <w:r>
        <w:rPr/>
        <w:t> 售费用后的净额的，将账面价值减记至公允价值减去出售费用后的净额，减记的金额确认为资产减值损失，计入当期损益，</w:t>
      </w:r>
      <w:r>
        <w:rPr>
          <w:spacing w:val="-85"/>
        </w:rPr>
        <w:t> </w:t>
      </w:r>
      <w:r>
        <w:rPr>
          <w:spacing w:val="-85"/>
        </w:rPr>
      </w:r>
      <w:r>
        <w:rPr>
          <w:spacing w:val="-2"/>
        </w:rPr>
        <w:t>同时计提持有待售资产减值准备。对于处置组，所确认的资产减值损失先抵减处置组中商誉的账面价值，再按比例抵减该处</w:t>
      </w:r>
      <w:r>
        <w:rPr>
          <w:spacing w:val="-66"/>
        </w:rPr>
        <w:t> </w:t>
      </w:r>
      <w:r>
        <w:rPr>
          <w:spacing w:val="-66"/>
        </w:rPr>
      </w:r>
      <w:r>
        <w:rPr/>
        <w:t>置组内适用《企业会计准则第</w:t>
      </w:r>
      <w:r>
        <w:rPr>
          <w:rFonts w:ascii="Times New Roman" w:hAnsi="Times New Roman" w:cs="Times New Roman" w:eastAsia="Times New Roman" w:hint="default"/>
        </w:rPr>
        <w:t>42</w:t>
      </w:r>
      <w:r>
        <w:rPr/>
        <w:t>号</w:t>
      </w:r>
      <w:r>
        <w:rPr>
          <w:rFonts w:ascii="Times New Roman" w:hAnsi="Times New Roman" w:cs="Times New Roman" w:eastAsia="Times New Roman" w:hint="default"/>
        </w:rPr>
        <w:t>——</w:t>
      </w:r>
      <w:r>
        <w:rPr/>
        <w:t>持有待售的非流动资产、处置组和终止经营》</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持有待售准则</w:t>
      </w:r>
      <w:r>
        <w:rPr>
          <w:rFonts w:ascii="Times New Roman" w:hAnsi="Times New Roman" w:cs="Times New Roman" w:eastAsia="Times New Roman" w:hint="default"/>
        </w:rPr>
        <w:t>”)</w:t>
      </w:r>
      <w:r>
        <w:rPr/>
        <w:t>的计量规定 </w:t>
      </w:r>
      <w:r>
        <w:rPr>
          <w:spacing w:val="-2"/>
        </w:rPr>
        <w:t>的各项非流动资产的账面价值。后续资产负债表日持有待售的处置组公允价值减去出售费用后的净额增加的，以前减记的金</w:t>
      </w:r>
      <w:r>
        <w:rPr>
          <w:spacing w:val="-64"/>
        </w:rPr>
        <w:t> </w:t>
      </w:r>
      <w:r>
        <w:rPr>
          <w:spacing w:val="-64"/>
        </w:rPr>
      </w:r>
      <w:r>
        <w:rPr>
          <w:spacing w:val="-2"/>
        </w:rPr>
        <w:t>额应当予以恢复，并在划分为持有待售类别后适用持有待售准则计量规定的非流动资产确认的资产减值损失金额内转回，转</w:t>
      </w:r>
      <w:r>
        <w:rPr>
          <w:spacing w:val="-64"/>
        </w:rPr>
        <w:t> </w:t>
      </w:r>
      <w:r>
        <w:rPr>
          <w:spacing w:val="-64"/>
        </w:rPr>
      </w:r>
      <w:r>
        <w:rPr>
          <w:spacing w:val="-2"/>
        </w:rPr>
        <w:t>回金额计入当期损益，并根据处置组中除商誉外适用持有待售准则计量规定的各项非流动资产账面价值所占比重按比例增加</w:t>
      </w:r>
      <w:r>
        <w:rPr>
          <w:spacing w:val="-64"/>
        </w:rPr>
        <w:t> </w:t>
      </w:r>
      <w:r>
        <w:rPr>
          <w:spacing w:val="-64"/>
        </w:rPr>
      </w:r>
      <w:r>
        <w:rPr>
          <w:spacing w:val="-2"/>
        </w:rPr>
        <w:t>其账面价值；已抵减的商誉账面价值，以及适用持有待售准则计量规定的非流动资产在划分为持有待售类别前确认的资产减</w:t>
      </w:r>
      <w:r>
        <w:rPr>
          <w:spacing w:val="-64"/>
        </w:rPr>
        <w:t> </w:t>
      </w:r>
      <w:r>
        <w:rPr>
          <w:spacing w:val="-64"/>
        </w:rPr>
      </w:r>
      <w:r>
        <w:rPr/>
        <w:t>值损失不得转回。</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78" w:firstLine="360"/>
        <w:jc w:val="left"/>
      </w:pPr>
      <w:r>
        <w:rPr>
          <w:spacing w:val="-2"/>
        </w:rPr>
        <w:t>持有待售的非流动资产或处置组中的非流动资产不计提折旧或摊销，持有待售的处置组中负债的利息和其他费用继续予</w:t>
      </w:r>
      <w:r>
        <w:rPr/>
        <w:t> 以确认。</w:t>
      </w:r>
    </w:p>
    <w:p>
      <w:pPr>
        <w:pStyle w:val="BodyText"/>
        <w:spacing w:line="309" w:lineRule="auto" w:before="17"/>
        <w:ind w:right="178" w:firstLine="360"/>
        <w:jc w:val="left"/>
      </w:pPr>
      <w:r>
        <w:rPr>
          <w:spacing w:val="-2"/>
        </w:rPr>
        <w:t>非流动资产或处置组不再满足持有待售类别的划分条件时，本公司不再将其继续划分为持有待售类别或将非流动资产从</w:t>
      </w:r>
      <w:r>
        <w:rPr/>
        <w:t> 持有待售的处置组中移除，并按照以下两者孰低计量：</w:t>
      </w:r>
      <w:r>
        <w:rPr>
          <w:rFonts w:ascii="Times New Roman" w:hAnsi="Times New Roman" w:cs="Times New Roman" w:eastAsia="Times New Roman" w:hint="default"/>
        </w:rPr>
        <w:t>(1)</w:t>
      </w:r>
      <w:r>
        <w:rPr/>
        <w:t>划分为持有待售类别前的账面价值，按照假定不划分为持有待售 类别情况下本应确认的折旧、摊销或减值等进行调整后的金额；</w:t>
      </w:r>
      <w:r>
        <w:rPr>
          <w:rFonts w:ascii="Times New Roman" w:hAnsi="Times New Roman" w:cs="Times New Roman" w:eastAsia="Times New Roman" w:hint="default"/>
        </w:rPr>
        <w:t>(2)</w:t>
      </w:r>
      <w:r>
        <w:rPr/>
        <w:t>可收回金额。</w:t>
      </w:r>
    </w:p>
    <w:p>
      <w:pPr>
        <w:spacing w:line="240" w:lineRule="auto" w:before="10"/>
        <w:rPr>
          <w:rFonts w:ascii="宋体" w:hAnsi="宋体" w:cs="宋体" w:eastAsia="宋体" w:hint="default"/>
          <w:sz w:val="21"/>
          <w:szCs w:val="21"/>
        </w:rPr>
      </w:pPr>
    </w:p>
    <w:p>
      <w:pPr>
        <w:pStyle w:val="Heading3"/>
        <w:spacing w:line="240" w:lineRule="auto"/>
        <w:ind w:right="6754"/>
        <w:jc w:val="left"/>
        <w:rPr>
          <w:b w:val="0"/>
          <w:bCs w:val="0"/>
        </w:rPr>
      </w:pP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78"/>
        <w:jc w:val="left"/>
      </w:pPr>
      <w:r>
        <w:rPr>
          <w:rFonts w:ascii="宋体" w:hAnsi="宋体" w:cs="宋体" w:eastAsia="宋体" w:hint="default"/>
        </w:rPr>
        <w:t>1</w:t>
      </w:r>
      <w:r>
        <w:rPr/>
        <w:t>、共同控制、重大影响的判断标准</w:t>
      </w:r>
      <w:r>
        <w:rPr>
          <w:rFonts w:ascii="宋体" w:hAnsi="宋体" w:cs="宋体" w:eastAsia="宋体" w:hint="default"/>
        </w:rPr>
        <w:t> </w:t>
      </w:r>
      <w:r>
        <w:rPr>
          <w:spacing w:val="-2"/>
        </w:rPr>
        <w:t>本部分所指的长期股权投资是指本公司对被投资单位具有控制、共同控制或重大影响的长期股权投资。本公司对被投资</w:t>
      </w:r>
    </w:p>
    <w:p>
      <w:pPr>
        <w:pStyle w:val="BodyText"/>
        <w:spacing w:line="316" w:lineRule="auto" w:before="19"/>
        <w:ind w:right="178"/>
        <w:jc w:val="left"/>
        <w:rPr>
          <w:rFonts w:ascii="宋体" w:hAnsi="宋体" w:cs="宋体" w:eastAsia="宋体" w:hint="default"/>
        </w:rPr>
      </w:pPr>
      <w:r>
        <w:rPr>
          <w:spacing w:val="-2"/>
        </w:rPr>
        <w:t>单位不具有控制、共同控制或重大影响的长期股权投资，作为可供出售金融资产或以公允价值计量且其变动计入当期损益的</w:t>
      </w:r>
      <w:r>
        <w:rPr>
          <w:spacing w:val="-64"/>
        </w:rPr>
        <w:t> </w:t>
      </w:r>
      <w:r>
        <w:rPr>
          <w:spacing w:val="-64"/>
        </w:rPr>
      </w:r>
      <w:r>
        <w:rPr/>
        <w:t>金融资产核算，其会计政策详见附注三、九“金融工具”。</w:t>
      </w:r>
      <w:r>
        <w:rPr>
          <w:rFonts w:ascii="宋体" w:hAnsi="宋体" w:cs="宋体" w:eastAsia="宋体" w:hint="default"/>
        </w:rPr>
        <w:t> </w:t>
      </w:r>
    </w:p>
    <w:p>
      <w:pPr>
        <w:pStyle w:val="BodyText"/>
        <w:spacing w:line="319" w:lineRule="auto" w:before="19"/>
        <w:ind w:right="190" w:firstLine="360"/>
        <w:jc w:val="both"/>
        <w:rPr>
          <w:rFonts w:ascii="宋体" w:hAnsi="宋体" w:cs="宋体" w:eastAsia="宋体" w:hint="default"/>
        </w:rPr>
      </w:pPr>
      <w:r>
        <w:rPr>
          <w:spacing w:val="-2"/>
        </w:rPr>
        <w:t>共同控制，是指本公司按照相关约定对某项安排所共有的控制，并且该安排的相关活动必须经过分享控制权的参与方一</w:t>
      </w:r>
      <w:r>
        <w:rPr/>
        <w:t> </w:t>
      </w:r>
      <w:r>
        <w:rPr>
          <w:spacing w:val="-2"/>
        </w:rPr>
        <w:t>致同意后才能决策。重大影响，是指本公司对被投资单位的财务和经营政策有参与决策的权力，但并不能够控制或者与其他</w:t>
      </w:r>
      <w:r>
        <w:rPr>
          <w:spacing w:val="-63"/>
        </w:rPr>
        <w:t> </w:t>
      </w:r>
      <w:r>
        <w:rPr>
          <w:spacing w:val="-63"/>
        </w:rPr>
      </w:r>
      <w:r>
        <w:rPr/>
        <w:t>方一起共同控制这些政策的制定。</w:t>
      </w:r>
      <w:r>
        <w:rPr>
          <w:rFonts w:ascii="宋体" w:hAnsi="宋体" w:cs="宋体" w:eastAsia="宋体" w:hint="default"/>
        </w:rPr>
        <w:t> </w:t>
      </w:r>
    </w:p>
    <w:p>
      <w:pPr>
        <w:pStyle w:val="BodyText"/>
        <w:spacing w:line="240" w:lineRule="auto" w:before="17"/>
        <w:ind w:left="513" w:right="6754"/>
        <w:jc w:val="left"/>
        <w:rPr>
          <w:rFonts w:ascii="宋体" w:hAnsi="宋体" w:cs="宋体" w:eastAsia="宋体" w:hint="default"/>
        </w:rPr>
      </w:pPr>
      <w:r>
        <w:rPr>
          <w:rFonts w:ascii="宋体" w:hAnsi="宋体" w:cs="宋体" w:eastAsia="宋体" w:hint="default"/>
        </w:rPr>
        <w:t>2</w:t>
      </w:r>
      <w:r>
        <w:rPr/>
        <w:t>、初始投资成本的确定</w:t>
      </w:r>
      <w:r>
        <w:rPr>
          <w:rFonts w:ascii="宋体" w:hAnsi="宋体" w:cs="宋体" w:eastAsia="宋体" w:hint="default"/>
        </w:rPr>
        <w:t> </w:t>
      </w:r>
    </w:p>
    <w:p>
      <w:pPr>
        <w:pStyle w:val="BodyText"/>
        <w:spacing w:line="316" w:lineRule="auto" w:before="76"/>
        <w:ind w:right="94" w:firstLine="360"/>
        <w:jc w:val="left"/>
        <w:rPr>
          <w:rFonts w:ascii="宋体" w:hAnsi="宋体" w:cs="宋体" w:eastAsia="宋体" w:hint="default"/>
        </w:rPr>
      </w:pPr>
      <w:r>
        <w:rPr>
          <w:rFonts w:ascii="宋体" w:hAnsi="宋体" w:cs="宋体" w:eastAsia="宋体" w:hint="default"/>
        </w:rPr>
        <w:t>(1)</w:t>
      </w:r>
      <w:r>
        <w:rPr>
          <w:rFonts w:ascii="宋体" w:hAnsi="宋体" w:cs="宋体" w:eastAsia="宋体" w:hint="default"/>
          <w:spacing w:val="8"/>
        </w:rPr>
        <w:t> </w:t>
      </w:r>
      <w:r>
        <w:rPr>
          <w:spacing w:val="-2"/>
        </w:rPr>
        <w:t>对于同一控制下的企业合并取得的长期股权投资，在合并日按照被合并方在最终控制方合并财务报表中的账面价值</w:t>
      </w:r>
      <w:r>
        <w:rPr/>
        <w:t> </w:t>
      </w:r>
      <w:r>
        <w:rPr>
          <w:spacing w:val="-2"/>
        </w:rPr>
        <w:t>的份额作为长期股权投资的初始投资成本。长期股权投资初始投资成本与支付的现金、转让的非现金资产以及所承担债务账</w:t>
      </w:r>
      <w:r>
        <w:rPr>
          <w:spacing w:val="-64"/>
        </w:rPr>
        <w:t> </w:t>
      </w:r>
      <w:r>
        <w:rPr>
          <w:spacing w:val="-64"/>
        </w:rPr>
      </w:r>
      <w:r>
        <w:rPr>
          <w:spacing w:val="-2"/>
        </w:rPr>
        <w:t>面价值之间的差额，调整资本公积；资本公积不足冲减的，调整留存收益。以发行权益性证券作为合并对价的，在合并日按</w:t>
      </w:r>
      <w:r>
        <w:rPr>
          <w:spacing w:val="-66"/>
        </w:rPr>
        <w:t> </w:t>
      </w:r>
      <w:r>
        <w:rPr>
          <w:spacing w:val="-66"/>
        </w:rPr>
      </w:r>
      <w:r>
        <w:rPr>
          <w:spacing w:val="-2"/>
        </w:rPr>
        <w:t>照被合并方在最终控制方合并财务报表中的账面价值的份额作为长期股权投资的初始投资成本，按照发行股份的面值总额作</w:t>
      </w:r>
      <w:r>
        <w:rPr>
          <w:spacing w:val="-64"/>
        </w:rPr>
        <w:t> </w:t>
      </w:r>
      <w:r>
        <w:rPr>
          <w:spacing w:val="-64"/>
        </w:rPr>
      </w:r>
      <w:r>
        <w:rPr>
          <w:spacing w:val="-2"/>
        </w:rPr>
        <w:t>为股本，长期股权投资初始投资成本与所发行股份面值总额之间的差额，调整资本公积；资本公积不足冲减的，调整留存收</w:t>
      </w:r>
      <w:r>
        <w:rPr>
          <w:spacing w:val="-64"/>
        </w:rPr>
        <w:t> </w:t>
      </w:r>
      <w:r>
        <w:rPr>
          <w:spacing w:val="-64"/>
        </w:rPr>
      </w:r>
      <w:r>
        <w:rPr/>
        <w:t>益。通过多次交易分步取得同一控制下被合并方的股权，最终形成同一控制下企业合并的，应分别是否属于“一揽子交易”</w:t>
      </w:r>
      <w:r>
        <w:rPr>
          <w:spacing w:val="-86"/>
        </w:rPr>
        <w:t> </w:t>
      </w:r>
      <w:r>
        <w:rPr>
          <w:spacing w:val="-86"/>
        </w:rPr>
      </w:r>
      <w:r>
        <w:rPr>
          <w:spacing w:val="-2"/>
        </w:rPr>
        <w:t>进行处理：属于“一揽子交易”的，将各项交易作为一项取得控制权的交易进行会计处理。不属于“一揽子交易”的，在合</w:t>
      </w:r>
      <w:r>
        <w:rPr>
          <w:spacing w:val="-65"/>
        </w:rPr>
        <w:t> </w:t>
      </w:r>
      <w:r>
        <w:rPr>
          <w:spacing w:val="-65"/>
        </w:rPr>
      </w:r>
      <w:r>
        <w:rPr>
          <w:spacing w:val="-2"/>
        </w:rPr>
        <w:t>并日按照应享有被合并方在最终控制方合并财务报表中的账面价值的份额作为长期股权投资的初始投资成本，长期股权投资</w:t>
      </w:r>
      <w:r>
        <w:rPr>
          <w:spacing w:val="-63"/>
        </w:rPr>
        <w:t> </w:t>
      </w:r>
      <w:r>
        <w:rPr>
          <w:spacing w:val="-63"/>
        </w:rPr>
      </w:r>
      <w:r>
        <w:rPr>
          <w:spacing w:val="-2"/>
        </w:rPr>
        <w:t>初始投资成本与达到合并前的长期股权投资账面价值加上合并日进一步取得股份新支付对价的账面价值之和的差额，调整资</w:t>
      </w:r>
      <w:r>
        <w:rPr>
          <w:spacing w:val="-64"/>
        </w:rPr>
        <w:t> </w:t>
      </w:r>
      <w:r>
        <w:rPr>
          <w:spacing w:val="-64"/>
        </w:rPr>
      </w:r>
      <w:r>
        <w:rPr>
          <w:spacing w:val="-2"/>
        </w:rPr>
        <w:t>本公积；资本公积不足冲减的，调整留存收益。合并日之前持有的股权投资因采用权益法核算或为可供出售金融资产而确认</w:t>
      </w:r>
      <w:r>
        <w:rPr>
          <w:spacing w:val="-66"/>
        </w:rPr>
        <w:t> </w:t>
      </w:r>
      <w:r>
        <w:rPr>
          <w:spacing w:val="-66"/>
        </w:rPr>
      </w:r>
      <w:r>
        <w:rPr/>
        <w:t>的其他综合收益，暂不进行会计处理。</w:t>
      </w:r>
      <w:r>
        <w:rPr>
          <w:rFonts w:ascii="宋体" w:hAnsi="宋体" w:cs="宋体" w:eastAsia="宋体" w:hint="default"/>
        </w:rPr>
        <w:t> </w:t>
      </w:r>
    </w:p>
    <w:p>
      <w:pPr>
        <w:pStyle w:val="BodyText"/>
        <w:spacing w:line="316" w:lineRule="auto" w:before="19"/>
        <w:ind w:right="190" w:firstLine="360"/>
        <w:jc w:val="both"/>
        <w:rPr>
          <w:rFonts w:ascii="宋体" w:hAnsi="宋体" w:cs="宋体" w:eastAsia="宋体" w:hint="default"/>
        </w:rPr>
      </w:pPr>
      <w:r>
        <w:rPr>
          <w:rFonts w:ascii="宋体" w:hAnsi="宋体" w:cs="宋体" w:eastAsia="宋体" w:hint="default"/>
        </w:rPr>
        <w:t>(2)</w:t>
      </w:r>
      <w:r>
        <w:rPr/>
        <w:t>对于非同一控制下的企业合并取得的长期股权投资，在购买日按照合并成本作为长期股权投资的初始投资成本，合 </w:t>
      </w:r>
      <w:r>
        <w:rPr>
          <w:spacing w:val="-2"/>
        </w:rPr>
        <w:t>并成本包括购买方付出的资产、发生或承担的负债、发行的权益性证券的公允价值之和。通过多次交易分步取得被购买方的</w:t>
      </w:r>
      <w:r>
        <w:rPr>
          <w:spacing w:val="-66"/>
        </w:rPr>
        <w:t> </w:t>
      </w:r>
      <w:r>
        <w:rPr>
          <w:spacing w:val="-66"/>
        </w:rPr>
      </w:r>
      <w:r>
        <w:rPr>
          <w:spacing w:val="-2"/>
        </w:rPr>
        <w:t>股权，最终形成非同一控制下的企业合并的，应分别是否属于“一揽子交易”进行处理：属于“一揽子交易”的，将各项交</w:t>
      </w:r>
      <w:r>
        <w:rPr>
          <w:spacing w:val="-68"/>
        </w:rPr>
        <w:t> </w:t>
      </w:r>
      <w:r>
        <w:rPr>
          <w:spacing w:val="-68"/>
        </w:rPr>
      </w:r>
      <w:r>
        <w:rPr>
          <w:spacing w:val="-2"/>
        </w:rPr>
        <w:t>易作为一项取得控制权的交易进行会计处理。不属于“一揽子交易”的，按照原持有被购买方的股权投资账面价值加上新增</w:t>
      </w:r>
      <w:r>
        <w:rPr>
          <w:spacing w:val="-66"/>
        </w:rPr>
        <w:t> </w:t>
      </w:r>
      <w:r>
        <w:rPr>
          <w:spacing w:val="-66"/>
        </w:rPr>
      </w:r>
      <w:r>
        <w:rPr>
          <w:spacing w:val="-2"/>
        </w:rPr>
        <w:t>投资成本之和，作为改按成本法核算的长期股权投资的初始投资成本。原持有的股权采用权益法核算的，相关其他综合收益</w:t>
      </w:r>
      <w:r>
        <w:rPr>
          <w:spacing w:val="-63"/>
        </w:rPr>
        <w:t> </w:t>
      </w:r>
      <w:r>
        <w:rPr>
          <w:spacing w:val="-63"/>
        </w:rPr>
      </w:r>
      <w:r>
        <w:rPr>
          <w:spacing w:val="-2"/>
        </w:rPr>
        <w:t>暂不进行会计处理。原持有股权投资为可供出售金融资产的，其公允价值与账面价值之间的差额，以及原计入其他综合收益</w:t>
      </w:r>
      <w:r>
        <w:rPr>
          <w:spacing w:val="-63"/>
        </w:rPr>
        <w:t> </w:t>
      </w:r>
      <w:r>
        <w:rPr>
          <w:spacing w:val="-63"/>
        </w:rPr>
      </w:r>
      <w:r>
        <w:rPr/>
        <w:t>的累计公允价值变动转入当期损益。</w:t>
      </w:r>
      <w:r>
        <w:rPr>
          <w:rFonts w:ascii="宋体" w:hAnsi="宋体" w:cs="宋体" w:eastAsia="宋体" w:hint="default"/>
        </w:rPr>
        <w:t> </w:t>
      </w:r>
    </w:p>
    <w:p>
      <w:pPr>
        <w:pStyle w:val="BodyText"/>
        <w:spacing w:line="316" w:lineRule="auto" w:before="19"/>
        <w:ind w:right="178" w:firstLine="360"/>
        <w:jc w:val="left"/>
        <w:rPr>
          <w:rFonts w:ascii="宋体" w:hAnsi="宋体" w:cs="宋体" w:eastAsia="宋体" w:hint="default"/>
        </w:rPr>
      </w:pPr>
      <w:r>
        <w:rPr>
          <w:spacing w:val="-2"/>
        </w:rPr>
        <w:t>合并方或购买方为企业合并发生的审计、法律服务、评估咨询等中介费用以及其他相关管理费用，于发生时计入当期损</w:t>
      </w:r>
      <w:r>
        <w:rPr/>
        <w:t> 益。</w:t>
      </w:r>
      <w:r>
        <w:rPr>
          <w:rFonts w:ascii="宋体" w:hAnsi="宋体" w:cs="宋体" w:eastAsia="宋体" w:hint="default"/>
        </w:rPr>
        <w:t> </w:t>
      </w:r>
    </w:p>
    <w:p>
      <w:pPr>
        <w:pStyle w:val="BodyText"/>
        <w:spacing w:line="319" w:lineRule="auto" w:before="16"/>
        <w:ind w:right="94" w:firstLine="360"/>
        <w:jc w:val="left"/>
        <w:rPr>
          <w:rFonts w:ascii="宋体" w:hAnsi="宋体" w:cs="宋体" w:eastAsia="宋体" w:hint="default"/>
        </w:rPr>
      </w:pPr>
      <w:r>
        <w:rPr>
          <w:spacing w:val="-2"/>
        </w:rPr>
        <w:t>除企业合并形成的长期股权投资外的其他股权投资，按成本进行初始计量，该成本视长期股权投资取得方式的不同，分</w:t>
      </w:r>
      <w:r>
        <w:rPr/>
        <w:t> </w:t>
      </w:r>
      <w:r>
        <w:rPr>
          <w:spacing w:val="-2"/>
        </w:rPr>
        <w:t>别按照本公司实际支付的现金购买价款、本公司发行的权益性证券的公允价值、投资合同或协议约定的价值、非货币性资产</w:t>
      </w:r>
      <w:r>
        <w:rPr>
          <w:spacing w:val="-63"/>
        </w:rPr>
        <w:t> </w:t>
      </w:r>
      <w:r>
        <w:rPr>
          <w:spacing w:val="-63"/>
        </w:rPr>
      </w:r>
      <w:r>
        <w:rPr>
          <w:spacing w:val="-2"/>
        </w:rPr>
        <w:t>交换交易中换出资产的公允价值或原账面价值、该项长期股权投资自身的公允价值等方式确定。与取得长期股权投资直接相</w:t>
      </w:r>
      <w:r>
        <w:rPr>
          <w:spacing w:val="-64"/>
        </w:rPr>
        <w:t> </w:t>
      </w:r>
      <w:r>
        <w:rPr>
          <w:spacing w:val="-64"/>
        </w:rPr>
      </w:r>
      <w:r>
        <w:rPr/>
        <w:t>关的费用、税金及其他必要支出也计入投资成本。对于因能够对被投资单位实施重大影响或实施共同控制但不构成控制的，</w:t>
      </w:r>
      <w:r>
        <w:rPr>
          <w:spacing w:val="-86"/>
        </w:rPr>
        <w:t> </w:t>
      </w:r>
      <w:r>
        <w:rPr>
          <w:spacing w:val="-86"/>
        </w:rPr>
      </w:r>
      <w:r>
        <w:rPr>
          <w:spacing w:val="-2"/>
        </w:rPr>
        <w:t>长期股权投资成本为按照《企业会计准则第</w:t>
      </w:r>
      <w:r>
        <w:rPr>
          <w:rFonts w:ascii="宋体" w:hAnsi="宋体" w:cs="宋体" w:eastAsia="宋体" w:hint="default"/>
          <w:spacing w:val="-2"/>
        </w:rPr>
        <w:t>22</w:t>
      </w:r>
      <w:r>
        <w:rPr>
          <w:spacing w:val="-2"/>
        </w:rPr>
        <w:t>号——金融工具确认和计量》确定的原持有股权投资的公允价值加上新增投资</w:t>
      </w:r>
      <w:r>
        <w:rPr>
          <w:spacing w:val="-63"/>
        </w:rPr>
        <w:t> </w:t>
      </w:r>
      <w:r>
        <w:rPr>
          <w:spacing w:val="-63"/>
        </w:rPr>
      </w:r>
      <w:r>
        <w:rPr/>
        <w:t>成本之和。</w:t>
      </w:r>
      <w:r>
        <w:rPr>
          <w:rFonts w:ascii="宋体" w:hAnsi="宋体" w:cs="宋体" w:eastAsia="宋体" w:hint="default"/>
        </w:rPr>
        <w:t> </w:t>
      </w:r>
    </w:p>
    <w:p>
      <w:pPr>
        <w:pStyle w:val="BodyText"/>
        <w:spacing w:line="316" w:lineRule="auto" w:before="17"/>
        <w:ind w:left="513" w:right="178"/>
        <w:jc w:val="left"/>
      </w:pPr>
      <w:r>
        <w:rPr>
          <w:rFonts w:ascii="宋体" w:hAnsi="宋体" w:cs="宋体" w:eastAsia="宋体" w:hint="default"/>
        </w:rPr>
        <w:t>3</w:t>
      </w:r>
      <w:r>
        <w:rPr/>
        <w:t>、后续计量及损益确认方法</w:t>
      </w:r>
      <w:r>
        <w:rPr>
          <w:rFonts w:ascii="宋体" w:hAnsi="宋体" w:cs="宋体" w:eastAsia="宋体" w:hint="default"/>
        </w:rPr>
        <w:t> </w:t>
      </w:r>
      <w:r>
        <w:rPr>
          <w:spacing w:val="-2"/>
        </w:rPr>
        <w:t>对被投资单位具有共同控制</w:t>
      </w:r>
      <w:r>
        <w:rPr>
          <w:rFonts w:ascii="宋体" w:hAnsi="宋体" w:cs="宋体" w:eastAsia="宋体" w:hint="default"/>
          <w:spacing w:val="-2"/>
        </w:rPr>
        <w:t>(</w:t>
      </w:r>
      <w:r>
        <w:rPr>
          <w:spacing w:val="-2"/>
        </w:rPr>
        <w:t>构成共同经营者除外</w:t>
      </w:r>
      <w:r>
        <w:rPr>
          <w:rFonts w:ascii="宋体" w:hAnsi="宋体" w:cs="宋体" w:eastAsia="宋体" w:hint="default"/>
          <w:spacing w:val="-2"/>
        </w:rPr>
        <w:t>)</w:t>
      </w:r>
      <w:r>
        <w:rPr>
          <w:spacing w:val="-2"/>
        </w:rPr>
        <w:t>或重大影响的长期股权投资，采用权益法核算。此外，公司财务报表</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left="513" w:right="4305" w:hanging="361"/>
        <w:jc w:val="left"/>
        <w:rPr>
          <w:rFonts w:ascii="宋体" w:hAnsi="宋体" w:cs="宋体" w:eastAsia="宋体" w:hint="default"/>
        </w:rPr>
      </w:pPr>
      <w:r>
        <w:rPr/>
        <w:t>采用成本法核算能够对被投资单位实施控制的长期股权投资。</w:t>
      </w:r>
      <w:r>
        <w:rPr>
          <w:rFonts w:ascii="宋体" w:hAnsi="宋体" w:cs="宋体" w:eastAsia="宋体" w:hint="default"/>
        </w:rPr>
        <w:t> (1)</w:t>
      </w:r>
      <w:r>
        <w:rPr/>
        <w:t>成本法核算的长期股权投资</w:t>
      </w:r>
      <w:r>
        <w:rPr>
          <w:rFonts w:ascii="宋体" w:hAnsi="宋体" w:cs="宋体" w:eastAsia="宋体" w:hint="default"/>
        </w:rPr>
        <w:t> </w:t>
      </w:r>
    </w:p>
    <w:p>
      <w:pPr>
        <w:pStyle w:val="BodyText"/>
        <w:spacing w:line="316" w:lineRule="auto" w:before="17"/>
        <w:ind w:right="190" w:firstLine="360"/>
        <w:jc w:val="both"/>
        <w:rPr>
          <w:rFonts w:ascii="宋体" w:hAnsi="宋体" w:cs="宋体" w:eastAsia="宋体" w:hint="default"/>
        </w:rPr>
      </w:pPr>
      <w:r>
        <w:rPr>
          <w:spacing w:val="-2"/>
        </w:rPr>
        <w:t>采用成本法核算时，长期股权投资按初始投资成本计价，追加或收回投资调整长期股权投资的成本。除取得投资时实际</w:t>
      </w:r>
      <w:r>
        <w:rPr/>
        <w:t> </w:t>
      </w:r>
      <w:r>
        <w:rPr>
          <w:spacing w:val="-2"/>
        </w:rPr>
        <w:t>支付的价款或者对价中包含的已宣告但尚未发放的现金股利或者利润外，当期投资收益按照享有被投资单位宣告发放的现金</w:t>
      </w:r>
      <w:r>
        <w:rPr>
          <w:spacing w:val="-64"/>
        </w:rPr>
        <w:t> </w:t>
      </w:r>
      <w:r>
        <w:rPr>
          <w:spacing w:val="-64"/>
        </w:rPr>
      </w:r>
      <w:r>
        <w:rPr/>
        <w:t>股利或利润确认。</w:t>
      </w:r>
      <w:r>
        <w:rPr>
          <w:rFonts w:ascii="宋体" w:hAnsi="宋体" w:cs="宋体" w:eastAsia="宋体" w:hint="default"/>
        </w:rPr>
        <w:t> </w:t>
      </w:r>
    </w:p>
    <w:p>
      <w:pPr>
        <w:pStyle w:val="BodyText"/>
        <w:spacing w:line="316" w:lineRule="auto" w:before="19"/>
        <w:ind w:left="513" w:right="178"/>
        <w:jc w:val="left"/>
      </w:pPr>
      <w:r>
        <w:rPr>
          <w:rFonts w:ascii="宋体" w:hAnsi="宋体" w:cs="宋体" w:eastAsia="宋体" w:hint="default"/>
        </w:rPr>
        <w:t>(2)</w:t>
      </w:r>
      <w:r>
        <w:rPr/>
        <w:t>权益法核算的长期股权投资</w:t>
      </w:r>
      <w:r>
        <w:rPr>
          <w:rFonts w:ascii="宋体" w:hAnsi="宋体" w:cs="宋体" w:eastAsia="宋体" w:hint="default"/>
        </w:rPr>
        <w:t> </w:t>
      </w:r>
      <w:r>
        <w:rPr>
          <w:spacing w:val="-2"/>
        </w:rPr>
        <w:t>采用权益法核算时，长期股权投资的初始投资成本大于投资时应享有被投资单位可辨认净资产公允价值份额的，不调整</w:t>
      </w:r>
    </w:p>
    <w:p>
      <w:pPr>
        <w:pStyle w:val="BodyText"/>
        <w:spacing w:line="316" w:lineRule="auto" w:before="19"/>
        <w:ind w:right="178"/>
        <w:jc w:val="left"/>
        <w:rPr>
          <w:rFonts w:ascii="宋体" w:hAnsi="宋体" w:cs="宋体" w:eastAsia="宋体" w:hint="default"/>
        </w:rPr>
      </w:pPr>
      <w:r>
        <w:rPr>
          <w:spacing w:val="-2"/>
        </w:rPr>
        <w:t>长期股权投资的初始投资成本；初始投资成本小于投资时应享有被投资单位可辨认净资产公允价值份额的，其差额计入当期</w:t>
      </w:r>
      <w:r>
        <w:rPr>
          <w:spacing w:val="-64"/>
        </w:rPr>
        <w:t> </w:t>
      </w:r>
      <w:r>
        <w:rPr>
          <w:spacing w:val="-64"/>
        </w:rPr>
      </w:r>
      <w:r>
        <w:rPr/>
        <w:t>损益，同时调整长期股权投资的成本。</w:t>
      </w:r>
      <w:r>
        <w:rPr>
          <w:rFonts w:ascii="宋体" w:hAnsi="宋体" w:cs="宋体" w:eastAsia="宋体" w:hint="default"/>
        </w:rPr>
        <w:t> </w:t>
      </w:r>
    </w:p>
    <w:p>
      <w:pPr>
        <w:pStyle w:val="BodyText"/>
        <w:spacing w:line="316" w:lineRule="auto" w:before="19"/>
        <w:ind w:right="94" w:firstLine="360"/>
        <w:jc w:val="left"/>
        <w:rPr>
          <w:rFonts w:ascii="宋体" w:hAnsi="宋体" w:cs="宋体" w:eastAsia="宋体" w:hint="default"/>
        </w:rPr>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3"/>
        </w:rPr>
        <w:t> </w:t>
      </w:r>
      <w:r>
        <w:rPr>
          <w:spacing w:val="-63"/>
        </w:rPr>
      </w:r>
      <w:r>
        <w:rPr>
          <w:spacing w:val="-2"/>
        </w:rPr>
        <w:t>期股权投资的账面价值；对于被投资单位除净损益、其他综合收益和利润分配以外所有者权益的其他变动，调整长期股权投</w:t>
      </w:r>
      <w:r>
        <w:rPr>
          <w:spacing w:val="-63"/>
        </w:rPr>
        <w:t> </w:t>
      </w:r>
      <w:r>
        <w:rPr>
          <w:spacing w:val="-63"/>
        </w:rPr>
      </w:r>
      <w:r>
        <w:rPr>
          <w:spacing w:val="-2"/>
        </w:rPr>
        <w:t>资的账面价值并计入资本公积。在确认应享有被投资单位净损益的份额时，以取得投资时被投资单位各项可辨认资产等的公</w:t>
      </w:r>
      <w:r>
        <w:rPr>
          <w:spacing w:val="-64"/>
        </w:rPr>
        <w:t> </w:t>
      </w:r>
      <w:r>
        <w:rPr>
          <w:spacing w:val="-64"/>
        </w:rPr>
      </w:r>
      <w:r>
        <w:rPr>
          <w:spacing w:val="-2"/>
        </w:rPr>
        <w:t>允价值为基础，对被投资单位的净利润进行调整后确认。被投资单位采用的会计政策及会计期间与本公司不一致的，按照本</w:t>
      </w:r>
      <w:r>
        <w:rPr>
          <w:spacing w:val="-62"/>
        </w:rPr>
        <w:t> </w:t>
      </w:r>
      <w:r>
        <w:rPr>
          <w:spacing w:val="-62"/>
        </w:rPr>
      </w:r>
      <w:r>
        <w:rPr>
          <w:spacing w:val="-2"/>
        </w:rPr>
        <w:t>公司的会计政策及会计期间对被投资单位的财务报表进行调整，并据以确认投资收益和其他综合收益。对于本公司与联营企</w:t>
      </w:r>
      <w:r>
        <w:rPr>
          <w:spacing w:val="-64"/>
        </w:rPr>
        <w:t> </w:t>
      </w:r>
      <w:r>
        <w:rPr>
          <w:spacing w:val="-64"/>
        </w:rPr>
      </w:r>
      <w:r>
        <w:rPr>
          <w:spacing w:val="-2"/>
        </w:rPr>
        <w:t>业及合营企业之间发生的交易，投出或出售的资产不构成业务的，未实现内部交易损益按照享有的比例计算归属于本公司的</w:t>
      </w:r>
      <w:r>
        <w:rPr>
          <w:spacing w:val="-64"/>
        </w:rPr>
        <w:t> </w:t>
      </w:r>
      <w:r>
        <w:rPr>
          <w:spacing w:val="-64"/>
        </w:rPr>
      </w:r>
      <w:r>
        <w:rPr>
          <w:spacing w:val="-5"/>
        </w:rPr>
        <w:t>部分予以抵销，在此基础上确认投资损益。但本公司与被投资单位发生的未实现内部交易损失，属于所转让资产减值损失的，</w:t>
      </w:r>
      <w:r>
        <w:rPr>
          <w:spacing w:val="-76"/>
        </w:rPr>
        <w:t> </w:t>
      </w:r>
      <w:r>
        <w:rPr>
          <w:spacing w:val="-76"/>
        </w:rPr>
      </w:r>
      <w:r>
        <w:rPr>
          <w:spacing w:val="-2"/>
        </w:rPr>
        <w:t>不予以抵销。本公司向合营企业或联营企业投出的资产构成业务的，投资方因此取得长期股权投资但未取得控制权的，以投</w:t>
      </w:r>
      <w:r>
        <w:rPr>
          <w:spacing w:val="-63"/>
        </w:rPr>
        <w:t> </w:t>
      </w:r>
      <w:r>
        <w:rPr>
          <w:spacing w:val="-63"/>
        </w:rPr>
      </w:r>
      <w:r>
        <w:rPr/>
        <w:t>出业务的公允价值作为新增长期股权投资的初始投资成本，初始投资成本与投出业务的账面价值之差，全额计入当期损益。</w:t>
      </w:r>
      <w:r>
        <w:rPr>
          <w:spacing w:val="-85"/>
        </w:rPr>
        <w:t> </w:t>
      </w:r>
      <w:r>
        <w:rPr>
          <w:spacing w:val="-85"/>
        </w:rPr>
      </w:r>
      <w:r>
        <w:rPr>
          <w:spacing w:val="-2"/>
        </w:rPr>
        <w:t>本公司向合营企业或联营企业出售的资产构成业务的，取得的对价与业务的账面价值之差，全额计入当期损益。本公司自联</w:t>
      </w:r>
      <w:r>
        <w:rPr>
          <w:spacing w:val="-66"/>
        </w:rPr>
        <w:t> </w:t>
      </w:r>
      <w:r>
        <w:rPr>
          <w:spacing w:val="-66"/>
        </w:rPr>
      </w:r>
      <w:r>
        <w:rPr>
          <w:spacing w:val="-2"/>
        </w:rPr>
        <w:t>营企业及合营企业购入的资产构成业务的，按《企业会计准则第</w:t>
      </w:r>
      <w:r>
        <w:rPr>
          <w:rFonts w:ascii="宋体" w:hAnsi="宋体" w:cs="宋体" w:eastAsia="宋体" w:hint="default"/>
          <w:spacing w:val="-2"/>
        </w:rPr>
        <w:t>20</w:t>
      </w:r>
      <w:r>
        <w:rPr>
          <w:spacing w:val="-2"/>
        </w:rPr>
        <w:t>号——企业合并》的规定进行会计处理，全额确认与交易</w:t>
      </w:r>
      <w:r>
        <w:rPr>
          <w:spacing w:val="-61"/>
        </w:rPr>
        <w:t> </w:t>
      </w:r>
      <w:r>
        <w:rPr>
          <w:spacing w:val="-61"/>
        </w:rPr>
      </w:r>
      <w:r>
        <w:rPr/>
        <w:t>相关的利得或损失。</w:t>
      </w:r>
      <w:r>
        <w:rPr>
          <w:rFonts w:ascii="宋体" w:hAnsi="宋体" w:cs="宋体" w:eastAsia="宋体" w:hint="default"/>
        </w:rPr>
        <w:t> </w:t>
      </w:r>
    </w:p>
    <w:p>
      <w:pPr>
        <w:pStyle w:val="BodyText"/>
        <w:spacing w:line="316" w:lineRule="auto" w:before="19"/>
        <w:ind w:right="191" w:firstLine="360"/>
        <w:jc w:val="both"/>
        <w:rPr>
          <w:rFonts w:ascii="宋体" w:hAnsi="宋体" w:cs="宋体" w:eastAsia="宋体" w:hint="default"/>
        </w:rPr>
      </w:pPr>
      <w:r>
        <w:rPr>
          <w:spacing w:val="-2"/>
        </w:rPr>
        <w:t>在确认应分担被投资单位发生的净亏损时，以长期股权投资的账面价值和其他实质上构成对被投资单位净投资的长期权</w:t>
      </w:r>
      <w:r>
        <w:rPr/>
        <w:t> </w:t>
      </w:r>
      <w:r>
        <w:rPr>
          <w:spacing w:val="-2"/>
        </w:rPr>
        <w:t>益减记至零为限。此外，如本公司对被投资单位负有承担额外损失的义务，则按预计承担的义务确认预计负债，计入当期投</w:t>
      </w:r>
      <w:r>
        <w:rPr>
          <w:spacing w:val="-64"/>
        </w:rPr>
        <w:t> </w:t>
      </w:r>
      <w:r>
        <w:rPr>
          <w:spacing w:val="-64"/>
        </w:rPr>
      </w:r>
      <w:r>
        <w:rPr/>
        <w:t>资损失。被投资单位以后期间实现净利润的，本公司在收益分享额弥补未确认的亏损分担额后，恢复确认收益分享额。</w:t>
      </w:r>
      <w:r>
        <w:rPr>
          <w:rFonts w:ascii="宋体" w:hAnsi="宋体" w:cs="宋体" w:eastAsia="宋体" w:hint="default"/>
        </w:rPr>
        <w:t> </w:t>
      </w:r>
    </w:p>
    <w:p>
      <w:pPr>
        <w:pStyle w:val="BodyText"/>
        <w:spacing w:line="316" w:lineRule="auto" w:before="19"/>
        <w:ind w:left="513" w:right="183"/>
        <w:jc w:val="left"/>
      </w:pPr>
      <w:r>
        <w:rPr>
          <w:rFonts w:ascii="宋体" w:hAnsi="宋体" w:cs="宋体" w:eastAsia="宋体" w:hint="default"/>
        </w:rPr>
        <w:t>(3)</w:t>
      </w:r>
      <w:r>
        <w:rPr/>
        <w:t>收购少数股权</w:t>
      </w:r>
      <w:r>
        <w:rPr>
          <w:rFonts w:ascii="宋体" w:hAnsi="宋体" w:cs="宋体" w:eastAsia="宋体" w:hint="default"/>
        </w:rPr>
        <w:t> </w:t>
      </w:r>
      <w:r>
        <w:rPr/>
        <w:t>在编制合并财务报表时，因购买少数股权新增的长期股权投资与按照新增持股比例计算应享有子公司自购买日</w:t>
      </w:r>
      <w:r>
        <w:rPr>
          <w:rFonts w:ascii="宋体" w:hAnsi="宋体" w:cs="宋体" w:eastAsia="宋体" w:hint="default"/>
        </w:rPr>
        <w:t>(</w:t>
      </w:r>
      <w:r>
        <w:rPr/>
        <w:t>或合并</w:t>
      </w:r>
    </w:p>
    <w:p>
      <w:pPr>
        <w:pStyle w:val="BodyText"/>
        <w:spacing w:line="316" w:lineRule="auto" w:before="19"/>
        <w:ind w:left="513" w:right="192" w:hanging="361"/>
        <w:jc w:val="left"/>
      </w:pPr>
      <w:r>
        <w:rPr/>
        <w:t>日</w:t>
      </w:r>
      <w:r>
        <w:rPr>
          <w:rFonts w:ascii="宋体" w:hAnsi="宋体" w:cs="宋体" w:eastAsia="宋体" w:hint="default"/>
        </w:rPr>
        <w:t>)</w:t>
      </w:r>
      <w:r>
        <w:rPr/>
        <w:t>开始持续计算的净资产份额之间的差额，调整资本公积，资本公积不足冲减的，调整留存收益。</w:t>
      </w:r>
      <w:r>
        <w:rPr>
          <w:rFonts w:ascii="宋体" w:hAnsi="宋体" w:cs="宋体" w:eastAsia="宋体" w:hint="default"/>
        </w:rPr>
        <w:t> </w:t>
      </w:r>
      <w:r>
        <w:rPr>
          <w:rFonts w:ascii="宋体" w:hAnsi="宋体" w:cs="宋体" w:eastAsia="宋体" w:hint="default"/>
        </w:rPr>
        <w:t> (4)</w:t>
      </w:r>
      <w:r>
        <w:rPr/>
        <w:t>处置长期股权投资</w:t>
      </w:r>
      <w:r>
        <w:rPr>
          <w:rFonts w:ascii="宋体" w:hAnsi="宋体" w:cs="宋体" w:eastAsia="宋体" w:hint="default"/>
        </w:rPr>
        <w:t> </w:t>
      </w:r>
      <w:r>
        <w:rPr>
          <w:spacing w:val="-2"/>
        </w:rPr>
        <w:t>在合并财务报表中，母公司在不丧失控制权的情况下部分处置对子公司的长期股权投资，处置价款与处置长期股权投资</w:t>
      </w:r>
    </w:p>
    <w:p>
      <w:pPr>
        <w:pStyle w:val="BodyText"/>
        <w:spacing w:line="316" w:lineRule="auto" w:before="19"/>
        <w:ind w:right="178"/>
        <w:jc w:val="left"/>
        <w:rPr>
          <w:rFonts w:ascii="宋体" w:hAnsi="宋体" w:cs="宋体" w:eastAsia="宋体" w:hint="default"/>
        </w:rPr>
      </w:pPr>
      <w:r>
        <w:rPr>
          <w:spacing w:val="-2"/>
        </w:rPr>
        <w:t>相对应享有子公司净资产的差额计入股东权益；母公司部分处置对子公司的长期股权投资导致丧失对子公司控制权的，按本</w:t>
      </w:r>
      <w:r>
        <w:rPr>
          <w:spacing w:val="-63"/>
        </w:rPr>
        <w:t> </w:t>
      </w:r>
      <w:r>
        <w:rPr>
          <w:spacing w:val="-63"/>
        </w:rPr>
      </w:r>
      <w:r>
        <w:rPr/>
        <w:t>附注三、</w:t>
      </w:r>
      <w:r>
        <w:rPr>
          <w:rFonts w:ascii="宋体" w:hAnsi="宋体" w:cs="宋体" w:eastAsia="宋体" w:hint="default"/>
        </w:rPr>
        <w:t>(</w:t>
      </w:r>
      <w:r>
        <w:rPr/>
        <w:t>六</w:t>
      </w:r>
      <w:r>
        <w:rPr>
          <w:rFonts w:ascii="宋体" w:hAnsi="宋体" w:cs="宋体" w:eastAsia="宋体" w:hint="default"/>
        </w:rPr>
        <w:t>)2</w:t>
      </w:r>
      <w:r>
        <w:rPr/>
        <w:t>、“合并财务报表编制的方法”中所述的相关会计政策处理。</w:t>
      </w:r>
      <w:r>
        <w:rPr>
          <w:rFonts w:ascii="宋体" w:hAnsi="宋体" w:cs="宋体" w:eastAsia="宋体" w:hint="default"/>
        </w:rPr>
        <w:t> </w:t>
      </w:r>
    </w:p>
    <w:p>
      <w:pPr>
        <w:pStyle w:val="BodyText"/>
        <w:spacing w:line="316" w:lineRule="auto" w:before="19"/>
        <w:ind w:left="513" w:right="178"/>
        <w:jc w:val="left"/>
      </w:pPr>
      <w:r>
        <w:rPr/>
        <w:t>其他情形下的长期股权投资处置，对于处置的股权，其账面价值与实际取得价款的差额，计入当期损益。</w:t>
      </w:r>
      <w:r>
        <w:rPr>
          <w:rFonts w:ascii="宋体" w:hAnsi="宋体" w:cs="宋体" w:eastAsia="宋体" w:hint="default"/>
        </w:rPr>
        <w:t> </w:t>
      </w:r>
      <w:r>
        <w:rPr>
          <w:spacing w:val="-2"/>
        </w:rPr>
        <w:t>采用权益法核算的长期股权投资，处置后的剩余股权仍采用权益法核算的，在处置时将原计入股东权益的其他综合收益</w:t>
      </w:r>
    </w:p>
    <w:p>
      <w:pPr>
        <w:pStyle w:val="BodyText"/>
        <w:spacing w:line="316" w:lineRule="auto" w:before="19"/>
        <w:ind w:right="178"/>
        <w:jc w:val="left"/>
        <w:rPr>
          <w:rFonts w:ascii="宋体" w:hAnsi="宋体" w:cs="宋体" w:eastAsia="宋体" w:hint="default"/>
        </w:rPr>
      </w:pPr>
      <w:r>
        <w:rPr>
          <w:spacing w:val="-2"/>
        </w:rPr>
        <w:t>部分按相应的比例采用与被投资单位直接处置相关资产或负债相同的基础进行会计处理。因被投资方除净损益、其他综合收</w:t>
      </w:r>
      <w:r>
        <w:rPr>
          <w:spacing w:val="-64"/>
        </w:rPr>
        <w:t> </w:t>
      </w:r>
      <w:r>
        <w:rPr>
          <w:spacing w:val="-64"/>
        </w:rPr>
      </w:r>
      <w:r>
        <w:rPr/>
        <w:t>益和利润分配以外的其他所有者权益变动而确认的所有者权益，按比例结转入当期损益。</w:t>
      </w:r>
      <w:r>
        <w:rPr>
          <w:rFonts w:ascii="宋体" w:hAnsi="宋体" w:cs="宋体" w:eastAsia="宋体" w:hint="default"/>
        </w:rPr>
        <w:t> </w:t>
      </w:r>
    </w:p>
    <w:p>
      <w:pPr>
        <w:pStyle w:val="BodyText"/>
        <w:spacing w:line="319" w:lineRule="auto" w:before="19"/>
        <w:ind w:right="190" w:firstLine="360"/>
        <w:jc w:val="both"/>
        <w:rPr>
          <w:rFonts w:ascii="宋体" w:hAnsi="宋体" w:cs="宋体" w:eastAsia="宋体" w:hint="default"/>
        </w:rPr>
      </w:pPr>
      <w:r>
        <w:rPr>
          <w:spacing w:val="-2"/>
        </w:rPr>
        <w:t>采用成本法核算的长期股权投资，处置后剩余股权仍采用成本法核算的，其在取得对被投资单位的控制之前因采用权益</w:t>
      </w:r>
      <w:r>
        <w:rPr/>
        <w:t> </w:t>
      </w:r>
      <w:r>
        <w:rPr>
          <w:spacing w:val="-2"/>
        </w:rPr>
        <w:t>法核算或金融工具确认和计量准则核算而确认的其他综合收益，采用与被投资单位直接处置相关资产或负债相同的基础进行</w:t>
      </w:r>
      <w:r>
        <w:rPr>
          <w:spacing w:val="-64"/>
        </w:rPr>
        <w:t> </w:t>
      </w:r>
      <w:r>
        <w:rPr>
          <w:spacing w:val="-64"/>
        </w:rPr>
      </w:r>
      <w:r>
        <w:rPr>
          <w:spacing w:val="-2"/>
        </w:rPr>
        <w:t>会计处理，并按比例结转当期损益；因采用权益法核算而确认的被投资单位净资产中除净损益、其他综合收益和利润分配以</w:t>
      </w:r>
      <w:r>
        <w:rPr>
          <w:spacing w:val="-63"/>
        </w:rPr>
        <w:t> </w:t>
      </w:r>
      <w:r>
        <w:rPr>
          <w:spacing w:val="-63"/>
        </w:rPr>
      </w:r>
      <w:r>
        <w:rPr/>
        <w:t>外的其他所有者权益变动按比例结转当期损益。</w:t>
      </w:r>
      <w:r>
        <w:rPr>
          <w:rFonts w:ascii="宋体" w:hAnsi="宋体" w:cs="宋体" w:eastAsia="宋体" w:hint="default"/>
        </w:rPr>
        <w:t> </w:t>
      </w:r>
    </w:p>
    <w:p>
      <w:pPr>
        <w:pStyle w:val="BodyText"/>
        <w:spacing w:line="316" w:lineRule="auto" w:before="17"/>
        <w:ind w:right="191" w:firstLine="360"/>
        <w:jc w:val="both"/>
      </w:pPr>
      <w:r>
        <w:rPr>
          <w:spacing w:val="-2"/>
        </w:rPr>
        <w:t>本公司因处置部分股权投资丧失了对被投资单位的控制的，在编制个别财务报表时，处置后的剩余股权能够对被投资单</w:t>
      </w:r>
      <w:r>
        <w:rPr/>
        <w:t> </w:t>
      </w:r>
      <w:r>
        <w:rPr>
          <w:spacing w:val="-2"/>
        </w:rPr>
        <w:t>位实施共同控制或施加重大影响的，改按权益法核算，并对该剩余股权视同自取得时即采用权益法核算进行调整；处置后的</w:t>
      </w:r>
      <w:r>
        <w:rPr>
          <w:spacing w:val="-65"/>
        </w:rPr>
        <w:t> </w:t>
      </w:r>
      <w:r>
        <w:rPr>
          <w:spacing w:val="-65"/>
        </w:rPr>
      </w:r>
      <w:r>
        <w:rPr>
          <w:spacing w:val="-2"/>
        </w:rPr>
        <w:t>剩余股权不能对被投资单位实施共同控制或施加重大影响的，改按金融工具确认和计量准则的有关规定进行会计处理，其在</w:t>
      </w:r>
      <w:r>
        <w:rPr>
          <w:spacing w:val="-64"/>
        </w:rPr>
        <w:t> </w:t>
      </w:r>
      <w:r>
        <w:rPr>
          <w:spacing w:val="-64"/>
        </w:rPr>
      </w:r>
      <w:r>
        <w:rPr>
          <w:spacing w:val="-2"/>
        </w:rPr>
        <w:t>丧失控制之日的公允价值与账面价值之间的差额计入当期损益。对于本公司取得对被投资单位的控制之前，因采用权益法核</w:t>
      </w:r>
    </w:p>
    <w:p>
      <w:pPr>
        <w:spacing w:after="0" w:line="316" w:lineRule="auto"/>
        <w:jc w:val="both"/>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372"/>
        <w:jc w:val="both"/>
        <w:rPr>
          <w:rFonts w:ascii="宋体" w:hAnsi="宋体" w:cs="宋体" w:eastAsia="宋体" w:hint="default"/>
        </w:rPr>
      </w:pPr>
      <w:r>
        <w:rPr>
          <w:spacing w:val="-2"/>
        </w:rPr>
        <w:t>算或金融工具确认和计量准则核算而确认的其他综合收益，在丧失对被投资单位控制时采用与被投资单位直接处置相关资产</w:t>
      </w:r>
      <w:r>
        <w:rPr>
          <w:spacing w:val="-64"/>
        </w:rPr>
        <w:t> </w:t>
      </w:r>
      <w:r>
        <w:rPr>
          <w:spacing w:val="-64"/>
        </w:rPr>
      </w:r>
      <w:r>
        <w:rPr>
          <w:spacing w:val="-2"/>
        </w:rPr>
        <w:t>或负债相同的基础进行会计处理，因采用权益法核算而确认的被投资单位净资产中除净损益、其他综合收益和利润分配以外</w:t>
      </w:r>
      <w:r>
        <w:rPr>
          <w:spacing w:val="-64"/>
        </w:rPr>
        <w:t> </w:t>
      </w:r>
      <w:r>
        <w:rPr>
          <w:spacing w:val="-64"/>
        </w:rPr>
      </w:r>
      <w:r>
        <w:rPr>
          <w:spacing w:val="-2"/>
        </w:rPr>
        <w:t>的其他所有者权益变动在丧失对被投资单位控制时结转入当期损益。其中，处置后的剩余股权采用权益法核算的，其他综合</w:t>
      </w:r>
      <w:r>
        <w:rPr>
          <w:spacing w:val="-65"/>
        </w:rPr>
        <w:t> </w:t>
      </w:r>
      <w:r>
        <w:rPr>
          <w:spacing w:val="-65"/>
        </w:rPr>
      </w:r>
      <w:r>
        <w:rPr>
          <w:spacing w:val="-2"/>
        </w:rPr>
        <w:t>收益和其他所有者权益按比例结转；处置后的剩余股权改按金融工具确认和计量准则进行会计处理的，其他综合收益和其他</w:t>
      </w:r>
      <w:r>
        <w:rPr>
          <w:spacing w:val="-64"/>
        </w:rPr>
        <w:t> </w:t>
      </w:r>
      <w:r>
        <w:rPr>
          <w:spacing w:val="-64"/>
        </w:rPr>
      </w:r>
      <w:r>
        <w:rPr/>
        <w:t>所有者权益全部结转。</w:t>
      </w:r>
      <w:r>
        <w:rPr>
          <w:rFonts w:ascii="宋体" w:hAnsi="宋体" w:cs="宋体" w:eastAsia="宋体" w:hint="default"/>
        </w:rPr>
        <w:t> </w:t>
      </w:r>
    </w:p>
    <w:p>
      <w:pPr>
        <w:pStyle w:val="BodyText"/>
        <w:spacing w:line="316" w:lineRule="auto" w:before="17"/>
        <w:ind w:right="274" w:firstLine="360"/>
        <w:jc w:val="left"/>
        <w:rPr>
          <w:rFonts w:ascii="宋体" w:hAnsi="宋体" w:cs="宋体" w:eastAsia="宋体" w:hint="default"/>
        </w:rPr>
      </w:pPr>
      <w:r>
        <w:rPr>
          <w:spacing w:val="-2"/>
        </w:rPr>
        <w:t>本公司因处置部分股权投资丧失了对被投资单位的共同控制或重大影响的，处置后的剩余股权改按金融工具确认和计量</w:t>
      </w:r>
      <w:r>
        <w:rPr/>
        <w:t> </w:t>
      </w:r>
      <w:r>
        <w:rPr>
          <w:spacing w:val="-2"/>
        </w:rPr>
        <w:t>准则核算，其在丧失共同控制或重大影响之日的公允价值与账面价值之间的差额计入当期损益。原股权投资因采用权益法核</w:t>
      </w:r>
      <w:r>
        <w:rPr>
          <w:spacing w:val="-64"/>
        </w:rPr>
        <w:t> </w:t>
      </w:r>
      <w:r>
        <w:rPr>
          <w:spacing w:val="-64"/>
        </w:rPr>
      </w:r>
      <w:r>
        <w:rPr/>
        <w:t>算而确认的其他综合收益，在终止采用权益法核算时采用与被投资单位直接处置相关资产或负债相同的基础进行会计处理，</w:t>
      </w:r>
      <w:r>
        <w:rPr>
          <w:spacing w:val="-85"/>
        </w:rPr>
        <w:t> </w:t>
      </w:r>
      <w:r>
        <w:rPr>
          <w:spacing w:val="-85"/>
        </w:rPr>
      </w:r>
      <w:r>
        <w:rPr>
          <w:spacing w:val="-2"/>
        </w:rPr>
        <w:t>因被投资方除净损益、其他综合收益和利润分配以外的其他所有者权益变动而确认的所有者权益，在终止采用权益法时全部</w:t>
      </w:r>
      <w:r>
        <w:rPr>
          <w:spacing w:val="-64"/>
        </w:rPr>
        <w:t> </w:t>
      </w:r>
      <w:r>
        <w:rPr>
          <w:spacing w:val="-64"/>
        </w:rPr>
      </w:r>
      <w:r>
        <w:rPr/>
        <w:t>转入当期投资收益。</w:t>
      </w:r>
      <w:r>
        <w:rPr>
          <w:rFonts w:ascii="宋体" w:hAnsi="宋体" w:cs="宋体" w:eastAsia="宋体" w:hint="default"/>
        </w:rPr>
        <w:t> </w:t>
      </w:r>
    </w:p>
    <w:p>
      <w:pPr>
        <w:pStyle w:val="BodyText"/>
        <w:spacing w:line="316" w:lineRule="auto" w:before="19"/>
        <w:ind w:right="372" w:firstLine="360"/>
        <w:jc w:val="both"/>
        <w:rPr>
          <w:rFonts w:ascii="宋体" w:hAnsi="宋体" w:cs="宋体" w:eastAsia="宋体" w:hint="default"/>
        </w:rPr>
      </w:pPr>
      <w:r>
        <w:rPr>
          <w:spacing w:val="-2"/>
        </w:rPr>
        <w:t>本公司通过多次交易分步处置对子公司股权投资直至丧失控制权，如果上述交易属于一揽子交易的，将各项交易作为一</w:t>
      </w:r>
      <w:r>
        <w:rPr/>
        <w:t> </w:t>
      </w:r>
      <w:r>
        <w:rPr>
          <w:spacing w:val="-2"/>
        </w:rPr>
        <w:t>项处置子公司股权投资并丧失控制权的交易进行会计处理，在丧失控制权之前每一次处置价款与所处置的股权对应的长期股</w:t>
      </w:r>
      <w:r>
        <w:rPr>
          <w:spacing w:val="-64"/>
        </w:rPr>
        <w:t> </w:t>
      </w:r>
      <w:r>
        <w:rPr>
          <w:spacing w:val="-64"/>
        </w:rPr>
      </w:r>
      <w:r>
        <w:rPr/>
        <w:t>权投资账面价值之间的差额，先确认为其他综合收益，到丧失控制权时再一并转入丧失控制权的当期损益。</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15</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8194"/>
        <w:jc w:val="left"/>
      </w:pPr>
      <w:r>
        <w:rPr/>
        <w:t>投资性房地产计量模式 成本法计量</w:t>
      </w:r>
    </w:p>
    <w:p>
      <w:pPr>
        <w:pStyle w:val="BodyText"/>
        <w:spacing w:line="316" w:lineRule="auto" w:before="29"/>
        <w:ind w:left="513" w:right="403"/>
        <w:jc w:val="left"/>
        <w:rPr>
          <w:rFonts w:ascii="宋体" w:hAnsi="宋体" w:cs="宋体" w:eastAsia="宋体" w:hint="default"/>
        </w:rPr>
      </w:pPr>
      <w:r>
        <w:rPr/>
        <w:t>折旧或摊销方法</w:t>
      </w:r>
      <w:r>
        <w:rPr>
          <w:rFonts w:ascii="宋体" w:hAnsi="宋体" w:cs="宋体" w:eastAsia="宋体" w:hint="default"/>
        </w:rPr>
        <w:t> 1</w:t>
      </w:r>
      <w:r>
        <w:rPr/>
        <w:t>、投资性房地产包括已出租的土地使用权、持有并准备增值后转让的土地使用权和已出租的建筑物。</w:t>
      </w:r>
      <w:r>
        <w:rPr>
          <w:rFonts w:ascii="宋体" w:hAnsi="宋体" w:cs="宋体" w:eastAsia="宋体" w:hint="default"/>
        </w:rPr>
        <w:t> </w:t>
      </w:r>
    </w:p>
    <w:p>
      <w:pPr>
        <w:pStyle w:val="BodyText"/>
        <w:spacing w:line="316" w:lineRule="auto" w:before="19"/>
        <w:ind w:right="364" w:firstLine="360"/>
        <w:jc w:val="left"/>
        <w:rPr>
          <w:rFonts w:ascii="宋体" w:hAnsi="宋体" w:cs="宋体" w:eastAsia="宋体" w:hint="default"/>
        </w:rPr>
      </w:pPr>
      <w:r>
        <w:rPr>
          <w:rFonts w:ascii="宋体" w:hAnsi="宋体" w:cs="宋体" w:eastAsia="宋体" w:hint="default"/>
        </w:rPr>
        <w:t>2</w:t>
      </w:r>
      <w:r>
        <w:rPr/>
        <w:t>、投资性房地产按照成本进行初始计量，采用成本模式进行后续计量，并采用与固定资产和无形资产相同的方法计提 折旧或进行摊销。</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rPr>
          <w:rFonts w:ascii="宋体" w:hAnsi="宋体" w:cs="宋体" w:eastAsia="宋体" w:hint="default"/>
        </w:rPr>
      </w:pPr>
      <w:r>
        <w:rPr/>
        <w:t>固定资产是指为生产商品、提供劳务、出租或经营管理而持有的，使用年限超过一个会计年度的有形资产。固定资产同 时满足下列条件的，才能予以确认：</w:t>
      </w:r>
      <w:r>
        <w:rPr>
          <w:rFonts w:ascii="宋体" w:hAnsi="宋体" w:cs="宋体" w:eastAsia="宋体" w:hint="default"/>
        </w:rPr>
        <w:t>(1)</w:t>
      </w:r>
      <w:r>
        <w:rPr/>
        <w:t>与该固定资产有关的经济利益很可能流入企业；</w:t>
      </w:r>
      <w:r>
        <w:rPr>
          <w:rFonts w:ascii="宋体" w:hAnsi="宋体" w:cs="宋体" w:eastAsia="宋体" w:hint="default"/>
        </w:rPr>
        <w:t>(2)</w:t>
      </w:r>
      <w:r>
        <w:rPr/>
        <w:t>该固定资产的成本能够可靠地计 </w:t>
      </w:r>
      <w:r>
        <w:rPr>
          <w:spacing w:val="-2"/>
        </w:rPr>
        <w:t>量。本公司的固定资产分为：房屋及建筑物、机器设备、专用设备、运输工具、模具、电子设备、办公设备、其他设备等。</w:t>
      </w:r>
      <w:r>
        <w:rPr>
          <w:rFonts w:ascii="宋体" w:hAnsi="宋体" w:cs="宋体" w:eastAsia="宋体" w:hint="default"/>
          <w:spacing w:val="1"/>
        </w:rPr>
        <w:t>  </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3"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1.90-4.75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9.50-19.00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模具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19.00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760"/>
        </w:sectPr>
      </w:pPr>
    </w:p>
    <w:p>
      <w:pPr>
        <w:spacing w:line="240" w:lineRule="auto" w:before="10"/>
        <w:rPr>
          <w:rFonts w:ascii="宋体" w:hAnsi="宋体" w:cs="宋体" w:eastAsia="宋体" w:hint="default"/>
          <w:b/>
          <w:bCs/>
          <w:sz w:val="24"/>
          <w:szCs w:val="24"/>
        </w:rPr>
      </w:pPr>
    </w:p>
    <w:p>
      <w:pPr>
        <w:pStyle w:val="Heading3"/>
        <w:spacing w:line="240" w:lineRule="auto" w:before="36"/>
        <w:ind w:right="194"/>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291" w:firstLine="360"/>
        <w:jc w:val="both"/>
        <w:rPr>
          <w:rFonts w:ascii="宋体" w:hAnsi="宋体" w:cs="宋体" w:eastAsia="宋体" w:hint="default"/>
        </w:rPr>
      </w:pPr>
      <w:r>
        <w:rPr/>
        <w:t>公司与租赁方所签订的租赁协议条款中规定了下列条件之一的，确认为融资租入资产：</w:t>
      </w:r>
      <w:r>
        <w:rPr>
          <w:rFonts w:ascii="宋体" w:hAnsi="宋体" w:cs="宋体" w:eastAsia="宋体" w:hint="default"/>
        </w:rPr>
        <w:t>(1)</w:t>
      </w:r>
      <w:r>
        <w:rPr/>
        <w:t>租赁期满后租赁资产的所有 </w:t>
      </w:r>
      <w:r>
        <w:rPr>
          <w:spacing w:val="-2"/>
        </w:rPr>
        <w:t>权归属于本公司；</w:t>
      </w:r>
      <w:r>
        <w:rPr>
          <w:rFonts w:ascii="宋体" w:hAnsi="宋体" w:cs="宋体" w:eastAsia="宋体" w:hint="default"/>
          <w:spacing w:val="-2"/>
        </w:rPr>
        <w:t>(2)</w:t>
      </w:r>
      <w:r>
        <w:rPr>
          <w:spacing w:val="-2"/>
        </w:rPr>
        <w:t>公司具有购买资产的选择权，购买价款远低于行使选择权时该资产的公允价值；</w:t>
      </w:r>
      <w:r>
        <w:rPr>
          <w:rFonts w:ascii="宋体" w:hAnsi="宋体" w:cs="宋体" w:eastAsia="宋体" w:hint="default"/>
          <w:spacing w:val="-2"/>
        </w:rPr>
        <w:t>(3)</w:t>
      </w:r>
      <w:r>
        <w:rPr>
          <w:spacing w:val="-2"/>
        </w:rPr>
        <w:t>租赁期占所租赁资</w:t>
      </w:r>
      <w:r>
        <w:rPr>
          <w:spacing w:val="-60"/>
        </w:rPr>
        <w:t> </w:t>
      </w:r>
      <w:r>
        <w:rPr>
          <w:spacing w:val="-60"/>
        </w:rPr>
      </w:r>
      <w:r>
        <w:rPr>
          <w:spacing w:val="-4"/>
        </w:rPr>
        <w:t>产使用寿命的大部分；</w:t>
      </w:r>
      <w:r>
        <w:rPr>
          <w:rFonts w:ascii="宋体" w:hAnsi="宋体" w:cs="宋体" w:eastAsia="宋体" w:hint="default"/>
          <w:spacing w:val="-4"/>
        </w:rPr>
        <w:t>(4)</w:t>
      </w:r>
      <w:r>
        <w:rPr>
          <w:spacing w:val="-4"/>
        </w:rPr>
        <w:t>租赁开始日的最低租赁付款额现值，与该资产的公允价值不存在较大的差异。公司在承租开始日，</w:t>
      </w:r>
      <w:r>
        <w:rPr>
          <w:spacing w:val="-40"/>
        </w:rPr>
        <w:t> </w:t>
      </w:r>
      <w:r>
        <w:rPr>
          <w:spacing w:val="-40"/>
        </w:rPr>
      </w:r>
      <w:r>
        <w:rPr>
          <w:spacing w:val="-2"/>
        </w:rPr>
        <w:t>将租赁资产公允价值与最低租赁付款额现值两者中较低者作为租入资产的入账价值，将最低租赁付款额作为长期应付款的入</w:t>
      </w:r>
      <w:r>
        <w:rPr>
          <w:spacing w:val="-64"/>
        </w:rPr>
        <w:t> </w:t>
      </w:r>
      <w:r>
        <w:rPr>
          <w:spacing w:val="-64"/>
        </w:rPr>
      </w:r>
      <w:r>
        <w:rPr/>
        <w:t>账价值，其差额作为未确认的融资费。</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194"/>
        <w:jc w:val="left"/>
        <w:rPr>
          <w:b w:val="0"/>
          <w:bCs w:val="0"/>
        </w:rPr>
      </w:pPr>
      <w:r>
        <w:rPr>
          <w:rFonts w:ascii="Times New Roman" w:hAnsi="Times New Roman" w:cs="Times New Roman" w:eastAsia="Times New Roman" w:hint="default"/>
        </w:rPr>
        <w:t>17</w:t>
      </w:r>
      <w:r>
        <w:rPr/>
        <w:t>、在建工程</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854"/>
        <w:jc w:val="left"/>
      </w:pPr>
      <w:r>
        <w:rPr/>
        <w:t>公司是否需要遵守特殊行业的披露要求 否</w:t>
      </w:r>
    </w:p>
    <w:p>
      <w:pPr>
        <w:pStyle w:val="BodyText"/>
        <w:spacing w:line="319" w:lineRule="auto" w:before="25"/>
        <w:ind w:right="299" w:firstLine="360"/>
        <w:jc w:val="both"/>
        <w:rPr>
          <w:rFonts w:ascii="宋体" w:hAnsi="宋体" w:cs="宋体" w:eastAsia="宋体" w:hint="default"/>
        </w:rPr>
      </w:pPr>
      <w:r>
        <w:rPr>
          <w:rFonts w:ascii="宋体" w:hAnsi="宋体" w:cs="宋体" w:eastAsia="宋体" w:hint="default"/>
        </w:rPr>
        <w:t>1</w:t>
      </w:r>
      <w:r>
        <w:rPr/>
        <w:t>、在建工程同时满足经济利益很可能流入、成本能够可靠计量时予以确认。在建工程按建造该项资产达到预定可使用 状态前所发生的实际成本计量。</w:t>
      </w:r>
      <w:r>
        <w:rPr>
          <w:rFonts w:ascii="宋体" w:hAnsi="宋体" w:cs="宋体" w:eastAsia="宋体" w:hint="default"/>
        </w:rPr>
        <w:t> </w:t>
      </w:r>
    </w:p>
    <w:p>
      <w:pPr>
        <w:pStyle w:val="BodyText"/>
        <w:spacing w:line="316" w:lineRule="auto" w:before="17"/>
        <w:ind w:right="298" w:firstLine="360"/>
        <w:jc w:val="both"/>
        <w:rPr>
          <w:rFonts w:ascii="宋体" w:hAnsi="宋体" w:cs="宋体" w:eastAsia="宋体" w:hint="default"/>
        </w:rPr>
      </w:pPr>
      <w:r>
        <w:rPr>
          <w:rFonts w:ascii="宋体" w:hAnsi="宋体" w:cs="宋体" w:eastAsia="宋体" w:hint="default"/>
        </w:rPr>
        <w:t>2</w:t>
      </w:r>
      <w:r>
        <w:rPr/>
        <w:t>、在建工程达到预定可使用状态时，按工程实际成本转入固定资产。已达到预定可使用状态但尚未办理竣工决算的， 先按估计价值转入固定资产，待办理竣工决算后再按实际成本调整原暂估价值，但不再调整原已计提的折旧。</w:t>
      </w:r>
      <w:r>
        <w:rPr>
          <w:rFonts w:ascii="宋体" w:hAnsi="宋体" w:cs="宋体" w:eastAsia="宋体" w:hint="default"/>
        </w:rPr>
        <w:t> </w:t>
      </w:r>
    </w:p>
    <w:p>
      <w:pPr>
        <w:pStyle w:val="BodyText"/>
        <w:spacing w:line="240" w:lineRule="auto" w:before="19"/>
        <w:ind w:left="513" w:right="194"/>
        <w:jc w:val="left"/>
        <w:rPr>
          <w:rFonts w:ascii="宋体" w:hAnsi="宋体" w:cs="宋体" w:eastAsia="宋体" w:hint="default"/>
        </w:rPr>
      </w:pPr>
      <w:r>
        <w:rPr>
          <w:rFonts w:ascii="宋体" w:hAnsi="宋体" w:cs="宋体" w:eastAsia="宋体" w:hint="default"/>
        </w:rPr>
        <w:t>3</w:t>
      </w:r>
      <w:r>
        <w:rPr/>
        <w:t>、资产负债表日，有迹象表明在建工程发生减值的，按本附注二之资产减值所述方法计提在建工程减值准备。</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0"/>
        <w:ind w:right="194"/>
        <w:jc w:val="left"/>
        <w:rPr>
          <w:b w:val="0"/>
          <w:bCs w:val="0"/>
        </w:rPr>
      </w:pPr>
      <w:r>
        <w:rPr>
          <w:rFonts w:ascii="Times New Roman" w:hAnsi="Times New Roman" w:cs="Times New Roman" w:eastAsia="Times New Roman" w:hint="default"/>
        </w:rPr>
        <w:t>18</w:t>
      </w:r>
      <w:r>
        <w:rPr/>
        <w:t>、借款费用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94"/>
        <w:jc w:val="left"/>
      </w:pPr>
      <w:r>
        <w:rPr>
          <w:rFonts w:ascii="宋体" w:hAnsi="宋体" w:cs="宋体" w:eastAsia="宋体" w:hint="default"/>
        </w:rPr>
        <w:t>1</w:t>
      </w:r>
      <w:r>
        <w:rPr/>
        <w:t>、借款费用资本化的确认原则</w:t>
      </w:r>
      <w:r>
        <w:rPr>
          <w:rFonts w:ascii="宋体" w:hAnsi="宋体" w:cs="宋体" w:eastAsia="宋体" w:hint="default"/>
        </w:rPr>
        <w:t> </w:t>
      </w:r>
      <w:r>
        <w:rPr/>
        <w:t>借款费用，包括借款利息、折价或者溢价的摊销、辅助费用以及因外币借款而发生的汇兑差额等。</w:t>
      </w:r>
      <w:r>
        <w:rPr>
          <w:rFonts w:ascii="宋体" w:hAnsi="宋体" w:cs="宋体" w:eastAsia="宋体" w:hint="default"/>
        </w:rPr>
        <w:t> </w:t>
      </w:r>
      <w:r>
        <w:rPr>
          <w:spacing w:val="-2"/>
        </w:rPr>
        <w:t>公司发生的借款费用，可直接归属于符合资本化条件的资产的购建或者生产的，予以资本化，计入相关资产成本；其他</w:t>
      </w:r>
    </w:p>
    <w:p>
      <w:pPr>
        <w:pStyle w:val="BodyText"/>
        <w:spacing w:line="316" w:lineRule="auto" w:before="19"/>
        <w:ind w:left="513" w:right="103" w:hanging="361"/>
        <w:jc w:val="left"/>
      </w:pPr>
      <w:r>
        <w:rPr/>
        <w:t>借款费用，在发生时根据其发生额确认为费用，计入当期损益。</w:t>
      </w:r>
      <w:r>
        <w:rPr>
          <w:rFonts w:ascii="宋体" w:hAnsi="宋体" w:cs="宋体" w:eastAsia="宋体" w:hint="default"/>
        </w:rPr>
        <w:t> </w:t>
      </w:r>
      <w:r>
        <w:rPr>
          <w:spacing w:val="-2"/>
        </w:rPr>
        <w:t>符合资本化条件的资产，是指需要经过相当长时间的购建或者生产活动才能达到预定可使用或者可销售状态的固定资产、</w:t>
      </w:r>
    </w:p>
    <w:p>
      <w:pPr>
        <w:pStyle w:val="BodyText"/>
        <w:spacing w:line="316" w:lineRule="auto" w:before="19"/>
        <w:ind w:left="513" w:right="4194" w:hanging="361"/>
        <w:jc w:val="left"/>
        <w:rPr>
          <w:rFonts w:ascii="宋体" w:hAnsi="宋体" w:cs="宋体" w:eastAsia="宋体" w:hint="default"/>
        </w:rPr>
      </w:pPr>
      <w:r>
        <w:rPr/>
        <w:t>投资性房地产和存货等资产。</w:t>
      </w:r>
      <w:r>
        <w:rPr>
          <w:rFonts w:ascii="宋体" w:hAnsi="宋体" w:cs="宋体" w:eastAsia="宋体" w:hint="default"/>
        </w:rPr>
        <w:t> </w:t>
      </w:r>
      <w:r>
        <w:rPr/>
        <w:t>借款费用同时满足下列条件时开始资本化：</w:t>
      </w:r>
      <w:r>
        <w:rPr>
          <w:rFonts w:ascii="宋体" w:hAnsi="宋体" w:cs="宋体" w:eastAsia="宋体" w:hint="default"/>
          <w:spacing w:val="1"/>
        </w:rPr>
        <w:t> </w:t>
      </w:r>
      <w:r>
        <w:rPr>
          <w:rFonts w:ascii="宋体" w:hAnsi="宋体" w:cs="宋体" w:eastAsia="宋体" w:hint="default"/>
        </w:rPr>
        <w:t> </w:t>
      </w:r>
    </w:p>
    <w:p>
      <w:pPr>
        <w:pStyle w:val="BodyText"/>
        <w:spacing w:line="316" w:lineRule="auto" w:before="19"/>
        <w:ind w:right="299" w:firstLine="360"/>
        <w:jc w:val="both"/>
        <w:rPr>
          <w:rFonts w:ascii="宋体" w:hAnsi="宋体" w:cs="宋体" w:eastAsia="宋体" w:hint="default"/>
        </w:rPr>
      </w:pPr>
      <w:r>
        <w:rPr>
          <w:rFonts w:ascii="宋体" w:hAnsi="宋体" w:cs="宋体" w:eastAsia="宋体" w:hint="default"/>
        </w:rPr>
        <w:t>(1)</w:t>
      </w:r>
      <w:r>
        <w:rPr/>
        <w:t>资产支出已经发生，资产支出包括为购建或者生产符合资本化条件的资产而以支付现金、转移非现金资产或者承担 带息债务形式发生的支出；</w:t>
      </w:r>
      <w:r>
        <w:rPr>
          <w:rFonts w:ascii="宋体" w:hAnsi="宋体" w:cs="宋体" w:eastAsia="宋体" w:hint="default"/>
          <w:spacing w:val="1"/>
        </w:rPr>
        <w:t> </w:t>
      </w:r>
      <w:r>
        <w:rPr>
          <w:rFonts w:ascii="宋体" w:hAnsi="宋体" w:cs="宋体" w:eastAsia="宋体" w:hint="default"/>
        </w:rPr>
        <w:t> </w:t>
      </w:r>
    </w:p>
    <w:p>
      <w:pPr>
        <w:pStyle w:val="BodyText"/>
        <w:spacing w:line="316" w:lineRule="auto" w:before="19"/>
        <w:ind w:left="513" w:right="1133"/>
        <w:jc w:val="left"/>
        <w:rPr>
          <w:rFonts w:ascii="宋体" w:hAnsi="宋体" w:cs="宋体" w:eastAsia="宋体" w:hint="default"/>
        </w:rPr>
      </w:pPr>
      <w:r>
        <w:rPr>
          <w:rFonts w:ascii="宋体" w:hAnsi="宋体" w:cs="宋体" w:eastAsia="宋体" w:hint="default"/>
        </w:rPr>
        <w:t>(2)</w:t>
      </w:r>
      <w:r>
        <w:rPr/>
        <w:t>借款费用已经发生；</w:t>
      </w:r>
      <w:r>
        <w:rPr>
          <w:rFonts w:ascii="宋体" w:hAnsi="宋体" w:cs="宋体" w:eastAsia="宋体" w:hint="default"/>
          <w:spacing w:val="-2"/>
        </w:rPr>
        <w:t> </w:t>
      </w:r>
      <w:r>
        <w:rPr>
          <w:rFonts w:ascii="宋体" w:hAnsi="宋体" w:cs="宋体" w:eastAsia="宋体" w:hint="default"/>
        </w:rPr>
        <w:t> (3)</w:t>
      </w:r>
      <w:r>
        <w:rPr/>
        <w:t>为使资产达到预定可使用或者可销售状态所必要的购建或者生产活动已经开始。</w:t>
      </w:r>
      <w:r>
        <w:rPr>
          <w:rFonts w:ascii="宋体" w:hAnsi="宋体" w:cs="宋体" w:eastAsia="宋体" w:hint="default"/>
        </w:rPr>
        <w:t> 2</w:t>
      </w:r>
      <w:r>
        <w:rPr/>
        <w:t>、借款费用资本化期间</w:t>
      </w:r>
      <w:r>
        <w:rPr>
          <w:rFonts w:ascii="宋体" w:hAnsi="宋体" w:cs="宋体" w:eastAsia="宋体" w:hint="default"/>
        </w:rPr>
        <w:t> </w:t>
      </w:r>
    </w:p>
    <w:p>
      <w:pPr>
        <w:pStyle w:val="BodyText"/>
        <w:spacing w:line="316" w:lineRule="auto" w:before="19"/>
        <w:ind w:left="513" w:right="194"/>
        <w:jc w:val="left"/>
      </w:pPr>
      <w:r>
        <w:rPr/>
        <w:t>资本化期间，指从借款费用开始资本化时点到停止资本化时点的期间，借款费用暂停资本化的期间不包括在内。</w:t>
      </w:r>
      <w:r>
        <w:rPr>
          <w:rFonts w:ascii="宋体" w:hAnsi="宋体" w:cs="宋体" w:eastAsia="宋体" w:hint="default"/>
        </w:rPr>
        <w:t> </w:t>
      </w:r>
      <w:r>
        <w:rPr/>
        <w:t>当购建或者生产符合资本化条件的资产达到预定可使用或者可销售状态时，借款费用停止资本化。</w:t>
      </w:r>
      <w:r>
        <w:rPr>
          <w:rFonts w:ascii="宋体" w:hAnsi="宋体" w:cs="宋体" w:eastAsia="宋体" w:hint="default"/>
        </w:rPr>
        <w:t> </w:t>
      </w:r>
      <w:r>
        <w:rPr/>
        <w:t>当购建或者生产符合资本化条件的资产中部分项目分别完工且可单独使用时，该部分资产借款费用停止资本化。</w:t>
      </w:r>
      <w:r>
        <w:rPr>
          <w:rFonts w:ascii="宋体" w:hAnsi="宋体" w:cs="宋体" w:eastAsia="宋体" w:hint="default"/>
        </w:rPr>
        <w:t> </w:t>
      </w:r>
      <w:r>
        <w:rPr>
          <w:spacing w:val="-2"/>
        </w:rPr>
        <w:t>购建或者生产的资产的各部分分别完工，但必须等到整体完工后才可使用或可对外销售的，在该资产整体完工时停止借</w:t>
      </w:r>
    </w:p>
    <w:p>
      <w:pPr>
        <w:pStyle w:val="BodyText"/>
        <w:spacing w:line="319" w:lineRule="auto" w:before="19"/>
        <w:ind w:left="513" w:right="7883" w:hanging="361"/>
        <w:jc w:val="left"/>
        <w:rPr>
          <w:rFonts w:ascii="宋体" w:hAnsi="宋体" w:cs="宋体" w:eastAsia="宋体" w:hint="default"/>
        </w:rPr>
      </w:pPr>
      <w:r>
        <w:rPr/>
        <w:t>款费用资本化。</w:t>
      </w:r>
      <w:r>
        <w:rPr>
          <w:rFonts w:ascii="宋体" w:hAnsi="宋体" w:cs="宋体" w:eastAsia="宋体" w:hint="default"/>
        </w:rPr>
        <w:t> 3</w:t>
      </w:r>
      <w:r>
        <w:rPr/>
        <w:t>、暂停资本化期间</w:t>
      </w:r>
      <w:r>
        <w:rPr>
          <w:rFonts w:ascii="宋体" w:hAnsi="宋体" w:cs="宋体" w:eastAsia="宋体" w:hint="default"/>
        </w:rPr>
        <w:t> </w:t>
      </w:r>
    </w:p>
    <w:p>
      <w:pPr>
        <w:pStyle w:val="BodyText"/>
        <w:spacing w:line="316" w:lineRule="auto" w:before="17"/>
        <w:ind w:right="291" w:firstLine="360"/>
        <w:jc w:val="both"/>
        <w:rPr>
          <w:rFonts w:ascii="宋体" w:hAnsi="宋体" w:cs="宋体" w:eastAsia="宋体" w:hint="default"/>
        </w:rPr>
      </w:pPr>
      <w:r>
        <w:rPr>
          <w:spacing w:val="-4"/>
        </w:rPr>
        <w:t>符合资本化条件的资产在购建或生产过程中发生的非正常中断、且中断时间连续超过</w:t>
      </w:r>
      <w:r>
        <w:rPr>
          <w:rFonts w:ascii="宋体" w:hAnsi="宋体" w:cs="宋体" w:eastAsia="宋体" w:hint="default"/>
          <w:spacing w:val="-4"/>
        </w:rPr>
        <w:t>3</w:t>
      </w:r>
      <w:r>
        <w:rPr>
          <w:spacing w:val="-4"/>
        </w:rPr>
        <w:t>个月的，则借款费用暂停资本化；</w:t>
      </w:r>
      <w:r>
        <w:rPr/>
        <w:t> </w:t>
      </w:r>
      <w:r>
        <w:rPr>
          <w:spacing w:val="-2"/>
        </w:rPr>
        <w:t>该项中断如是所购建或生产的符合资本化条件的资产达到预定可使用状态或者可销售状态必要的程序，则借款费用继续资本</w:t>
      </w:r>
      <w:r>
        <w:rPr>
          <w:spacing w:val="-63"/>
        </w:rPr>
        <w:t> </w:t>
      </w:r>
      <w:r>
        <w:rPr>
          <w:spacing w:val="-63"/>
        </w:rPr>
      </w:r>
      <w:r>
        <w:rPr/>
        <w:t>化。在中断期间发生的借款费用确认为当期损益，直至资产的购建或者生产活动重新开始后借款费用继续资本化。</w:t>
      </w:r>
      <w:r>
        <w:rPr>
          <w:rFonts w:ascii="宋体" w:hAnsi="宋体" w:cs="宋体" w:eastAsia="宋体" w:hint="default"/>
        </w:rPr>
        <w:t> </w:t>
      </w:r>
    </w:p>
    <w:p>
      <w:pPr>
        <w:pStyle w:val="BodyText"/>
        <w:spacing w:line="316" w:lineRule="auto" w:before="19"/>
        <w:ind w:left="513" w:right="194"/>
        <w:jc w:val="left"/>
      </w:pPr>
      <w:r>
        <w:rPr>
          <w:rFonts w:ascii="宋体" w:hAnsi="宋体" w:cs="宋体" w:eastAsia="宋体" w:hint="default"/>
        </w:rPr>
        <w:t>4</w:t>
      </w:r>
      <w:r>
        <w:rPr/>
        <w:t>、借款费用资本化率、资本化金额的计算方法</w:t>
      </w:r>
      <w:r>
        <w:rPr>
          <w:rFonts w:ascii="宋体" w:hAnsi="宋体" w:cs="宋体" w:eastAsia="宋体" w:hint="default"/>
        </w:rPr>
        <w:t> </w:t>
      </w:r>
      <w:r>
        <w:rPr>
          <w:spacing w:val="-2"/>
        </w:rPr>
        <w:t>对于为购建或者生产符合资本化条件的资产而借入的专门借款，以专门借款当期实际发生的借款费用，减去尚未动用的</w:t>
      </w:r>
    </w:p>
    <w:p>
      <w:pPr>
        <w:pStyle w:val="BodyText"/>
        <w:spacing w:line="240" w:lineRule="auto" w:before="18"/>
        <w:ind w:right="194"/>
        <w:jc w:val="left"/>
        <w:rPr>
          <w:rFonts w:ascii="宋体" w:hAnsi="宋体" w:cs="宋体" w:eastAsia="宋体" w:hint="default"/>
        </w:rPr>
      </w:pPr>
      <w:r>
        <w:rPr/>
        <w:t>借款资金存入银行取得的利息收入或进行暂时性投资取得的投资收益后的金额，来确定借款费用的资本化金额。</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5" w:footer="980" w:top="1060" w:bottom="1160" w:left="980" w:right="840"/>
        </w:sectPr>
      </w:pPr>
    </w:p>
    <w:p>
      <w:pPr>
        <w:spacing w:line="240" w:lineRule="auto" w:before="9"/>
        <w:rPr>
          <w:rFonts w:ascii="宋体" w:hAnsi="宋体" w:cs="宋体" w:eastAsia="宋体" w:hint="default"/>
          <w:sz w:val="25"/>
          <w:szCs w:val="25"/>
        </w:rPr>
      </w:pPr>
    </w:p>
    <w:p>
      <w:pPr>
        <w:pStyle w:val="BodyText"/>
        <w:spacing w:line="319" w:lineRule="auto" w:before="44"/>
        <w:ind w:right="152" w:firstLine="360"/>
        <w:jc w:val="both"/>
        <w:rPr>
          <w:rFonts w:ascii="宋体" w:hAnsi="宋体" w:cs="宋体" w:eastAsia="宋体" w:hint="default"/>
        </w:rPr>
      </w:pPr>
      <w:r>
        <w:rPr>
          <w:spacing w:val="-2"/>
        </w:rPr>
        <w:t>对于为购建或者生产符合资本化条件的资产而占用的一般借款，根据累计资产支出超过专门借款部分的资产支出加权平</w:t>
      </w:r>
      <w:r>
        <w:rPr/>
        <w:t> </w:t>
      </w:r>
      <w:r>
        <w:rPr>
          <w:spacing w:val="-2"/>
        </w:rPr>
        <w:t>均数乘以所占用一般借款的资本化率，计算确定一般借款应予资本化的借款费用金额。资本化率根据一般借款加权平均利率</w:t>
      </w:r>
      <w:r>
        <w:rPr>
          <w:spacing w:val="-64"/>
        </w:rPr>
        <w:t> </w:t>
      </w:r>
      <w:r>
        <w:rPr>
          <w:spacing w:val="-64"/>
        </w:rPr>
      </w:r>
      <w:r>
        <w:rPr/>
        <w:t>计算确定。</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5494"/>
        <w:jc w:val="left"/>
        <w:rPr>
          <w:rFonts w:ascii="宋体" w:hAnsi="宋体" w:cs="宋体" w:eastAsia="宋体" w:hint="default"/>
        </w:rPr>
      </w:pPr>
      <w:r>
        <w:rPr>
          <w:rFonts w:ascii="宋体" w:hAnsi="宋体" w:cs="宋体" w:eastAsia="宋体" w:hint="default"/>
        </w:rPr>
        <w:t>1</w:t>
      </w:r>
      <w:r>
        <w:rPr/>
        <w:t>、无形资产的计价方法</w:t>
      </w:r>
      <w:r>
        <w:rPr>
          <w:rFonts w:ascii="宋体" w:hAnsi="宋体" w:cs="宋体" w:eastAsia="宋体" w:hint="default"/>
        </w:rPr>
        <w:t> (1)</w:t>
      </w:r>
      <w:r>
        <w:rPr/>
        <w:t>公司取得无形资产时按成本进行初始计量</w:t>
      </w:r>
      <w:r>
        <w:rPr>
          <w:rFonts w:ascii="宋体" w:hAnsi="宋体" w:cs="宋体" w:eastAsia="宋体" w:hint="default"/>
        </w:rPr>
        <w:t> </w:t>
      </w:r>
    </w:p>
    <w:p>
      <w:pPr>
        <w:pStyle w:val="BodyText"/>
        <w:spacing w:line="316" w:lineRule="auto" w:before="19"/>
        <w:ind w:right="150" w:firstLine="360"/>
        <w:jc w:val="both"/>
        <w:rPr>
          <w:rFonts w:ascii="宋体" w:hAnsi="宋体" w:cs="宋体" w:eastAsia="宋体" w:hint="default"/>
        </w:rPr>
      </w:pPr>
      <w:r>
        <w:rPr>
          <w:spacing w:val="-2"/>
        </w:rPr>
        <w:t>外购无形资产的成本，包括购买价款、相关税费以及直接归属于使该项资产达到预定用途所发生的其他支出。购买无形</w:t>
      </w:r>
      <w:r>
        <w:rPr/>
        <w:t> 资产的价款超过正常信用条件延期支付，实质上具有融资性质的，无形资产的成本以购买价款的现值为基础确定。</w:t>
      </w:r>
      <w:r>
        <w:rPr>
          <w:rFonts w:ascii="宋体" w:hAnsi="宋体" w:cs="宋体" w:eastAsia="宋体" w:hint="default"/>
        </w:rPr>
        <w:t> </w:t>
      </w:r>
    </w:p>
    <w:p>
      <w:pPr>
        <w:pStyle w:val="BodyText"/>
        <w:spacing w:line="319" w:lineRule="auto" w:before="19"/>
        <w:ind w:right="152" w:firstLine="360"/>
        <w:jc w:val="both"/>
        <w:rPr>
          <w:rFonts w:ascii="宋体" w:hAnsi="宋体" w:cs="宋体" w:eastAsia="宋体" w:hint="default"/>
        </w:rPr>
      </w:pPr>
      <w:r>
        <w:rPr>
          <w:spacing w:val="-2"/>
        </w:rPr>
        <w:t>债务重组取得债务人用以抵债的无形资产，以该无形资产的公允价值为基础确定其入账价值，并将重组债务的账面价值</w:t>
      </w:r>
      <w:r>
        <w:rPr/>
        <w:t> 与该用以抵债的无形资产公允价值之间的差额，计入当期损益。</w:t>
      </w:r>
      <w:r>
        <w:rPr>
          <w:rFonts w:ascii="宋体" w:hAnsi="宋体" w:cs="宋体" w:eastAsia="宋体" w:hint="default"/>
        </w:rPr>
        <w:t> </w:t>
      </w:r>
    </w:p>
    <w:p>
      <w:pPr>
        <w:pStyle w:val="BodyText"/>
        <w:spacing w:line="316" w:lineRule="auto" w:before="17"/>
        <w:ind w:right="152" w:firstLine="360"/>
        <w:jc w:val="both"/>
        <w:rPr>
          <w:rFonts w:ascii="宋体" w:hAnsi="宋体" w:cs="宋体" w:eastAsia="宋体" w:hint="default"/>
        </w:rPr>
      </w:pPr>
      <w:r>
        <w:rPr>
          <w:spacing w:val="-2"/>
        </w:rPr>
        <w:t>在非货币性资产交换具备商业实质且换入资产或换出资产的公允价值能够可靠计量的前提下，非货币性资产交换换入的</w:t>
      </w:r>
      <w:r>
        <w:rPr/>
        <w:t> </w:t>
      </w: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r>
        <w:rPr>
          <w:rFonts w:ascii="宋体" w:hAnsi="宋体" w:cs="宋体" w:eastAsia="宋体" w:hint="default"/>
        </w:rPr>
        <w:t> </w:t>
      </w:r>
    </w:p>
    <w:p>
      <w:pPr>
        <w:pStyle w:val="BodyText"/>
        <w:spacing w:line="316" w:lineRule="auto" w:before="19"/>
        <w:ind w:left="513" w:right="5494"/>
        <w:jc w:val="left"/>
        <w:rPr>
          <w:rFonts w:ascii="宋体" w:hAnsi="宋体" w:cs="宋体" w:eastAsia="宋体" w:hint="default"/>
        </w:rPr>
      </w:pPr>
      <w:r>
        <w:rPr>
          <w:rFonts w:ascii="宋体" w:hAnsi="宋体" w:cs="宋体" w:eastAsia="宋体" w:hint="default"/>
        </w:rPr>
        <w:t>(2)</w:t>
      </w:r>
      <w:r>
        <w:rPr/>
        <w:t>后续计量</w:t>
      </w:r>
      <w:r>
        <w:rPr>
          <w:rFonts w:ascii="宋体" w:hAnsi="宋体" w:cs="宋体" w:eastAsia="宋体" w:hint="default"/>
        </w:rPr>
        <w:t> </w:t>
      </w:r>
      <w:r>
        <w:rPr/>
        <w:t>在取得无形资产时分析判断其使用寿命。</w:t>
      </w:r>
      <w:r>
        <w:rPr>
          <w:rFonts w:ascii="宋体" w:hAnsi="宋体" w:cs="宋体" w:eastAsia="宋体" w:hint="default"/>
        </w:rPr>
        <w:t> </w:t>
      </w:r>
    </w:p>
    <w:p>
      <w:pPr>
        <w:pStyle w:val="BodyText"/>
        <w:spacing w:line="316" w:lineRule="auto" w:before="19"/>
        <w:ind w:right="152" w:firstLine="360"/>
        <w:jc w:val="both"/>
        <w:rPr>
          <w:rFonts w:ascii="宋体" w:hAnsi="宋体" w:cs="宋体" w:eastAsia="宋体" w:hint="default"/>
        </w:rPr>
      </w:pPr>
      <w:r>
        <w:rPr>
          <w:spacing w:val="-2"/>
        </w:rPr>
        <w:t>对于使用寿命有限的无形资产，在为企业带来经济利益的期限内按直线法摊销；无法预见无形资产为企业带来经济利益</w:t>
      </w:r>
      <w:r>
        <w:rPr/>
        <w:t> 期限的，视为使用寿命不确定的无形资产，不予摊销。</w:t>
      </w:r>
      <w:r>
        <w:rPr>
          <w:rFonts w:ascii="宋体" w:hAnsi="宋体" w:cs="宋体" w:eastAsia="宋体" w:hint="default"/>
        </w:rPr>
        <w:t> </w:t>
      </w:r>
    </w:p>
    <w:p>
      <w:pPr>
        <w:pStyle w:val="BodyText"/>
        <w:spacing w:line="240" w:lineRule="auto" w:before="19"/>
        <w:ind w:left="513" w:right="0"/>
        <w:jc w:val="left"/>
        <w:rPr>
          <w:rFonts w:ascii="宋体" w:hAnsi="宋体" w:cs="宋体" w:eastAsia="宋体" w:hint="default"/>
        </w:rPr>
      </w:pPr>
      <w:r>
        <w:rPr>
          <w:rFonts w:ascii="宋体" w:hAnsi="宋体" w:cs="宋体" w:eastAsia="宋体" w:hint="default"/>
        </w:rPr>
        <w:t>2</w:t>
      </w:r>
      <w:r>
        <w:rPr/>
        <w:t>、使用寿命有限的无形资产的使用寿命估计情况：</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rPr>
        <w:t> </w:t>
      </w:r>
    </w:p>
    <w:p>
      <w:pPr>
        <w:spacing w:line="240" w:lineRule="auto" w:before="3"/>
        <w:rPr>
          <w:rFonts w:ascii="宋体" w:hAnsi="宋体" w:cs="宋体" w:eastAsia="宋体" w:hint="default"/>
          <w:sz w:val="15"/>
          <w:szCs w:val="15"/>
        </w:rPr>
      </w:pPr>
    </w:p>
    <w:p>
      <w:pPr>
        <w:spacing w:line="1905" w:lineRule="exact"/>
        <w:ind w:left="154" w:right="0" w:firstLine="0"/>
        <w:rPr>
          <w:rFonts w:ascii="宋体" w:hAnsi="宋体" w:cs="宋体" w:eastAsia="宋体" w:hint="default"/>
          <w:sz w:val="20"/>
          <w:szCs w:val="20"/>
        </w:rPr>
      </w:pPr>
      <w:r>
        <w:rPr>
          <w:rFonts w:ascii="宋体" w:hAnsi="宋体" w:cs="宋体" w:eastAsia="宋体" w:hint="default"/>
          <w:position w:val="-37"/>
          <w:sz w:val="20"/>
          <w:szCs w:val="20"/>
        </w:rPr>
        <w:drawing>
          <wp:inline distT="0" distB="0" distL="0" distR="0">
            <wp:extent cx="3657600" cy="1209675"/>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26" cstate="print"/>
                    <a:stretch>
                      <a:fillRect/>
                    </a:stretch>
                  </pic:blipFill>
                  <pic:spPr>
                    <a:xfrm>
                      <a:off x="0" y="0"/>
                      <a:ext cx="3657600" cy="1209675"/>
                    </a:xfrm>
                    <a:prstGeom prst="rect">
                      <a:avLst/>
                    </a:prstGeom>
                  </pic:spPr>
                </pic:pic>
              </a:graphicData>
            </a:graphic>
          </wp:inline>
        </w:drawing>
      </w:r>
      <w:r>
        <w:rPr>
          <w:rFonts w:ascii="宋体" w:hAnsi="宋体" w:cs="宋体" w:eastAsia="宋体" w:hint="default"/>
          <w:position w:val="-37"/>
          <w:sz w:val="20"/>
          <w:szCs w:val="20"/>
        </w:rPr>
      </w:r>
    </w:p>
    <w:p>
      <w:pPr>
        <w:pStyle w:val="BodyText"/>
        <w:spacing w:line="316" w:lineRule="auto" w:before="156"/>
        <w:ind w:left="513" w:right="0"/>
        <w:jc w:val="left"/>
        <w:rPr>
          <w:rFonts w:ascii="宋体" w:hAnsi="宋体" w:cs="宋体" w:eastAsia="宋体" w:hint="default"/>
        </w:rPr>
      </w:pPr>
      <w:r>
        <w:rPr/>
        <w:t>每年度终了，对使用寿命有限的无形资产的使用寿命及摊销方法进行复核。</w:t>
      </w:r>
      <w:r>
        <w:rPr>
          <w:rFonts w:ascii="宋体" w:hAnsi="宋体" w:cs="宋体" w:eastAsia="宋体" w:hint="default"/>
        </w:rPr>
        <w:t> </w:t>
      </w:r>
      <w:r>
        <w:rPr/>
        <w:t>经复核，本年年末无形资产的使用寿命及摊销方法与以前估计未有不同。</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134"/>
        <w:jc w:val="left"/>
        <w:rPr>
          <w:rFonts w:ascii="宋体" w:hAnsi="宋体" w:cs="宋体" w:eastAsia="宋体" w:hint="default"/>
        </w:rPr>
      </w:pPr>
      <w:r>
        <w:rPr>
          <w:rFonts w:ascii="宋体" w:hAnsi="宋体" w:cs="宋体" w:eastAsia="宋体" w:hint="default"/>
        </w:rPr>
        <w:t>1</w:t>
      </w:r>
      <w:r>
        <w:rPr/>
        <w:t>、划分研究阶段和开发阶段的具体标准</w:t>
      </w:r>
      <w:r>
        <w:rPr>
          <w:rFonts w:ascii="宋体" w:hAnsi="宋体" w:cs="宋体" w:eastAsia="宋体" w:hint="default"/>
        </w:rPr>
        <w:t> </w:t>
      </w:r>
      <w:r>
        <w:rPr/>
        <w:t>公司内部研究开发项目的支出分为研究阶段支出和开发阶段支出。</w:t>
      </w:r>
      <w:r>
        <w:rPr>
          <w:rFonts w:ascii="宋体" w:hAnsi="宋体" w:cs="宋体" w:eastAsia="宋体" w:hint="default"/>
        </w:rPr>
        <w:t> </w:t>
      </w:r>
      <w:r>
        <w:rPr/>
        <w:t>研究阶段：为获取并理解新的科学或技术知识等而进行的独创性的有计划调查、研究活动的阶段。</w:t>
      </w:r>
      <w:r>
        <w:rPr>
          <w:rFonts w:ascii="宋体" w:hAnsi="宋体" w:cs="宋体" w:eastAsia="宋体" w:hint="default"/>
        </w:rPr>
        <w:t> </w:t>
      </w:r>
    </w:p>
    <w:p>
      <w:pPr>
        <w:pStyle w:val="BodyText"/>
        <w:spacing w:line="319" w:lineRule="auto" w:before="19"/>
        <w:ind w:right="150" w:firstLine="360"/>
        <w:jc w:val="both"/>
        <w:rPr>
          <w:rFonts w:ascii="宋体" w:hAnsi="宋体" w:cs="宋体" w:eastAsia="宋体" w:hint="default"/>
        </w:rPr>
      </w:pPr>
      <w:r>
        <w:rPr>
          <w:spacing w:val="-2"/>
        </w:rPr>
        <w:t>开发阶段：在进行商业性生产或使用前，将研究成果或其他知识应用于某项计划或设计，以生产出新的或具有实质性改</w:t>
      </w:r>
      <w:r>
        <w:rPr/>
        <w:t> 进的材料、装置、产品等活动的阶段。</w:t>
      </w:r>
      <w:r>
        <w:rPr>
          <w:rFonts w:ascii="宋体" w:hAnsi="宋体" w:cs="宋体" w:eastAsia="宋体" w:hint="default"/>
        </w:rPr>
        <w:t> </w:t>
      </w:r>
    </w:p>
    <w:p>
      <w:pPr>
        <w:pStyle w:val="BodyText"/>
        <w:spacing w:line="316" w:lineRule="auto" w:before="17"/>
        <w:ind w:left="513" w:right="1134"/>
        <w:jc w:val="left"/>
        <w:rPr>
          <w:rFonts w:ascii="宋体" w:hAnsi="宋体" w:cs="宋体" w:eastAsia="宋体" w:hint="default"/>
        </w:rPr>
      </w:pPr>
      <w:r>
        <w:rPr>
          <w:rFonts w:ascii="宋体" w:hAnsi="宋体" w:cs="宋体" w:eastAsia="宋体" w:hint="default"/>
        </w:rPr>
        <w:t>2</w:t>
      </w:r>
      <w:r>
        <w:rPr/>
        <w:t>、开发阶段支出资本化的具体条件</w:t>
      </w:r>
      <w:r>
        <w:rPr>
          <w:rFonts w:ascii="宋体" w:hAnsi="宋体" w:cs="宋体" w:eastAsia="宋体" w:hint="default"/>
        </w:rPr>
        <w:t> </w:t>
      </w:r>
      <w:r>
        <w:rPr/>
        <w:t>内部研究开发项目开发阶段的支出，同时满足下列条件时确认为无形资产：</w:t>
      </w:r>
      <w:r>
        <w:rPr>
          <w:rFonts w:ascii="宋体" w:hAnsi="宋体" w:cs="宋体" w:eastAsia="宋体" w:hint="default"/>
        </w:rPr>
        <w:t> (1)</w:t>
      </w:r>
      <w:r>
        <w:rPr/>
        <w:t>完成该无形资产以使其能够使用或出售在技术上具有可行性；</w:t>
      </w:r>
      <w:r>
        <w:rPr>
          <w:rFonts w:ascii="宋体" w:hAnsi="宋体" w:cs="宋体" w:eastAsia="宋体" w:hint="default"/>
        </w:rPr>
        <w:t> (2)</w:t>
      </w:r>
      <w:r>
        <w:rPr/>
        <w:t>具有完成该无形资产并使用或出售的意图；</w:t>
      </w:r>
      <w:r>
        <w:rPr>
          <w:rFonts w:ascii="宋体" w:hAnsi="宋体" w:cs="宋体" w:eastAsia="宋体" w:hint="default"/>
        </w:rPr>
        <w:t> </w:t>
      </w:r>
    </w:p>
    <w:p>
      <w:pPr>
        <w:pStyle w:val="BodyText"/>
        <w:spacing w:line="316" w:lineRule="auto" w:before="18"/>
        <w:ind w:right="159" w:firstLine="360"/>
        <w:jc w:val="both"/>
        <w:rPr>
          <w:rFonts w:ascii="宋体" w:hAnsi="宋体" w:cs="宋体" w:eastAsia="宋体" w:hint="default"/>
        </w:rPr>
      </w:pPr>
      <w:r>
        <w:rPr>
          <w:rFonts w:ascii="宋体" w:hAnsi="宋体" w:cs="宋体" w:eastAsia="宋体" w:hint="default"/>
        </w:rPr>
        <w:t>(3)</w:t>
      </w:r>
      <w:r>
        <w:rPr/>
        <w:t>无形资产产生经济利益的方式，包括能够证明运用该无形资产生产的产品存在市场或无形资产自身存在市场，无形 资产将在内部使用的，能够证明其有用性；</w:t>
      </w:r>
      <w:r>
        <w:rPr>
          <w:rFonts w:ascii="宋体" w:hAnsi="宋体" w:cs="宋体" w:eastAsia="宋体" w:hint="default"/>
        </w:rPr>
        <w:t> </w:t>
      </w:r>
    </w:p>
    <w:p>
      <w:pPr>
        <w:spacing w:after="0" w:line="316" w:lineRule="auto"/>
        <w:jc w:val="both"/>
        <w:rPr>
          <w:rFonts w:ascii="宋体" w:hAnsi="宋体" w:cs="宋体" w:eastAsia="宋体" w:hint="default"/>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left="513" w:right="178"/>
        <w:jc w:val="left"/>
        <w:rPr>
          <w:rFonts w:ascii="宋体" w:hAnsi="宋体" w:cs="宋体" w:eastAsia="宋体" w:hint="default"/>
        </w:rPr>
      </w:pPr>
      <w:r>
        <w:rPr>
          <w:rFonts w:ascii="宋体" w:hAnsi="宋体" w:cs="宋体" w:eastAsia="宋体" w:hint="default"/>
        </w:rPr>
        <w:t>(4)</w:t>
      </w:r>
      <w:r>
        <w:rPr/>
        <w:t>有足够的技术、财务资源和其他资源支持，以完成该无形资产的开发，并有能力使用或出售该无形资产；</w:t>
      </w:r>
      <w:r>
        <w:rPr>
          <w:rFonts w:ascii="宋体" w:hAnsi="宋体" w:cs="宋体" w:eastAsia="宋体" w:hint="default"/>
        </w:rPr>
        <w:t> (5)</w:t>
      </w:r>
      <w:r>
        <w:rPr/>
        <w:t>归属于该无形资产开发阶段的支出能够可靠地计量。</w:t>
      </w:r>
      <w:r>
        <w:rPr>
          <w:rFonts w:ascii="宋体" w:hAnsi="宋体" w:cs="宋体" w:eastAsia="宋体" w:hint="default"/>
        </w:rPr>
        <w:t> </w:t>
      </w:r>
      <w:r>
        <w:rPr/>
        <w:t>开发阶段的支出，若不满足上列条件的，于发生时计入当期损益。研究阶段的支出，在发生时计入当期损益。</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3"/>
        <w:spacing w:line="240" w:lineRule="auto"/>
        <w:ind w:right="6754"/>
        <w:jc w:val="left"/>
        <w:rPr>
          <w:b w:val="0"/>
          <w:bCs w:val="0"/>
        </w:rPr>
      </w:pPr>
      <w:r>
        <w:rPr>
          <w:rFonts w:ascii="Times New Roman" w:hAnsi="Times New Roman" w:cs="Times New Roman" w:eastAsia="Times New Roman" w:hint="default"/>
        </w:rPr>
        <w:t>20</w:t>
      </w:r>
      <w:r>
        <w:rPr/>
        <w:t>、长期资产减值</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0" w:firstLine="360"/>
        <w:jc w:val="both"/>
        <w:rPr>
          <w:rFonts w:ascii="宋体" w:hAnsi="宋体" w:cs="宋体" w:eastAsia="宋体" w:hint="default"/>
        </w:rPr>
      </w:pPr>
      <w:r>
        <w:rPr>
          <w:spacing w:val="-2"/>
        </w:rPr>
        <w:t>对于固定资产、在建工程、使用寿命有限的无形资产、以成本模式计量的投资性房地产及对子公司、合营企业、联营企</w:t>
      </w:r>
      <w:r>
        <w:rPr/>
        <w:t> </w:t>
      </w:r>
      <w:r>
        <w:rPr>
          <w:spacing w:val="-2"/>
        </w:rPr>
        <w:t>业的长期股权投资等非流动非金融资产，本公司于资产负债表日判断是否存在减值迹象。如存在减值迹象的，则估计其可收</w:t>
      </w:r>
      <w:r>
        <w:rPr>
          <w:spacing w:val="-63"/>
        </w:rPr>
        <w:t> </w:t>
      </w:r>
      <w:r>
        <w:rPr>
          <w:spacing w:val="-63"/>
        </w:rPr>
      </w:r>
      <w:r>
        <w:rPr>
          <w:spacing w:val="-2"/>
        </w:rPr>
        <w:t>回金额，进行减值测试。商誉、使用寿命不确定的无形资产和尚未达到可使用状态的无形资产，无论是否存在减值迹象，每</w:t>
      </w:r>
      <w:r>
        <w:rPr>
          <w:spacing w:val="-67"/>
        </w:rPr>
        <w:t> </w:t>
      </w:r>
      <w:r>
        <w:rPr>
          <w:spacing w:val="-67"/>
        </w:rPr>
      </w:r>
      <w:r>
        <w:rPr/>
        <w:t>年均进行减值测试。</w:t>
      </w:r>
      <w:r>
        <w:rPr>
          <w:rFonts w:ascii="宋体" w:hAnsi="宋体" w:cs="宋体" w:eastAsia="宋体" w:hint="default"/>
        </w:rPr>
        <w:t> </w:t>
      </w:r>
    </w:p>
    <w:p>
      <w:pPr>
        <w:pStyle w:val="BodyText"/>
        <w:spacing w:line="316" w:lineRule="auto" w:before="19"/>
        <w:ind w:right="93" w:firstLine="360"/>
        <w:jc w:val="left"/>
        <w:rPr>
          <w:rFonts w:ascii="宋体" w:hAnsi="宋体" w:cs="宋体" w:eastAsia="宋体" w:hint="default"/>
        </w:rPr>
      </w:pPr>
      <w:r>
        <w:rPr>
          <w:spacing w:val="-2"/>
        </w:rPr>
        <w:t>减值测试结果表明资产的可收回金额低于其账面价值的，按其差额计提减值准备并计入减值损失。可收回金额为资产的</w:t>
      </w:r>
      <w:r>
        <w:rPr/>
        <w:t> </w:t>
      </w:r>
      <w:r>
        <w:rPr>
          <w:spacing w:val="-2"/>
        </w:rPr>
        <w:t>公允价值减去处置费用后的净额与资产预计未来现金流量的现值两者之间的较高者。资产的公允价值根据公平交易中销售协</w:t>
      </w:r>
      <w:r>
        <w:rPr>
          <w:spacing w:val="-64"/>
        </w:rPr>
        <w:t> </w:t>
      </w:r>
      <w:r>
        <w:rPr>
          <w:spacing w:val="-64"/>
        </w:rPr>
      </w:r>
      <w:r>
        <w:rPr>
          <w:spacing w:val="-2"/>
        </w:rPr>
        <w:t>议价格确定；不存在销售协议但存在资产活跃市场的，公允价值按照该资产的买方出价确定；不存在销售协议和资产活跃市</w:t>
      </w:r>
      <w:r>
        <w:rPr>
          <w:spacing w:val="-62"/>
        </w:rPr>
        <w:t> </w:t>
      </w:r>
      <w:r>
        <w:rPr>
          <w:spacing w:val="-62"/>
        </w:rPr>
      </w:r>
      <w:r>
        <w:rPr>
          <w:spacing w:val="-2"/>
        </w:rPr>
        <w:t>场的，则以可获取的最佳信息为基础估计资产的公允价值。处置费用包括与资产处置有关的法律费用、相关税费、搬运费以</w:t>
      </w:r>
      <w:r>
        <w:rPr>
          <w:spacing w:val="-64"/>
        </w:rPr>
        <w:t> </w:t>
      </w:r>
      <w:r>
        <w:rPr>
          <w:spacing w:val="-64"/>
        </w:rPr>
      </w:r>
      <w:r>
        <w:rPr>
          <w:spacing w:val="-2"/>
        </w:rPr>
        <w:t>及为使资产达到可销售状态所发生的直接费用。资产预计未来现金流量的现值，按照资产在持续使用过程中和最终处置时所</w:t>
      </w:r>
      <w:r>
        <w:rPr>
          <w:spacing w:val="-64"/>
        </w:rPr>
        <w:t> </w:t>
      </w:r>
      <w:r>
        <w:rPr>
          <w:spacing w:val="-64"/>
        </w:rPr>
      </w:r>
      <w:r>
        <w:rPr>
          <w:spacing w:val="-4"/>
        </w:rPr>
        <w:t>产生的预计未来现金流量，选择恰当的折现率对其进行折现后的金额加以确定。资产减值准备按单项资产为基础计算并确认，</w:t>
      </w:r>
      <w:r>
        <w:rPr>
          <w:spacing w:val="-44"/>
        </w:rPr>
        <w:t> </w:t>
      </w:r>
      <w:r>
        <w:rPr>
          <w:spacing w:val="-44"/>
        </w:rPr>
      </w:r>
      <w:r>
        <w:rPr>
          <w:spacing w:val="-2"/>
        </w:rPr>
        <w:t>如果难以对单项资产的可收回金额进行估计的，以该资产所属的资产组确定资产组的可收回金额。资产组是能够独立产生现</w:t>
      </w:r>
      <w:r>
        <w:rPr>
          <w:spacing w:val="-64"/>
        </w:rPr>
        <w:t> </w:t>
      </w:r>
      <w:r>
        <w:rPr>
          <w:spacing w:val="-64"/>
        </w:rPr>
      </w:r>
      <w:r>
        <w:rPr/>
        <w:t>金流入的最小资产组合。</w:t>
      </w:r>
      <w:r>
        <w:rPr>
          <w:rFonts w:ascii="宋体" w:hAnsi="宋体" w:cs="宋体" w:eastAsia="宋体" w:hint="default"/>
        </w:rPr>
        <w:t> </w:t>
      </w:r>
    </w:p>
    <w:p>
      <w:pPr>
        <w:pStyle w:val="BodyText"/>
        <w:spacing w:line="316" w:lineRule="auto" w:before="19"/>
        <w:ind w:right="192" w:firstLine="360"/>
        <w:jc w:val="both"/>
        <w:rPr>
          <w:rFonts w:ascii="宋体" w:hAnsi="宋体" w:cs="宋体" w:eastAsia="宋体" w:hint="default"/>
        </w:rPr>
      </w:pPr>
      <w:r>
        <w:rPr>
          <w:spacing w:val="-2"/>
        </w:rPr>
        <w:t>在财务报表中单独列示的商誉，在进行减值测试时，将商誉的账面价值分摊至预期从企业合并的协同效应中受益的资产</w:t>
      </w:r>
      <w:r>
        <w:rPr/>
        <w:t> </w:t>
      </w:r>
      <w:r>
        <w:rPr>
          <w:spacing w:val="-2"/>
        </w:rPr>
        <w:t>组或资产组组合。测试结果表明包含分摊的商誉的资产组或资产组组合的可收回金额低于其账面价值的，确认相应的减值损</w:t>
      </w:r>
      <w:r>
        <w:rPr>
          <w:spacing w:val="-64"/>
        </w:rPr>
        <w:t> </w:t>
      </w:r>
      <w:r>
        <w:rPr>
          <w:spacing w:val="-64"/>
        </w:rPr>
      </w:r>
      <w:r>
        <w:rPr>
          <w:spacing w:val="-2"/>
        </w:rPr>
        <w:t>失。减值损失金额先抵减分摊至该资产组或资产组组合的商誉的账面价值，再根据资产组或资产组组合中除商誉以外的其他</w:t>
      </w:r>
      <w:r>
        <w:rPr>
          <w:spacing w:val="-64"/>
        </w:rPr>
        <w:t> </w:t>
      </w:r>
      <w:r>
        <w:rPr>
          <w:spacing w:val="-64"/>
        </w:rPr>
      </w:r>
      <w:r>
        <w:rPr/>
        <w:t>各项资产的账面价值所占比重，按比例抵减其他各项资产的账面价值。</w:t>
      </w:r>
      <w:r>
        <w:rPr>
          <w:rFonts w:ascii="宋体" w:hAnsi="宋体" w:cs="宋体" w:eastAsia="宋体" w:hint="default"/>
        </w:rPr>
        <w:t> </w:t>
      </w:r>
    </w:p>
    <w:p>
      <w:pPr>
        <w:pStyle w:val="BodyText"/>
        <w:spacing w:line="240" w:lineRule="auto" w:before="19"/>
        <w:ind w:left="513" w:right="178"/>
        <w:jc w:val="left"/>
        <w:rPr>
          <w:rFonts w:ascii="宋体" w:hAnsi="宋体" w:cs="宋体" w:eastAsia="宋体" w:hint="default"/>
        </w:rPr>
      </w:pPr>
      <w:r>
        <w:rPr/>
        <w:t>上述资产减值损失一经确认，以后期间不予转回价值得以恢复的部分。</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0"/>
        <w:ind w:right="6754"/>
        <w:jc w:val="left"/>
        <w:rPr>
          <w:b w:val="0"/>
          <w:bCs w:val="0"/>
        </w:rPr>
      </w:pPr>
      <w:r>
        <w:rPr>
          <w:rFonts w:ascii="Times New Roman" w:hAnsi="Times New Roman" w:cs="Times New Roman" w:eastAsia="Times New Roman" w:hint="default"/>
        </w:rPr>
        <w:t>21</w:t>
      </w:r>
      <w:r>
        <w:rPr/>
        <w:t>、长期待摊费用</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88" w:firstLine="360"/>
        <w:jc w:val="both"/>
        <w:rPr>
          <w:rFonts w:ascii="宋体" w:hAnsi="宋体" w:cs="宋体" w:eastAsia="宋体" w:hint="default"/>
        </w:rPr>
      </w:pPr>
      <w:r>
        <w:rPr>
          <w:spacing w:val="-2"/>
        </w:rPr>
        <w:t>长期待摊费用是指公司已经发生但应由本期和以后各期分担的分摊期限在一年以上</w:t>
      </w:r>
      <w:r>
        <w:rPr>
          <w:rFonts w:ascii="宋体" w:hAnsi="宋体" w:cs="宋体" w:eastAsia="宋体" w:hint="default"/>
          <w:spacing w:val="-2"/>
        </w:rPr>
        <w:t>(</w:t>
      </w:r>
      <w:r>
        <w:rPr>
          <w:spacing w:val="-2"/>
        </w:rPr>
        <w:t>不含一年</w:t>
      </w:r>
      <w:r>
        <w:rPr>
          <w:rFonts w:ascii="宋体" w:hAnsi="宋体" w:cs="宋体" w:eastAsia="宋体" w:hint="default"/>
          <w:spacing w:val="-2"/>
        </w:rPr>
        <w:t>)</w:t>
      </w:r>
      <w:r>
        <w:rPr>
          <w:spacing w:val="-2"/>
        </w:rPr>
        <w:t>的各项费用，包括以经营</w:t>
      </w:r>
      <w:r>
        <w:rPr/>
        <w:t> 租赁方式租入的固定资产改良支出等。</w:t>
      </w:r>
      <w:r>
        <w:rPr>
          <w:rFonts w:ascii="宋体" w:hAnsi="宋体" w:cs="宋体" w:eastAsia="宋体" w:hint="default"/>
        </w:rPr>
        <w:t> </w:t>
      </w:r>
    </w:p>
    <w:p>
      <w:pPr>
        <w:pStyle w:val="BodyText"/>
        <w:spacing w:line="316" w:lineRule="auto" w:before="19"/>
        <w:ind w:right="192" w:firstLine="360"/>
        <w:jc w:val="both"/>
        <w:rPr>
          <w:rFonts w:ascii="宋体" w:hAnsi="宋体" w:cs="宋体" w:eastAsia="宋体" w:hint="default"/>
        </w:rPr>
      </w:pPr>
      <w:r>
        <w:rPr>
          <w:spacing w:val="-2"/>
        </w:rPr>
        <w:t>长期待摊费用按实际发生额入账，在受益期或规定的期限内分期平均摊销。如果长期待摊的费用项目不能使以后会计期</w:t>
      </w:r>
      <w:r>
        <w:rPr/>
        <w:t> 间受益则将尚未摊销的该项目的摊余价值全部转入当期损益。</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6754"/>
        <w:jc w:val="left"/>
        <w:rPr>
          <w:b w:val="0"/>
          <w:bCs w:val="0"/>
        </w:rPr>
      </w:pPr>
      <w:r>
        <w:rPr>
          <w:rFonts w:ascii="Times New Roman" w:hAnsi="Times New Roman" w:cs="Times New Roman" w:eastAsia="Times New Roman" w:hint="default"/>
        </w:rPr>
        <w:t>22</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6754"/>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left="513" w:right="178"/>
        <w:jc w:val="left"/>
      </w:pPr>
      <w:r>
        <w:rPr/>
        <w:t>本公司在职工为本公司提供服务的会计期间，将实际发生的短期薪酬确认为负债，并计入当期损益或相关资产成本。</w:t>
      </w:r>
      <w:r>
        <w:rPr>
          <w:rFonts w:ascii="宋体" w:hAnsi="宋体" w:cs="宋体" w:eastAsia="宋体" w:hint="default"/>
        </w:rPr>
        <w:t> </w:t>
      </w:r>
      <w:r>
        <w:rPr>
          <w:spacing w:val="-2"/>
        </w:rPr>
        <w:t>本公司为职工缴纳的社会保险费和住房公积金，以及按规定提取的工会经费和职工教育经费，在职工为本公司提供服务</w:t>
      </w:r>
    </w:p>
    <w:p>
      <w:pPr>
        <w:pStyle w:val="BodyText"/>
        <w:spacing w:line="319" w:lineRule="auto" w:before="19"/>
        <w:ind w:left="513" w:right="178" w:hanging="361"/>
        <w:jc w:val="left"/>
        <w:rPr>
          <w:rFonts w:ascii="宋体" w:hAnsi="宋体" w:cs="宋体" w:eastAsia="宋体" w:hint="default"/>
        </w:rPr>
      </w:pPr>
      <w:r>
        <w:rPr/>
        <w:t>的会计期间，根据规定的计提基础和计提比例计算确定相应的职工薪酬金额。</w:t>
      </w:r>
      <w:r>
        <w:rPr>
          <w:rFonts w:ascii="宋体" w:hAnsi="宋体" w:cs="宋体" w:eastAsia="宋体" w:hint="default"/>
        </w:rPr>
        <w:t> </w:t>
      </w:r>
      <w:r>
        <w:rPr/>
        <w:t>职工福利费为非货币性福利的，如能够可靠计量的，按照公允价值计量。</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3"/>
        <w:spacing w:line="240" w:lineRule="auto"/>
        <w:ind w:right="178"/>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893"/>
        <w:jc w:val="left"/>
        <w:rPr>
          <w:rFonts w:ascii="宋体" w:hAnsi="宋体" w:cs="宋体" w:eastAsia="宋体" w:hint="default"/>
        </w:rPr>
      </w:pPr>
      <w:r>
        <w:rPr/>
        <w:t>离职后福利计划按照承担的风险和义务情况，可以分为设定提存计划和设定受益计划。</w:t>
      </w:r>
      <w:r>
        <w:rPr>
          <w:rFonts w:ascii="宋体" w:hAnsi="宋体" w:cs="宋体" w:eastAsia="宋体" w:hint="default"/>
        </w:rPr>
        <w:t> (1)</w:t>
      </w:r>
      <w:r>
        <w:rPr/>
        <w:t>设定提存计划</w:t>
      </w:r>
      <w:r>
        <w:rPr>
          <w:rFonts w:ascii="宋体" w:hAnsi="宋体" w:cs="宋体" w:eastAsia="宋体" w:hint="default"/>
        </w:rPr>
        <w:t> </w:t>
      </w:r>
    </w:p>
    <w:p>
      <w:pPr>
        <w:pStyle w:val="BodyText"/>
        <w:spacing w:line="240" w:lineRule="auto" w:before="19"/>
        <w:ind w:left="513" w:right="0"/>
        <w:jc w:val="left"/>
      </w:pPr>
      <w:r>
        <w:rPr/>
        <w:t>公司根据在资产负债表日为换取职工在会计期间提供的服务而向单独主体缴存的提存金，确认为负债，并按照受益对象</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left="513" w:right="6754" w:hanging="361"/>
        <w:jc w:val="left"/>
        <w:rPr>
          <w:rFonts w:ascii="宋体" w:hAnsi="宋体" w:cs="宋体" w:eastAsia="宋体" w:hint="default"/>
        </w:rPr>
      </w:pPr>
      <w:r>
        <w:rPr/>
        <w:t>计人当期损益或相关资产成本。</w:t>
      </w:r>
      <w:r>
        <w:rPr>
          <w:rFonts w:ascii="宋体" w:hAnsi="宋体" w:cs="宋体" w:eastAsia="宋体" w:hint="default"/>
        </w:rPr>
        <w:t> (2)</w:t>
      </w:r>
      <w:r>
        <w:rPr/>
        <w:t>设定受益计划</w:t>
      </w:r>
      <w:r>
        <w:rPr>
          <w:rFonts w:ascii="宋体" w:hAnsi="宋体" w:cs="宋体" w:eastAsia="宋体" w:hint="default"/>
        </w:rPr>
        <w:t> </w:t>
      </w:r>
    </w:p>
    <w:p>
      <w:pPr>
        <w:pStyle w:val="BodyText"/>
        <w:spacing w:line="316" w:lineRule="auto" w:before="17"/>
        <w:ind w:left="513" w:right="178"/>
        <w:jc w:val="left"/>
      </w:pPr>
      <w:r>
        <w:rPr/>
        <w:t>设定受益计划，是指除设定提存计划以外的离职后福利计划。会计处理包括下列步骤：</w:t>
      </w:r>
      <w:r>
        <w:rPr>
          <w:rFonts w:ascii="宋体" w:hAnsi="宋体" w:cs="宋体" w:eastAsia="宋体" w:hint="default"/>
        </w:rPr>
        <w:t> </w:t>
      </w:r>
      <w:r>
        <w:rPr>
          <w:rFonts w:ascii="宋体" w:hAnsi="宋体" w:cs="宋体" w:eastAsia="宋体" w:hint="default"/>
          <w:spacing w:val="-2"/>
        </w:rPr>
        <w:t>1)</w:t>
      </w:r>
      <w:r>
        <w:rPr>
          <w:spacing w:val="-2"/>
        </w:rPr>
        <w:t>根据预期累计福利单位法，采用无偏且相互一致的精算假设对有关人口统计变量和财务变量等作出估计，计量设定受</w:t>
      </w:r>
    </w:p>
    <w:p>
      <w:pPr>
        <w:pStyle w:val="BodyText"/>
        <w:spacing w:line="316" w:lineRule="auto" w:before="19"/>
        <w:ind w:right="190"/>
        <w:jc w:val="both"/>
        <w:rPr>
          <w:rFonts w:ascii="宋体" w:hAnsi="宋体" w:cs="宋体" w:eastAsia="宋体" w:hint="default"/>
        </w:rPr>
      </w:pPr>
      <w:r>
        <w:rPr>
          <w:spacing w:val="-2"/>
        </w:rPr>
        <w:t>益计划所产生的义务，并确定相关义务的所属期间；公司对所有设定受益计划义务予以折现，包括预期在职工提供服务的年</w:t>
      </w:r>
      <w:r>
        <w:rPr>
          <w:spacing w:val="-63"/>
        </w:rPr>
        <w:t> </w:t>
      </w:r>
      <w:r>
        <w:rPr>
          <w:spacing w:val="-63"/>
        </w:rPr>
      </w:r>
      <w:r>
        <w:rPr>
          <w:spacing w:val="-2"/>
        </w:rPr>
        <w:t>度报告期间结束后的十二个月内支付的义务。折现时所采用的折现率根据资产负债表日与设定受益计划义务期限和币种相匹</w:t>
      </w:r>
      <w:r>
        <w:rPr>
          <w:spacing w:val="-64"/>
        </w:rPr>
        <w:t> </w:t>
      </w:r>
      <w:r>
        <w:rPr>
          <w:spacing w:val="-64"/>
        </w:rPr>
      </w:r>
      <w:r>
        <w:rPr/>
        <w:t>配的国债或活跃市场上的高质量公司债券的市场收益率确定；</w:t>
      </w:r>
      <w:r>
        <w:rPr>
          <w:rFonts w:ascii="宋体" w:hAnsi="宋体" w:cs="宋体" w:eastAsia="宋体" w:hint="default"/>
        </w:rPr>
        <w:t> </w:t>
      </w:r>
    </w:p>
    <w:p>
      <w:pPr>
        <w:pStyle w:val="BodyText"/>
        <w:spacing w:line="316" w:lineRule="auto" w:before="19"/>
        <w:ind w:right="192" w:firstLine="360"/>
        <w:jc w:val="both"/>
        <w:rPr>
          <w:rFonts w:ascii="宋体" w:hAnsi="宋体" w:cs="宋体" w:eastAsia="宋体" w:hint="default"/>
        </w:rPr>
      </w:pPr>
      <w:r>
        <w:rPr>
          <w:rFonts w:ascii="宋体" w:hAnsi="宋体" w:cs="宋体" w:eastAsia="宋体" w:hint="default"/>
          <w:spacing w:val="-2"/>
        </w:rPr>
        <w:t>2)</w:t>
      </w:r>
      <w:r>
        <w:rPr>
          <w:spacing w:val="-2"/>
        </w:rPr>
        <w:t>设定受益计划存在资产的，将设定受益计划义务现值减去设定受益计划资产公允价值所形成的赤字或盈余确认为一项</w:t>
      </w:r>
      <w:r>
        <w:rPr/>
        <w:t> </w:t>
      </w:r>
      <w:r>
        <w:rPr>
          <w:spacing w:val="-2"/>
        </w:rPr>
        <w:t>设定受益计划净负债或净资产。设定受益计划存在盈余的，以设定受益计划的盈余和资产上限两项的孰低者计量设定受益计</w:t>
      </w:r>
      <w:r>
        <w:rPr>
          <w:spacing w:val="-64"/>
        </w:rPr>
        <w:t> </w:t>
      </w:r>
      <w:r>
        <w:rPr>
          <w:spacing w:val="-64"/>
        </w:rPr>
      </w:r>
      <w:r>
        <w:rPr/>
        <w:t>划净资产。资产上限是指公司可从设定受益计划退款或减少未来对设定受益计划缴存资金而获得的经济利益的现值；</w:t>
      </w:r>
      <w:r>
        <w:rPr>
          <w:rFonts w:ascii="宋体" w:hAnsi="宋体" w:cs="宋体" w:eastAsia="宋体" w:hint="default"/>
        </w:rPr>
        <w:t> </w:t>
      </w:r>
    </w:p>
    <w:p>
      <w:pPr>
        <w:pStyle w:val="BodyText"/>
        <w:spacing w:line="319" w:lineRule="auto" w:before="19"/>
        <w:ind w:right="93" w:firstLine="360"/>
        <w:jc w:val="left"/>
        <w:rPr>
          <w:rFonts w:ascii="宋体" w:hAnsi="宋体" w:cs="宋体" w:eastAsia="宋体" w:hint="default"/>
        </w:rPr>
      </w:pPr>
      <w:r>
        <w:rPr>
          <w:rFonts w:ascii="宋体" w:hAnsi="宋体" w:cs="宋体" w:eastAsia="宋体" w:hint="default"/>
          <w:spacing w:val="-2"/>
        </w:rPr>
        <w:t>3)</w:t>
      </w:r>
      <w:r>
        <w:rPr>
          <w:spacing w:val="-2"/>
        </w:rPr>
        <w:t>期末，将设定受益计划产生的职工薪酬成本确认为服务成本、设定受益计划净负债或净资产的利息净额以及重新计量</w:t>
      </w:r>
      <w:r>
        <w:rPr/>
        <w:t> </w:t>
      </w:r>
      <w:r>
        <w:rPr>
          <w:spacing w:val="-2"/>
        </w:rPr>
        <w:t>设定受益计划净负债或净资产所产生的变动，其中服务成本和设定受益计划净负债或净资产的利息净额计入当期损益或相关</w:t>
      </w:r>
      <w:r>
        <w:rPr>
          <w:spacing w:val="-64"/>
        </w:rPr>
        <w:t> </w:t>
      </w:r>
      <w:r>
        <w:rPr>
          <w:spacing w:val="-64"/>
        </w:rPr>
      </w:r>
      <w:r>
        <w:rPr>
          <w:spacing w:val="-4"/>
        </w:rPr>
        <w:t>资产成本，重新计量设定受益计划净负债或净资产所产生的变动计入其他综合收益，并且在后续会计期间不允许转回至损益，</w:t>
      </w:r>
      <w:r>
        <w:rPr>
          <w:spacing w:val="-44"/>
        </w:rPr>
        <w:t> </w:t>
      </w:r>
      <w:r>
        <w:rPr>
          <w:spacing w:val="-44"/>
        </w:rPr>
      </w:r>
      <w:r>
        <w:rPr/>
        <w:t>但可以在权益范围内转移这些在其他综合收益确认的金额；</w:t>
      </w:r>
      <w:r>
        <w:rPr>
          <w:rFonts w:ascii="宋体" w:hAnsi="宋体" w:cs="宋体" w:eastAsia="宋体" w:hint="default"/>
        </w:rPr>
        <w:t> </w:t>
      </w:r>
    </w:p>
    <w:p>
      <w:pPr>
        <w:pStyle w:val="BodyText"/>
        <w:spacing w:line="240" w:lineRule="auto" w:before="17"/>
        <w:ind w:left="513" w:right="178"/>
        <w:jc w:val="left"/>
        <w:rPr>
          <w:rFonts w:ascii="宋体" w:hAnsi="宋体" w:cs="宋体" w:eastAsia="宋体" w:hint="default"/>
        </w:rPr>
      </w:pPr>
      <w:r>
        <w:rPr>
          <w:rFonts w:ascii="宋体" w:hAnsi="宋体" w:cs="宋体" w:eastAsia="宋体" w:hint="default"/>
        </w:rPr>
        <w:t>4)</w:t>
      </w:r>
      <w:r>
        <w:rPr/>
        <w:t>在设定受益计划结算时，确认一项结算利得或损失。</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0"/>
        <w:ind w:right="6754"/>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6" w:firstLine="360"/>
        <w:jc w:val="both"/>
        <w:rPr>
          <w:rFonts w:ascii="宋体" w:hAnsi="宋体" w:cs="宋体" w:eastAsia="宋体" w:hint="default"/>
        </w:rPr>
      </w:pPr>
      <w:r>
        <w:rPr/>
        <w:t>公司向职工提供的辞退福利，在下列两者孰早日确认辞退福利产生的职工薪酬负债，并计入当期损益：</w:t>
      </w:r>
      <w:r>
        <w:rPr>
          <w:rFonts w:ascii="宋体" w:hAnsi="宋体" w:cs="宋体" w:eastAsia="宋体" w:hint="default"/>
        </w:rPr>
        <w:t>(1)</w:t>
      </w:r>
      <w:r>
        <w:rPr/>
        <w:t>公司不能单 方面撤回因解除劳动关系计划或裁减建议所提供的辞退福利时；</w:t>
      </w:r>
      <w:r>
        <w:rPr>
          <w:rFonts w:ascii="宋体" w:hAnsi="宋体" w:cs="宋体" w:eastAsia="宋体" w:hint="default"/>
        </w:rPr>
        <w:t>(2)</w:t>
      </w:r>
      <w:r>
        <w:rPr/>
        <w:t>公司确认与涉及支付辞退福利的重组相关的成本或费用 时。</w:t>
      </w:r>
      <w:r>
        <w:rPr>
          <w:rFonts w:ascii="宋体" w:hAnsi="宋体" w:cs="宋体" w:eastAsia="宋体" w:hint="default"/>
        </w:rPr>
        <w:t> </w:t>
      </w:r>
    </w:p>
    <w:p>
      <w:pPr>
        <w:pStyle w:val="BodyText"/>
        <w:spacing w:line="316" w:lineRule="auto" w:before="19"/>
        <w:ind w:right="178" w:firstLine="360"/>
        <w:jc w:val="left"/>
        <w:rPr>
          <w:rFonts w:ascii="宋体" w:hAnsi="宋体" w:cs="宋体" w:eastAsia="宋体" w:hint="default"/>
        </w:rPr>
      </w:pPr>
      <w:r>
        <w:rPr/>
        <w:t>在公司不能单方面撤回解除劳动关系计划或裁减建议时和确认与涉及支付辞退福利的重组相关的成本费用时两者孰早 </w:t>
      </w:r>
      <w:r>
        <w:rPr>
          <w:spacing w:val="-2"/>
        </w:rPr>
        <w:t>日，确认因解除与职工的劳动关系给予补偿而产生的负债，同时计入当期损益。公司按照辞退计划条款的规定，合理预计并</w:t>
      </w:r>
      <w:r>
        <w:rPr>
          <w:spacing w:val="-65"/>
        </w:rPr>
        <w:t> </w:t>
      </w:r>
      <w:r>
        <w:rPr>
          <w:spacing w:val="-65"/>
        </w:rPr>
      </w:r>
      <w:r>
        <w:rPr>
          <w:spacing w:val="-2"/>
        </w:rPr>
        <w:t>确认辞退福利产生的应付职工薪酬。辞退福利预期在其确认的年度报告期结束后十二个月内完全支付的，适用短期薪酬的相</w:t>
      </w:r>
      <w:r>
        <w:rPr>
          <w:spacing w:val="-64"/>
        </w:rPr>
        <w:t> </w:t>
      </w:r>
      <w:r>
        <w:rPr>
          <w:spacing w:val="-64"/>
        </w:rPr>
      </w:r>
      <w:r>
        <w:rPr/>
        <w:t>关规定；辞退福利预期在年度报告期结束后十二个月内不能完全支付的，适用其他长期职工福利的有关规定。</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3"/>
        <w:spacing w:line="240" w:lineRule="auto"/>
        <w:ind w:right="178"/>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89" w:firstLine="360"/>
        <w:jc w:val="both"/>
        <w:rPr>
          <w:rFonts w:ascii="宋体" w:hAnsi="宋体" w:cs="宋体" w:eastAsia="宋体" w:hint="default"/>
        </w:rPr>
      </w:pPr>
      <w:r>
        <w:rPr>
          <w:spacing w:val="-2"/>
        </w:rPr>
        <w:t>公司向职工提供的其他长期职工福利，符合设定提存计划条件的，按照设定提存计划进行会计处理；除此之外的其他长</w:t>
      </w:r>
      <w:r>
        <w:rPr/>
        <w:t> </w:t>
      </w:r>
      <w:r>
        <w:rPr>
          <w:spacing w:val="-2"/>
        </w:rPr>
        <w:t>期福利，按照设定受益计划进行会计处理，但是重新计量其他长期职工福利净负债或净资产所产生的变动计入当期损益或相</w:t>
      </w:r>
      <w:r>
        <w:rPr>
          <w:spacing w:val="-64"/>
        </w:rPr>
        <w:t> </w:t>
      </w:r>
      <w:r>
        <w:rPr>
          <w:spacing w:val="-64"/>
        </w:rPr>
      </w:r>
      <w:r>
        <w:rPr/>
        <w:t>关资产成本。</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6754"/>
        <w:jc w:val="left"/>
        <w:rPr>
          <w:b w:val="0"/>
          <w:bCs w:val="0"/>
        </w:rPr>
      </w:pPr>
      <w:r>
        <w:rPr>
          <w:rFonts w:ascii="Times New Roman" w:hAnsi="Times New Roman" w:cs="Times New Roman" w:eastAsia="Times New Roman" w:hint="default"/>
        </w:rPr>
        <w:t>23</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78"/>
        <w:jc w:val="left"/>
      </w:pPr>
      <w:r>
        <w:rPr>
          <w:rFonts w:ascii="宋体" w:hAnsi="宋体" w:cs="宋体" w:eastAsia="宋体" w:hint="default"/>
        </w:rPr>
        <w:t>1</w:t>
      </w:r>
      <w:r>
        <w:rPr/>
        <w:t>、预计负债的确认标准</w:t>
      </w:r>
      <w:r>
        <w:rPr>
          <w:rFonts w:ascii="宋体" w:hAnsi="宋体" w:cs="宋体" w:eastAsia="宋体" w:hint="default"/>
        </w:rPr>
        <w:t> </w:t>
      </w:r>
      <w:r>
        <w:rPr>
          <w:spacing w:val="-2"/>
        </w:rPr>
        <w:t>当与对外担保、未决诉讼或仲裁、产品质量保证、裁员计划、亏损合同、重组义务、固定资产弃置义务等或有事项相关</w:t>
      </w:r>
    </w:p>
    <w:p>
      <w:pPr>
        <w:pStyle w:val="BodyText"/>
        <w:spacing w:line="319" w:lineRule="auto" w:before="19"/>
        <w:ind w:left="513" w:right="5314" w:hanging="361"/>
        <w:jc w:val="left"/>
        <w:rPr>
          <w:rFonts w:ascii="宋体" w:hAnsi="宋体" w:cs="宋体" w:eastAsia="宋体" w:hint="default"/>
        </w:rPr>
      </w:pPr>
      <w:r>
        <w:rPr/>
        <w:t>的业务同时符合以下条件时，确认为负债：</w:t>
      </w:r>
      <w:r>
        <w:rPr>
          <w:rFonts w:ascii="宋体" w:hAnsi="宋体" w:cs="宋体" w:eastAsia="宋体" w:hint="default"/>
        </w:rPr>
        <w:t> (1)</w:t>
      </w:r>
      <w:r>
        <w:rPr/>
        <w:t>该义务是本公司承担的现时义务。</w:t>
      </w:r>
      <w:r>
        <w:rPr>
          <w:rFonts w:ascii="宋体" w:hAnsi="宋体" w:cs="宋体" w:eastAsia="宋体" w:hint="default"/>
        </w:rPr>
        <w:t> (2)</w:t>
      </w:r>
      <w:r>
        <w:rPr/>
        <w:t>该义务的履行很可能导致经济利益流出企业。</w:t>
      </w:r>
      <w:r>
        <w:rPr>
          <w:rFonts w:ascii="宋体" w:hAnsi="宋体" w:cs="宋体" w:eastAsia="宋体" w:hint="default"/>
        </w:rPr>
        <w:t> (3)</w:t>
      </w:r>
      <w:r>
        <w:rPr/>
        <w:t>该义务的金额能够可靠地计量。</w:t>
      </w:r>
      <w:r>
        <w:rPr>
          <w:rFonts w:ascii="宋体" w:hAnsi="宋体" w:cs="宋体" w:eastAsia="宋体" w:hint="default"/>
        </w:rPr>
        <w:t> 2</w:t>
      </w:r>
      <w:r>
        <w:rPr/>
        <w:t>、预计负债的计量方法</w:t>
      </w:r>
      <w:r>
        <w:rPr>
          <w:rFonts w:ascii="宋体" w:hAnsi="宋体" w:cs="宋体" w:eastAsia="宋体" w:hint="default"/>
        </w:rPr>
        <w:t> </w:t>
      </w:r>
    </w:p>
    <w:p>
      <w:pPr>
        <w:pStyle w:val="BodyText"/>
        <w:spacing w:line="316" w:lineRule="auto" w:before="17"/>
        <w:ind w:right="192" w:firstLine="360"/>
        <w:jc w:val="both"/>
        <w:rPr>
          <w:rFonts w:ascii="宋体" w:hAnsi="宋体" w:cs="宋体" w:eastAsia="宋体" w:hint="default"/>
        </w:rPr>
      </w:pPr>
      <w:r>
        <w:rPr>
          <w:spacing w:val="-2"/>
        </w:rPr>
        <w:t>预计负债按照履行现时义务所需支出的最佳估计数进行初始计量。所需支出存在一个连续范围，且该范围内各种结果发</w:t>
      </w:r>
      <w:r>
        <w:rPr/>
        <w:t> 生的可能性相同的最佳估计数按该范围的中间值确定；在其他情况下，最佳估计数按如下方法确定：</w:t>
      </w:r>
      <w:r>
        <w:rPr>
          <w:rFonts w:ascii="宋体" w:hAnsi="宋体" w:cs="宋体" w:eastAsia="宋体" w:hint="default"/>
        </w:rPr>
        <w:t> </w:t>
      </w:r>
    </w:p>
    <w:p>
      <w:pPr>
        <w:pStyle w:val="BodyText"/>
        <w:spacing w:line="316" w:lineRule="auto" w:before="18"/>
        <w:ind w:left="513" w:right="178"/>
        <w:jc w:val="left"/>
        <w:rPr>
          <w:rFonts w:ascii="宋体" w:hAnsi="宋体" w:cs="宋体" w:eastAsia="宋体" w:hint="default"/>
        </w:rPr>
      </w:pPr>
      <w:r>
        <w:rPr>
          <w:rFonts w:ascii="宋体" w:hAnsi="宋体" w:cs="宋体" w:eastAsia="宋体" w:hint="default"/>
        </w:rPr>
        <w:t>(1)</w:t>
      </w:r>
      <w:r>
        <w:rPr/>
        <w:t>或有事项涉及单个项目时，最佳估计数按最可能发生金额确定。</w:t>
      </w:r>
      <w:r>
        <w:rPr>
          <w:rFonts w:ascii="宋体" w:hAnsi="宋体" w:cs="宋体" w:eastAsia="宋体" w:hint="default"/>
        </w:rPr>
        <w:t> (2)</w:t>
      </w:r>
      <w:r>
        <w:rPr/>
        <w:t>或有事项涉及多个项目时，最佳估计数按各种可能发生金额及其发生概率计算确定。</w:t>
      </w:r>
      <w:r>
        <w:rPr>
          <w:rFonts w:ascii="宋体" w:hAnsi="宋体" w:cs="宋体" w:eastAsia="宋体" w:hint="default"/>
        </w:rPr>
        <w:t> </w:t>
      </w:r>
    </w:p>
    <w:p>
      <w:pPr>
        <w:spacing w:after="0" w:line="316" w:lineRule="auto"/>
        <w:jc w:val="left"/>
        <w:rPr>
          <w:rFonts w:ascii="宋体" w:hAnsi="宋体" w:cs="宋体" w:eastAsia="宋体" w:hint="default"/>
        </w:rPr>
        <w:sectPr>
          <w:footerReference w:type="default" r:id="rId27"/>
          <w:pgSz w:w="11910" w:h="16840"/>
          <w:pgMar w:footer="980" w:header="745" w:top="1060" w:bottom="1160" w:left="980" w:right="940"/>
          <w:pgNumType w:start="137"/>
        </w:sectPr>
      </w:pPr>
    </w:p>
    <w:p>
      <w:pPr>
        <w:spacing w:line="240" w:lineRule="auto" w:before="9"/>
        <w:rPr>
          <w:rFonts w:ascii="宋体" w:hAnsi="宋体" w:cs="宋体" w:eastAsia="宋体" w:hint="default"/>
          <w:sz w:val="25"/>
          <w:szCs w:val="25"/>
        </w:rPr>
      </w:pPr>
    </w:p>
    <w:p>
      <w:pPr>
        <w:pStyle w:val="BodyText"/>
        <w:spacing w:line="319" w:lineRule="auto" w:before="44"/>
        <w:ind w:right="194" w:firstLine="360"/>
        <w:jc w:val="left"/>
        <w:rPr>
          <w:rFonts w:ascii="宋体" w:hAnsi="宋体" w:cs="宋体" w:eastAsia="宋体" w:hint="default"/>
        </w:rPr>
      </w:pPr>
      <w:r>
        <w:rPr>
          <w:spacing w:val="-2"/>
        </w:rPr>
        <w:t>公司清偿预计负债所需支出全部或部分预期由第三方或其他方补偿的，则补偿金额在基本确定能收到时，作为资产单独</w:t>
      </w:r>
      <w:r>
        <w:rPr/>
        <w:t> 确认。确认的补偿金额不超过所确认预计负债的账面价值。</w:t>
      </w:r>
      <w:r>
        <w:rPr>
          <w:rFonts w:ascii="宋体" w:hAnsi="宋体" w:cs="宋体" w:eastAsia="宋体" w:hint="default"/>
        </w:rPr>
        <w:t> </w:t>
      </w:r>
    </w:p>
    <w:p>
      <w:pPr>
        <w:pStyle w:val="BodyText"/>
        <w:spacing w:line="316" w:lineRule="auto" w:before="17"/>
        <w:ind w:right="194" w:firstLine="360"/>
        <w:jc w:val="left"/>
        <w:rPr>
          <w:rFonts w:ascii="宋体" w:hAnsi="宋体" w:cs="宋体" w:eastAsia="宋体" w:hint="default"/>
        </w:rPr>
      </w:pPr>
      <w:r>
        <w:rPr>
          <w:spacing w:val="-2"/>
        </w:rPr>
        <w:t>公司资产负债表日对预计负债账面价值进行复核，有确凿证据表明该账面价值不能真实反映当前最佳估计数，按照当前</w:t>
      </w:r>
      <w:r>
        <w:rPr/>
        <w:t> 最佳估计数对该账面价值进行调整。</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24</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94" w:firstLine="360"/>
        <w:jc w:val="left"/>
        <w:rPr>
          <w:rFonts w:ascii="宋体" w:hAnsi="宋体" w:cs="宋体" w:eastAsia="宋体" w:hint="default"/>
        </w:rPr>
      </w:pPr>
      <w:r>
        <w:rPr/>
        <w:t>本公司的股份支付是为了获取职工</w:t>
      </w:r>
      <w:r>
        <w:rPr>
          <w:rFonts w:ascii="宋体" w:hAnsi="宋体" w:cs="宋体" w:eastAsia="宋体" w:hint="default"/>
        </w:rPr>
        <w:t>(</w:t>
      </w:r>
      <w:r>
        <w:rPr/>
        <w:t>或其他方</w:t>
      </w:r>
      <w:r>
        <w:rPr>
          <w:rFonts w:ascii="宋体" w:hAnsi="宋体" w:cs="宋体" w:eastAsia="宋体" w:hint="default"/>
        </w:rPr>
        <w:t>)</w:t>
      </w:r>
      <w:r>
        <w:rPr/>
        <w:t>提供服务而授予权益工具或者承担以权益工具为基础确定的负债的交易。 本公司的股份支付分为以权益结算的股份支付和以现金结算的股份支付。</w:t>
      </w:r>
      <w:r>
        <w:rPr>
          <w:rFonts w:ascii="宋体" w:hAnsi="宋体" w:cs="宋体" w:eastAsia="宋体" w:hint="default"/>
        </w:rPr>
        <w:t> </w:t>
      </w:r>
    </w:p>
    <w:p>
      <w:pPr>
        <w:pStyle w:val="BodyText"/>
        <w:spacing w:line="316" w:lineRule="auto" w:before="19"/>
        <w:ind w:left="513" w:right="194"/>
        <w:jc w:val="left"/>
      </w:pPr>
      <w:r>
        <w:rPr>
          <w:rFonts w:ascii="宋体" w:hAnsi="宋体" w:cs="宋体" w:eastAsia="宋体" w:hint="default"/>
        </w:rPr>
        <w:t>1</w:t>
      </w:r>
      <w:r>
        <w:rPr/>
        <w:t>、以权益结算的股份支付及权益工具</w:t>
      </w:r>
      <w:r>
        <w:rPr>
          <w:rFonts w:ascii="宋体" w:hAnsi="宋体" w:cs="宋体" w:eastAsia="宋体" w:hint="default"/>
        </w:rPr>
        <w:t> </w:t>
      </w:r>
      <w:r>
        <w:rPr>
          <w:spacing w:val="-2"/>
        </w:rPr>
        <w:t>以权益结算的股份支付换取职工提供服务的，以授予职工权益工具的公允价值计量。本公司以限制性股票进行股份支付</w:t>
      </w:r>
    </w:p>
    <w:p>
      <w:pPr>
        <w:pStyle w:val="BodyText"/>
        <w:spacing w:line="319" w:lineRule="auto" w:before="19"/>
        <w:ind w:right="290"/>
        <w:jc w:val="both"/>
        <w:rPr>
          <w:rFonts w:ascii="宋体" w:hAnsi="宋体" w:cs="宋体" w:eastAsia="宋体" w:hint="default"/>
        </w:rPr>
      </w:pPr>
      <w:r>
        <w:rPr>
          <w:spacing w:val="-2"/>
        </w:rPr>
        <w:t>的，职工出资认购股票，股票在达到解锁条件并解锁前不得上市流通或转让；如果最终股权激励计划规定的解锁条件未能达</w:t>
      </w:r>
      <w:r>
        <w:rPr>
          <w:spacing w:val="-65"/>
        </w:rPr>
        <w:t> </w:t>
      </w:r>
      <w:r>
        <w:rPr>
          <w:spacing w:val="-65"/>
        </w:rPr>
      </w:r>
      <w:r>
        <w:rPr>
          <w:spacing w:val="-2"/>
        </w:rPr>
        <w:t>到，则本公司按照事先约定的价格回购股票。本公司取得职工认购限制性股票支付的款项时，按照取得的认股款确认股本和</w:t>
      </w:r>
      <w:r>
        <w:rPr>
          <w:spacing w:val="-63"/>
        </w:rPr>
        <w:t> </w:t>
      </w:r>
      <w:r>
        <w:rPr>
          <w:spacing w:val="-63"/>
        </w:rPr>
      </w:r>
      <w:r>
        <w:rPr>
          <w:spacing w:val="-2"/>
        </w:rPr>
        <w:t>资本公积</w:t>
      </w:r>
      <w:r>
        <w:rPr>
          <w:rFonts w:ascii="宋体" w:hAnsi="宋体" w:cs="宋体" w:eastAsia="宋体" w:hint="default"/>
          <w:spacing w:val="-2"/>
        </w:rPr>
        <w:t>(</w:t>
      </w:r>
      <w:r>
        <w:rPr>
          <w:spacing w:val="-2"/>
        </w:rPr>
        <w:t>股本溢价</w:t>
      </w:r>
      <w:r>
        <w:rPr>
          <w:rFonts w:ascii="宋体" w:hAnsi="宋体" w:cs="宋体" w:eastAsia="宋体" w:hint="default"/>
          <w:spacing w:val="-2"/>
        </w:rPr>
        <w:t>)</w:t>
      </w:r>
      <w:r>
        <w:rPr>
          <w:spacing w:val="-2"/>
        </w:rPr>
        <w:t>，同时就回购义务全额确认一项负债并确认库存股。在等待期内每个资产负债表日，本公司根据最新取</w:t>
      </w:r>
      <w:r>
        <w:rPr>
          <w:spacing w:val="-63"/>
        </w:rPr>
        <w:t> </w:t>
      </w:r>
      <w:r>
        <w:rPr>
          <w:spacing w:val="-63"/>
        </w:rPr>
      </w:r>
      <w:r>
        <w:rPr>
          <w:spacing w:val="-2"/>
        </w:rPr>
        <w:t>得的后续信息对可行权权益工具数量作出最佳估计，以此为基础，按照授予日的公允价值，将当期取得的服务计入相关成本</w:t>
      </w:r>
      <w:r>
        <w:rPr>
          <w:spacing w:val="-63"/>
        </w:rPr>
        <w:t> </w:t>
      </w:r>
      <w:r>
        <w:rPr>
          <w:spacing w:val="-63"/>
        </w:rPr>
      </w:r>
      <w:r>
        <w:rPr>
          <w:spacing w:val="-2"/>
        </w:rPr>
        <w:t>或费用，相应增加资本公积。在可行权日之后不再对已确认的相关成本或费用和所有者权益总额进行调整。但授予后立即可</w:t>
      </w:r>
      <w:r>
        <w:rPr>
          <w:spacing w:val="-65"/>
        </w:rPr>
        <w:t> </w:t>
      </w:r>
      <w:r>
        <w:rPr>
          <w:spacing w:val="-65"/>
        </w:rPr>
      </w:r>
      <w:r>
        <w:rPr/>
        <w:t>行权的，在授予日按照公允价值计入相关成本或费用，相应增加资本公积。</w:t>
      </w:r>
      <w:r>
        <w:rPr>
          <w:rFonts w:ascii="宋体" w:hAnsi="宋体" w:cs="宋体" w:eastAsia="宋体" w:hint="default"/>
        </w:rPr>
        <w:t> </w:t>
      </w:r>
    </w:p>
    <w:p>
      <w:pPr>
        <w:pStyle w:val="BodyText"/>
        <w:spacing w:line="316" w:lineRule="auto" w:before="17"/>
        <w:ind w:right="194" w:firstLine="360"/>
        <w:jc w:val="left"/>
        <w:rPr>
          <w:rFonts w:ascii="宋体" w:hAnsi="宋体" w:cs="宋体" w:eastAsia="宋体" w:hint="default"/>
        </w:rPr>
      </w:pPr>
      <w:r>
        <w:rPr>
          <w:spacing w:val="-2"/>
        </w:rPr>
        <w:t>对于最终未能行权的股份支付，不确认成本或费用，除非行权条件是市场条件或非可行权条件，此时无论是否满足市场</w:t>
      </w:r>
      <w:r>
        <w:rPr/>
        <w:t> 条件或非可行权条件，只要满足所有可行权条件中的非市场条件，即视为可行权。</w:t>
      </w:r>
      <w:r>
        <w:rPr>
          <w:rFonts w:ascii="宋体" w:hAnsi="宋体" w:cs="宋体" w:eastAsia="宋体" w:hint="default"/>
        </w:rPr>
        <w:t> </w:t>
      </w:r>
    </w:p>
    <w:p>
      <w:pPr>
        <w:pStyle w:val="BodyText"/>
        <w:spacing w:line="316" w:lineRule="auto" w:before="19"/>
        <w:ind w:right="194" w:firstLine="360"/>
        <w:jc w:val="left"/>
        <w:rPr>
          <w:rFonts w:ascii="宋体" w:hAnsi="宋体" w:cs="宋体" w:eastAsia="宋体" w:hint="default"/>
        </w:rPr>
      </w:pPr>
      <w:r>
        <w:rPr>
          <w:spacing w:val="-2"/>
        </w:rPr>
        <w:t>如果修改了以权益结算的股份支付的条款，至少按照未修改条款的情况确认取得的服务。此外，任何增加所授予权益工</w:t>
      </w:r>
      <w:r>
        <w:rPr/>
        <w:t> 具公允价值的修改，或在修改日对职工有利的变更，均确认取得服务的增加。</w:t>
      </w:r>
      <w:r>
        <w:rPr>
          <w:rFonts w:ascii="宋体" w:hAnsi="宋体" w:cs="宋体" w:eastAsia="宋体" w:hint="default"/>
        </w:rPr>
        <w:t> </w:t>
      </w:r>
    </w:p>
    <w:p>
      <w:pPr>
        <w:pStyle w:val="BodyText"/>
        <w:spacing w:line="316" w:lineRule="auto" w:before="19"/>
        <w:ind w:right="103" w:firstLine="360"/>
        <w:jc w:val="left"/>
        <w:rPr>
          <w:rFonts w:ascii="宋体" w:hAnsi="宋体" w:cs="宋体" w:eastAsia="宋体" w:hint="default"/>
        </w:rPr>
      </w:pPr>
      <w:r>
        <w:rPr/>
        <w:t>如果取消了以权益结算的股份支付，则于取消日作为加速行权处理，立即确认尚未确认的金额。职工或其他方能够选择 满足非可行权条件但在等待期内未满足的，作为取消以权益结算的股份支付处理。但是，如果授予新的权益工具，并在新权 </w:t>
      </w:r>
      <w:r>
        <w:rPr>
          <w:spacing w:val="-2"/>
        </w:rPr>
        <w:t>益工具授予日认定所授予的新权益工具是用于替代被取消的权益工具的，则以与处理原权益工具条款和条件修改相同的方式，</w:t>
      </w:r>
      <w:r>
        <w:rPr>
          <w:spacing w:val="-62"/>
        </w:rPr>
        <w:t> </w:t>
      </w:r>
      <w:r>
        <w:rPr>
          <w:spacing w:val="-62"/>
        </w:rPr>
      </w:r>
      <w:r>
        <w:rPr/>
        <w:t>对所授予的替代权益工具进行处理。</w:t>
      </w:r>
      <w:r>
        <w:rPr>
          <w:rFonts w:ascii="宋体" w:hAnsi="宋体" w:cs="宋体" w:eastAsia="宋体" w:hint="default"/>
        </w:rPr>
        <w:t> </w:t>
      </w:r>
    </w:p>
    <w:p>
      <w:pPr>
        <w:pStyle w:val="BodyText"/>
        <w:spacing w:line="316" w:lineRule="auto" w:before="19"/>
        <w:ind w:left="513" w:right="194"/>
        <w:jc w:val="left"/>
      </w:pPr>
      <w:r>
        <w:rPr>
          <w:rFonts w:ascii="宋体" w:hAnsi="宋体" w:cs="宋体" w:eastAsia="宋体" w:hint="default"/>
        </w:rPr>
        <w:t>2</w:t>
      </w:r>
      <w:r>
        <w:rPr/>
        <w:t>、以现金结算的股份支付及权益工具</w:t>
      </w:r>
      <w:r>
        <w:rPr>
          <w:rFonts w:ascii="宋体" w:hAnsi="宋体" w:cs="宋体" w:eastAsia="宋体" w:hint="default"/>
        </w:rPr>
        <w:t> </w:t>
      </w:r>
      <w:r>
        <w:rPr>
          <w:spacing w:val="-2"/>
        </w:rPr>
        <w:t>以现金结算的股份支付，按照本公司承担的以股份或其他权益工具为基础计算确定的负债的公允价值计量。初始按照授</w:t>
      </w:r>
    </w:p>
    <w:p>
      <w:pPr>
        <w:pStyle w:val="BodyText"/>
        <w:spacing w:line="316" w:lineRule="auto" w:before="19"/>
        <w:ind w:right="289"/>
        <w:jc w:val="both"/>
        <w:rPr>
          <w:rFonts w:ascii="宋体" w:hAnsi="宋体" w:cs="宋体" w:eastAsia="宋体" w:hint="default"/>
        </w:rPr>
      </w:pPr>
      <w:r>
        <w:rPr>
          <w:spacing w:val="-2"/>
        </w:rPr>
        <w:t>予日的公允价值计量，并考虑授予权益工具的条款和条件，详见本附注“二十四、股份支付”。授予后立即可行权的，在授</w:t>
      </w:r>
      <w:r>
        <w:rPr>
          <w:spacing w:val="-73"/>
        </w:rPr>
        <w:t> </w:t>
      </w:r>
      <w:r>
        <w:rPr>
          <w:spacing w:val="-73"/>
        </w:rPr>
      </w:r>
      <w:r>
        <w:rPr>
          <w:spacing w:val="-2"/>
        </w:rPr>
        <w:t>予日以承担负债的公允价值计入成本或费用，相应增加负债；完成等待期内的服务或达到规定业绩条件才可行权的，在等待</w:t>
      </w:r>
      <w:r>
        <w:rPr>
          <w:spacing w:val="-62"/>
        </w:rPr>
        <w:t> </w:t>
      </w:r>
      <w:r>
        <w:rPr>
          <w:spacing w:val="-62"/>
        </w:rPr>
      </w:r>
      <w:r>
        <w:rPr>
          <w:spacing w:val="-5"/>
        </w:rPr>
        <w:t>期内以对可行权情况的最佳估计为基础，按照承担负债的公允价值，将当期取得的服务计入相关成本或费用，增加相应负债。</w:t>
      </w:r>
      <w:r>
        <w:rPr>
          <w:spacing w:val="-76"/>
        </w:rPr>
        <w:t> </w:t>
      </w:r>
      <w:r>
        <w:rPr>
          <w:spacing w:val="-76"/>
        </w:rPr>
      </w:r>
      <w:r>
        <w:rPr/>
        <w:t>在相关负债结算前的每个资产负债表日以及结算日，对负债的公允价值重新计量，其变动计入当期损益。</w:t>
      </w:r>
      <w:r>
        <w:rPr>
          <w:rFonts w:ascii="宋体" w:hAnsi="宋体" w:cs="宋体" w:eastAsia="宋体" w:hint="default"/>
        </w:rPr>
        <w:t> </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25</w:t>
      </w:r>
      <w:r>
        <w:rPr/>
        <w:t>、收入</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854"/>
        <w:jc w:val="left"/>
      </w:pPr>
      <w:r>
        <w:rPr/>
        <w:t>公司是否需要遵守特殊行业的披露要求 否</w:t>
      </w:r>
    </w:p>
    <w:p>
      <w:pPr>
        <w:pStyle w:val="BodyText"/>
        <w:spacing w:line="319" w:lineRule="auto" w:before="25"/>
        <w:ind w:left="513" w:right="7883"/>
        <w:jc w:val="left"/>
        <w:rPr>
          <w:rFonts w:ascii="宋体" w:hAnsi="宋体" w:cs="宋体" w:eastAsia="宋体" w:hint="default"/>
        </w:rPr>
      </w:pPr>
      <w:r>
        <w:rPr>
          <w:rFonts w:ascii="宋体" w:hAnsi="宋体" w:cs="宋体" w:eastAsia="宋体" w:hint="default"/>
        </w:rPr>
        <w:t>1</w:t>
      </w:r>
      <w:r>
        <w:rPr/>
        <w:t>、一般原则</w:t>
      </w:r>
      <w:r>
        <w:rPr>
          <w:rFonts w:ascii="宋体" w:hAnsi="宋体" w:cs="宋体" w:eastAsia="宋体" w:hint="default"/>
        </w:rPr>
        <w:t> (1)</w:t>
      </w:r>
      <w:r>
        <w:rPr/>
        <w:t>销售商品</w:t>
      </w:r>
      <w:r>
        <w:rPr>
          <w:rFonts w:ascii="宋体" w:hAnsi="宋体" w:cs="宋体" w:eastAsia="宋体" w:hint="default"/>
        </w:rPr>
        <w:t> </w:t>
      </w:r>
    </w:p>
    <w:p>
      <w:pPr>
        <w:pStyle w:val="BodyText"/>
        <w:spacing w:line="316" w:lineRule="auto" w:before="17"/>
        <w:ind w:right="194" w:firstLine="360"/>
        <w:jc w:val="left"/>
        <w:rPr>
          <w:rFonts w:ascii="宋体" w:hAnsi="宋体" w:cs="宋体" w:eastAsia="宋体" w:hint="default"/>
        </w:rPr>
      </w:pPr>
      <w:r>
        <w:rPr>
          <w:spacing w:val="-2"/>
        </w:rPr>
        <w:t>销售商品收入在同时满足下列条件时予以确认：</w:t>
      </w:r>
      <w:r>
        <w:rPr>
          <w:rFonts w:ascii="宋体" w:hAnsi="宋体" w:cs="宋体" w:eastAsia="宋体" w:hint="default"/>
          <w:spacing w:val="-2"/>
        </w:rPr>
        <w:t>1)</w:t>
      </w:r>
      <w:r>
        <w:rPr>
          <w:spacing w:val="-2"/>
        </w:rPr>
        <w:t>本公司已将商品所有权上的主要风险和报酬转移给购货方；</w:t>
      </w:r>
      <w:r>
        <w:rPr>
          <w:rFonts w:ascii="宋体" w:hAnsi="宋体" w:cs="宋体" w:eastAsia="宋体" w:hint="default"/>
          <w:spacing w:val="-2"/>
        </w:rPr>
        <w:t>2)</w:t>
      </w:r>
      <w:r>
        <w:rPr>
          <w:spacing w:val="-2"/>
        </w:rPr>
        <w:t>本公司</w:t>
      </w:r>
      <w:r>
        <w:rPr/>
        <w:t> 既没有保留通常与所有权相联系的继续管理权，也没有对已售出的商品实施有效控制；</w:t>
      </w:r>
      <w:r>
        <w:rPr>
          <w:rFonts w:ascii="宋体" w:hAnsi="宋体" w:cs="宋体" w:eastAsia="宋体" w:hint="default"/>
        </w:rPr>
        <w:t>3)</w:t>
      </w:r>
      <w:r>
        <w:rPr/>
        <w:t>收入的金额能够可靠地计量；</w:t>
      </w:r>
      <w:r>
        <w:rPr>
          <w:rFonts w:ascii="宋体" w:hAnsi="宋体" w:cs="宋体" w:eastAsia="宋体" w:hint="default"/>
        </w:rPr>
        <w:t>4)</w:t>
      </w:r>
      <w:r>
        <w:rPr>
          <w:rFonts w:ascii="宋体" w:hAnsi="宋体" w:cs="宋体" w:eastAsia="宋体" w:hint="default"/>
          <w:spacing w:val="1"/>
        </w:rPr>
        <w:t> </w:t>
      </w:r>
      <w:r>
        <w:rPr/>
        <w:t>相关的经济利益很可能流入本公司；</w:t>
      </w:r>
      <w:r>
        <w:rPr>
          <w:rFonts w:ascii="宋体" w:hAnsi="宋体" w:cs="宋体" w:eastAsia="宋体" w:hint="default"/>
        </w:rPr>
        <w:t>5)</w:t>
      </w:r>
      <w:r>
        <w:rPr/>
        <w:t>相关的、已发生或将发生的成本能够可靠地计量。</w:t>
      </w:r>
      <w:r>
        <w:rPr>
          <w:rFonts w:ascii="宋体" w:hAnsi="宋体" w:cs="宋体" w:eastAsia="宋体" w:hint="default"/>
        </w:rPr>
        <w:t> </w:t>
      </w:r>
    </w:p>
    <w:p>
      <w:pPr>
        <w:pStyle w:val="BodyText"/>
        <w:spacing w:line="316" w:lineRule="auto" w:before="19"/>
        <w:ind w:left="513" w:right="194"/>
        <w:jc w:val="left"/>
      </w:pPr>
      <w:r>
        <w:rPr>
          <w:rFonts w:ascii="宋体" w:hAnsi="宋体" w:cs="宋体" w:eastAsia="宋体" w:hint="default"/>
        </w:rPr>
        <w:t>(2)</w:t>
      </w:r>
      <w:r>
        <w:rPr/>
        <w:t>提供劳务</w:t>
      </w:r>
      <w:r>
        <w:rPr>
          <w:rFonts w:ascii="宋体" w:hAnsi="宋体" w:cs="宋体" w:eastAsia="宋体" w:hint="default"/>
        </w:rPr>
        <w:t> </w:t>
      </w:r>
      <w:r>
        <w:rPr>
          <w:spacing w:val="-4"/>
        </w:rPr>
        <w:t>提供劳务交易的结果在资产负债表日能够可靠估计的，同时满足收入的金额能够可靠地计量、相关经济利益很可能流入、</w:t>
      </w:r>
    </w:p>
    <w:p>
      <w:pPr>
        <w:pStyle w:val="BodyText"/>
        <w:spacing w:line="240" w:lineRule="auto" w:before="18"/>
        <w:ind w:right="103"/>
        <w:jc w:val="left"/>
      </w:pPr>
      <w:r>
        <w:rPr/>
        <w:t>交易的完工进度能够可靠地确定、交易中已发生和将发生的成本能够可靠地计量，采用完工百分比法确认提供劳务的收入。</w:t>
      </w:r>
    </w:p>
    <w:p>
      <w:pPr>
        <w:spacing w:after="0" w:line="240" w:lineRule="auto"/>
        <w:jc w:val="left"/>
        <w:sectPr>
          <w:pgSz w:w="11910" w:h="16840"/>
          <w:pgMar w:header="745" w:footer="980" w:top="1060" w:bottom="1160" w:left="980" w:right="840"/>
        </w:sectPr>
      </w:pPr>
    </w:p>
    <w:p>
      <w:pPr>
        <w:spacing w:line="240" w:lineRule="auto" w:before="9"/>
        <w:rPr>
          <w:rFonts w:ascii="宋体" w:hAnsi="宋体" w:cs="宋体" w:eastAsia="宋体" w:hint="default"/>
          <w:sz w:val="25"/>
          <w:szCs w:val="25"/>
        </w:rPr>
      </w:pPr>
    </w:p>
    <w:p>
      <w:pPr>
        <w:pStyle w:val="BodyText"/>
        <w:spacing w:line="319" w:lineRule="auto" w:before="44"/>
        <w:ind w:right="190"/>
        <w:jc w:val="both"/>
        <w:rPr>
          <w:rFonts w:ascii="宋体" w:hAnsi="宋体" w:cs="宋体" w:eastAsia="宋体" w:hint="default"/>
        </w:rPr>
      </w:pPr>
      <w:r>
        <w:rPr>
          <w:spacing w:val="-2"/>
        </w:rPr>
        <w:t>提供劳务交易的结果在资产负债表日不能够可靠估计的，若已经发生的劳务成本预计能够得到补偿，按已经发生的劳务成本</w:t>
      </w:r>
      <w:r>
        <w:rPr>
          <w:spacing w:val="-63"/>
        </w:rPr>
        <w:t> </w:t>
      </w:r>
      <w:r>
        <w:rPr>
          <w:spacing w:val="-63"/>
        </w:rPr>
      </w:r>
      <w:r>
        <w:rPr>
          <w:spacing w:val="-2"/>
        </w:rPr>
        <w:t>金额确认提供劳务收入，并按相同金额结转劳务成本；若已经发生的劳务成本预计不能够得到补偿，将已经发生的劳务成本</w:t>
      </w:r>
      <w:r>
        <w:rPr>
          <w:spacing w:val="-63"/>
        </w:rPr>
        <w:t> </w:t>
      </w:r>
      <w:r>
        <w:rPr>
          <w:spacing w:val="-63"/>
        </w:rPr>
      </w:r>
      <w:r>
        <w:rPr/>
        <w:t>计入当期损益，不确认劳务收入。</w:t>
      </w:r>
      <w:r>
        <w:rPr>
          <w:rFonts w:ascii="宋体" w:hAnsi="宋体" w:cs="宋体" w:eastAsia="宋体" w:hint="default"/>
        </w:rPr>
        <w:t> </w:t>
      </w:r>
    </w:p>
    <w:p>
      <w:pPr>
        <w:pStyle w:val="BodyText"/>
        <w:spacing w:line="316" w:lineRule="auto" w:before="17"/>
        <w:ind w:left="513" w:right="178"/>
        <w:jc w:val="left"/>
      </w:pPr>
      <w:r>
        <w:rPr>
          <w:rFonts w:ascii="宋体" w:hAnsi="宋体" w:cs="宋体" w:eastAsia="宋体" w:hint="default"/>
        </w:rPr>
        <w:t>(3) </w:t>
      </w:r>
      <w:r>
        <w:rPr/>
        <w:t>建造合同收入</w:t>
      </w:r>
      <w:r>
        <w:rPr>
          <w:rFonts w:ascii="宋体" w:hAnsi="宋体" w:cs="宋体" w:eastAsia="宋体" w:hint="default"/>
        </w:rPr>
        <w:t> </w:t>
      </w:r>
      <w:r>
        <w:rPr>
          <w:spacing w:val="-2"/>
        </w:rPr>
        <w:t>在建造合同的结果能够可靠估计的情况下，于资产负债表日按照完工百分比法确认合同收入和合同费用。合同完工进度</w:t>
      </w:r>
    </w:p>
    <w:p>
      <w:pPr>
        <w:pStyle w:val="BodyText"/>
        <w:spacing w:line="316" w:lineRule="auto" w:before="19"/>
        <w:ind w:left="513" w:right="93" w:hanging="361"/>
        <w:jc w:val="left"/>
      </w:pPr>
      <w:r>
        <w:rPr/>
        <w:t>按已经完成的合同工作量占合同预计总工作量的比例</w:t>
      </w:r>
      <w:r>
        <w:rPr>
          <w:rFonts w:ascii="宋体" w:hAnsi="宋体" w:cs="宋体" w:eastAsia="宋体" w:hint="default"/>
        </w:rPr>
        <w:t>/</w:t>
      </w:r>
      <w:r>
        <w:rPr/>
        <w:t>实际测定的完工进度确定。</w:t>
      </w:r>
      <w:r>
        <w:rPr>
          <w:rFonts w:ascii="宋体" w:hAnsi="宋体" w:cs="宋体" w:eastAsia="宋体" w:hint="default"/>
        </w:rPr>
        <w:t> </w:t>
      </w:r>
      <w:r>
        <w:rPr>
          <w:spacing w:val="-4"/>
        </w:rPr>
        <w:t>建造合同的结果能够可靠估计是指同时满足：①合同总收入能够可靠地计量；②与合同相关的经济利益很可能流入企业；</w:t>
      </w:r>
    </w:p>
    <w:p>
      <w:pPr>
        <w:pStyle w:val="BodyText"/>
        <w:spacing w:line="316" w:lineRule="auto" w:before="19"/>
        <w:ind w:left="513" w:right="178" w:hanging="361"/>
        <w:jc w:val="left"/>
      </w:pPr>
      <w:r>
        <w:rPr/>
        <w:t>③实际发生的合同成本能够清楚地区分和可靠地计量；④合同完工进度和为完成合同尚需发生的成本能够可靠地确定。</w:t>
      </w:r>
      <w:r>
        <w:rPr>
          <w:rFonts w:ascii="宋体" w:hAnsi="宋体" w:cs="宋体" w:eastAsia="宋体" w:hint="default"/>
        </w:rPr>
        <w:t> </w:t>
      </w:r>
      <w:r>
        <w:rPr>
          <w:spacing w:val="-2"/>
        </w:rPr>
        <w:t>如建造合同的结果不能可靠地估计，但合同成本能够收回的，合同收入根据能够收回的实际合同成本予以确认，合同成</w:t>
      </w:r>
    </w:p>
    <w:p>
      <w:pPr>
        <w:pStyle w:val="BodyText"/>
        <w:spacing w:line="316" w:lineRule="auto" w:before="19"/>
        <w:ind w:right="178"/>
        <w:jc w:val="left"/>
        <w:rPr>
          <w:rFonts w:ascii="宋体" w:hAnsi="宋体" w:cs="宋体" w:eastAsia="宋体" w:hint="default"/>
        </w:rPr>
      </w:pPr>
      <w:r>
        <w:rPr>
          <w:spacing w:val="-2"/>
        </w:rPr>
        <w:t>本在其发生的当期确认为合同费用；合同成本不可能收回的，在发生时立即确认为合同费用，不确认合同收入。使建造合同</w:t>
      </w:r>
      <w:r>
        <w:rPr>
          <w:spacing w:val="-64"/>
        </w:rPr>
        <w:t> </w:t>
      </w:r>
      <w:r>
        <w:rPr>
          <w:spacing w:val="-64"/>
        </w:rPr>
      </w:r>
      <w:r>
        <w:rPr/>
        <w:t>的结果不能可靠估计的不确定因素不复存在的，按照完工百分比法确定与建造合同有关的收入和费用。</w:t>
      </w:r>
      <w:r>
        <w:rPr>
          <w:rFonts w:ascii="宋体" w:hAnsi="宋体" w:cs="宋体" w:eastAsia="宋体" w:hint="default"/>
        </w:rPr>
        <w:t> </w:t>
      </w:r>
    </w:p>
    <w:p>
      <w:pPr>
        <w:pStyle w:val="BodyText"/>
        <w:spacing w:line="316" w:lineRule="auto" w:before="19"/>
        <w:ind w:left="513" w:right="178"/>
        <w:jc w:val="left"/>
      </w:pPr>
      <w:r>
        <w:rPr/>
        <w:t>合同预计总成本超过合同总收入的，将预计损失确认为当期费用。</w:t>
      </w:r>
      <w:r>
        <w:rPr>
          <w:rFonts w:ascii="宋体" w:hAnsi="宋体" w:cs="宋体" w:eastAsia="宋体" w:hint="default"/>
        </w:rPr>
        <w:t> </w:t>
      </w:r>
      <w:r>
        <w:rPr>
          <w:spacing w:val="-2"/>
        </w:rPr>
        <w:t>在建合同累计已发生的成本和累计已确认的毛利</w:t>
      </w:r>
      <w:r>
        <w:rPr>
          <w:rFonts w:ascii="宋体" w:hAnsi="宋体" w:cs="宋体" w:eastAsia="宋体" w:hint="default"/>
          <w:spacing w:val="-2"/>
        </w:rPr>
        <w:t>(</w:t>
      </w:r>
      <w:r>
        <w:rPr>
          <w:spacing w:val="-2"/>
        </w:rPr>
        <w:t>亏损</w:t>
      </w:r>
      <w:r>
        <w:rPr>
          <w:rFonts w:ascii="宋体" w:hAnsi="宋体" w:cs="宋体" w:eastAsia="宋体" w:hint="default"/>
          <w:spacing w:val="-2"/>
        </w:rPr>
        <w:t>)</w:t>
      </w:r>
      <w:r>
        <w:rPr>
          <w:spacing w:val="-2"/>
        </w:rPr>
        <w:t>与已结算的价款在资产负债表中以抵销后的净额列示。在建合同</w:t>
      </w:r>
    </w:p>
    <w:p>
      <w:pPr>
        <w:pStyle w:val="BodyText"/>
        <w:spacing w:line="316" w:lineRule="auto" w:before="19"/>
        <w:ind w:right="178"/>
        <w:jc w:val="left"/>
        <w:rPr>
          <w:rFonts w:ascii="宋体" w:hAnsi="宋体" w:cs="宋体" w:eastAsia="宋体" w:hint="default"/>
        </w:rPr>
      </w:pPr>
      <w:r>
        <w:rPr>
          <w:spacing w:val="-2"/>
        </w:rPr>
        <w:t>累计已发生的成本和累计已确认的毛利</w:t>
      </w:r>
      <w:r>
        <w:rPr>
          <w:rFonts w:ascii="宋体" w:hAnsi="宋体" w:cs="宋体" w:eastAsia="宋体" w:hint="default"/>
          <w:spacing w:val="-2"/>
        </w:rPr>
        <w:t>(</w:t>
      </w:r>
      <w:r>
        <w:rPr>
          <w:spacing w:val="-2"/>
        </w:rPr>
        <w:t>亏损</w:t>
      </w:r>
      <w:r>
        <w:rPr>
          <w:rFonts w:ascii="宋体" w:hAnsi="宋体" w:cs="宋体" w:eastAsia="宋体" w:hint="default"/>
          <w:spacing w:val="-2"/>
        </w:rPr>
        <w:t>)</w:t>
      </w:r>
      <w:r>
        <w:rPr>
          <w:spacing w:val="-2"/>
        </w:rPr>
        <w:t>之和超过已结算价款的部分作为存货列示；在建合同已结算的价款超过累计已</w:t>
      </w:r>
      <w:r>
        <w:rPr>
          <w:spacing w:val="-62"/>
        </w:rPr>
        <w:t> </w:t>
      </w:r>
      <w:r>
        <w:rPr>
          <w:spacing w:val="-62"/>
        </w:rPr>
      </w:r>
      <w:r>
        <w:rPr/>
        <w:t>发生的成本与累计已确认的毛利</w:t>
      </w:r>
      <w:r>
        <w:rPr>
          <w:rFonts w:ascii="宋体" w:hAnsi="宋体" w:cs="宋体" w:eastAsia="宋体" w:hint="default"/>
        </w:rPr>
        <w:t>(</w:t>
      </w:r>
      <w:r>
        <w:rPr/>
        <w:t>亏损</w:t>
      </w:r>
      <w:r>
        <w:rPr>
          <w:rFonts w:ascii="宋体" w:hAnsi="宋体" w:cs="宋体" w:eastAsia="宋体" w:hint="default"/>
        </w:rPr>
        <w:t>)</w:t>
      </w:r>
      <w:r>
        <w:rPr/>
        <w:t>之和的部分作为预收款项列示。</w:t>
      </w:r>
      <w:r>
        <w:rPr>
          <w:rFonts w:ascii="宋体" w:hAnsi="宋体" w:cs="宋体" w:eastAsia="宋体" w:hint="default"/>
        </w:rPr>
        <w:t> </w:t>
      </w:r>
    </w:p>
    <w:p>
      <w:pPr>
        <w:pStyle w:val="BodyText"/>
        <w:spacing w:line="316" w:lineRule="auto" w:before="19"/>
        <w:ind w:left="513" w:right="178"/>
        <w:jc w:val="left"/>
      </w:pPr>
      <w:r>
        <w:rPr>
          <w:rFonts w:ascii="宋体" w:hAnsi="宋体" w:cs="宋体" w:eastAsia="宋体" w:hint="default"/>
        </w:rPr>
        <w:t>(4)</w:t>
      </w:r>
      <w:r>
        <w:rPr/>
        <w:t>让渡资产使用权</w:t>
      </w:r>
      <w:r>
        <w:rPr>
          <w:rFonts w:ascii="宋体" w:hAnsi="宋体" w:cs="宋体" w:eastAsia="宋体" w:hint="default"/>
        </w:rPr>
        <w:t> </w:t>
      </w:r>
      <w:r>
        <w:rPr>
          <w:spacing w:val="-2"/>
        </w:rPr>
        <w:t>让渡资产使用权在同时满足相关的经济利益很可能流入、收入金额能够可靠计量时，确认让渡资产使用权的收入。利息</w:t>
      </w:r>
    </w:p>
    <w:p>
      <w:pPr>
        <w:pStyle w:val="BodyText"/>
        <w:spacing w:line="316" w:lineRule="auto" w:before="19"/>
        <w:ind w:right="178"/>
        <w:jc w:val="left"/>
        <w:rPr>
          <w:rFonts w:ascii="宋体" w:hAnsi="宋体" w:cs="宋体" w:eastAsia="宋体" w:hint="default"/>
        </w:rPr>
      </w:pPr>
      <w:r>
        <w:rPr>
          <w:spacing w:val="-2"/>
        </w:rPr>
        <w:t>收入按照他人使用本公司货币资金的时间和实际利率计算确定；使用费收入按有关合同或协议约定的收费时间和方法计算确</w:t>
      </w:r>
      <w:r>
        <w:rPr>
          <w:spacing w:val="-64"/>
        </w:rPr>
        <w:t> </w:t>
      </w:r>
      <w:r>
        <w:rPr>
          <w:spacing w:val="-64"/>
        </w:rPr>
      </w:r>
      <w:r>
        <w:rPr/>
        <w:t>定。</w:t>
      </w:r>
      <w:r>
        <w:rPr>
          <w:rFonts w:ascii="宋体" w:hAnsi="宋体" w:cs="宋体" w:eastAsia="宋体" w:hint="default"/>
        </w:rPr>
        <w:t> </w:t>
      </w:r>
    </w:p>
    <w:p>
      <w:pPr>
        <w:pStyle w:val="BodyText"/>
        <w:spacing w:line="316" w:lineRule="auto" w:before="19"/>
        <w:ind w:left="513" w:right="5674"/>
        <w:jc w:val="left"/>
        <w:rPr>
          <w:rFonts w:ascii="宋体" w:hAnsi="宋体" w:cs="宋体" w:eastAsia="宋体" w:hint="default"/>
        </w:rPr>
      </w:pPr>
      <w:r>
        <w:rPr>
          <w:rFonts w:ascii="宋体" w:hAnsi="宋体" w:cs="宋体" w:eastAsia="宋体" w:hint="default"/>
        </w:rPr>
        <w:t>2</w:t>
      </w:r>
      <w:r>
        <w:rPr/>
        <w:t>、具体原则</w:t>
      </w:r>
      <w:r>
        <w:rPr>
          <w:rFonts w:ascii="宋体" w:hAnsi="宋体" w:cs="宋体" w:eastAsia="宋体" w:hint="default"/>
        </w:rPr>
        <w:t> (1)</w:t>
      </w:r>
      <w:r>
        <w:rPr/>
        <w:t>本公司国内销售收入确认的依据和方法：</w:t>
      </w:r>
      <w:r>
        <w:rPr>
          <w:rFonts w:ascii="宋体" w:hAnsi="宋体" w:cs="宋体" w:eastAsia="宋体" w:hint="default"/>
        </w:rPr>
        <w:t> </w:t>
      </w:r>
    </w:p>
    <w:p>
      <w:pPr>
        <w:pStyle w:val="BodyText"/>
        <w:spacing w:line="316" w:lineRule="auto" w:before="19"/>
        <w:ind w:left="513" w:right="178"/>
        <w:jc w:val="left"/>
      </w:pPr>
      <w:r>
        <w:rPr/>
        <w:t>金融电子设备和</w:t>
      </w:r>
      <w:r>
        <w:rPr>
          <w:rFonts w:ascii="宋体" w:hAnsi="宋体" w:cs="宋体" w:eastAsia="宋体" w:hint="default"/>
        </w:rPr>
        <w:t>LED</w:t>
      </w:r>
      <w:r>
        <w:rPr/>
        <w:t>照明电子按照合同约定，以产品移交或安装调试验收合格的签收单作为收入确认标准；</w:t>
      </w:r>
      <w:r>
        <w:rPr>
          <w:rFonts w:ascii="宋体" w:hAnsi="宋体" w:cs="宋体" w:eastAsia="宋体" w:hint="default"/>
        </w:rPr>
        <w:t> EMC</w:t>
      </w:r>
      <w:r>
        <w:rPr/>
        <w:t>项目收入按照合同约定的收费方法和时间分期确认为收入；</w:t>
      </w:r>
      <w:r>
        <w:rPr>
          <w:rFonts w:ascii="宋体" w:hAnsi="宋体" w:cs="宋体" w:eastAsia="宋体" w:hint="default"/>
        </w:rPr>
        <w:t> </w:t>
      </w:r>
      <w:r>
        <w:rPr>
          <w:rFonts w:ascii="宋体" w:hAnsi="宋体" w:cs="宋体" w:eastAsia="宋体" w:hint="default"/>
          <w:spacing w:val="-2"/>
        </w:rPr>
        <w:t>BT</w:t>
      </w:r>
      <w:r>
        <w:rPr>
          <w:spacing w:val="-2"/>
        </w:rPr>
        <w:t>业务项目收入采用完工验收确认收入，即：于资产负债表日对当期完工验收的</w:t>
      </w:r>
      <w:r>
        <w:rPr>
          <w:rFonts w:ascii="宋体" w:hAnsi="宋体" w:cs="宋体" w:eastAsia="宋体" w:hint="default"/>
          <w:spacing w:val="-2"/>
        </w:rPr>
        <w:t>BT</w:t>
      </w:r>
      <w:r>
        <w:rPr>
          <w:spacing w:val="-2"/>
        </w:rPr>
        <w:t>业务项目确认收入；对当期未完工验</w:t>
      </w:r>
    </w:p>
    <w:p>
      <w:pPr>
        <w:pStyle w:val="BodyText"/>
        <w:spacing w:line="319" w:lineRule="auto" w:before="19"/>
        <w:ind w:left="513" w:right="178" w:hanging="361"/>
        <w:jc w:val="left"/>
      </w:pPr>
      <w:r>
        <w:rPr/>
        <w:t>收的</w:t>
      </w:r>
      <w:r>
        <w:rPr>
          <w:rFonts w:ascii="宋体" w:hAnsi="宋体" w:cs="宋体" w:eastAsia="宋体" w:hint="default"/>
        </w:rPr>
        <w:t>BT</w:t>
      </w:r>
      <w:r>
        <w:rPr/>
        <w:t>业务项目不确收入，待项目完工验收后再确认收入。</w:t>
      </w:r>
      <w:r>
        <w:rPr>
          <w:rFonts w:ascii="宋体" w:hAnsi="宋体" w:cs="宋体" w:eastAsia="宋体" w:hint="default"/>
        </w:rPr>
        <w:t> </w:t>
      </w:r>
      <w:r>
        <w:rPr>
          <w:spacing w:val="-2"/>
        </w:rPr>
        <w:t>提供建造服务项目采用完工百分比确认合同收入和成本。完工百分比于资产负债日取得第三方监理确认的工程进度表予</w:t>
      </w:r>
    </w:p>
    <w:p>
      <w:pPr>
        <w:pStyle w:val="BodyText"/>
        <w:spacing w:line="240" w:lineRule="auto" w:before="17"/>
        <w:ind w:right="6754"/>
        <w:jc w:val="left"/>
        <w:rPr>
          <w:rFonts w:ascii="宋体" w:hAnsi="宋体" w:cs="宋体" w:eastAsia="宋体" w:hint="default"/>
        </w:rPr>
      </w:pPr>
      <w:r>
        <w:rPr/>
        <w:t>以确认；</w:t>
      </w:r>
      <w:r>
        <w:rPr>
          <w:rFonts w:ascii="宋体" w:hAnsi="宋体" w:cs="宋体" w:eastAsia="宋体" w:hint="default"/>
        </w:rPr>
        <w:t> </w:t>
      </w:r>
    </w:p>
    <w:p>
      <w:pPr>
        <w:pStyle w:val="BodyText"/>
        <w:spacing w:line="316" w:lineRule="auto" w:before="76"/>
        <w:ind w:left="513" w:right="943"/>
        <w:jc w:val="left"/>
      </w:pPr>
      <w:r>
        <w:rPr>
          <w:rFonts w:ascii="宋体" w:hAnsi="宋体" w:cs="宋体" w:eastAsia="宋体" w:hint="default"/>
        </w:rPr>
        <w:t>IDC</w:t>
      </w:r>
      <w:r>
        <w:rPr/>
        <w:t>的租金收入按照合同约定每月每台</w:t>
      </w:r>
      <w:r>
        <w:rPr>
          <w:rFonts w:ascii="宋体" w:hAnsi="宋体" w:cs="宋体" w:eastAsia="宋体" w:hint="default"/>
        </w:rPr>
        <w:t>IDC</w:t>
      </w:r>
      <w:r>
        <w:rPr/>
        <w:t>设备的租金乘以出租的台数确认租金收入；</w:t>
      </w:r>
      <w:r>
        <w:rPr>
          <w:rFonts w:ascii="宋体" w:hAnsi="宋体" w:cs="宋体" w:eastAsia="宋体" w:hint="default"/>
        </w:rPr>
        <w:t> IDC</w:t>
      </w:r>
      <w:r>
        <w:rPr/>
        <w:t>的流量分成收入根据合同约定的分成方法，每月按中国电信提供的流量结算清单进行分成并确认收入。</w:t>
      </w:r>
      <w:r>
        <w:rPr>
          <w:rFonts w:ascii="宋体" w:hAnsi="宋体" w:cs="宋体" w:eastAsia="宋体" w:hint="default"/>
        </w:rPr>
        <w:t> (2)</w:t>
      </w:r>
      <w:r>
        <w:rPr/>
        <w:t>公司出口货物收入确认的依据和方法：</w:t>
      </w:r>
      <w:r>
        <w:rPr>
          <w:rFonts w:ascii="宋体" w:hAnsi="宋体" w:cs="宋体" w:eastAsia="宋体" w:hint="default"/>
        </w:rPr>
        <w:t> </w:t>
      </w:r>
      <w:r>
        <w:rPr/>
        <w:t>按照合同约定以货物发出离岸为界，按报关单作为收入确认标准。</w:t>
      </w:r>
    </w:p>
    <w:p>
      <w:pPr>
        <w:spacing w:line="240" w:lineRule="auto" w:before="10"/>
        <w:rPr>
          <w:rFonts w:ascii="宋体" w:hAnsi="宋体" w:cs="宋体" w:eastAsia="宋体" w:hint="default"/>
          <w:sz w:val="22"/>
          <w:szCs w:val="22"/>
        </w:rPr>
      </w:pPr>
    </w:p>
    <w:p>
      <w:pPr>
        <w:pStyle w:val="Heading3"/>
        <w:spacing w:line="240" w:lineRule="auto"/>
        <w:ind w:right="6754"/>
        <w:jc w:val="left"/>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8"/>
        <w:jc w:val="left"/>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94" w:firstLine="360"/>
        <w:jc w:val="left"/>
        <w:rPr>
          <w:rFonts w:ascii="宋体" w:hAnsi="宋体" w:cs="宋体" w:eastAsia="宋体" w:hint="default"/>
        </w:rPr>
      </w:pPr>
      <w:r>
        <w:rPr/>
        <w:t>公司取得的、用于购建或以其他方式形成长期资产的政府补助划分为与资产相关的政府补助。与资产相关的政府补助， </w:t>
      </w:r>
      <w:r>
        <w:rPr>
          <w:spacing w:val="-2"/>
        </w:rPr>
        <w:t>冲减相关资产的账面价值或确认为递延收益。与资产相关补助确认为递延收益的，在相关资产使用寿命内按照合理、系统的</w:t>
      </w:r>
      <w:r>
        <w:rPr>
          <w:spacing w:val="-63"/>
        </w:rPr>
        <w:t> </w:t>
      </w:r>
      <w:r>
        <w:rPr>
          <w:spacing w:val="-63"/>
        </w:rPr>
      </w:r>
      <w:r>
        <w:rPr>
          <w:spacing w:val="-2"/>
        </w:rPr>
        <w:t>方法分期计入损益。按照名义金额计量的政府补助，直接计入当期损益。相关资产在使用寿命结束前被出售、转让、报废或</w:t>
      </w:r>
      <w:r>
        <w:rPr>
          <w:spacing w:val="-67"/>
        </w:rPr>
        <w:t> </w:t>
      </w:r>
      <w:r>
        <w:rPr>
          <w:spacing w:val="-67"/>
        </w:rPr>
      </w:r>
      <w:r>
        <w:rPr/>
        <w:t>发生毁损的，将尚未分配的相关递延收益余额转入资产处置当期的损益。</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3"/>
        <w:spacing w:line="240" w:lineRule="auto"/>
        <w:ind w:right="178"/>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78" w:firstLine="360"/>
        <w:jc w:val="left"/>
      </w:pPr>
      <w:r>
        <w:rPr>
          <w:spacing w:val="-2"/>
        </w:rPr>
        <w:t>除与资产相关的政府补助之外的政府补助划分为与收益相关的政府补助。对于同时包含与资产相关部分和与收益相关部</w:t>
      </w:r>
      <w:r>
        <w:rPr/>
        <w:t> </w:t>
      </w:r>
      <w:r>
        <w:rPr>
          <w:spacing w:val="-2"/>
        </w:rPr>
        <w:t>分的政府补助，难以区分与资产相关或与收益相关的，整体归类为与收益相关的政府补助。与收益相关的政府补助，用于补</w:t>
      </w:r>
    </w:p>
    <w:p>
      <w:pPr>
        <w:spacing w:after="0" w:line="316"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19" w:lineRule="auto" w:before="44"/>
        <w:ind w:right="189"/>
        <w:jc w:val="left"/>
        <w:rPr>
          <w:rFonts w:ascii="宋体" w:hAnsi="宋体" w:cs="宋体" w:eastAsia="宋体" w:hint="default"/>
        </w:rPr>
      </w:pPr>
      <w:r>
        <w:rPr>
          <w:spacing w:val="-5"/>
        </w:rPr>
        <w:t>偿以后期间的相关成本费用或损失的，确认为递延收益，在确认相关成本费用或损失的期间，计入当期损益或冲减相关成本；</w:t>
      </w:r>
      <w:r>
        <w:rPr>
          <w:spacing w:val="-79"/>
        </w:rPr>
        <w:t> </w:t>
      </w:r>
      <w:r>
        <w:rPr>
          <w:spacing w:val="-79"/>
        </w:rPr>
      </w:r>
      <w:r>
        <w:rPr/>
        <w:t>用于补偿已发生的相关成本费用或损失的，直接计入当期损益或冲减相关成本。</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3"/>
        <w:spacing w:line="240" w:lineRule="auto"/>
        <w:ind w:right="178"/>
        <w:jc w:val="left"/>
        <w:rPr>
          <w:b w:val="0"/>
          <w:bCs w:val="0"/>
        </w:rPr>
      </w:pPr>
      <w:r>
        <w:rPr/>
        <w:t>（</w:t>
      </w:r>
      <w:r>
        <w:rPr>
          <w:rFonts w:ascii="Times New Roman" w:hAnsi="Times New Roman" w:cs="Times New Roman" w:eastAsia="Times New Roman" w:hint="default"/>
        </w:rPr>
        <w:t>3</w:t>
      </w:r>
      <w:r>
        <w:rPr/>
        <w:t>）</w:t>
      </w:r>
      <w:r>
        <w:rPr>
          <w:spacing w:val="-3"/>
        </w:rPr>
        <w:t> </w:t>
      </w:r>
      <w:r>
        <w:rPr/>
        <w:t>与公司日常经营活动相关的政府补助及会计处理方法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78"/>
        <w:jc w:val="left"/>
        <w:rPr>
          <w:rFonts w:ascii="宋体" w:hAnsi="宋体" w:cs="宋体" w:eastAsia="宋体" w:hint="default"/>
        </w:rPr>
      </w:pPr>
      <w:r>
        <w:rPr/>
        <w:t>按照经济业务实质，计入其他收益或冲减相关成本费用。与公司日常活动无关的政府补助，计入营业外收支。</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0"/>
        <w:ind w:right="178"/>
        <w:jc w:val="left"/>
        <w:rPr>
          <w:b w:val="0"/>
          <w:bCs w:val="0"/>
        </w:rPr>
      </w:pPr>
      <w:r>
        <w:rPr/>
        <w:t>（</w:t>
      </w:r>
      <w:r>
        <w:rPr>
          <w:rFonts w:ascii="Times New Roman" w:hAnsi="Times New Roman" w:cs="Times New Roman" w:eastAsia="Times New Roman" w:hint="default"/>
        </w:rPr>
        <w:t>4</w:t>
      </w:r>
      <w:r>
        <w:rPr/>
        <w:t>）政策性优惠贷款贴息的会计处理方法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9" w:firstLine="360"/>
        <w:jc w:val="both"/>
        <w:rPr>
          <w:rFonts w:ascii="宋体" w:hAnsi="宋体" w:cs="宋体" w:eastAsia="宋体" w:hint="default"/>
        </w:rPr>
      </w:pPr>
      <w:r>
        <w:rPr>
          <w:rFonts w:ascii="宋体" w:hAnsi="宋体" w:cs="宋体" w:eastAsia="宋体" w:hint="default"/>
        </w:rPr>
        <w:t>(1)</w:t>
      </w:r>
      <w:r>
        <w:rPr/>
        <w:t>财政将贴息资金拨付给贷款银行，由贷款银行以政策性优惠利率向公司提供贷款的，以实际收到的借款金额作为借 款的入账价值，按照借款本金和该政策性优惠利率计算相关借款费用。</w:t>
      </w:r>
      <w:r>
        <w:rPr>
          <w:rFonts w:ascii="宋体" w:hAnsi="宋体" w:cs="宋体" w:eastAsia="宋体" w:hint="default"/>
        </w:rPr>
        <w:t> </w:t>
      </w:r>
    </w:p>
    <w:p>
      <w:pPr>
        <w:pStyle w:val="BodyText"/>
        <w:spacing w:line="240" w:lineRule="auto" w:before="19"/>
        <w:ind w:left="513" w:right="178"/>
        <w:jc w:val="left"/>
        <w:rPr>
          <w:rFonts w:ascii="宋体" w:hAnsi="宋体" w:cs="宋体" w:eastAsia="宋体" w:hint="default"/>
        </w:rPr>
      </w:pPr>
      <w:r>
        <w:rPr>
          <w:rFonts w:ascii="宋体" w:hAnsi="宋体" w:cs="宋体" w:eastAsia="宋体" w:hint="default"/>
        </w:rPr>
        <w:t>(2)</w:t>
      </w:r>
      <w:r>
        <w:rPr/>
        <w:t>财政将贴息资金直接拨付给公司的，将对应的贴息冲减相关借款费用。</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Heading3"/>
        <w:spacing w:line="240" w:lineRule="auto"/>
        <w:ind w:right="178"/>
        <w:jc w:val="left"/>
        <w:rPr>
          <w:b w:val="0"/>
          <w:bCs w:val="0"/>
        </w:rPr>
      </w:pPr>
      <w:r>
        <w:rPr>
          <w:rFonts w:ascii="Times New Roman" w:hAnsi="Times New Roman" w:cs="Times New Roman" w:eastAsia="Times New Roman" w:hint="default"/>
        </w:rPr>
        <w:t>27</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178"/>
        <w:jc w:val="left"/>
      </w:pPr>
      <w:r>
        <w:rPr>
          <w:rFonts w:ascii="Times New Roman" w:hAnsi="Times New Roman" w:cs="Times New Roman" w:eastAsia="Times New Roman" w:hint="default"/>
        </w:rPr>
        <w:t>1</w:t>
      </w:r>
      <w:r>
        <w:rPr/>
        <w:t>、暂时性差异 </w:t>
      </w:r>
      <w:r>
        <w:rPr>
          <w:spacing w:val="-2"/>
        </w:rPr>
        <w:t>暂时性差异包括资产与负债的账面价值与计税基础之间的差额，以及未作为资产和负债确认，但按照税法规定可以确定</w:t>
      </w:r>
    </w:p>
    <w:p>
      <w:pPr>
        <w:pStyle w:val="BodyText"/>
        <w:spacing w:line="309" w:lineRule="auto" w:before="31"/>
        <w:ind w:left="513" w:right="93" w:hanging="361"/>
        <w:jc w:val="left"/>
      </w:pPr>
      <w:r>
        <w:rPr/>
        <w:t>其计税基础的项目的账面价值与计税基础之间的差额。暂时性差异分为应纳税暂时性差异和可抵扣暂时性差异。 </w:t>
      </w:r>
      <w:r>
        <w:rPr>
          <w:rFonts w:ascii="Times New Roman" w:hAnsi="Times New Roman" w:cs="Times New Roman" w:eastAsia="Times New Roman" w:hint="default"/>
        </w:rPr>
        <w:t>2</w:t>
      </w:r>
      <w:r>
        <w:rPr/>
        <w:t>、递延所得税资产的确认依据 </w:t>
      </w:r>
      <w:r>
        <w:rPr>
          <w:spacing w:val="-4"/>
        </w:rPr>
        <w:t>对于可抵扣暂时性差异、能够结转以后年度的可抵扣亏损和税款抵减，本公司以很可能取得用来抵扣可抵扣暂时性差异、</w:t>
      </w:r>
    </w:p>
    <w:p>
      <w:pPr>
        <w:pStyle w:val="BodyText"/>
        <w:spacing w:line="316" w:lineRule="auto" w:before="24"/>
        <w:ind w:left="513" w:right="213" w:hanging="361"/>
        <w:jc w:val="left"/>
        <w:rPr>
          <w:rFonts w:ascii="Times New Roman" w:hAnsi="Times New Roman" w:cs="Times New Roman" w:eastAsia="Times New Roman" w:hint="default"/>
        </w:rPr>
      </w:pPr>
      <w:r>
        <w:rPr/>
        <w:t>可抵扣亏损和税款抵减的未来应纳税所得额为限，确认由此产生的递延所得税资产。 同时具有下列特征的交易中因资产或负债的初始确认所产生的递延所得税资产不予确认：</w:t>
      </w:r>
      <w:r>
        <w:rPr>
          <w:rFonts w:ascii="Times New Roman" w:hAnsi="Times New Roman" w:cs="Times New Roman" w:eastAsia="Times New Roman" w:hint="default"/>
        </w:rPr>
        <w:t>(1)</w:t>
      </w:r>
      <w:r>
        <w:rPr/>
        <w:t>该交易不是企业合并；</w:t>
      </w:r>
      <w:r>
        <w:rPr>
          <w:rFonts w:ascii="Times New Roman" w:hAnsi="Times New Roman" w:cs="Times New Roman" w:eastAsia="Times New Roman" w:hint="default"/>
        </w:rPr>
        <w:t>(2)</w:t>
      </w:r>
    </w:p>
    <w:p>
      <w:pPr>
        <w:pStyle w:val="BodyText"/>
        <w:spacing w:line="300" w:lineRule="auto"/>
        <w:ind w:left="513" w:right="178" w:hanging="361"/>
        <w:jc w:val="left"/>
      </w:pPr>
      <w:r>
        <w:rPr/>
        <w:t>交易发生时既不影响会计利润也不影响应纳税所得额</w:t>
      </w:r>
      <w:r>
        <w:rPr>
          <w:rFonts w:ascii="Times New Roman" w:hAnsi="Times New Roman" w:cs="Times New Roman" w:eastAsia="Times New Roman" w:hint="default"/>
        </w:rPr>
        <w:t>(</w:t>
      </w:r>
      <w:r>
        <w:rPr/>
        <w:t>或可抵扣亏损</w:t>
      </w:r>
      <w:r>
        <w:rPr>
          <w:rFonts w:ascii="Times New Roman" w:hAnsi="Times New Roman" w:cs="Times New Roman" w:eastAsia="Times New Roman" w:hint="default"/>
        </w:rPr>
        <w:t>)</w:t>
      </w:r>
      <w:r>
        <w:rPr/>
        <w:t>。 </w:t>
      </w:r>
      <w:r>
        <w:rPr>
          <w:spacing w:val="-2"/>
        </w:rPr>
        <w:t>公司对于与子公司、联营企业及合营企业投资相关的可抵扣暂时性差异，同时满足下列条件的，确认相应的递延所得税</w:t>
      </w:r>
    </w:p>
    <w:p>
      <w:pPr>
        <w:pStyle w:val="BodyText"/>
        <w:spacing w:line="240" w:lineRule="auto" w:before="32"/>
        <w:ind w:right="178"/>
        <w:jc w:val="left"/>
      </w:pPr>
      <w:r>
        <w:rPr/>
        <w:t>资产：</w:t>
      </w:r>
      <w:r>
        <w:rPr>
          <w:rFonts w:ascii="Times New Roman" w:hAnsi="Times New Roman" w:cs="Times New Roman" w:eastAsia="Times New Roman" w:hint="default"/>
        </w:rPr>
        <w:t>(1)</w:t>
      </w:r>
      <w:r>
        <w:rPr/>
        <w:t>暂时性差异在可预见的未来很可能转回；</w:t>
      </w:r>
      <w:r>
        <w:rPr>
          <w:rFonts w:ascii="Times New Roman" w:hAnsi="Times New Roman" w:cs="Times New Roman" w:eastAsia="Times New Roman" w:hint="default"/>
        </w:rPr>
        <w:t>(2)</w:t>
      </w:r>
      <w:r>
        <w:rPr/>
        <w:t>未来很可能获得用来抵扣可抵扣暂时性差异的应纳税所得额。</w:t>
      </w:r>
    </w:p>
    <w:p>
      <w:pPr>
        <w:pStyle w:val="BodyText"/>
        <w:spacing w:line="300" w:lineRule="auto" w:before="63"/>
        <w:ind w:left="513" w:right="4953"/>
        <w:jc w:val="left"/>
      </w:pPr>
      <w:r>
        <w:rPr>
          <w:rFonts w:ascii="Times New Roman" w:hAnsi="Times New Roman" w:cs="Times New Roman" w:eastAsia="Times New Roman" w:hint="default"/>
        </w:rPr>
        <w:t>3</w:t>
      </w:r>
      <w:r>
        <w:rPr/>
        <w:t>、递延所得税负债的确认依据 对于各种应纳税暂时性差异均据以确认递延所得税负债。</w:t>
      </w:r>
    </w:p>
    <w:p>
      <w:pPr>
        <w:pStyle w:val="BodyText"/>
        <w:spacing w:line="300" w:lineRule="auto" w:before="31"/>
        <w:ind w:right="227" w:firstLine="360"/>
        <w:jc w:val="both"/>
      </w:pPr>
      <w:r>
        <w:rPr/>
        <w:t>但公司对在以下交易中产生的应纳税暂时性差异不确认递延所得税负债：</w:t>
      </w:r>
      <w:r>
        <w:rPr>
          <w:rFonts w:ascii="Times New Roman" w:hAnsi="Times New Roman" w:cs="Times New Roman" w:eastAsia="Times New Roman" w:hint="default"/>
        </w:rPr>
        <w:t>(1)</w:t>
      </w:r>
      <w:r>
        <w:rPr/>
        <w:t>商誉的初始确认；</w:t>
      </w:r>
      <w:r>
        <w:rPr>
          <w:rFonts w:ascii="Times New Roman" w:hAnsi="Times New Roman" w:cs="Times New Roman" w:eastAsia="Times New Roman" w:hint="default"/>
        </w:rPr>
        <w:t>(2)</w:t>
      </w:r>
      <w:r>
        <w:rPr/>
        <w:t>同时具有以下特征的 交易中产生的资产或负债的初始确认：该交易不是企业合并；并且交易发生时既不影响会计利润也不影响应纳税所得额</w:t>
      </w:r>
      <w:r>
        <w:rPr>
          <w:rFonts w:ascii="Times New Roman" w:hAnsi="Times New Roman" w:cs="Times New Roman" w:eastAsia="Times New Roman" w:hint="default"/>
        </w:rPr>
        <w:t>(</w:t>
      </w:r>
      <w:r>
        <w:rPr/>
        <w:t>或 可抵扣亏损</w:t>
      </w:r>
      <w:r>
        <w:rPr>
          <w:rFonts w:ascii="Times New Roman" w:hAnsi="Times New Roman" w:cs="Times New Roman" w:eastAsia="Times New Roman" w:hint="default"/>
        </w:rPr>
        <w:t>)</w:t>
      </w:r>
      <w:r>
        <w:rPr/>
        <w:t>。</w:t>
      </w:r>
    </w:p>
    <w:p>
      <w:pPr>
        <w:pStyle w:val="BodyText"/>
        <w:spacing w:line="316" w:lineRule="auto" w:before="13"/>
        <w:ind w:right="178" w:firstLine="360"/>
        <w:jc w:val="left"/>
      </w:pPr>
      <w:r>
        <w:rPr>
          <w:spacing w:val="-2"/>
        </w:rPr>
        <w:t>对于与子公司、联营企业及合营企业投资相关的应纳税暂时性差异，应当确认相应的递延所得税负债。但同时满足下列</w:t>
      </w:r>
      <w:r>
        <w:rPr/>
        <w:t> 条件的除外：</w:t>
      </w:r>
      <w:r>
        <w:rPr>
          <w:rFonts w:ascii="Times New Roman" w:hAnsi="Times New Roman" w:cs="Times New Roman" w:eastAsia="Times New Roman" w:hint="default"/>
        </w:rPr>
        <w:t>(1)</w:t>
      </w:r>
      <w:r>
        <w:rPr/>
        <w:t>投资企业能够控制暂时性差异转回的时间；</w:t>
      </w:r>
      <w:r>
        <w:rPr>
          <w:rFonts w:ascii="Times New Roman" w:hAnsi="Times New Roman" w:cs="Times New Roman" w:eastAsia="Times New Roman" w:hint="default"/>
        </w:rPr>
        <w:t>(2)</w:t>
      </w:r>
      <w:r>
        <w:rPr/>
        <w:t>该暂时性差异在可预见的未来很可能不会转回。</w:t>
      </w:r>
    </w:p>
    <w:p>
      <w:pPr>
        <w:pStyle w:val="BodyText"/>
        <w:spacing w:line="300" w:lineRule="auto"/>
        <w:ind w:left="513" w:right="178"/>
        <w:jc w:val="left"/>
      </w:pPr>
      <w:r>
        <w:rPr>
          <w:rFonts w:ascii="Times New Roman" w:hAnsi="Times New Roman" w:cs="Times New Roman" w:eastAsia="Times New Roman" w:hint="default"/>
        </w:rPr>
        <w:t>4</w:t>
      </w:r>
      <w:r>
        <w:rPr/>
        <w:t>、递延所得税资产的减值 </w:t>
      </w:r>
      <w:r>
        <w:rPr>
          <w:spacing w:val="-2"/>
        </w:rPr>
        <w:t>在资产负债表日应当对递延所得税资产的账面价值进行复核。如果未来期间很可能无法取得足够的应纳税所得额用以抵</w:t>
      </w:r>
    </w:p>
    <w:p>
      <w:pPr>
        <w:pStyle w:val="BodyText"/>
        <w:spacing w:line="319" w:lineRule="auto" w:before="31"/>
        <w:ind w:right="190"/>
        <w:jc w:val="both"/>
      </w:pPr>
      <w:r>
        <w:rPr>
          <w:spacing w:val="-2"/>
        </w:rPr>
        <w:t>扣递延所得税资产的利益，则减记递延所得税资产的账面价值。除原确认时计入所有者权益的递延所得税资产部分，其减记</w:t>
      </w:r>
      <w:r>
        <w:rPr>
          <w:spacing w:val="-63"/>
        </w:rPr>
        <w:t> </w:t>
      </w:r>
      <w:r>
        <w:rPr>
          <w:spacing w:val="-63"/>
        </w:rPr>
      </w:r>
      <w:r>
        <w:rPr>
          <w:spacing w:val="-2"/>
        </w:rPr>
        <w:t>金额也应计入所有者权益外，其他的情况应计入当期的所得税费用。在很可能取得足够的应纳税所得额时，减记的递延所得</w:t>
      </w:r>
      <w:r>
        <w:rPr>
          <w:spacing w:val="-63"/>
        </w:rPr>
        <w:t> </w:t>
      </w:r>
      <w:r>
        <w:rPr>
          <w:spacing w:val="-63"/>
        </w:rPr>
      </w:r>
      <w:r>
        <w:rPr/>
        <w:t>税资产账面价值可以恢复。</w:t>
      </w:r>
    </w:p>
    <w:p>
      <w:pPr>
        <w:pStyle w:val="BodyText"/>
        <w:spacing w:line="300" w:lineRule="auto" w:before="17"/>
        <w:ind w:left="513" w:right="6033"/>
        <w:jc w:val="left"/>
      </w:pPr>
      <w:r>
        <w:rPr>
          <w:rFonts w:ascii="Times New Roman" w:hAnsi="Times New Roman" w:cs="Times New Roman" w:eastAsia="Times New Roman" w:hint="default"/>
        </w:rPr>
        <w:t>5</w:t>
      </w:r>
      <w:r>
        <w:rPr/>
        <w:t>、所得税费用 所得税费用包括当期所得税和递延所得税。</w:t>
      </w:r>
    </w:p>
    <w:p>
      <w:pPr>
        <w:pStyle w:val="BodyText"/>
        <w:spacing w:line="316" w:lineRule="auto" w:before="31"/>
        <w:ind w:right="274" w:firstLine="360"/>
        <w:jc w:val="left"/>
      </w:pPr>
      <w:r>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spacing w:after="0" w:line="316"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3"/>
        <w:spacing w:line="240" w:lineRule="auto" w:before="36"/>
        <w:ind w:right="6754"/>
        <w:jc w:val="left"/>
        <w:rPr>
          <w:b w:val="0"/>
          <w:bCs w:val="0"/>
        </w:rPr>
      </w:pPr>
      <w:r>
        <w:rPr>
          <w:rFonts w:ascii="Times New Roman" w:hAnsi="Times New Roman" w:cs="Times New Roman" w:eastAsia="Times New Roman" w:hint="default"/>
        </w:rPr>
        <w:t>28</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6754"/>
        <w:jc w:val="left"/>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6" w:firstLine="360"/>
        <w:jc w:val="both"/>
      </w:pPr>
      <w:r>
        <w:rPr/>
        <w:t>公司为承租人时，在租赁期内各个期间按照直线法将租金计入相关资产成本或确认为当期损益，发生的初始直接费用， 直接计入当期损益。或有租金在实际发生时计入当期损益。</w:t>
      </w:r>
    </w:p>
    <w:p>
      <w:pPr>
        <w:pStyle w:val="BodyText"/>
        <w:spacing w:line="316" w:lineRule="auto" w:before="19"/>
        <w:ind w:right="190" w:firstLine="360"/>
        <w:jc w:val="both"/>
      </w:pPr>
      <w:r>
        <w:rPr>
          <w:spacing w:val="-2"/>
        </w:rPr>
        <w:t>公司为出租人时，在租赁期内各个期间按照直线法将租金确认为当期损益，发生的初始直接费用，除金额较大的予以资</w:t>
      </w:r>
      <w:r>
        <w:rPr/>
        <w:t> 本化并分期计入损益外，均直接计入当期损益。或有租金在实际发生时计入当期损益。</w:t>
      </w:r>
    </w:p>
    <w:p>
      <w:pPr>
        <w:spacing w:line="240" w:lineRule="auto" w:before="10"/>
        <w:rPr>
          <w:rFonts w:ascii="宋体" w:hAnsi="宋体" w:cs="宋体" w:eastAsia="宋体" w:hint="default"/>
          <w:sz w:val="22"/>
          <w:szCs w:val="22"/>
        </w:rPr>
      </w:pPr>
    </w:p>
    <w:p>
      <w:pPr>
        <w:pStyle w:val="Heading3"/>
        <w:spacing w:line="240" w:lineRule="auto"/>
        <w:ind w:right="6754"/>
        <w:jc w:val="left"/>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91" w:firstLine="360"/>
        <w:jc w:val="both"/>
      </w:pPr>
      <w:r>
        <w:rPr>
          <w:spacing w:val="-2"/>
        </w:rPr>
        <w:t>公司为承租人时，在租赁期开始日，公司以租赁开始日租赁资产公允价值与最低租赁付款额现值中两者较低者作为租入</w:t>
      </w:r>
      <w:r>
        <w:rPr/>
        <w:t> </w:t>
      </w:r>
      <w:r>
        <w:rPr>
          <w:spacing w:val="-2"/>
        </w:rPr>
        <w:t>资产的入账价值，将最低租赁付款额作为长期应付款的入账价值，其差额为未确认融资费用，发生的初始直接费用，计入租</w:t>
      </w:r>
      <w:r>
        <w:rPr>
          <w:spacing w:val="-64"/>
        </w:rPr>
        <w:t> </w:t>
      </w:r>
      <w:r>
        <w:rPr>
          <w:spacing w:val="-64"/>
        </w:rPr>
      </w:r>
      <w:r>
        <w:rPr/>
        <w:t>赁资产价值。在租赁期各个期间，采用实际利率法计算确认当期的融资费用。</w:t>
      </w:r>
    </w:p>
    <w:p>
      <w:pPr>
        <w:pStyle w:val="BodyText"/>
        <w:spacing w:line="316" w:lineRule="auto" w:before="17"/>
        <w:ind w:right="192" w:firstLine="360"/>
        <w:jc w:val="both"/>
      </w:pPr>
      <w:r>
        <w:rPr>
          <w:spacing w:val="-2"/>
        </w:rPr>
        <w:t>公司为出租人时，在租赁期开始日，公司以租赁开始日最低租赁收款额与初始直接费用之和作为应收融资租赁款的入账</w:t>
      </w:r>
      <w:r>
        <w:rPr/>
        <w:t> 价值，同时记录未担保余值；将最低租赁收款额、初始直接费用及未担保余值之和与</w:t>
      </w:r>
      <w:r>
        <w:rPr>
          <w:spacing w:val="-17"/>
        </w:rPr>
        <w:t> </w:t>
      </w:r>
      <w:r>
        <w:rPr/>
        <w:t>其现值之和的差额确认为未实现融资</w:t>
      </w:r>
      <w:r>
        <w:rPr/>
        <w:t> 收益。在租赁期各个期间，采用实际利率法计算确认当期的融资收入。</w:t>
      </w:r>
    </w:p>
    <w:p>
      <w:pPr>
        <w:spacing w:line="240" w:lineRule="auto" w:before="10"/>
        <w:rPr>
          <w:rFonts w:ascii="宋体" w:hAnsi="宋体" w:cs="宋体" w:eastAsia="宋体" w:hint="default"/>
          <w:sz w:val="22"/>
          <w:szCs w:val="22"/>
        </w:rPr>
      </w:pPr>
    </w:p>
    <w:p>
      <w:pPr>
        <w:pStyle w:val="Heading3"/>
        <w:spacing w:line="240" w:lineRule="auto"/>
        <w:ind w:right="6754"/>
        <w:jc w:val="left"/>
        <w:rPr>
          <w:b w:val="0"/>
          <w:bCs w:val="0"/>
        </w:rPr>
      </w:pPr>
      <w:r>
        <w:rPr>
          <w:rFonts w:ascii="Times New Roman" w:hAnsi="Times New Roman" w:cs="Times New Roman" w:eastAsia="Times New Roman" w:hint="default"/>
        </w:rPr>
        <w:t>29</w:t>
      </w:r>
      <w:r>
        <w:rPr/>
        <w:t>、 终止经营</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92" w:firstLine="360"/>
        <w:jc w:val="both"/>
      </w:pPr>
      <w:r>
        <w:rPr>
          <w:spacing w:val="-2"/>
        </w:rPr>
        <w:t>终止经营是满足下列条件之一的已被本公司处置或被本公司划归为持有待售的、在经营和编制财务报表时能够单独区分</w:t>
      </w:r>
      <w:r>
        <w:rPr/>
        <w:t> 的组成部分：</w:t>
      </w:r>
    </w:p>
    <w:p>
      <w:pPr>
        <w:pStyle w:val="BodyText"/>
        <w:spacing w:line="300" w:lineRule="auto" w:before="19"/>
        <w:ind w:left="513" w:right="2583"/>
        <w:jc w:val="left"/>
      </w:pPr>
      <w:r>
        <w:rPr>
          <w:rFonts w:ascii="Times New Roman" w:hAnsi="Times New Roman" w:cs="Times New Roman" w:eastAsia="Times New Roman" w:hint="default"/>
        </w:rPr>
        <w:t>(1)</w:t>
      </w:r>
      <w:r>
        <w:rPr/>
        <w:t>该组成部分代表一项独立的主要业务或一个主要经营地区；</w:t>
      </w:r>
      <w:r>
        <w:rPr>
          <w:w w:val="99"/>
        </w:rPr>
        <w:t> </w:t>
      </w:r>
      <w:r>
        <w:rPr>
          <w:rFonts w:ascii="Times New Roman" w:hAnsi="Times New Roman" w:cs="Times New Roman" w:eastAsia="Times New Roman" w:hint="default"/>
        </w:rPr>
        <w:t>(2)</w:t>
      </w:r>
      <w:r>
        <w:rPr/>
        <w:t>该组成部分是拟对一项独立的主要业务或一个主要经营地区进行处置计划的一部分；</w:t>
      </w:r>
      <w:r>
        <w:rPr>
          <w:w w:val="99"/>
        </w:rPr>
        <w:t> </w:t>
      </w:r>
      <w:r>
        <w:rPr>
          <w:rFonts w:ascii="Times New Roman" w:hAnsi="Times New Roman" w:cs="Times New Roman" w:eastAsia="Times New Roman" w:hint="default"/>
        </w:rPr>
        <w:t>(3)</w:t>
      </w:r>
      <w:r>
        <w:rPr/>
        <w:t>该组成部分是仅仅为了再出售而取得的子公司。</w:t>
      </w:r>
    </w:p>
    <w:p>
      <w:pPr>
        <w:spacing w:line="240" w:lineRule="auto" w:before="5"/>
        <w:rPr>
          <w:rFonts w:ascii="宋体" w:hAnsi="宋体" w:cs="宋体" w:eastAsia="宋体" w:hint="default"/>
          <w:sz w:val="22"/>
          <w:szCs w:val="22"/>
        </w:rPr>
      </w:pPr>
    </w:p>
    <w:p>
      <w:pPr>
        <w:pStyle w:val="Heading3"/>
        <w:spacing w:line="240" w:lineRule="auto"/>
        <w:ind w:right="178"/>
        <w:jc w:val="left"/>
        <w:rPr>
          <w:b w:val="0"/>
          <w:bCs w:val="0"/>
        </w:rPr>
      </w:pPr>
      <w:r>
        <w:rPr>
          <w:rFonts w:ascii="Times New Roman" w:hAnsi="Times New Roman" w:cs="Times New Roman" w:eastAsia="Times New Roman" w:hint="default"/>
        </w:rPr>
        <w:t>30</w:t>
      </w:r>
      <w:r>
        <w:rPr/>
        <w:t>、其他重要的会计政策和会计估计</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178"/>
        <w:jc w:val="left"/>
      </w:pPr>
      <w:r>
        <w:rPr/>
        <w:t>终止经营 </w:t>
      </w:r>
      <w:r>
        <w:rPr>
          <w:spacing w:val="-2"/>
        </w:rPr>
        <w:t>终止经营是满足下列条件之一的已被本公司处置或被本公司划归为持有待售的、在经营和编制财务报表时能够单独区分</w:t>
      </w:r>
    </w:p>
    <w:p>
      <w:pPr>
        <w:pStyle w:val="BodyText"/>
        <w:spacing w:line="240" w:lineRule="auto" w:before="19"/>
        <w:ind w:right="6754"/>
        <w:jc w:val="left"/>
      </w:pPr>
      <w:r>
        <w:rPr/>
        <w:t>的组成部分：</w:t>
      </w:r>
    </w:p>
    <w:p>
      <w:pPr>
        <w:pStyle w:val="BodyText"/>
        <w:spacing w:line="300" w:lineRule="auto" w:before="76"/>
        <w:ind w:left="513" w:right="2583"/>
        <w:jc w:val="left"/>
      </w:pPr>
      <w:r>
        <w:rPr>
          <w:rFonts w:ascii="Times New Roman" w:hAnsi="Times New Roman" w:cs="Times New Roman" w:eastAsia="Times New Roman" w:hint="default"/>
        </w:rPr>
        <w:t>(1)</w:t>
      </w:r>
      <w:r>
        <w:rPr/>
        <w:t>该组成部分代表一项独立的主要业务或一个主要经营地区；</w:t>
      </w:r>
      <w:r>
        <w:rPr>
          <w:w w:val="99"/>
        </w:rPr>
        <w:t> </w:t>
      </w:r>
      <w:r>
        <w:rPr>
          <w:rFonts w:ascii="Times New Roman" w:hAnsi="Times New Roman" w:cs="Times New Roman" w:eastAsia="Times New Roman" w:hint="default"/>
        </w:rPr>
        <w:t>(2)</w:t>
      </w:r>
      <w:r>
        <w:rPr/>
        <w:t>该组成部分是拟对一项独立的主要业务或一个主要经营地区进行处置计划的一部分；</w:t>
      </w:r>
      <w:r>
        <w:rPr>
          <w:w w:val="99"/>
        </w:rPr>
        <w:t> </w:t>
      </w:r>
      <w:r>
        <w:rPr>
          <w:rFonts w:ascii="Times New Roman" w:hAnsi="Times New Roman" w:cs="Times New Roman" w:eastAsia="Times New Roman" w:hint="default"/>
        </w:rPr>
        <w:t>(3)</w:t>
      </w:r>
      <w:r>
        <w:rPr/>
        <w:t>该组成部分是仅仅为了再出售而取得的子公司。</w:t>
      </w:r>
    </w:p>
    <w:p>
      <w:pPr>
        <w:spacing w:line="240" w:lineRule="auto" w:before="4"/>
        <w:rPr>
          <w:rFonts w:ascii="宋体" w:hAnsi="宋体" w:cs="宋体" w:eastAsia="宋体" w:hint="default"/>
          <w:sz w:val="22"/>
          <w:szCs w:val="22"/>
        </w:rPr>
      </w:pPr>
    </w:p>
    <w:p>
      <w:pPr>
        <w:pStyle w:val="Heading3"/>
        <w:spacing w:line="240" w:lineRule="auto"/>
        <w:ind w:right="178"/>
        <w:jc w:val="left"/>
        <w:rPr>
          <w:b w:val="0"/>
          <w:bCs w:val="0"/>
        </w:rPr>
      </w:pPr>
      <w:r>
        <w:rPr>
          <w:rFonts w:ascii="Times New Roman" w:hAnsi="Times New Roman" w:cs="Times New Roman" w:eastAsia="Times New Roman" w:hint="default"/>
        </w:rPr>
        <w:t>31</w:t>
      </w:r>
      <w:r>
        <w:rPr/>
        <w:t>、重要会计政策和会计估计变更</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6754"/>
        <w:jc w:val="left"/>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67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11"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986"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、本公司自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日起执</w:t>
            </w:r>
          </w:p>
          <w:p>
            <w:pPr>
              <w:pStyle w:val="TableParagraph"/>
              <w:spacing w:line="240" w:lineRule="auto" w:before="63"/>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行财政部制定的《企业会计准则第</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42</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持有待售的非流动资产、处置组</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91"/>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日召开的第四届 董事会第二十三次会议、第四届监事会 第二十次会议已审议通过了《关于公司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4"/>
              <w:jc w:val="both"/>
              <w:rPr>
                <w:rFonts w:ascii="宋体" w:hAnsi="宋体" w:cs="宋体" w:eastAsia="宋体" w:hint="default"/>
                <w:sz w:val="18"/>
                <w:szCs w:val="18"/>
              </w:rPr>
            </w:pPr>
            <w:r>
              <w:rPr>
                <w:rFonts w:ascii="宋体" w:hAnsi="宋体" w:cs="宋体" w:eastAsia="宋体" w:hint="default"/>
                <w:sz w:val="18"/>
                <w:szCs w:val="18"/>
              </w:rPr>
              <w:t>本次调整受影响的报表项目：本次调整 前，公司出售固定资产、在建工程、生 产性生物资产及无形资产而产生的处置</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5"/>
          <w:szCs w:val="25"/>
        </w:rPr>
      </w:pPr>
    </w:p>
    <w:p>
      <w:pPr>
        <w:pStyle w:val="BodyText"/>
        <w:spacing w:line="240" w:lineRule="auto" w:before="44"/>
        <w:ind w:left="0" w:right="156"/>
        <w:jc w:val="right"/>
      </w:pPr>
      <w:r>
        <w:rPr/>
        <w:pict>
          <v:shape style="position:absolute;margin-left:56.400002pt;margin-top:-76.708282pt;width:479.3pt;height:402.1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3"/>
                    <w:gridCol w:w="3188"/>
                    <w:gridCol w:w="3190"/>
                  </w:tblGrid>
                  <w:tr>
                    <w:trPr>
                      <w:trHeight w:val="254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3"/>
                          <w:jc w:val="left"/>
                          <w:rPr>
                            <w:rFonts w:ascii="宋体" w:hAnsi="宋体" w:cs="宋体" w:eastAsia="宋体" w:hint="default"/>
                            <w:sz w:val="18"/>
                            <w:szCs w:val="18"/>
                          </w:rPr>
                        </w:pPr>
                        <w:r>
                          <w:rPr>
                            <w:rFonts w:ascii="宋体" w:hAnsi="宋体" w:cs="宋体" w:eastAsia="宋体" w:hint="default"/>
                            <w:spacing w:val="-6"/>
                            <w:sz w:val="18"/>
                            <w:szCs w:val="18"/>
                          </w:rPr>
                          <w:t>和终止经营》，本次会计政策变更采用未</w:t>
                        </w:r>
                        <w:r>
                          <w:rPr>
                            <w:rFonts w:ascii="宋体" w:hAnsi="宋体" w:cs="宋体" w:eastAsia="宋体" w:hint="default"/>
                            <w:sz w:val="18"/>
                            <w:szCs w:val="18"/>
                          </w:rPr>
                          <w:t> 来适用法处理。</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1"/>
                          <w:jc w:val="left"/>
                          <w:rPr>
                            <w:rFonts w:ascii="宋体" w:hAnsi="宋体" w:cs="宋体" w:eastAsia="宋体" w:hint="default"/>
                            <w:sz w:val="18"/>
                            <w:szCs w:val="18"/>
                          </w:rPr>
                        </w:pPr>
                        <w:r>
                          <w:rPr>
                            <w:rFonts w:ascii="宋体" w:hAnsi="宋体" w:cs="宋体" w:eastAsia="宋体" w:hint="default"/>
                            <w:spacing w:val="-7"/>
                            <w:sz w:val="18"/>
                            <w:szCs w:val="18"/>
                          </w:rPr>
                          <w:t>会计政策变更的议案》，公司独立董事发</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表了独立意见。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利得或损失，在</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或</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 </w:t>
                        </w:r>
                        <w:r>
                          <w:rPr>
                            <w:rFonts w:ascii="宋体" w:hAnsi="宋体" w:cs="宋体" w:eastAsia="宋体" w:hint="default"/>
                            <w:spacing w:val="-1"/>
                            <w:sz w:val="18"/>
                            <w:szCs w:val="18"/>
                          </w:rPr>
                          <w:t>支出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项目列报。本次调整后，调整为利</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5"/>
                            <w:w w:val="100"/>
                            <w:sz w:val="18"/>
                            <w:szCs w:val="18"/>
                          </w:rPr>
                          <w:t>润表</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资产处置收益</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项目列报。此项会计</w:t>
                        </w:r>
                        <w:r>
                          <w:rPr>
                            <w:rFonts w:ascii="宋体" w:hAnsi="宋体" w:cs="宋体" w:eastAsia="宋体" w:hint="default"/>
                            <w:spacing w:val="-85"/>
                            <w:w w:val="100"/>
                            <w:sz w:val="18"/>
                            <w:szCs w:val="18"/>
                          </w:rPr>
                          <w:t> </w:t>
                        </w:r>
                        <w:r>
                          <w:rPr>
                            <w:rFonts w:ascii="宋体" w:hAnsi="宋体" w:cs="宋体" w:eastAsia="宋体" w:hint="default"/>
                            <w:spacing w:val="-85"/>
                            <w:w w:val="100"/>
                            <w:sz w:val="18"/>
                            <w:szCs w:val="18"/>
                          </w:rPr>
                        </w:r>
                        <w:r>
                          <w:rPr>
                            <w:rFonts w:ascii="宋体" w:hAnsi="宋体" w:cs="宋体" w:eastAsia="宋体" w:hint="default"/>
                            <w:sz w:val="18"/>
                            <w:szCs w:val="18"/>
                          </w:rPr>
                          <w:t>政策变更采用追溯调整法。</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年调减 营业外收入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2,912.62</w:t>
                        </w:r>
                        <w:r>
                          <w:rPr>
                            <w:rFonts w:ascii="宋体" w:hAnsi="宋体" w:cs="宋体" w:eastAsia="宋体" w:hint="default"/>
                            <w:sz w:val="18"/>
                            <w:szCs w:val="18"/>
                          </w:rPr>
                          <w:t>，调减营业外支出 </w:t>
                        </w:r>
                        <w:r>
                          <w:rPr>
                            <w:rFonts w:ascii="Times New Roman" w:hAnsi="Times New Roman" w:cs="Times New Roman" w:eastAsia="Times New Roman" w:hint="default"/>
                            <w:spacing w:val="-3"/>
                            <w:sz w:val="18"/>
                            <w:szCs w:val="18"/>
                          </w:rPr>
                          <w:t>29,920.46</w:t>
                        </w:r>
                        <w:r>
                          <w:rPr>
                            <w:rFonts w:ascii="宋体" w:hAnsi="宋体" w:cs="宋体" w:eastAsia="宋体" w:hint="default"/>
                            <w:spacing w:val="-3"/>
                            <w:sz w:val="18"/>
                            <w:szCs w:val="18"/>
                          </w:rPr>
                          <w:t>，调增资产处置收益</w:t>
                        </w:r>
                        <w:r>
                          <w:rPr>
                            <w:rFonts w:ascii="Times New Roman" w:hAnsi="Times New Roman" w:cs="Times New Roman" w:eastAsia="Times New Roman" w:hint="default"/>
                            <w:spacing w:val="-3"/>
                            <w:sz w:val="18"/>
                            <w:szCs w:val="18"/>
                          </w:rPr>
                          <w:t>-27,007.84</w:t>
                        </w:r>
                      </w:p>
                      <w:p>
                        <w:pPr>
                          <w:pStyle w:val="TableParagraph"/>
                          <w:spacing w:line="300" w:lineRule="auto" w:before="13"/>
                          <w:ind w:left="23" w:right="93"/>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年度调减营业外收入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，调减营业 外支出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r>
                  <w:tr>
                    <w:trPr>
                      <w:trHeight w:val="2897"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、本公司自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6  </w:t>
                        </w:r>
                        <w:r>
                          <w:rPr>
                            <w:rFonts w:ascii="宋体" w:hAnsi="宋体" w:cs="宋体" w:eastAsia="宋体" w:hint="default"/>
                            <w:sz w:val="18"/>
                            <w:szCs w:val="18"/>
                          </w:rPr>
                          <w:t>月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日起执</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行经修订的《企业会计准则第 </w:t>
                        </w:r>
                        <w:r>
                          <w:rPr>
                            <w:rFonts w:ascii="Times New Roman" w:hAnsi="Times New Roman" w:cs="Times New Roman" w:eastAsia="Times New Roman" w:hint="default"/>
                            <w:sz w:val="18"/>
                            <w:szCs w:val="18"/>
                          </w:rPr>
                          <w:t>16 </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w:t>
                        </w:r>
                      </w:p>
                      <w:p>
                        <w:pPr>
                          <w:pStyle w:val="TableParagraph"/>
                          <w:spacing w:line="300" w:lineRule="auto" w:before="63"/>
                          <w:ind w:left="24" w:right="22"/>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政府补助》。本次会计政策变更采用</w:t>
                        </w:r>
                        <w:r>
                          <w:rPr>
                            <w:rFonts w:ascii="宋体" w:hAnsi="宋体" w:cs="宋体" w:eastAsia="宋体" w:hint="default"/>
                            <w:sz w:val="18"/>
                            <w:szCs w:val="18"/>
                          </w:rPr>
                          <w:t> 未来适用法处理。</w:t>
                        </w:r>
                      </w:p>
                    </w:tc>
                    <w:tc>
                      <w:tcPr>
                        <w:tcW w:w="3188"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46"/>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日召开的第四届 董事会第十六次会议、第四届监事会第 十三次会议已审议通过了《关于公司会 </w:t>
                        </w:r>
                        <w:r>
                          <w:rPr>
                            <w:rFonts w:ascii="宋体" w:hAnsi="宋体" w:cs="宋体" w:eastAsia="宋体" w:hint="default"/>
                            <w:spacing w:val="-7"/>
                            <w:sz w:val="18"/>
                            <w:szCs w:val="18"/>
                          </w:rPr>
                          <w:t>计政策变更的议案》，公司独立董事发表</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了独立意见。根据《中小企业板上市公 司规范运作指引》及《公司章程》的相 </w:t>
                        </w:r>
                        <w:r>
                          <w:rPr>
                            <w:rFonts w:ascii="宋体" w:hAnsi="宋体" w:cs="宋体" w:eastAsia="宋体" w:hint="default"/>
                            <w:spacing w:val="-3"/>
                            <w:sz w:val="18"/>
                            <w:szCs w:val="18"/>
                          </w:rPr>
                          <w:t>关规定，公司独立董事发表了独立意见。</w:t>
                        </w:r>
                        <w:r>
                          <w:rPr>
                            <w:rFonts w:ascii="宋体" w:hAnsi="宋体" w:cs="宋体" w:eastAsia="宋体" w:hint="default"/>
                            <w:sz w:val="18"/>
                            <w:szCs w:val="18"/>
                          </w:rPr>
                        </w:r>
                      </w:p>
                    </w:tc>
                    <w:tc>
                      <w:tcPr>
                        <w:tcW w:w="3190" w:type="dxa"/>
                        <w:tcBorders>
                          <w:top w:val="single" w:sz="4" w:space="0" w:color="000000"/>
                          <w:left w:val="single" w:sz="13" w:space="0" w:color="FFFFFF"/>
                          <w:bottom w:val="single" w:sz="4" w:space="0" w:color="000000"/>
                          <w:right w:val="single" w:sz="4" w:space="0" w:color="000000"/>
                        </w:tcBorders>
                      </w:tcPr>
                      <w:p>
                        <w:pPr>
                          <w:pStyle w:val="TableParagraph"/>
                          <w:spacing w:line="309" w:lineRule="auto" w:before="49"/>
                          <w:ind w:left="11" w:right="17"/>
                          <w:jc w:val="left"/>
                          <w:rPr>
                            <w:rFonts w:ascii="宋体" w:hAnsi="宋体" w:cs="宋体" w:eastAsia="宋体" w:hint="default"/>
                            <w:sz w:val="18"/>
                            <w:szCs w:val="18"/>
                          </w:rPr>
                        </w:pPr>
                        <w:r>
                          <w:rPr>
                            <w:rFonts w:ascii="宋体" w:hAnsi="宋体" w:cs="宋体" w:eastAsia="宋体" w:hint="default"/>
                            <w:sz w:val="18"/>
                            <w:szCs w:val="18"/>
                          </w:rPr>
                          <w:t>本次调整受影响的报表项目及金额：调 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其他收益</w:t>
                        </w:r>
                        <w:r>
                          <w:rPr>
                            <w:rFonts w:ascii="Times New Roman" w:hAnsi="Times New Roman" w:cs="Times New Roman" w:eastAsia="Times New Roman" w:hint="default"/>
                            <w:sz w:val="18"/>
                            <w:szCs w:val="18"/>
                          </w:rPr>
                          <w:t>”</w:t>
                        </w:r>
                        <w:r>
                          <w:rPr>
                            <w:rFonts w:ascii="宋体" w:hAnsi="宋体" w:cs="宋体" w:eastAsia="宋体" w:hint="default"/>
                            <w:sz w:val="18"/>
                            <w:szCs w:val="18"/>
                          </w:rPr>
                          <w:t>本报告期金额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2,292,912.97 </w:t>
                        </w:r>
                        <w:r>
                          <w:rPr>
                            <w:rFonts w:ascii="宋体" w:hAnsi="宋体" w:cs="宋体" w:eastAsia="宋体" w:hint="default"/>
                            <w:sz w:val="18"/>
                            <w:szCs w:val="18"/>
                          </w:rPr>
                          <w:t>元；调减</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本报告期金额 </w:t>
                        </w:r>
                        <w:r>
                          <w:rPr>
                            <w:rFonts w:ascii="Times New Roman" w:hAnsi="Times New Roman" w:cs="Times New Roman" w:eastAsia="Times New Roman" w:hint="default"/>
                            <w:sz w:val="18"/>
                            <w:szCs w:val="18"/>
                          </w:rPr>
                          <w:t>2,292,912.97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元。比较数据不予调整。除 该事项外，其他由于《企业会计准则第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政府补助》（财会</w:t>
                        </w:r>
                        <w:r>
                          <w:rPr>
                            <w:rFonts w:ascii="Times New Roman" w:hAnsi="Times New Roman" w:cs="Times New Roman" w:eastAsia="Times New Roman" w:hint="default"/>
                            <w:spacing w:val="-7"/>
                            <w:sz w:val="18"/>
                            <w:szCs w:val="18"/>
                          </w:rPr>
                          <w:t>[2017]16</w:t>
                        </w:r>
                        <w:r>
                          <w:rPr>
                            <w:rFonts w:ascii="Times New Roman" w:hAnsi="Times New Roman" w:cs="Times New Roman" w:eastAsia="Times New Roman" w:hint="default"/>
                            <w:spacing w:val="5"/>
                            <w:sz w:val="18"/>
                            <w:szCs w:val="18"/>
                          </w:rPr>
                          <w:t> </w:t>
                        </w:r>
                        <w:r>
                          <w:rPr>
                            <w:rFonts w:ascii="宋体" w:hAnsi="宋体" w:cs="宋体" w:eastAsia="宋体" w:hint="default"/>
                            <w:spacing w:val="-8"/>
                            <w:sz w:val="18"/>
                            <w:szCs w:val="18"/>
                          </w:rPr>
                          <w:t>号）的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实施而进行的会计政策变更不会对财务 报表项目及金额产生影响，也无需进行 追溯调整。</w:t>
                        </w:r>
                      </w:p>
                    </w:tc>
                  </w:tr>
                  <w:tr>
                    <w:trPr>
                      <w:trHeight w:val="2588"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9"/>
                          <w:ind w:left="24"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、本公司编制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年度报表执行《财 政部关于修订印发一般企业财务报表格 式的通知》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，将原 列报于</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的 非流动资产处置利得和损失和非货币性 资产交换利得和损失变更为列报于</w:t>
                        </w:r>
                        <w:r>
                          <w:rPr>
                            <w:rFonts w:ascii="Times New Roman" w:hAnsi="Times New Roman" w:cs="Times New Roman" w:eastAsia="Times New Roman" w:hint="default"/>
                            <w:sz w:val="18"/>
                            <w:szCs w:val="18"/>
                          </w:rPr>
                          <w:t>“</w:t>
                        </w:r>
                        <w:r>
                          <w:rPr>
                            <w:rFonts w:ascii="宋体" w:hAnsi="宋体" w:cs="宋体" w:eastAsia="宋体" w:hint="default"/>
                            <w:sz w:val="18"/>
                            <w:szCs w:val="18"/>
                          </w:rPr>
                          <w:t>资 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。此项会计政策变更采用追 溯调整法。</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23" w:right="21"/>
                          <w:jc w:val="left"/>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日召开的第四届 董事会第二十三次会议、第四届监事会 第二十次会议已审议通过了《关于公司 </w:t>
                        </w:r>
                        <w:r>
                          <w:rPr>
                            <w:rFonts w:ascii="宋体" w:hAnsi="宋体" w:cs="宋体" w:eastAsia="宋体" w:hint="default"/>
                            <w:spacing w:val="-7"/>
                            <w:sz w:val="18"/>
                            <w:szCs w:val="18"/>
                          </w:rPr>
                          <w:t>会计政策变更的议案》，公司独立董事发</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表了独立意见。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07" w:lineRule="auto"/>
                          <w:ind w:left="23" w:right="23"/>
                          <w:jc w:val="left"/>
                          <w:rPr>
                            <w:rFonts w:ascii="宋体" w:hAnsi="宋体" w:cs="宋体" w:eastAsia="宋体" w:hint="default"/>
                            <w:sz w:val="18"/>
                            <w:szCs w:val="18"/>
                          </w:rPr>
                        </w:pPr>
                        <w:r>
                          <w:rPr>
                            <w:rFonts w:ascii="宋体" w:hAnsi="宋体" w:cs="宋体" w:eastAsia="宋体" w:hint="default"/>
                            <w:sz w:val="18"/>
                            <w:szCs w:val="18"/>
                          </w:rPr>
                          <w:t>本次调整受影响的报表项目：本次调整 </w:t>
                        </w:r>
                        <w:r>
                          <w:rPr>
                            <w:rFonts w:ascii="宋体" w:hAnsi="宋体" w:cs="宋体" w:eastAsia="宋体" w:hint="default"/>
                            <w:spacing w:val="-1"/>
                            <w:sz w:val="18"/>
                            <w:szCs w:val="18"/>
                          </w:rPr>
                          <w:t>后，在利润表中分别列示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持续经营净利</w:t>
                        </w:r>
                        <w:r>
                          <w:rPr>
                            <w:rFonts w:ascii="宋体" w:hAnsi="宋体" w:cs="宋体" w:eastAsia="宋体" w:hint="default"/>
                            <w:spacing w:val="-81"/>
                            <w:sz w:val="18"/>
                            <w:szCs w:val="18"/>
                          </w:rPr>
                          <w:t> </w:t>
                        </w:r>
                        <w:r>
                          <w:rPr>
                            <w:rFonts w:ascii="宋体" w:hAnsi="宋体" w:cs="宋体" w:eastAsia="宋体" w:hint="default"/>
                            <w:sz w:val="18"/>
                            <w:szCs w:val="18"/>
                          </w:rPr>
                          <w:t>润</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终止经营净利润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。对可比期间的 比较数据按照要求进行调整。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6"/>
          <w:szCs w:val="26"/>
        </w:rPr>
      </w:pPr>
    </w:p>
    <w:p>
      <w:pPr>
        <w:spacing w:line="312" w:lineRule="exact"/>
        <w:ind w:left="6562"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156.75pt;height:15.6pt;mso-position-horizontal-relative:char;mso-position-vertical-relative:line" coordorigin="0,0" coordsize="3135,312">
            <v:group style="position:absolute;left:0;top:0;width:3135;height:312" coordorigin="0,0" coordsize="3135,312">
              <v:shape style="position:absolute;left:0;top:0;width:3135;height:312" coordorigin="0,0" coordsize="3135,312" path="m0,312l3135,312,3135,0,0,0,0,312xe" filled="true" fillcolor="#ffffff" stroked="false">
                <v:path arrowok="t"/>
                <v:fill type="solid"/>
              </v:shape>
            </v:group>
          </v:group>
        </w:pict>
      </w:r>
      <w:r>
        <w:rPr>
          <w:rFonts w:ascii="宋体" w:hAnsi="宋体" w:cs="宋体" w:eastAsia="宋体" w:hint="default"/>
          <w:position w:val="-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3"/>
          <w:szCs w:val="23"/>
        </w:rPr>
      </w:pPr>
    </w:p>
    <w:p>
      <w:pPr>
        <w:pStyle w:val="Heading2"/>
        <w:spacing w:line="240" w:lineRule="auto" w:before="26"/>
        <w:ind w:right="0"/>
        <w:jc w:val="left"/>
        <w:rPr>
          <w:b w:val="0"/>
          <w:bCs w:val="0"/>
        </w:rPr>
      </w:pPr>
      <w:r>
        <w:rPr/>
        <w:t>六、税项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2"/>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6" w:lineRule="auto" w:before="49"/>
              <w:ind w:left="17" w:right="94"/>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 收入为基础计算销项税额，在扣除当期 允许抵扣的进项税额后，差额部分为应 交增值税</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1"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按应纳税所得额计征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16.50</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28</w:t>
            </w:r>
          </w:p>
        </w:tc>
      </w:tr>
      <w:tr>
        <w:trPr>
          <w:trHeight w:val="403"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按实际缴纳的营业税、增值税计征</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49"/>
        <w:ind w:right="0"/>
        <w:jc w:val="left"/>
      </w:pPr>
      <w:r>
        <w:rPr/>
        <w:t>存在不同企业所得税税率纳税主体的，披露情况说明</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深圳市证通电子股份有限公司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证通国际投资有限公司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16.50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深圳市证通普润电子有限公司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深圳市证通数码科技有限公司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深圳市证通金信科技有限公司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深圳市证通佳明光电有限公司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定州市中标节能技术服务有限公司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长沙证通云计算有限公司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四川蜀信易电子商务有限公司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广州证通网络科技有限公司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广州云硕科技发展有限公司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广东宏达通信有限公司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深圳市证通云计算有限公司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SZZT South Africa PTY</w:t>
            </w:r>
            <w:r>
              <w:rPr>
                <w:rFonts w:ascii="Times New Roman"/>
                <w:spacing w:val="-27"/>
                <w:sz w:val="18"/>
              </w:rPr>
              <w:t> </w:t>
            </w:r>
            <w:r>
              <w:rPr>
                <w:rFonts w:ascii="Times New Roman"/>
                <w:spacing w:val="-7"/>
                <w:sz w:val="18"/>
              </w:rPr>
              <w:t>LTD</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贵州证通光电有限公司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证通邦客</w:t>
            </w:r>
            <w:r>
              <w:rPr>
                <w:rFonts w:ascii="Times New Roman" w:hAnsi="Times New Roman" w:cs="Times New Roman" w:eastAsia="Times New Roman" w:hint="default"/>
                <w:sz w:val="18"/>
                <w:szCs w:val="18"/>
              </w:rPr>
              <w:t>(</w:t>
            </w:r>
            <w:r>
              <w:rPr>
                <w:rFonts w:ascii="宋体" w:hAnsi="宋体" w:cs="宋体" w:eastAsia="宋体" w:hint="default"/>
                <w:sz w:val="18"/>
                <w:szCs w:val="18"/>
              </w:rPr>
              <w:t>广州</w:t>
            </w:r>
            <w:r>
              <w:rPr>
                <w:rFonts w:ascii="Times New Roman" w:hAnsi="Times New Roman" w:cs="Times New Roman" w:eastAsia="Times New Roman" w:hint="default"/>
                <w:sz w:val="18"/>
                <w:szCs w:val="18"/>
              </w:rPr>
              <w:t>)</w:t>
            </w:r>
            <w:r>
              <w:rPr>
                <w:rFonts w:ascii="宋体" w:hAnsi="宋体" w:cs="宋体" w:eastAsia="宋体" w:hint="default"/>
                <w:sz w:val="18"/>
                <w:szCs w:val="18"/>
              </w:rPr>
              <w:t>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3"/>
        <w:rPr>
          <w:rFonts w:ascii="宋体" w:hAnsi="宋体" w:cs="宋体" w:eastAsia="宋体" w:hint="default"/>
          <w:sz w:val="19"/>
          <w:szCs w:val="19"/>
        </w:rPr>
      </w:pPr>
    </w:p>
    <w:p>
      <w:pPr>
        <w:pStyle w:val="Heading3"/>
        <w:spacing w:line="240" w:lineRule="auto" w:before="36"/>
        <w:ind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143"/>
        <w:jc w:val="left"/>
      </w:pPr>
      <w:r>
        <w:rPr>
          <w:rFonts w:ascii="Times New Roman" w:hAnsi="Times New Roman" w:cs="Times New Roman" w:eastAsia="Times New Roman" w:hint="default"/>
        </w:rPr>
        <w:t>1</w:t>
      </w:r>
      <w:r>
        <w:rPr/>
        <w:t>、本公司的税收优惠及批文 根据科技部、财政部、国家税务总局《高新技术企业认定办法》及指引，</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日高新技术企业审核通过，获得</w:t>
      </w:r>
    </w:p>
    <w:p>
      <w:pPr>
        <w:pStyle w:val="BodyText"/>
        <w:spacing w:line="300" w:lineRule="auto" w:before="13"/>
        <w:ind w:right="182"/>
        <w:jc w:val="both"/>
      </w:pPr>
      <w:r>
        <w:rPr/>
        <w:t>深圳市科技创新委员会、深圳市财政委员会、深圳市国家税务局、深圳市地方税务局联合颁发的《高新技术企业证书》</w:t>
      </w:r>
      <w:r>
        <w:rPr>
          <w:rFonts w:ascii="Times New Roman" w:hAnsi="Times New Roman" w:cs="Times New Roman" w:eastAsia="Times New Roman" w:hint="default"/>
        </w:rPr>
        <w:t>(</w:t>
      </w:r>
      <w:r>
        <w:rPr/>
        <w:t>证 书编号：</w:t>
      </w:r>
      <w:r>
        <w:rPr>
          <w:rFonts w:ascii="Times New Roman" w:hAnsi="Times New Roman" w:cs="Times New Roman" w:eastAsia="Times New Roman" w:hint="default"/>
        </w:rPr>
        <w:t>GR201744201237)</w:t>
      </w:r>
      <w:r>
        <w:rPr/>
        <w:t>，认定有效期为</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w:t>
      </w:r>
      <w:r>
        <w:rPr/>
        <w:t>。根据《中华人民共和国企业所得税法》的第二十八条第二款 规定：国家需要重点扶持的高新技术企业，减按</w:t>
      </w:r>
      <w:r>
        <w:rPr>
          <w:rFonts w:ascii="Times New Roman" w:hAnsi="Times New Roman" w:cs="Times New Roman" w:eastAsia="Times New Roman" w:hint="default"/>
        </w:rPr>
        <w:t>15</w:t>
      </w:r>
      <w:r>
        <w:rPr/>
        <w:t>％的税率征收企业所得税。</w:t>
      </w:r>
    </w:p>
    <w:p>
      <w:pPr>
        <w:pStyle w:val="BodyText"/>
        <w:spacing w:line="300" w:lineRule="auto" w:before="13"/>
        <w:ind w:left="513" w:right="143"/>
        <w:jc w:val="left"/>
      </w:pPr>
      <w:r>
        <w:rPr>
          <w:rFonts w:ascii="Times New Roman" w:hAnsi="Times New Roman" w:cs="Times New Roman" w:eastAsia="Times New Roman" w:hint="default"/>
        </w:rPr>
        <w:t>2</w:t>
      </w:r>
      <w:r>
        <w:rPr/>
        <w:t>、本公司子公司深圳市证通金信科技有限公司的税收优惠及批文 根据科技部、财政部、国家税务总局《高新技术企业认定办法》及指引，</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日高新技术企业审核通过，获得</w:t>
      </w:r>
    </w:p>
    <w:p>
      <w:pPr>
        <w:pStyle w:val="BodyText"/>
        <w:spacing w:line="300" w:lineRule="auto" w:before="13"/>
        <w:ind w:right="182"/>
        <w:jc w:val="both"/>
      </w:pPr>
      <w:r>
        <w:rPr/>
        <w:t>深圳市科技创新委员会、深圳市财政委员会、深圳市国家税务局、深圳市地方税务局联合颁发的《高新技术企业证书》</w:t>
      </w:r>
      <w:r>
        <w:rPr>
          <w:rFonts w:ascii="Times New Roman" w:hAnsi="Times New Roman" w:cs="Times New Roman" w:eastAsia="Times New Roman" w:hint="default"/>
        </w:rPr>
        <w:t>(</w:t>
      </w:r>
      <w:r>
        <w:rPr/>
        <w:t>证 书编号：</w:t>
      </w:r>
      <w:r>
        <w:rPr>
          <w:rFonts w:ascii="Times New Roman" w:hAnsi="Times New Roman" w:cs="Times New Roman" w:eastAsia="Times New Roman" w:hint="default"/>
        </w:rPr>
        <w:t>GR201744200412)</w:t>
      </w:r>
      <w:r>
        <w:rPr/>
        <w:t>，认定有效期</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w:t>
      </w:r>
      <w:r>
        <w:rPr/>
        <w:t>。根据《中华人民共和国企业所得税法》的第二十八条第二款规 定：国家需要重点扶持的高新技术企业，减按</w:t>
      </w:r>
      <w:r>
        <w:rPr>
          <w:rFonts w:ascii="Times New Roman" w:hAnsi="Times New Roman" w:cs="Times New Roman" w:eastAsia="Times New Roman" w:hint="default"/>
        </w:rPr>
        <w:t>15</w:t>
      </w:r>
      <w:r>
        <w:rPr/>
        <w:t>％的税率征收企业所得税。</w:t>
      </w:r>
    </w:p>
    <w:p>
      <w:pPr>
        <w:pStyle w:val="BodyText"/>
        <w:spacing w:line="300" w:lineRule="auto" w:before="13"/>
        <w:ind w:left="513" w:right="143"/>
        <w:jc w:val="left"/>
      </w:pPr>
      <w:r>
        <w:rPr>
          <w:rFonts w:ascii="Times New Roman" w:hAnsi="Times New Roman" w:cs="Times New Roman" w:eastAsia="Times New Roman" w:hint="default"/>
        </w:rPr>
        <w:t>3</w:t>
      </w:r>
      <w:r>
        <w:rPr/>
        <w:t>、本公司子公司深圳市证通佳明光电有限公司的税收优惠及批文 根据科技部、财政部、国家税务总局《高新技术企业认定办法》及指引，</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日高新技术企业审核通过，获得</w:t>
      </w:r>
    </w:p>
    <w:p>
      <w:pPr>
        <w:pStyle w:val="BodyText"/>
        <w:spacing w:line="309" w:lineRule="auto" w:before="13"/>
        <w:ind w:right="151"/>
        <w:jc w:val="both"/>
      </w:pPr>
      <w:r>
        <w:rPr>
          <w:spacing w:val="-2"/>
        </w:rPr>
        <w:t>深圳市科技工贸和信息化委员会、深圳市财政委员会、深圳市国家税务局、深圳市地方税务局联合颁发的《高新技术企业证</w:t>
      </w:r>
      <w:r>
        <w:rPr>
          <w:spacing w:val="-64"/>
        </w:rPr>
        <w:t> </w:t>
      </w:r>
      <w:r>
        <w:rPr>
          <w:spacing w:val="-64"/>
        </w:rPr>
      </w:r>
      <w:r>
        <w:rPr>
          <w:spacing w:val="-1"/>
        </w:rPr>
        <w:t>书》</w:t>
      </w:r>
      <w:r>
        <w:rPr>
          <w:rFonts w:ascii="Times New Roman" w:hAnsi="Times New Roman" w:cs="Times New Roman" w:eastAsia="Times New Roman" w:hint="default"/>
          <w:spacing w:val="-1"/>
        </w:rPr>
        <w:t>(</w:t>
      </w:r>
      <w:r>
        <w:rPr>
          <w:spacing w:val="-1"/>
        </w:rPr>
        <w:t>证书编号：</w:t>
      </w:r>
      <w:r>
        <w:rPr>
          <w:rFonts w:ascii="Times New Roman" w:hAnsi="Times New Roman" w:cs="Times New Roman" w:eastAsia="Times New Roman" w:hint="default"/>
          <w:spacing w:val="-1"/>
        </w:rPr>
        <w:t>GR201544201109)</w:t>
      </w:r>
      <w:r>
        <w:rPr>
          <w:spacing w:val="-1"/>
        </w:rPr>
        <w:t>，认定有效期</w:t>
      </w:r>
      <w:r>
        <w:rPr>
          <w:rFonts w:ascii="Times New Roman" w:hAnsi="Times New Roman" w:cs="Times New Roman" w:eastAsia="Times New Roman" w:hint="default"/>
          <w:spacing w:val="-1"/>
        </w:rPr>
        <w:t>(2015</w:t>
      </w:r>
      <w:r>
        <w:rPr>
          <w:spacing w:val="-1"/>
        </w:rPr>
        <w:t>年至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w:t>
      </w:r>
      <w:r>
        <w:rPr>
          <w:spacing w:val="-1"/>
        </w:rPr>
        <w:t>。根据《中华人民共和国企业所得税法》的第二十八条第</w:t>
      </w:r>
      <w:r>
        <w:rPr>
          <w:spacing w:val="-66"/>
        </w:rPr>
        <w:t> </w:t>
      </w:r>
      <w:r>
        <w:rPr>
          <w:spacing w:val="-66"/>
        </w:rPr>
      </w:r>
      <w:r>
        <w:rPr/>
        <w:t>二款规定：国家需要重点扶持的高新技术企业，减按</w:t>
      </w:r>
      <w:r>
        <w:rPr>
          <w:rFonts w:ascii="Times New Roman" w:hAnsi="Times New Roman" w:cs="Times New Roman" w:eastAsia="Times New Roman" w:hint="default"/>
        </w:rPr>
        <w:t>15</w:t>
      </w:r>
      <w:r>
        <w:rPr/>
        <w:t>％的税率征收企业所得税。</w:t>
      </w:r>
    </w:p>
    <w:p>
      <w:pPr>
        <w:pStyle w:val="BodyText"/>
        <w:spacing w:line="300" w:lineRule="auto" w:before="5"/>
        <w:ind w:left="513" w:right="0"/>
        <w:jc w:val="left"/>
      </w:pPr>
      <w:r>
        <w:rPr>
          <w:rFonts w:ascii="Times New Roman" w:hAnsi="Times New Roman" w:cs="Times New Roman" w:eastAsia="Times New Roman" w:hint="default"/>
        </w:rPr>
        <w:t>4</w:t>
      </w:r>
      <w:r>
        <w:rPr/>
        <w:t>、本公司子公司广州云硕科技发展有限公司的税收优惠及批文 </w:t>
      </w:r>
      <w:r>
        <w:rPr>
          <w:spacing w:val="-2"/>
        </w:rPr>
        <w:t>根据科技部、财政部、国家税务总局《高新技术企业认定办法》及指引，</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日高新技术企业申请通过，获得</w:t>
      </w:r>
    </w:p>
    <w:p>
      <w:pPr>
        <w:pStyle w:val="BodyText"/>
        <w:spacing w:line="300" w:lineRule="auto" w:before="13"/>
        <w:ind w:right="180"/>
        <w:jc w:val="both"/>
      </w:pPr>
      <w:r>
        <w:rPr/>
        <w:t>广东省科学技术厅、广东省财政厅、广东省国家税务局、广东省地方税务局联合颁发的《高新技术企业证书》</w:t>
      </w:r>
      <w:r>
        <w:rPr>
          <w:rFonts w:ascii="Times New Roman" w:hAnsi="Times New Roman" w:cs="Times New Roman" w:eastAsia="Times New Roman" w:hint="default"/>
        </w:rPr>
        <w:t>(</w:t>
      </w:r>
      <w:r>
        <w:rPr/>
        <w:t>证书编号： </w:t>
      </w:r>
      <w:r>
        <w:rPr>
          <w:rFonts w:ascii="Times New Roman" w:hAnsi="Times New Roman" w:cs="Times New Roman" w:eastAsia="Times New Roman" w:hint="default"/>
        </w:rPr>
        <w:t>GR201644003578)</w:t>
      </w:r>
      <w:r>
        <w:rPr/>
        <w:t>，认定有效期</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w:t>
      </w:r>
      <w:r>
        <w:rPr/>
        <w:t>。根据《中华人民共和国企业所得税法》的第二十八条第二款规定：国家 需要重点扶持的高新技术企业，减按</w:t>
      </w:r>
      <w:r>
        <w:rPr>
          <w:rFonts w:ascii="Times New Roman" w:hAnsi="Times New Roman" w:cs="Times New Roman" w:eastAsia="Times New Roman" w:hint="default"/>
        </w:rPr>
        <w:t>15</w:t>
      </w:r>
      <w:r>
        <w:rPr/>
        <w:t>％的税率征收企业所得税。</w:t>
      </w:r>
    </w:p>
    <w:p>
      <w:pPr>
        <w:spacing w:after="0" w:line="300"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5"/>
        <w:rPr>
          <w:rFonts w:ascii="宋体" w:hAnsi="宋体" w:cs="宋体" w:eastAsia="宋体" w:hint="default"/>
          <w:b/>
          <w:bCs/>
          <w:sz w:val="26"/>
          <w:szCs w:val="26"/>
        </w:rPr>
      </w:pPr>
    </w:p>
    <w:p>
      <w:pPr>
        <w:pStyle w:val="BodyText"/>
        <w:spacing w:line="321" w:lineRule="auto"/>
        <w:ind w:right="2559"/>
        <w:jc w:val="left"/>
        <w:rPr>
          <w:rFonts w:ascii="Times New Roman" w:hAnsi="Times New Roman" w:cs="Times New Roman" w:eastAsia="Times New Roman" w:hint="default"/>
        </w:rPr>
      </w:pPr>
      <w:r>
        <w:rPr>
          <w:rFonts w:ascii="Times New Roman" w:hAnsi="Times New Roman" w:cs="Times New Roman" w:eastAsia="Times New Roman" w:hint="default"/>
        </w:rPr>
        <w:t>(1)</w:t>
      </w:r>
      <w:r>
        <w:rPr/>
        <w:t>证通国际投资有限公司</w:t>
      </w:r>
      <w:r>
        <w:rPr>
          <w:w w:val="99"/>
        </w:rPr>
        <w:t> </w:t>
      </w:r>
      <w:r>
        <w:rPr/>
        <w:t>证通国际投资有限公司注册地在香港地区，根据香港税收法规，所得税税率以</w:t>
      </w:r>
      <w:r>
        <w:rPr>
          <w:rFonts w:ascii="Times New Roman" w:hAnsi="Times New Roman" w:cs="Times New Roman" w:eastAsia="Times New Roman" w:hint="default"/>
        </w:rPr>
        <w:t>16.50%</w:t>
      </w:r>
      <w:r>
        <w:rPr/>
        <w:t>计算。</w:t>
      </w:r>
      <w:r>
        <w:rPr>
          <w:w w:val="99"/>
        </w:rPr>
        <w:t> </w:t>
      </w:r>
      <w:r>
        <w:rPr>
          <w:rFonts w:ascii="Times New Roman" w:hAnsi="Times New Roman" w:cs="Times New Roman" w:eastAsia="Times New Roman" w:hint="default"/>
        </w:rPr>
        <w:t>(2)SZZT South Africa PTY</w:t>
      </w:r>
      <w:r>
        <w:rPr>
          <w:rFonts w:ascii="Times New Roman" w:hAnsi="Times New Roman" w:cs="Times New Roman" w:eastAsia="Times New Roman" w:hint="default"/>
          <w:spacing w:val="-11"/>
        </w:rPr>
        <w:t> </w:t>
      </w:r>
      <w:r>
        <w:rPr>
          <w:rFonts w:ascii="Times New Roman" w:hAnsi="Times New Roman" w:cs="Times New Roman" w:eastAsia="Times New Roman" w:hint="default"/>
        </w:rPr>
        <w:t>LTD</w:t>
      </w:r>
    </w:p>
    <w:p>
      <w:pPr>
        <w:pStyle w:val="BodyText"/>
        <w:spacing w:line="244" w:lineRule="exact"/>
        <w:ind w:right="0"/>
        <w:jc w:val="left"/>
      </w:pPr>
      <w:r>
        <w:rPr>
          <w:rFonts w:ascii="Times New Roman" w:hAnsi="Times New Roman" w:cs="Times New Roman" w:eastAsia="Times New Roman" w:hint="default"/>
        </w:rPr>
        <w:t>SZZT South Africa PTY</w:t>
      </w:r>
      <w:r>
        <w:rPr>
          <w:rFonts w:ascii="Times New Roman" w:hAnsi="Times New Roman" w:cs="Times New Roman" w:eastAsia="Times New Roman" w:hint="default"/>
          <w:spacing w:val="-10"/>
        </w:rPr>
        <w:t> </w:t>
      </w:r>
      <w:r>
        <w:rPr>
          <w:rFonts w:ascii="Times New Roman" w:hAnsi="Times New Roman" w:cs="Times New Roman" w:eastAsia="Times New Roman" w:hint="default"/>
        </w:rPr>
        <w:t>LTD</w:t>
      </w:r>
      <w:r>
        <w:rPr/>
        <w:t>注册地在南非，根据南非税收法规，所得税税率以</w:t>
      </w:r>
      <w:r>
        <w:rPr>
          <w:rFonts w:ascii="Times New Roman" w:hAnsi="Times New Roman" w:cs="Times New Roman" w:eastAsia="Times New Roman" w:hint="default"/>
        </w:rPr>
        <w:t>28.00%</w:t>
      </w:r>
      <w:r>
        <w:rPr/>
        <w:t>计算。</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289,584.77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169,020.23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408,731,324.01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1,264,554,499.11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11,926,378.01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143,000,186.25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420,947,286.79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1,407,723,705.59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其中：存放在境外的款项总额</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32,367,897.78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13,817,244.39</w:t>
            </w:r>
          </w:p>
        </w:tc>
      </w:tr>
    </w:tbl>
    <w:p>
      <w:pPr>
        <w:pStyle w:val="BodyText"/>
        <w:spacing w:line="360" w:lineRule="auto" w:before="49"/>
        <w:ind w:right="1809"/>
        <w:jc w:val="left"/>
      </w:pPr>
      <w:r>
        <w:rPr/>
        <w:t>其他说明 期末其他货币资金中，银行承兑汇票保证金</w:t>
      </w:r>
      <w:r>
        <w:rPr>
          <w:rFonts w:ascii="Times New Roman" w:hAnsi="Times New Roman" w:cs="Times New Roman" w:eastAsia="Times New Roman" w:hint="default"/>
        </w:rPr>
        <w:t>11,924,314.26</w:t>
      </w:r>
      <w:r>
        <w:rPr/>
        <w:t>元；存放于支付宝、财付通金额</w:t>
      </w:r>
      <w:r>
        <w:rPr>
          <w:rFonts w:ascii="Times New Roman" w:hAnsi="Times New Roman" w:cs="Times New Roman" w:eastAsia="Times New Roman" w:hint="default"/>
        </w:rPr>
        <w:t>2,063.75</w:t>
      </w:r>
      <w:r>
        <w:rPr/>
        <w:t>元。</w:t>
      </w:r>
    </w:p>
    <w:p>
      <w:pPr>
        <w:spacing w:line="240" w:lineRule="auto" w:before="7"/>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29,061,065.08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17,722,369.64</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120,531,717.94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188,791,780.00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149,592,783.02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206,514,149.64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0"/>
      </w:tblGrid>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138,632,580.00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357,550.14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138,990,130.14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1"/>
        <w:gridCol w:w="4797"/>
      </w:tblGrid>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7"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6,245,550.00</w:t>
            </w:r>
          </w:p>
        </w:tc>
      </w:tr>
      <w:tr>
        <w:trPr>
          <w:trHeight w:val="401" w:hRule="exact"/>
        </w:trPr>
        <w:tc>
          <w:tcPr>
            <w:tcW w:w="4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6,245,550.00</w:t>
            </w:r>
          </w:p>
        </w:tc>
      </w:tr>
    </w:tbl>
    <w:p>
      <w:pPr>
        <w:pStyle w:val="BodyText"/>
        <w:spacing w:line="240" w:lineRule="auto" w:before="49"/>
        <w:ind w:right="0"/>
        <w:jc w:val="left"/>
      </w:pPr>
      <w:r>
        <w:rPr/>
        <w:t>其他说明</w:t>
      </w:r>
    </w:p>
    <w:p>
      <w:pPr>
        <w:pStyle w:val="BodyText"/>
        <w:spacing w:line="316" w:lineRule="auto" w:before="117"/>
        <w:ind w:right="152" w:firstLine="360"/>
        <w:jc w:val="both"/>
      </w:pPr>
      <w:r>
        <w:rPr>
          <w:spacing w:val="-2"/>
        </w:rPr>
        <w:t>商业承兑汇票的承兑人是企业，由于出具商业承兑汇票的企业信用良好且资金实力雄厚，商业承兑汇票到期不获支付的</w:t>
      </w:r>
      <w:r>
        <w:rPr/>
        <w:t> </w:t>
      </w:r>
      <w:r>
        <w:rPr>
          <w:spacing w:val="-2"/>
        </w:rPr>
        <w:t>可能性较低，故本公司将已背书或贴现的商业承兑汇票予以终止确认。但如果该等票据到期不获支付，依据《票据法》之规</w:t>
      </w:r>
      <w:r>
        <w:rPr>
          <w:spacing w:val="-65"/>
        </w:rPr>
        <w:t> </w:t>
      </w:r>
      <w:r>
        <w:rPr>
          <w:spacing w:val="-65"/>
        </w:rPr>
      </w:r>
      <w:r>
        <w:rPr/>
        <w:t>定，公司仍将对持票人承担连带责任。</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24"/>
        <w:gridCol w:w="774"/>
        <w:gridCol w:w="761"/>
        <w:gridCol w:w="763"/>
        <w:gridCol w:w="763"/>
        <w:gridCol w:w="788"/>
        <w:gridCol w:w="655"/>
        <w:gridCol w:w="761"/>
        <w:gridCol w:w="814"/>
        <w:gridCol w:w="934"/>
        <w:gridCol w:w="931"/>
      </w:tblGrid>
      <w:tr>
        <w:trPr>
          <w:trHeight w:val="398" w:hRule="exact"/>
        </w:trPr>
        <w:tc>
          <w:tcPr>
            <w:tcW w:w="1624"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4"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6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4"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4"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4"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4"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1,292,64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2,922.92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144,409,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070.71</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11.17%</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1,148,233</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,852.21</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896,491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,757.91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100,628,5</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84.90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11.22%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795,863,17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3.01</w:t>
            </w:r>
          </w:p>
        </w:tc>
      </w:tr>
      <w:tr>
        <w:trPr>
          <w:trHeight w:val="161" w:hRule="exact"/>
        </w:trPr>
        <w:tc>
          <w:tcPr>
            <w:tcW w:w="1624"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1,292,64</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2,922.92</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144,409,</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070.71</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11.17%</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1,148,233</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,852.21</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896,491</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,757.91</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100,628,5</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84.90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11.22%</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795,863,17</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3.01</w:t>
            </w:r>
          </w:p>
        </w:tc>
      </w:tr>
      <w:tr>
        <w:trPr>
          <w:trHeight w:val="394" w:hRule="exact"/>
        </w:trPr>
        <w:tc>
          <w:tcPr>
            <w:tcW w:w="16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24"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期末单项金额重大并单项计提坏账准备的应收账款：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7165"/>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81"/>
        <w:gridCol w:w="2392"/>
        <w:gridCol w:w="2393"/>
        <w:gridCol w:w="2393"/>
      </w:tblGrid>
      <w:tr>
        <w:trPr>
          <w:trHeight w:val="408"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874,924,134.99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43,746,206.74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240,356,374.76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24,035,637.48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98,961,198.23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19,792,239.65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36,297,369.53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18,148,684.77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17,087,716.71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13,670,173.37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25,016,128.70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25,016,128.70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1,292,642,922.92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144,409,070.71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11.17%</w:t>
            </w:r>
          </w:p>
        </w:tc>
      </w:tr>
    </w:tbl>
    <w:p>
      <w:pPr>
        <w:pStyle w:val="BodyText"/>
        <w:spacing w:line="357" w:lineRule="auto" w:before="49"/>
        <w:ind w:right="5454"/>
        <w:jc w:val="left"/>
      </w:pPr>
      <w:r>
        <w:rPr/>
        <w:t>确定该组合依据的说明： 组合中，按账龄分析法计提坏账准备的应收账款。 组合中，采用余额百分比法计提坏账准备的应收账款：</w:t>
      </w:r>
    </w:p>
    <w:p>
      <w:pPr>
        <w:pStyle w:val="BodyText"/>
        <w:spacing w:line="340" w:lineRule="auto" w:before="26"/>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pStyle w:val="BodyText"/>
        <w:spacing w:line="338" w:lineRule="auto" w:before="44"/>
        <w:ind w:right="-11"/>
        <w:jc w:val="left"/>
      </w:pPr>
      <w:r>
        <w:rPr/>
        <w:t>本期计提坏账准备金额</w:t>
      </w:r>
      <w:r>
        <w:rPr>
          <w:spacing w:val="-46"/>
        </w:rPr>
        <w:t> </w:t>
      </w:r>
      <w:r>
        <w:rPr>
          <w:rFonts w:ascii="Times New Roman" w:hAnsi="Times New Roman" w:cs="Times New Roman" w:eastAsia="Times New Roman" w:hint="default"/>
        </w:rPr>
        <w:t>43,780,485.81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0"/>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539" w:space="2290"/>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0"/>
        <w:jc w:val="left"/>
      </w:pPr>
      <w:r>
        <w:rPr/>
        <w:t>其中重要的应收账款核销情况：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49"/>
        <w:ind w:right="7434"/>
        <w:jc w:val="left"/>
      </w:pPr>
      <w:r>
        <w:rPr/>
        <w:t>应收账款核销说明： 本期无核销的应收账款情况。</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360"/>
        <w:jc w:val="left"/>
        <w:rPr>
          <w:rFonts w:ascii="宋体" w:hAnsi="宋体" w:cs="宋体" w:eastAsia="宋体" w:hint="default"/>
        </w:rPr>
      </w:pPr>
      <w:r>
        <w:rPr>
          <w:spacing w:val="-2"/>
        </w:rPr>
        <w:t>本公司本期按欠款方归集的期末余额前五名应收账款汇总金额为</w:t>
      </w:r>
      <w:r>
        <w:rPr>
          <w:rFonts w:ascii="宋体" w:hAnsi="宋体" w:cs="宋体" w:eastAsia="宋体" w:hint="default"/>
          <w:spacing w:val="-2"/>
        </w:rPr>
        <w:t>342,366,128.99</w:t>
      </w:r>
      <w:r>
        <w:rPr>
          <w:spacing w:val="-2"/>
        </w:rPr>
        <w:t>元，占应收账款期末余额合计数的比例</w:t>
      </w:r>
      <w:r>
        <w:rPr/>
        <w:t> 为</w:t>
      </w:r>
      <w:r>
        <w:rPr>
          <w:rFonts w:ascii="宋体" w:hAnsi="宋体" w:cs="宋体" w:eastAsia="宋体" w:hint="default"/>
        </w:rPr>
        <w:t>26.49%</w:t>
      </w:r>
      <w:r>
        <w:rPr/>
        <w:t>，相应计提的坏账准备期末余额汇总金额为</w:t>
      </w:r>
      <w:r>
        <w:rPr>
          <w:rFonts w:ascii="宋体" w:hAnsi="宋体" w:cs="宋体" w:eastAsia="宋体" w:hint="default"/>
        </w:rPr>
        <w:t>31,459,772.87</w:t>
      </w:r>
      <w:r>
        <w:rPr/>
        <w:t>元。</w:t>
      </w:r>
      <w:r>
        <w:rPr>
          <w:rFonts w:ascii="宋体" w:hAnsi="宋体" w:cs="宋体" w:eastAsia="宋体" w:hint="default"/>
        </w:rPr>
        <w:t> </w:t>
      </w:r>
    </w:p>
    <w:p>
      <w:pPr>
        <w:spacing w:after="0" w:line="316" w:lineRule="auto"/>
        <w:jc w:val="left"/>
        <w:rPr>
          <w:rFonts w:ascii="宋体" w:hAnsi="宋体" w:cs="宋体" w:eastAsia="宋体" w:hint="default"/>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3"/>
        <w:gridCol w:w="1915"/>
        <w:gridCol w:w="1916"/>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1"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99,342,610.64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19,671,086.34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81.15%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357,778.79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632,556.55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2.61%</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9,720.00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3,937,845.64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16.24%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833,172.81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0.83%</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100,543,282.24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24,241,488.53</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100"/>
        <w:gridCol w:w="1318"/>
        <w:gridCol w:w="1934"/>
      </w:tblGrid>
      <w:tr>
        <w:trPr>
          <w:trHeight w:val="341"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343"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神州创宇低碳技术投资</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227,025.00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尚未结清的材料</w:t>
            </w:r>
          </w:p>
        </w:tc>
      </w:tr>
      <w:tr>
        <w:trPr>
          <w:trHeight w:val="341"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pacing w:val="-1"/>
                <w:sz w:val="18"/>
              </w:rPr>
              <w:t>227,025.00</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sz w:val="18"/>
              </w:rPr>
              <w:t> </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44" w:firstLine="360"/>
        <w:jc w:val="left"/>
        <w:rPr>
          <w:rFonts w:ascii="宋体" w:hAnsi="宋体" w:cs="宋体" w:eastAsia="宋体" w:hint="default"/>
        </w:rPr>
      </w:pPr>
      <w:r>
        <w:rPr/>
        <w:t>本公司本期按欠款方归集的期末余额前五名预收款项汇总金额为</w:t>
      </w:r>
      <w:r>
        <w:rPr>
          <w:rFonts w:ascii="宋体" w:hAnsi="宋体" w:cs="宋体" w:eastAsia="宋体" w:hint="default"/>
        </w:rPr>
        <w:t>80,797,205.94</w:t>
      </w:r>
      <w:r>
        <w:rPr/>
        <w:t>元，占应收账款期末余额合计数的比例 为</w:t>
      </w:r>
      <w:r>
        <w:rPr>
          <w:rFonts w:ascii="宋体" w:hAnsi="宋体" w:cs="宋体" w:eastAsia="宋体" w:hint="default"/>
        </w:rPr>
        <w:t>80.37%</w:t>
      </w:r>
      <w:r>
        <w:rPr/>
        <w:t>。</w:t>
      </w:r>
      <w:r>
        <w:rPr>
          <w:rFonts w:ascii="宋体" w:hAnsi="宋体" w:cs="宋体" w:eastAsia="宋体" w:hint="default"/>
        </w:rPr>
        <w:t> </w:t>
      </w:r>
    </w:p>
    <w:p>
      <w:pPr>
        <w:pStyle w:val="BodyText"/>
        <w:spacing w:line="319" w:lineRule="auto" w:before="19"/>
        <w:ind w:left="513" w:right="2934"/>
        <w:jc w:val="left"/>
        <w:rPr>
          <w:rFonts w:ascii="宋体" w:hAnsi="宋体" w:cs="宋体" w:eastAsia="宋体" w:hint="default"/>
        </w:rPr>
      </w:pPr>
      <w:r>
        <w:rPr/>
        <w:t>其他说明：</w:t>
      </w:r>
      <w:r>
        <w:rPr>
          <w:rFonts w:ascii="宋体" w:hAnsi="宋体" w:cs="宋体" w:eastAsia="宋体" w:hint="default"/>
        </w:rPr>
        <w:t> </w:t>
      </w:r>
      <w:r>
        <w:rPr/>
        <w:t>年末预付款项中无持本公司</w:t>
      </w:r>
      <w:r>
        <w:rPr>
          <w:rFonts w:ascii="宋体" w:hAnsi="宋体" w:cs="宋体" w:eastAsia="宋体" w:hint="default"/>
        </w:rPr>
        <w:t>5</w:t>
      </w:r>
      <w:r>
        <w:rPr/>
        <w:t>％以上</w:t>
      </w:r>
      <w:r>
        <w:rPr>
          <w:rFonts w:ascii="宋体" w:hAnsi="宋体" w:cs="宋体" w:eastAsia="宋体" w:hint="default"/>
        </w:rPr>
        <w:t>(</w:t>
      </w:r>
      <w:r>
        <w:rPr/>
        <w:t>含</w:t>
      </w:r>
      <w:r>
        <w:rPr>
          <w:rFonts w:ascii="宋体" w:hAnsi="宋体" w:cs="宋体" w:eastAsia="宋体" w:hint="default"/>
        </w:rPr>
        <w:t>5</w:t>
      </w:r>
      <w:r>
        <w:rPr/>
        <w:t>％</w:t>
      </w:r>
      <w:r>
        <w:rPr>
          <w:rFonts w:ascii="宋体" w:hAnsi="宋体" w:cs="宋体" w:eastAsia="宋体" w:hint="default"/>
        </w:rPr>
        <w:t>)</w:t>
      </w:r>
      <w:r>
        <w:rPr/>
        <w:t>表决权股份的股东单位欠款。</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173,171,</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033.06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15,409,3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49.56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8.90%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157,761,6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83.50</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37,351,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872.87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6,788,389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18.17%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30,563,483.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173,171,</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033.06</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15,409,3</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49.56</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6" w:right="0"/>
              <w:jc w:val="left"/>
              <w:rPr>
                <w:rFonts w:ascii="Times New Roman" w:hAnsi="Times New Roman" w:cs="Times New Roman" w:eastAsia="Times New Roman" w:hint="default"/>
                <w:sz w:val="18"/>
                <w:szCs w:val="18"/>
              </w:rPr>
            </w:pPr>
            <w:r>
              <w:rPr>
                <w:rFonts w:ascii="Times New Roman"/>
                <w:sz w:val="18"/>
              </w:rPr>
              <w:t>8.90%</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157,761,6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83.50</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83" w:right="0"/>
              <w:jc w:val="left"/>
              <w:rPr>
                <w:rFonts w:ascii="Times New Roman" w:hAnsi="Times New Roman" w:cs="Times New Roman" w:eastAsia="Times New Roman" w:hint="default"/>
                <w:sz w:val="18"/>
                <w:szCs w:val="18"/>
              </w:rPr>
            </w:pPr>
            <w:r>
              <w:rPr>
                <w:rFonts w:ascii="Times New Roman"/>
                <w:sz w:val="18"/>
              </w:rPr>
              <w:t>37,351,</w:t>
            </w:r>
          </w:p>
          <w:p>
            <w:pPr>
              <w:pStyle w:val="TableParagraph"/>
              <w:spacing w:line="240" w:lineRule="auto" w:before="105"/>
              <w:ind w:left="129" w:right="0"/>
              <w:jc w:val="left"/>
              <w:rPr>
                <w:rFonts w:ascii="Times New Roman" w:hAnsi="Times New Roman" w:cs="Times New Roman" w:eastAsia="Times New Roman" w:hint="default"/>
                <w:sz w:val="18"/>
                <w:szCs w:val="18"/>
              </w:rPr>
            </w:pPr>
            <w:r>
              <w:rPr>
                <w:rFonts w:ascii="Times New Roman"/>
                <w:sz w:val="18"/>
              </w:rPr>
              <w:t>872.87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6,788,389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.44</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18.17%</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30,563,483.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43</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期末单项金额重大并单项计提坏账准备的其他应收款：</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5" w:footer="980" w:top="1060" w:bottom="1160" w:left="980" w:right="980"/>
        </w:sectPr>
      </w:pPr>
    </w:p>
    <w:p>
      <w:pPr>
        <w:pStyle w:val="BodyText"/>
        <w:spacing w:line="340"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293" w:space="453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9"/>
        <w:gridCol w:w="2393"/>
        <w:gridCol w:w="2393"/>
        <w:gridCol w:w="2393"/>
      </w:tblGrid>
      <w:tr>
        <w:trPr>
          <w:trHeight w:val="206"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0" w:hRule="exact"/>
        </w:trPr>
        <w:tc>
          <w:tcPr>
            <w:tcW w:w="2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9"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79"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154,942,930.09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7,747,146.51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4,429,863.64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442,986.37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5,209,823.01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1,041,964.60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4,638,328.49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2,319,164.25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3,490,087.83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3,490,087.83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173,171,033.06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15,409,349.56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8.90%</w:t>
            </w:r>
          </w:p>
        </w:tc>
      </w:tr>
    </w:tbl>
    <w:p>
      <w:pPr>
        <w:pStyle w:val="BodyText"/>
        <w:spacing w:line="357" w:lineRule="auto" w:before="49"/>
        <w:ind w:right="5274"/>
        <w:jc w:val="left"/>
      </w:pPr>
      <w:r>
        <w:rPr/>
        <w:t>确定该组合依据的说明： 相同账龄的其他应收款项具有类似信用风险特征。 组合中，采用余额百分比法计提坏账准备的其他应收款：</w:t>
      </w:r>
    </w:p>
    <w:p>
      <w:pPr>
        <w:pStyle w:val="BodyText"/>
        <w:spacing w:line="340" w:lineRule="auto" w:before="26"/>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980"/>
        </w:sectPr>
      </w:pPr>
    </w:p>
    <w:p>
      <w:pPr>
        <w:pStyle w:val="BodyText"/>
        <w:spacing w:line="340" w:lineRule="auto" w:before="44"/>
        <w:ind w:right="-11"/>
        <w:jc w:val="left"/>
      </w:pPr>
      <w:r>
        <w:rPr/>
        <w:t>本期计提坏账准备金额</w:t>
      </w:r>
      <w:r>
        <w:rPr>
          <w:spacing w:val="-46"/>
        </w:rPr>
        <w:t> </w:t>
      </w:r>
      <w:r>
        <w:rPr>
          <w:rFonts w:ascii="Times New Roman" w:hAnsi="Times New Roman" w:cs="Times New Roman" w:eastAsia="Times New Roman" w:hint="default"/>
        </w:rPr>
        <w:t>8,620,960.12</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0"/>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450" w:space="2379"/>
            <w:col w:w="112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7,429,221.43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9,227,406.60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114,551,897.73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21,719,001.97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44,260,528.00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应收暂付及其他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6,929,385.90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6,405,464.30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173,171,033.06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37,351,872.87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40,215,340.00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23.22%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2,010,767.00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17.32%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11.55%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130,215,340.00</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6,510,767.00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、存货</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6534"/>
        <w:jc w:val="left"/>
      </w:pPr>
      <w:r>
        <w:rPr/>
        <w:t>公司是否需要遵守房地产行业的披露要求 否</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119,770,250.99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14,227,480.83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105,542,770.16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84,494,495.10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9,925,158.41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74,569,336.69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48,821,843.56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48,821,843.56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47,577,868.85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47,577,868.85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119,434,909.67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10,834,780.20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108,600,129.47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133,350,567.49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5,244,830.10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128,105,737.39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委托加工材料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36,037,054.22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36,037,054.22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24,321,111.60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24,321,111.60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686,683.04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686,683.04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568,194.49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568,194.49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14,218,847.88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14,218,847.88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27,918,363.02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27,918,363.02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338,969,589.36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25,062,261.03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313,907,328.33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318,230,600.55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15,169,988.51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303,060,612.04</w:t>
            </w:r>
          </w:p>
        </w:tc>
      </w:tr>
    </w:tbl>
    <w:p>
      <w:pPr>
        <w:pStyle w:val="BodyText"/>
        <w:spacing w:line="338" w:lineRule="auto" w:before="49"/>
        <w:ind w:right="1496"/>
        <w:jc w:val="left"/>
      </w:pPr>
      <w:r>
        <w:rPr/>
        <w:t>公司是否需遵守《深圳证券交易所行业信息披露指引第</w:t>
      </w:r>
      <w:r>
        <w:rPr>
          <w:spacing w:val="-46"/>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spacing w:line="240" w:lineRule="auto" w:before="8"/>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81"/>
        <w:gridCol w:w="1356"/>
        <w:gridCol w:w="1367"/>
        <w:gridCol w:w="1367"/>
        <w:gridCol w:w="1355"/>
        <w:gridCol w:w="1379"/>
      </w:tblGrid>
      <w:tr>
        <w:trPr>
          <w:trHeight w:val="206" w:hRule="exact"/>
        </w:trPr>
        <w:tc>
          <w:tcPr>
            <w:tcW w:w="1356"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272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1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2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7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3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23" w:type="dxa"/>
            <w:gridSpan w:val="2"/>
            <w:vMerge/>
            <w:tcBorders>
              <w:left w:val="single" w:sz="4" w:space="0" w:color="000000"/>
              <w:bottom w:val="single" w:sz="4" w:space="0" w:color="000000"/>
              <w:right w:val="single" w:sz="4" w:space="0" w:color="000000"/>
            </w:tcBorders>
            <w:shd w:val="clear" w:color="auto" w:fill="D2D2D2"/>
          </w:tcPr>
          <w:p>
            <w:pPr/>
          </w:p>
        </w:tc>
        <w:tc>
          <w:tcPr>
            <w:tcW w:w="2722" w:type="dxa"/>
            <w:gridSpan w:val="2"/>
            <w:vMerge/>
            <w:tcBorders>
              <w:left w:val="single" w:sz="4" w:space="0" w:color="000000"/>
              <w:bottom w:val="single" w:sz="4" w:space="0" w:color="000000"/>
              <w:right w:val="single" w:sz="4" w:space="0" w:color="000000"/>
            </w:tcBorders>
            <w:shd w:val="clear" w:color="auto" w:fill="D2D2D2"/>
          </w:tcPr>
          <w:p>
            <w:pPr/>
          </w:p>
        </w:tc>
        <w:tc>
          <w:tcPr>
            <w:tcW w:w="13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381" w:type="dxa"/>
            <w:vMerge/>
            <w:tcBorders>
              <w:left w:val="single" w:sz="4" w:space="0" w:color="000000"/>
              <w:bottom w:val="nil" w:sz="6" w:space="0" w:color="auto"/>
              <w:right w:val="single" w:sz="4" w:space="0" w:color="000000"/>
            </w:tcBorders>
            <w:shd w:val="clear" w:color="auto" w:fill="D2D2D2"/>
          </w:tcPr>
          <w:p>
            <w:pPr/>
          </w:p>
        </w:tc>
        <w:tc>
          <w:tcPr>
            <w:tcW w:w="13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1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6"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79"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35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6"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55" w:type="dxa"/>
            <w:vMerge/>
            <w:tcBorders>
              <w:left w:val="single" w:sz="4" w:space="0" w:color="000000"/>
              <w:bottom w:val="single" w:sz="4" w:space="0" w:color="000000"/>
              <w:right w:val="single" w:sz="4" w:space="0" w:color="000000"/>
            </w:tcBorders>
            <w:shd w:val="clear" w:color="auto" w:fill="D2D2D2"/>
          </w:tcPr>
          <w:p>
            <w:pPr/>
          </w:p>
        </w:tc>
        <w:tc>
          <w:tcPr>
            <w:tcW w:w="137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380" w:right="0"/>
              <w:jc w:val="left"/>
              <w:rPr>
                <w:rFonts w:ascii="Times New Roman" w:hAnsi="Times New Roman" w:cs="Times New Roman" w:eastAsia="Times New Roman" w:hint="default"/>
                <w:sz w:val="18"/>
                <w:szCs w:val="18"/>
              </w:rPr>
            </w:pPr>
            <w:r>
              <w:rPr>
                <w:rFonts w:ascii="Times New Roman"/>
                <w:sz w:val="18"/>
              </w:rPr>
              <w:t>9,925,158.41</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6" w:right="0"/>
              <w:jc w:val="left"/>
              <w:rPr>
                <w:rFonts w:ascii="Times New Roman" w:hAnsi="Times New Roman" w:cs="Times New Roman" w:eastAsia="Times New Roman" w:hint="default"/>
                <w:sz w:val="18"/>
                <w:szCs w:val="18"/>
              </w:rPr>
            </w:pPr>
            <w:r>
              <w:rPr>
                <w:rFonts w:ascii="Times New Roman"/>
                <w:sz w:val="18"/>
              </w:rPr>
              <w:t>6,123,682.96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7" w:right="0"/>
              <w:jc w:val="left"/>
              <w:rPr>
                <w:rFonts w:ascii="Times New Roman" w:hAnsi="Times New Roman" w:cs="Times New Roman" w:eastAsia="Times New Roman" w:hint="default"/>
                <w:sz w:val="18"/>
                <w:szCs w:val="18"/>
              </w:rPr>
            </w:pPr>
            <w:r>
              <w:rPr>
                <w:rFonts w:ascii="Times New Roman"/>
                <w:sz w:val="18"/>
              </w:rPr>
              <w:t>1,821,360.54</w:t>
            </w:r>
          </w:p>
        </w:tc>
        <w:tc>
          <w:tcPr>
            <w:tcW w:w="1355"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0" w:right="0"/>
              <w:jc w:val="left"/>
              <w:rPr>
                <w:rFonts w:ascii="Times New Roman" w:hAnsi="Times New Roman" w:cs="Times New Roman" w:eastAsia="Times New Roman" w:hint="default"/>
                <w:sz w:val="18"/>
                <w:szCs w:val="18"/>
              </w:rPr>
            </w:pPr>
            <w:r>
              <w:rPr>
                <w:rFonts w:ascii="Times New Roman"/>
                <w:sz w:val="18"/>
              </w:rPr>
              <w:t>14,227,480.83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5,244,830.10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9,971,234.61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4,381,284.51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10,834,780.20</w:t>
            </w:r>
          </w:p>
        </w:tc>
      </w:tr>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15,169,988.51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16,094,917.57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6,202,645.05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25,062,261.03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0"/>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7</w:t>
      </w:r>
      <w:r>
        <w:rPr/>
        <w:t>、一年内到期的非流动资产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96,635,064.72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58,335,336.47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一年内到期的长期待摊费用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59,013.91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96,635,064.72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58,394,350.38</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8</w:t>
      </w:r>
      <w:r>
        <w:rPr/>
        <w:t>、其他流动资产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91,555,121.78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54,039,697.30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2,176,639.68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3,076,463.11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157.07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260.65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票据贴现费用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3,936,809.60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2,575,102.36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467,168,728.13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59,691,523.42</w:t>
            </w:r>
          </w:p>
        </w:tc>
      </w:tr>
    </w:tbl>
    <w:p>
      <w:pPr>
        <w:pStyle w:val="BodyText"/>
        <w:spacing w:line="357" w:lineRule="auto" w:before="49"/>
        <w:ind w:right="1584"/>
        <w:jc w:val="left"/>
      </w:pPr>
      <w:r>
        <w:rPr/>
        <w:t>其他说明： 证通金信本年银行承兑汇票贴现费用</w:t>
      </w:r>
      <w:r>
        <w:rPr>
          <w:rFonts w:ascii="Times New Roman" w:hAnsi="Times New Roman" w:cs="Times New Roman" w:eastAsia="Times New Roman" w:hint="default"/>
        </w:rPr>
        <w:t>5,937,750.00</w:t>
      </w:r>
      <w:r>
        <w:rPr/>
        <w:t>元，按票据贴现期限摊销，剩余金额为</w:t>
      </w:r>
      <w:r>
        <w:rPr>
          <w:rFonts w:ascii="Times New Roman" w:hAnsi="Times New Roman" w:cs="Times New Roman" w:eastAsia="Times New Roman" w:hint="default"/>
        </w:rPr>
        <w:t>3,936,809.59</w:t>
      </w:r>
      <w:r>
        <w:rPr/>
        <w:t>元。</w:t>
      </w:r>
    </w:p>
    <w:p>
      <w:pPr>
        <w:spacing w:line="240" w:lineRule="auto" w:before="10"/>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9</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3589"/>
        <w:gridCol w:w="3971"/>
      </w:tblGrid>
      <w:tr>
        <w:trPr>
          <w:trHeight w:val="403" w:hRule="exact"/>
        </w:trPr>
        <w:tc>
          <w:tcPr>
            <w:tcW w:w="1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8"/>
        <w:gridCol w:w="1196"/>
        <w:gridCol w:w="1248"/>
        <w:gridCol w:w="1369"/>
        <w:gridCol w:w="1366"/>
      </w:tblGrid>
      <w:tr>
        <w:trPr>
          <w:trHeight w:val="401"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4"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left="110" w:right="0"/>
              <w:jc w:val="center"/>
              <w:rPr>
                <w:rFonts w:ascii="Times New Roman" w:hAnsi="Times New Roman" w:cs="Times New Roman" w:eastAsia="Times New Roman" w:hint="default"/>
                <w:sz w:val="18"/>
                <w:szCs w:val="18"/>
              </w:rPr>
            </w:pPr>
            <w:r>
              <w:rPr>
                <w:rFonts w:ascii="Times New Roman"/>
                <w:sz w:val="18"/>
              </w:rPr>
              <w:t>94,784,169.23</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7" w:right="0"/>
              <w:jc w:val="center"/>
              <w:rPr>
                <w:rFonts w:ascii="Times New Roman" w:hAnsi="Times New Roman" w:cs="Times New Roman" w:eastAsia="Times New Roman" w:hint="default"/>
                <w:sz w:val="18"/>
                <w:szCs w:val="18"/>
              </w:rPr>
            </w:pPr>
            <w:r>
              <w:rPr>
                <w:rFonts w:ascii="Times New Roman"/>
                <w:sz w:val="18"/>
              </w:rPr>
              <w:t>94,784,169.23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99,540,000.00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99" w:right="0"/>
              <w:jc w:val="left"/>
              <w:rPr>
                <w:rFonts w:ascii="Times New Roman" w:hAnsi="Times New Roman" w:cs="Times New Roman" w:eastAsia="Times New Roman" w:hint="default"/>
                <w:sz w:val="18"/>
                <w:szCs w:val="18"/>
              </w:rPr>
            </w:pPr>
            <w:r>
              <w:rPr>
                <w:rFonts w:ascii="Times New Roman"/>
                <w:sz w:val="18"/>
              </w:rPr>
              <w:t>99,540,000.00</w:t>
            </w:r>
          </w:p>
        </w:tc>
      </w:tr>
      <w:tr>
        <w:trPr>
          <w:trHeight w:val="401"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按成本计量的</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0" w:right="0"/>
              <w:jc w:val="center"/>
              <w:rPr>
                <w:rFonts w:ascii="Times New Roman" w:hAnsi="Times New Roman" w:cs="Times New Roman" w:eastAsia="Times New Roman" w:hint="default"/>
                <w:sz w:val="18"/>
                <w:szCs w:val="18"/>
              </w:rPr>
            </w:pPr>
            <w:r>
              <w:rPr>
                <w:rFonts w:ascii="Times New Roman"/>
                <w:sz w:val="18"/>
              </w:rPr>
              <w:t>94,784,169.23</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94,784,169.23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99,540,000.00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99,540,000.00</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110" w:right="0"/>
              <w:jc w:val="center"/>
              <w:rPr>
                <w:rFonts w:ascii="Times New Roman" w:hAnsi="Times New Roman" w:cs="Times New Roman" w:eastAsia="Times New Roman" w:hint="default"/>
                <w:sz w:val="18"/>
                <w:szCs w:val="18"/>
              </w:rPr>
            </w:pPr>
            <w:r>
              <w:rPr>
                <w:rFonts w:ascii="Times New Roman"/>
                <w:sz w:val="18"/>
              </w:rPr>
              <w:t>94,784,169.23</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94,784,169.23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99,540,000.00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99" w:right="0"/>
              <w:jc w:val="left"/>
              <w:rPr>
                <w:rFonts w:ascii="Times New Roman" w:hAnsi="Times New Roman" w:cs="Times New Roman" w:eastAsia="Times New Roman" w:hint="default"/>
                <w:sz w:val="18"/>
                <w:szCs w:val="18"/>
              </w:rPr>
            </w:pPr>
            <w:r>
              <w:rPr>
                <w:rFonts w:ascii="Times New Roman"/>
                <w:sz w:val="18"/>
              </w:rPr>
              <w:t>99,540,000.00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92"/>
        <w:gridCol w:w="1925"/>
        <w:gridCol w:w="1916"/>
        <w:gridCol w:w="1913"/>
        <w:gridCol w:w="1916"/>
      </w:tblGrid>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3" w:type="dxa"/>
            <w:tcBorders>
              <w:top w:val="single" w:sz="4" w:space="0" w:color="000000"/>
              <w:left w:val="single" w:sz="13" w:space="0" w:color="D2D2D2"/>
              <w:bottom w:val="single" w:sz="4" w:space="0" w:color="000000"/>
              <w:right w:val="single" w:sz="13" w:space="0" w:color="D2D2D2"/>
            </w:tcBorders>
            <w:shd w:val="clear" w:color="auto" w:fill="E0FFFF"/>
          </w:tcPr>
          <w:p>
            <w:pPr/>
          </w:p>
        </w:tc>
        <w:tc>
          <w:tcPr>
            <w:tcW w:w="1916" w:type="dxa"/>
            <w:tcBorders>
              <w:top w:val="single" w:sz="4" w:space="0" w:color="000000"/>
              <w:left w:val="single" w:sz="12" w:space="0" w:color="E0FFFF"/>
              <w:bottom w:val="single" w:sz="4" w:space="0" w:color="000000"/>
              <w:right w:val="single" w:sz="4" w:space="0" w:color="000000"/>
            </w:tcBorders>
            <w:shd w:val="clear" w:color="auto" w:fill="D2D2D2"/>
          </w:tcPr>
          <w:p>
            <w:pPr>
              <w:pStyle w:val="TableParagraph"/>
              <w:spacing w:line="240" w:lineRule="auto" w:before="51"/>
              <w:ind w:right="8"/>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7"/>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2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94,784,169.23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7" w:right="0"/>
              <w:jc w:val="left"/>
              <w:rPr>
                <w:rFonts w:ascii="Times New Roman" w:hAnsi="Times New Roman" w:cs="Times New Roman" w:eastAsia="Times New Roman" w:hint="default"/>
                <w:sz w:val="18"/>
                <w:szCs w:val="18"/>
              </w:rPr>
            </w:pPr>
            <w:r>
              <w:rPr>
                <w:rFonts w:ascii="Times New Roman"/>
                <w:sz w:val="18"/>
              </w:rPr>
              <w:t>94,784,169.23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64"/>
        <w:gridCol w:w="869"/>
        <w:gridCol w:w="871"/>
        <w:gridCol w:w="869"/>
        <w:gridCol w:w="871"/>
        <w:gridCol w:w="869"/>
        <w:gridCol w:w="871"/>
        <w:gridCol w:w="869"/>
        <w:gridCol w:w="872"/>
        <w:gridCol w:w="869"/>
        <w:gridCol w:w="871"/>
      </w:tblGrid>
      <w:tr>
        <w:trPr>
          <w:trHeight w:val="401" w:hRule="exact"/>
        </w:trPr>
        <w:tc>
          <w:tcPr>
            <w:tcW w:w="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6"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9" w:right="67"/>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9" w:right="7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69" w:type="dxa"/>
            <w:vMerge/>
            <w:tcBorders>
              <w:left w:val="single" w:sz="4" w:space="0" w:color="000000"/>
              <w:bottom w:val="single" w:sz="4" w:space="0" w:color="000000"/>
              <w:right w:val="single" w:sz="4" w:space="0" w:color="000000"/>
            </w:tcBorders>
            <w:shd w:val="clear" w:color="auto" w:fill="D2D2D2"/>
          </w:tcPr>
          <w:p>
            <w:pPr/>
          </w:p>
        </w:tc>
        <w:tc>
          <w:tcPr>
            <w:tcW w:w="87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江苏睿博 数据技术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15,250,000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14.52%</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深圳市鹏 鼎创盈金 融信息服 务股份有 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2.68%</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227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08"/>
              <w:jc w:val="left"/>
              <w:rPr>
                <w:rFonts w:ascii="Times New Roman" w:hAnsi="Times New Roman" w:cs="Times New Roman" w:eastAsia="Times New Roman" w:hint="default"/>
                <w:sz w:val="18"/>
                <w:szCs w:val="18"/>
              </w:rPr>
            </w:pPr>
            <w:r>
              <w:rPr>
                <w:rFonts w:ascii="宋体" w:hAnsi="宋体" w:cs="宋体" w:eastAsia="宋体" w:hint="default"/>
                <w:sz w:val="18"/>
                <w:szCs w:val="18"/>
              </w:rPr>
              <w:t>江苏中茂 节能环保 产业创业 投资基金 合伙企业 </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 伙</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4,755,830.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25,244,169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.23</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6.49%</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863,685.83</w:t>
            </w:r>
          </w:p>
        </w:tc>
      </w:tr>
      <w:tr>
        <w:trPr>
          <w:trHeight w:val="1025"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深圳盛灿 科技股份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杭州益趣 科技有限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4,290,000.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4,290,000.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8.82%</w:t>
            </w:r>
          </w:p>
        </w:tc>
        <w:tc>
          <w:tcPr>
            <w:tcW w:w="87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Times New Roman" w:hAnsi="Times New Roman" w:cs="Times New Roman" w:eastAsia="Times New Roman" w:hint="default"/>
                <w:sz w:val="18"/>
                <w:szCs w:val="18"/>
              </w:rPr>
            </w:pPr>
            <w:r>
              <w:rPr>
                <w:rFonts w:ascii="Times New Roman"/>
                <w:sz w:val="18"/>
              </w:rPr>
              <w:t>99,540,000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1" w:right="0"/>
              <w:jc w:val="center"/>
              <w:rPr>
                <w:rFonts w:ascii="Times New Roman" w:hAnsi="Times New Roman" w:cs="Times New Roman" w:eastAsia="Times New Roman" w:hint="default"/>
                <w:sz w:val="18"/>
                <w:szCs w:val="18"/>
              </w:rPr>
            </w:pPr>
            <w:r>
              <w:rPr>
                <w:rFonts w:ascii="Times New Roman"/>
                <w:sz w:val="18"/>
              </w:rPr>
              <w:t>4,755,830.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Times New Roman" w:hAnsi="Times New Roman" w:cs="Times New Roman" w:eastAsia="Times New Roman" w:hint="default"/>
                <w:sz w:val="18"/>
                <w:szCs w:val="18"/>
              </w:rPr>
            </w:pPr>
            <w:r>
              <w:rPr>
                <w:rFonts w:ascii="Times New Roman"/>
                <w:sz w:val="18"/>
              </w:rPr>
              <w:t>94,784,169</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5" w:right="0"/>
              <w:jc w:val="left"/>
              <w:rPr>
                <w:rFonts w:ascii="Times New Roman" w:hAnsi="Times New Roman" w:cs="Times New Roman" w:eastAsia="Times New Roman" w:hint="default"/>
                <w:sz w:val="18"/>
                <w:szCs w:val="18"/>
              </w:rPr>
            </w:pPr>
            <w:r>
              <w:rPr>
                <w:rFonts w:ascii="Times New Roman"/>
                <w:sz w:val="18"/>
              </w:rPr>
              <w:t>863,685.83</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3"/>
        <w:gridCol w:w="869"/>
        <w:gridCol w:w="871"/>
        <w:gridCol w:w="869"/>
        <w:gridCol w:w="871"/>
        <w:gridCol w:w="869"/>
        <w:gridCol w:w="871"/>
        <w:gridCol w:w="869"/>
        <w:gridCol w:w="872"/>
        <w:gridCol w:w="869"/>
        <w:gridCol w:w="871"/>
      </w:tblGrid>
      <w:tr>
        <w:trPr>
          <w:trHeight w:val="362"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77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.23</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7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94"/>
        <w:jc w:val="left"/>
        <w:rPr>
          <w:b w:val="0"/>
          <w:bCs w:val="0"/>
        </w:rPr>
      </w:pPr>
      <w:r>
        <w:rPr>
          <w:rFonts w:ascii="Times New Roman" w:hAnsi="Times New Roman" w:cs="Times New Roman" w:eastAsia="Times New Roman" w:hint="default"/>
        </w:rPr>
        <w:t>10</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94"/>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2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04"/>
        <w:gridCol w:w="1166"/>
        <w:gridCol w:w="1167"/>
        <w:gridCol w:w="1166"/>
        <w:gridCol w:w="1169"/>
        <w:gridCol w:w="1166"/>
        <w:gridCol w:w="1167"/>
        <w:gridCol w:w="1164"/>
      </w:tblGrid>
      <w:tr>
        <w:trPr>
          <w:trHeight w:val="206" w:hRule="exact"/>
        </w:trPr>
        <w:tc>
          <w:tcPr>
            <w:tcW w:w="1404" w:type="dxa"/>
            <w:tcBorders>
              <w:top w:val="single" w:sz="4" w:space="0" w:color="000000"/>
              <w:left w:val="single" w:sz="4" w:space="0" w:color="000000"/>
              <w:bottom w:val="nil" w:sz="6" w:space="0" w:color="auto"/>
              <w:right w:val="single" w:sz="4" w:space="0" w:color="000000"/>
            </w:tcBorders>
            <w:shd w:val="clear" w:color="auto" w:fill="D2D2D2"/>
          </w:tcPr>
          <w:p>
            <w:pPr/>
          </w:p>
        </w:tc>
        <w:tc>
          <w:tcPr>
            <w:tcW w:w="3500"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190" w:hRule="exact"/>
        </w:trPr>
        <w:tc>
          <w:tcPr>
            <w:tcW w:w="14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vMerge/>
            <w:tcBorders>
              <w:left w:val="single" w:sz="4" w:space="0" w:color="000000"/>
              <w:bottom w:val="single" w:sz="4" w:space="0" w:color="000000"/>
              <w:right w:val="single" w:sz="4" w:space="0" w:color="000000"/>
            </w:tcBorders>
            <w:shd w:val="clear" w:color="auto" w:fill="D2D2D2"/>
          </w:tcPr>
          <w:p>
            <w:pPr/>
          </w:p>
        </w:tc>
        <w:tc>
          <w:tcPr>
            <w:tcW w:w="3503" w:type="dxa"/>
            <w:gridSpan w:val="3"/>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right w:val="single" w:sz="4" w:space="0" w:color="000000"/>
            </w:tcBorders>
            <w:shd w:val="clear" w:color="auto" w:fill="D2D2D2"/>
          </w:tcPr>
          <w:p>
            <w:pPr/>
          </w:p>
        </w:tc>
      </w:tr>
      <w:tr>
        <w:trPr>
          <w:trHeight w:val="202" w:hRule="exact"/>
        </w:trPr>
        <w:tc>
          <w:tcPr>
            <w:tcW w:w="1404" w:type="dxa"/>
            <w:vMerge/>
            <w:tcBorders>
              <w:left w:val="single" w:sz="4" w:space="0" w:color="000000"/>
              <w:bottom w:val="nil" w:sz="6" w:space="0" w:color="auto"/>
              <w:right w:val="single" w:sz="4" w:space="0" w:color="000000"/>
            </w:tcBorders>
            <w:shd w:val="clear" w:color="auto" w:fill="D2D2D2"/>
          </w:tcPr>
          <w:p>
            <w:pP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right w:val="single" w:sz="4" w:space="0" w:color="000000"/>
            </w:tcBorders>
            <w:shd w:val="clear" w:color="auto" w:fill="D2D2D2"/>
          </w:tcPr>
          <w:p>
            <w:pPr/>
          </w:p>
        </w:tc>
      </w:tr>
      <w:tr>
        <w:trPr>
          <w:trHeight w:val="206" w:hRule="exact"/>
        </w:trPr>
        <w:tc>
          <w:tcPr>
            <w:tcW w:w="14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9"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分期收款销售商 品</w:t>
            </w:r>
          </w:p>
        </w:tc>
        <w:tc>
          <w:tcPr>
            <w:tcW w:w="11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475,180,504.6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475,180,504.6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314,009,573.6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314,009,573.6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08"/>
              <w:jc w:val="left"/>
              <w:rPr>
                <w:rFonts w:ascii="宋体" w:hAnsi="宋体" w:cs="宋体" w:eastAsia="宋体" w:hint="default"/>
                <w:sz w:val="18"/>
                <w:szCs w:val="18"/>
              </w:rPr>
            </w:pPr>
            <w:r>
              <w:rPr>
                <w:rFonts w:ascii="宋体" w:hAnsi="宋体" w:cs="宋体" w:eastAsia="宋体" w:hint="default"/>
                <w:sz w:val="18"/>
                <w:szCs w:val="18"/>
              </w:rPr>
              <w:t>售后回租的保证 金</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22,828,875.69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22,828,875.69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20,878,408.60</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20,878,408.60</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498,009,380.2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498,009,380.2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334,887,982.2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334,887,982.2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94"/>
        <w:jc w:val="left"/>
        <w:rPr>
          <w:b w:val="0"/>
          <w:bCs w:val="0"/>
        </w:rPr>
      </w:pPr>
      <w:r>
        <w:rPr/>
        <w:t>（</w:t>
      </w:r>
      <w:r>
        <w:rPr>
          <w:rFonts w:ascii="Times New Roman" w:hAnsi="Times New Roman" w:cs="Times New Roman" w:eastAsia="Times New Roman" w:hint="default"/>
        </w:rPr>
        <w:t>2</w:t>
      </w:r>
      <w:r>
        <w:rPr/>
        <w:t>）转移长期应收款且继续涉入形成的资产、负债金额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513" w:right="7883"/>
        <w:jc w:val="left"/>
        <w:rPr>
          <w:rFonts w:ascii="宋体" w:hAnsi="宋体" w:cs="宋体" w:eastAsia="宋体" w:hint="default"/>
        </w:rPr>
      </w:pPr>
      <w:r>
        <w:rPr/>
        <w:t>其他说明</w:t>
      </w:r>
      <w:r>
        <w:rPr>
          <w:rFonts w:ascii="宋体" w:hAnsi="宋体" w:cs="宋体" w:eastAsia="宋体" w:hint="default"/>
        </w:rPr>
        <w:t> (1)2012</w:t>
      </w:r>
      <w:r>
        <w:rPr/>
        <w:t>年度</w:t>
      </w:r>
      <w:r>
        <w:rPr>
          <w:rFonts w:ascii="宋体" w:hAnsi="宋体" w:cs="宋体" w:eastAsia="宋体" w:hint="default"/>
        </w:rPr>
        <w:t> </w:t>
      </w:r>
    </w:p>
    <w:p>
      <w:pPr>
        <w:pStyle w:val="BodyText"/>
        <w:spacing w:line="316" w:lineRule="auto" w:before="19"/>
        <w:ind w:right="194" w:firstLine="360"/>
        <w:jc w:val="left"/>
        <w:rPr>
          <w:rFonts w:ascii="宋体" w:hAnsi="宋体" w:cs="宋体" w:eastAsia="宋体" w:hint="default"/>
        </w:rPr>
      </w:pPr>
      <w:r>
        <w:rPr/>
        <w:t>本公司</w:t>
      </w:r>
      <w:r>
        <w:rPr>
          <w:rFonts w:ascii="宋体" w:hAnsi="宋体" w:cs="宋体" w:eastAsia="宋体" w:hint="default"/>
        </w:rPr>
        <w:t>2012</w:t>
      </w:r>
      <w:r>
        <w:rPr/>
        <w:t>年</w:t>
      </w:r>
      <w:r>
        <w:rPr>
          <w:rFonts w:ascii="宋体" w:hAnsi="宋体" w:cs="宋体" w:eastAsia="宋体" w:hint="default"/>
        </w:rPr>
        <w:t>5</w:t>
      </w:r>
      <w:r>
        <w:rPr/>
        <w:t>月</w:t>
      </w:r>
      <w:r>
        <w:rPr>
          <w:rFonts w:ascii="宋体" w:hAnsi="宋体" w:cs="宋体" w:eastAsia="宋体" w:hint="default"/>
        </w:rPr>
        <w:t>11</w:t>
      </w:r>
      <w:r>
        <w:rPr/>
        <w:t>日与神州创宇低碳技术</w:t>
      </w:r>
      <w:r>
        <w:rPr>
          <w:rFonts w:ascii="宋体" w:hAnsi="宋体" w:cs="宋体" w:eastAsia="宋体" w:hint="default"/>
        </w:rPr>
        <w:t>(</w:t>
      </w:r>
      <w:r>
        <w:rPr/>
        <w:t>北京</w:t>
      </w:r>
      <w:r>
        <w:rPr>
          <w:rFonts w:ascii="宋体" w:hAnsi="宋体" w:cs="宋体" w:eastAsia="宋体" w:hint="default"/>
        </w:rPr>
        <w:t>)</w:t>
      </w:r>
      <w:r>
        <w:rPr/>
        <w:t>科技有限公司签订的</w:t>
      </w:r>
      <w:r>
        <w:rPr>
          <w:rFonts w:ascii="宋体" w:hAnsi="宋体" w:cs="宋体" w:eastAsia="宋体" w:hint="default"/>
        </w:rPr>
        <w:t>LED</w:t>
      </w:r>
      <w:r>
        <w:rPr/>
        <w:t>路灯购销合同，合同约定价款为 </w:t>
      </w:r>
      <w:r>
        <w:rPr>
          <w:rFonts w:ascii="宋体" w:hAnsi="宋体" w:cs="宋体" w:eastAsia="宋体" w:hint="default"/>
        </w:rPr>
        <w:t>29,002,570.00</w:t>
      </w:r>
      <w:r>
        <w:rPr/>
        <w:t>元，按照五年十期分期收款，</w:t>
      </w:r>
      <w:r>
        <w:rPr>
          <w:rFonts w:ascii="宋体" w:hAnsi="宋体" w:cs="宋体" w:eastAsia="宋体" w:hint="default"/>
        </w:rPr>
        <w:t>2012</w:t>
      </w:r>
      <w:r>
        <w:rPr/>
        <w:t>年确认收入，截止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日该应收余额</w:t>
      </w:r>
      <w:r>
        <w:rPr>
          <w:rFonts w:ascii="宋体" w:hAnsi="宋体" w:cs="宋体" w:eastAsia="宋体" w:hint="default"/>
        </w:rPr>
        <w:t>12,602,570.00</w:t>
      </w:r>
      <w:r>
        <w:rPr/>
        <w:t>元。</w:t>
      </w:r>
      <w:r>
        <w:rPr>
          <w:rFonts w:ascii="宋体" w:hAnsi="宋体" w:cs="宋体" w:eastAsia="宋体" w:hint="default"/>
        </w:rPr>
        <w:t> </w:t>
      </w:r>
    </w:p>
    <w:p>
      <w:pPr>
        <w:pStyle w:val="BodyText"/>
        <w:spacing w:line="316" w:lineRule="auto" w:before="19"/>
        <w:ind w:left="513" w:right="283"/>
        <w:jc w:val="left"/>
      </w:pPr>
      <w:r>
        <w:rPr>
          <w:rFonts w:ascii="宋体" w:hAnsi="宋体" w:cs="宋体" w:eastAsia="宋体" w:hint="default"/>
        </w:rPr>
        <w:t>(2)2013</w:t>
      </w:r>
      <w:r>
        <w:rPr/>
        <w:t>年度</w:t>
      </w:r>
      <w:r>
        <w:rPr>
          <w:rFonts w:ascii="宋体" w:hAnsi="宋体" w:cs="宋体" w:eastAsia="宋体" w:hint="default"/>
        </w:rPr>
        <w:t> </w:t>
      </w:r>
      <w:r>
        <w:rPr/>
        <w:t>本公司</w:t>
      </w:r>
      <w:r>
        <w:rPr>
          <w:rFonts w:ascii="宋体" w:hAnsi="宋体" w:cs="宋体" w:eastAsia="宋体" w:hint="default"/>
        </w:rPr>
        <w:t>2013</w:t>
      </w:r>
      <w:r>
        <w:rPr/>
        <w:t>年</w:t>
      </w:r>
      <w:r>
        <w:rPr>
          <w:rFonts w:ascii="宋体" w:hAnsi="宋体" w:cs="宋体" w:eastAsia="宋体" w:hint="default"/>
        </w:rPr>
        <w:t>7</w:t>
      </w:r>
      <w:r>
        <w:rPr/>
        <w:t>月</w:t>
      </w:r>
      <w:r>
        <w:rPr>
          <w:rFonts w:ascii="宋体" w:hAnsi="宋体" w:cs="宋体" w:eastAsia="宋体" w:hint="default"/>
        </w:rPr>
        <w:t>5</w:t>
      </w:r>
      <w:r>
        <w:rPr/>
        <w:t>日与深圳新阳蓝光能源科技发展有限公</w:t>
      </w:r>
      <w:r>
        <w:rPr>
          <w:rFonts w:ascii="宋体" w:hAnsi="宋体" w:cs="宋体" w:eastAsia="宋体" w:hint="default"/>
        </w:rPr>
        <w:t>(</w:t>
      </w:r>
      <w:r>
        <w:rPr/>
        <w:t>更名为：深圳新阳蓝光能源科技股份有限公司</w:t>
      </w:r>
      <w:r>
        <w:rPr>
          <w:rFonts w:ascii="宋体" w:hAnsi="宋体" w:cs="宋体" w:eastAsia="宋体" w:hint="default"/>
        </w:rPr>
        <w:t>)</w:t>
      </w:r>
      <w:r>
        <w:rPr/>
        <w:t>签订的</w:t>
      </w:r>
      <w:r>
        <w:rPr>
          <w:rFonts w:ascii="宋体" w:hAnsi="宋体" w:cs="宋体" w:eastAsia="宋体" w:hint="default"/>
        </w:rPr>
        <w:t>LED</w:t>
      </w:r>
      <w:r>
        <w:rPr/>
        <w:t>路</w:t>
      </w:r>
    </w:p>
    <w:p>
      <w:pPr>
        <w:pStyle w:val="BodyText"/>
        <w:spacing w:line="316" w:lineRule="auto" w:before="19"/>
        <w:ind w:right="284"/>
        <w:jc w:val="left"/>
        <w:rPr>
          <w:rFonts w:ascii="宋体" w:hAnsi="宋体" w:cs="宋体" w:eastAsia="宋体" w:hint="default"/>
        </w:rPr>
      </w:pPr>
      <w:r>
        <w:rPr/>
        <w:t>灯购销合同，合同约定价款为</w:t>
      </w:r>
      <w:r>
        <w:rPr>
          <w:rFonts w:ascii="宋体" w:hAnsi="宋体" w:cs="宋体" w:eastAsia="宋体" w:hint="default"/>
        </w:rPr>
        <w:t>26,088,710.00</w:t>
      </w:r>
      <w:r>
        <w:rPr/>
        <w:t>元，按照六年六期分期收款，</w:t>
      </w:r>
      <w:r>
        <w:rPr>
          <w:rFonts w:ascii="宋体" w:hAnsi="宋体" w:cs="宋体" w:eastAsia="宋体" w:hint="default"/>
        </w:rPr>
        <w:t>2013</w:t>
      </w:r>
      <w:r>
        <w:rPr/>
        <w:t>年确认收入，截止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日该应收余 额</w:t>
      </w:r>
      <w:r>
        <w:rPr>
          <w:rFonts w:ascii="宋体" w:hAnsi="宋体" w:cs="宋体" w:eastAsia="宋体" w:hint="default"/>
        </w:rPr>
        <w:t>7,823,802.54</w:t>
      </w:r>
      <w:r>
        <w:rPr/>
        <w:t>元。</w:t>
      </w:r>
      <w:r>
        <w:rPr>
          <w:rFonts w:ascii="宋体" w:hAnsi="宋体" w:cs="宋体" w:eastAsia="宋体" w:hint="default"/>
        </w:rPr>
        <w:t> </w:t>
      </w:r>
    </w:p>
    <w:p>
      <w:pPr>
        <w:pStyle w:val="BodyText"/>
        <w:spacing w:line="316" w:lineRule="auto" w:before="19"/>
        <w:ind w:right="287" w:firstLine="360"/>
        <w:jc w:val="both"/>
        <w:rPr>
          <w:rFonts w:ascii="宋体" w:hAnsi="宋体" w:cs="宋体" w:eastAsia="宋体" w:hint="default"/>
        </w:rPr>
      </w:pPr>
      <w:r>
        <w:rPr>
          <w:spacing w:val="-2"/>
        </w:rPr>
        <w:t>本公司</w:t>
      </w:r>
      <w:r>
        <w:rPr>
          <w:rFonts w:ascii="宋体" w:hAnsi="宋体" w:cs="宋体" w:eastAsia="宋体" w:hint="default"/>
          <w:spacing w:val="-2"/>
        </w:rPr>
        <w:t>2013</w:t>
      </w:r>
      <w:r>
        <w:rPr>
          <w:spacing w:val="-2"/>
        </w:rPr>
        <w:t>年</w:t>
      </w:r>
      <w:r>
        <w:rPr>
          <w:rFonts w:ascii="宋体" w:hAnsi="宋体" w:cs="宋体" w:eastAsia="宋体" w:hint="default"/>
          <w:spacing w:val="-2"/>
        </w:rPr>
        <w:t>1</w:t>
      </w:r>
      <w:r>
        <w:rPr>
          <w:spacing w:val="-2"/>
        </w:rPr>
        <w:t>月</w:t>
      </w:r>
      <w:r>
        <w:rPr>
          <w:rFonts w:ascii="宋体" w:hAnsi="宋体" w:cs="宋体" w:eastAsia="宋体" w:hint="default"/>
          <w:spacing w:val="-2"/>
        </w:rPr>
        <w:t>21</w:t>
      </w:r>
      <w:r>
        <w:rPr>
          <w:spacing w:val="-2"/>
        </w:rPr>
        <w:t>日与深圳新阳蓝光能源科技发展有限公司</w:t>
      </w:r>
      <w:r>
        <w:rPr>
          <w:rFonts w:ascii="宋体" w:hAnsi="宋体" w:cs="宋体" w:eastAsia="宋体" w:hint="default"/>
          <w:spacing w:val="-2"/>
        </w:rPr>
        <w:t>(</w:t>
      </w:r>
      <w:r>
        <w:rPr>
          <w:spacing w:val="-2"/>
        </w:rPr>
        <w:t>更名为：深圳新阳蓝光能源科技股份有限公司</w:t>
      </w:r>
      <w:r>
        <w:rPr>
          <w:rFonts w:ascii="宋体" w:hAnsi="宋体" w:cs="宋体" w:eastAsia="宋体" w:hint="default"/>
          <w:spacing w:val="-2"/>
        </w:rPr>
        <w:t>)</w:t>
      </w:r>
      <w:r>
        <w:rPr>
          <w:spacing w:val="-2"/>
        </w:rPr>
        <w:t>签订的</w:t>
      </w:r>
      <w:r>
        <w:rPr>
          <w:rFonts w:ascii="宋体" w:hAnsi="宋体" w:cs="宋体" w:eastAsia="宋体" w:hint="default"/>
          <w:spacing w:val="-2"/>
        </w:rPr>
        <w:t>LED</w:t>
      </w:r>
      <w:r>
        <w:rPr>
          <w:rFonts w:ascii="宋体" w:hAnsi="宋体" w:cs="宋体" w:eastAsia="宋体" w:hint="default"/>
        </w:rPr>
        <w:t> </w:t>
      </w:r>
      <w:r>
        <w:rPr/>
        <w:t>路灯购销合同，合同约定价款为</w:t>
      </w:r>
      <w:r>
        <w:rPr>
          <w:rFonts w:ascii="宋体" w:hAnsi="宋体" w:cs="宋体" w:eastAsia="宋体" w:hint="default"/>
        </w:rPr>
        <w:t>14,411,290.00</w:t>
      </w:r>
      <w:r>
        <w:rPr/>
        <w:t>元，按照六年六期分期收款，</w:t>
      </w:r>
      <w:r>
        <w:rPr>
          <w:rFonts w:ascii="宋体" w:hAnsi="宋体" w:cs="宋体" w:eastAsia="宋体" w:hint="default"/>
        </w:rPr>
        <w:t>2013</w:t>
      </w:r>
      <w:r>
        <w:rPr/>
        <w:t>年确认收入，截止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日该应收 余额</w:t>
      </w:r>
      <w:r>
        <w:rPr>
          <w:rFonts w:ascii="宋体" w:hAnsi="宋体" w:cs="宋体" w:eastAsia="宋体" w:hint="default"/>
        </w:rPr>
        <w:t>10,577,212.73</w:t>
      </w:r>
      <w:r>
        <w:rPr/>
        <w:t>元。</w:t>
      </w:r>
      <w:r>
        <w:rPr>
          <w:rFonts w:ascii="宋体" w:hAnsi="宋体" w:cs="宋体" w:eastAsia="宋体" w:hint="default"/>
        </w:rPr>
        <w:t> </w:t>
      </w:r>
    </w:p>
    <w:p>
      <w:pPr>
        <w:pStyle w:val="BodyText"/>
        <w:spacing w:line="316" w:lineRule="auto" w:before="19"/>
        <w:ind w:right="293" w:firstLine="360"/>
        <w:jc w:val="both"/>
        <w:rPr>
          <w:rFonts w:ascii="宋体" w:hAnsi="宋体" w:cs="宋体" w:eastAsia="宋体" w:hint="default"/>
        </w:rPr>
      </w:pPr>
      <w:r>
        <w:rPr/>
        <w:t>本公司</w:t>
      </w:r>
      <w:r>
        <w:rPr>
          <w:rFonts w:ascii="宋体" w:hAnsi="宋体" w:cs="宋体" w:eastAsia="宋体" w:hint="default"/>
        </w:rPr>
        <w:t>2013</w:t>
      </w:r>
      <w:r>
        <w:rPr/>
        <w:t>年</w:t>
      </w:r>
      <w:r>
        <w:rPr>
          <w:rFonts w:ascii="宋体" w:hAnsi="宋体" w:cs="宋体" w:eastAsia="宋体" w:hint="default"/>
        </w:rPr>
        <w:t>8</w:t>
      </w:r>
      <w:r>
        <w:rPr/>
        <w:t>月</w:t>
      </w:r>
      <w:r>
        <w:rPr>
          <w:rFonts w:ascii="宋体" w:hAnsi="宋体" w:cs="宋体" w:eastAsia="宋体" w:hint="default"/>
        </w:rPr>
        <w:t>15</w:t>
      </w:r>
      <w:r>
        <w:rPr/>
        <w:t>日与肇庆鸿信科技有限公司签订的</w:t>
      </w:r>
      <w:r>
        <w:rPr>
          <w:rFonts w:ascii="宋体" w:hAnsi="宋体" w:cs="宋体" w:eastAsia="宋体" w:hint="default"/>
        </w:rPr>
        <w:t>LED</w:t>
      </w:r>
      <w:r>
        <w:rPr/>
        <w:t>路灯购销合同，合同约定价款为</w:t>
      </w:r>
      <w:r>
        <w:rPr>
          <w:rFonts w:ascii="宋体" w:hAnsi="宋体" w:cs="宋体" w:eastAsia="宋体" w:hint="default"/>
        </w:rPr>
        <w:t>26,522,260.00</w:t>
      </w:r>
      <w:r>
        <w:rPr/>
        <w:t>元，按照六年 六期分期收款，</w:t>
      </w:r>
      <w:r>
        <w:rPr>
          <w:rFonts w:ascii="宋体" w:hAnsi="宋体" w:cs="宋体" w:eastAsia="宋体" w:hint="default"/>
        </w:rPr>
        <w:t>2013</w:t>
      </w:r>
      <w:r>
        <w:rPr/>
        <w:t>年确认收入，截止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日该应收余额</w:t>
      </w:r>
      <w:r>
        <w:rPr>
          <w:rFonts w:ascii="宋体" w:hAnsi="宋体" w:cs="宋体" w:eastAsia="宋体" w:hint="default"/>
        </w:rPr>
        <w:t>8,658,510.54</w:t>
      </w:r>
      <w:r>
        <w:rPr/>
        <w:t>元。</w:t>
      </w:r>
      <w:r>
        <w:rPr>
          <w:rFonts w:ascii="宋体" w:hAnsi="宋体" w:cs="宋体" w:eastAsia="宋体" w:hint="default"/>
        </w:rPr>
        <w:t> </w:t>
      </w:r>
    </w:p>
    <w:p>
      <w:pPr>
        <w:pStyle w:val="BodyText"/>
        <w:spacing w:line="316" w:lineRule="auto" w:before="19"/>
        <w:ind w:right="194" w:firstLine="360"/>
        <w:jc w:val="left"/>
        <w:rPr>
          <w:rFonts w:ascii="宋体" w:hAnsi="宋体" w:cs="宋体" w:eastAsia="宋体" w:hint="default"/>
        </w:rPr>
      </w:pPr>
      <w:r>
        <w:rPr/>
        <w:t>本公司</w:t>
      </w:r>
      <w:r>
        <w:rPr>
          <w:rFonts w:ascii="宋体" w:hAnsi="宋体" w:cs="宋体" w:eastAsia="宋体" w:hint="default"/>
        </w:rPr>
        <w:t>2013</w:t>
      </w:r>
      <w:r>
        <w:rPr/>
        <w:t>年</w:t>
      </w:r>
      <w:r>
        <w:rPr>
          <w:rFonts w:ascii="宋体" w:hAnsi="宋体" w:cs="宋体" w:eastAsia="宋体" w:hint="default"/>
        </w:rPr>
        <w:t>4</w:t>
      </w:r>
      <w:r>
        <w:rPr/>
        <w:t>月</w:t>
      </w:r>
      <w:r>
        <w:rPr>
          <w:rFonts w:ascii="宋体" w:hAnsi="宋体" w:cs="宋体" w:eastAsia="宋体" w:hint="default"/>
        </w:rPr>
        <w:t>20</w:t>
      </w:r>
      <w:r>
        <w:rPr/>
        <w:t>日与神州创宇低碳技术投资</w:t>
      </w:r>
      <w:r>
        <w:rPr>
          <w:rFonts w:ascii="宋体" w:hAnsi="宋体" w:cs="宋体" w:eastAsia="宋体" w:hint="default"/>
        </w:rPr>
        <w:t>(</w:t>
      </w:r>
      <w:r>
        <w:rPr/>
        <w:t>北京</w:t>
      </w:r>
      <w:r>
        <w:rPr>
          <w:rFonts w:ascii="宋体" w:hAnsi="宋体" w:cs="宋体" w:eastAsia="宋体" w:hint="default"/>
        </w:rPr>
        <w:t>)</w:t>
      </w:r>
      <w:r>
        <w:rPr/>
        <w:t>有限公司签订的</w:t>
      </w:r>
      <w:r>
        <w:rPr>
          <w:rFonts w:ascii="宋体" w:hAnsi="宋体" w:cs="宋体" w:eastAsia="宋体" w:hint="default"/>
        </w:rPr>
        <w:t>LED</w:t>
      </w:r>
      <w:r>
        <w:rPr/>
        <w:t>路灯购销合同，合同约定价款为 </w:t>
      </w:r>
      <w:r>
        <w:rPr>
          <w:rFonts w:ascii="宋体" w:hAnsi="宋体" w:cs="宋体" w:eastAsia="宋体" w:hint="default"/>
        </w:rPr>
        <w:t>15,239,250.00</w:t>
      </w:r>
      <w:r>
        <w:rPr/>
        <w:t>元，按照五年按季度分期收款，</w:t>
      </w:r>
      <w:r>
        <w:rPr>
          <w:rFonts w:ascii="宋体" w:hAnsi="宋体" w:cs="宋体" w:eastAsia="宋体" w:hint="default"/>
        </w:rPr>
        <w:t>2013</w:t>
      </w:r>
      <w:r>
        <w:rPr/>
        <w:t>年确认收入，截止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日该应收余额</w:t>
      </w:r>
      <w:r>
        <w:rPr>
          <w:rFonts w:ascii="宋体" w:hAnsi="宋体" w:cs="宋体" w:eastAsia="宋体" w:hint="default"/>
        </w:rPr>
        <w:t>5,799,250.00</w:t>
      </w:r>
      <w:r>
        <w:rPr/>
        <w:t>元。</w:t>
      </w:r>
      <w:r>
        <w:rPr>
          <w:rFonts w:ascii="宋体" w:hAnsi="宋体" w:cs="宋体" w:eastAsia="宋体" w:hint="default"/>
        </w:rPr>
        <w:t> </w:t>
      </w:r>
    </w:p>
    <w:p>
      <w:pPr>
        <w:pStyle w:val="BodyText"/>
        <w:spacing w:line="316" w:lineRule="auto" w:before="19"/>
        <w:ind w:left="513" w:right="103"/>
        <w:jc w:val="left"/>
      </w:pPr>
      <w:r>
        <w:rPr>
          <w:rFonts w:ascii="宋体" w:hAnsi="宋体" w:cs="宋体" w:eastAsia="宋体" w:hint="default"/>
        </w:rPr>
        <w:t>(3)2014</w:t>
      </w:r>
      <w:r>
        <w:rPr/>
        <w:t>年度</w:t>
      </w:r>
      <w:r>
        <w:rPr>
          <w:rFonts w:ascii="宋体" w:hAnsi="宋体" w:cs="宋体" w:eastAsia="宋体" w:hint="default"/>
        </w:rPr>
        <w:t> </w:t>
      </w:r>
      <w:r>
        <w:rPr/>
        <w:t>本公司子公司定州市中标节能技术服务有限公司</w:t>
      </w:r>
      <w:r>
        <w:rPr>
          <w:rFonts w:ascii="宋体" w:hAnsi="宋体" w:cs="宋体" w:eastAsia="宋体" w:hint="default"/>
        </w:rPr>
        <w:t>2014</w:t>
      </w:r>
      <w:r>
        <w:rPr/>
        <w:t>年</w:t>
      </w:r>
      <w:r>
        <w:rPr>
          <w:rFonts w:ascii="宋体" w:hAnsi="宋体" w:cs="宋体" w:eastAsia="宋体" w:hint="default"/>
        </w:rPr>
        <w:t>8</w:t>
      </w:r>
      <w:r>
        <w:rPr/>
        <w:t>月</w:t>
      </w:r>
      <w:r>
        <w:rPr>
          <w:rFonts w:ascii="宋体" w:hAnsi="宋体" w:cs="宋体" w:eastAsia="宋体" w:hint="default"/>
        </w:rPr>
        <w:t>20</w:t>
      </w:r>
      <w:r>
        <w:rPr/>
        <w:t>日与定州住房和城乡建设局签订的节能照明工程建设合同，</w:t>
      </w:r>
    </w:p>
    <w:p>
      <w:pPr>
        <w:pStyle w:val="BodyText"/>
        <w:spacing w:line="319" w:lineRule="auto" w:before="19"/>
        <w:ind w:right="194"/>
        <w:jc w:val="left"/>
        <w:rPr>
          <w:rFonts w:ascii="宋体" w:hAnsi="宋体" w:cs="宋体" w:eastAsia="宋体" w:hint="default"/>
        </w:rPr>
      </w:pPr>
      <w:r>
        <w:rPr>
          <w:spacing w:val="-2"/>
        </w:rPr>
        <w:t>合同金额为</w:t>
      </w:r>
      <w:r>
        <w:rPr>
          <w:rFonts w:ascii="宋体" w:hAnsi="宋体" w:cs="宋体" w:eastAsia="宋体" w:hint="default"/>
          <w:spacing w:val="-2"/>
        </w:rPr>
        <w:t>240,000,000.00</w:t>
      </w:r>
      <w:r>
        <w:rPr>
          <w:spacing w:val="-2"/>
        </w:rPr>
        <w:t>元，</w:t>
      </w:r>
      <w:r>
        <w:rPr>
          <w:rFonts w:ascii="宋体" w:hAnsi="宋体" w:cs="宋体" w:eastAsia="宋体" w:hint="default"/>
          <w:spacing w:val="-2"/>
        </w:rPr>
        <w:t>2014</w:t>
      </w:r>
      <w:r>
        <w:rPr>
          <w:spacing w:val="-2"/>
        </w:rPr>
        <w:t>年竣工验收确认应收</w:t>
      </w:r>
      <w:r>
        <w:rPr>
          <w:rFonts w:ascii="宋体" w:hAnsi="宋体" w:cs="宋体" w:eastAsia="宋体" w:hint="default"/>
          <w:spacing w:val="-2"/>
        </w:rPr>
        <w:t>131,965,714.29</w:t>
      </w:r>
      <w:r>
        <w:rPr>
          <w:spacing w:val="-2"/>
        </w:rPr>
        <w:t>元，在十二年内分期收款，</w:t>
      </w:r>
      <w:r>
        <w:rPr>
          <w:rFonts w:ascii="宋体" w:hAnsi="宋体" w:cs="宋体" w:eastAsia="宋体" w:hint="default"/>
          <w:spacing w:val="-2"/>
        </w:rPr>
        <w:t>2014</w:t>
      </w:r>
      <w:r>
        <w:rPr>
          <w:spacing w:val="-2"/>
        </w:rPr>
        <w:t>年确认本年已完工</w:t>
      </w:r>
      <w:r>
        <w:rPr>
          <w:spacing w:val="-44"/>
        </w:rPr>
        <w:t> </w:t>
      </w:r>
      <w:r>
        <w:rPr>
          <w:spacing w:val="-44"/>
        </w:rPr>
      </w:r>
      <w:r>
        <w:rPr/>
        <w:t>收入，截止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日该应收余额</w:t>
      </w:r>
      <w:r>
        <w:rPr>
          <w:rFonts w:ascii="宋体" w:hAnsi="宋体" w:cs="宋体" w:eastAsia="宋体" w:hint="default"/>
        </w:rPr>
        <w:t>111,965,714.29</w:t>
      </w:r>
      <w:r>
        <w:rPr/>
        <w:t>元。</w:t>
      </w:r>
      <w:r>
        <w:rPr>
          <w:rFonts w:ascii="宋体" w:hAnsi="宋体" w:cs="宋体" w:eastAsia="宋体" w:hint="default"/>
        </w:rPr>
        <w:t> </w:t>
      </w:r>
    </w:p>
    <w:p>
      <w:pPr>
        <w:pStyle w:val="BodyText"/>
        <w:spacing w:line="316" w:lineRule="auto" w:before="17"/>
        <w:ind w:left="513" w:right="283"/>
        <w:jc w:val="left"/>
      </w:pPr>
      <w:r>
        <w:rPr>
          <w:rFonts w:ascii="宋体" w:hAnsi="宋体" w:cs="宋体" w:eastAsia="宋体" w:hint="default"/>
        </w:rPr>
        <w:t>(4)2016</w:t>
      </w:r>
      <w:r>
        <w:rPr/>
        <w:t>年度</w:t>
      </w:r>
      <w:r>
        <w:rPr>
          <w:rFonts w:ascii="宋体" w:hAnsi="宋体" w:cs="宋体" w:eastAsia="宋体" w:hint="default"/>
        </w:rPr>
        <w:t> </w:t>
      </w:r>
      <w:r>
        <w:rPr/>
        <w:t>本公司</w:t>
      </w:r>
      <w:r>
        <w:rPr>
          <w:rFonts w:ascii="宋体" w:hAnsi="宋体" w:cs="宋体" w:eastAsia="宋体" w:hint="default"/>
        </w:rPr>
        <w:t>2016</w:t>
      </w:r>
      <w:r>
        <w:rPr/>
        <w:t>年</w:t>
      </w:r>
      <w:r>
        <w:rPr>
          <w:rFonts w:ascii="宋体" w:hAnsi="宋体" w:cs="宋体" w:eastAsia="宋体" w:hint="default"/>
        </w:rPr>
        <w:t>4</w:t>
      </w:r>
      <w:r>
        <w:rPr/>
        <w:t>月</w:t>
      </w:r>
      <w:r>
        <w:rPr>
          <w:rFonts w:ascii="宋体" w:hAnsi="宋体" w:cs="宋体" w:eastAsia="宋体" w:hint="default"/>
        </w:rPr>
        <w:t>1</w:t>
      </w:r>
      <w:r>
        <w:rPr/>
        <w:t>日与黄平县市政管理局签订的</w:t>
      </w:r>
      <w:r>
        <w:rPr>
          <w:rFonts w:ascii="宋体" w:hAnsi="宋体" w:cs="宋体" w:eastAsia="宋体" w:hint="default"/>
        </w:rPr>
        <w:t>LED</w:t>
      </w:r>
      <w:r>
        <w:rPr/>
        <w:t>路灯购销合同，合同约定价款为</w:t>
      </w:r>
      <w:r>
        <w:rPr>
          <w:rFonts w:ascii="宋体" w:hAnsi="宋体" w:cs="宋体" w:eastAsia="宋体" w:hint="default"/>
        </w:rPr>
        <w:t>309,241,892.92</w:t>
      </w:r>
      <w:r>
        <w:rPr/>
        <w:t>元，按照十年十期</w:t>
      </w:r>
    </w:p>
    <w:p>
      <w:pPr>
        <w:pStyle w:val="BodyText"/>
        <w:spacing w:line="316" w:lineRule="auto" w:before="19"/>
        <w:ind w:left="513" w:right="283" w:hanging="361"/>
        <w:jc w:val="left"/>
      </w:pPr>
      <w:r>
        <w:rPr/>
        <w:t>分期收款，</w:t>
      </w:r>
      <w:r>
        <w:rPr>
          <w:rFonts w:ascii="宋体" w:hAnsi="宋体" w:cs="宋体" w:eastAsia="宋体" w:hint="default"/>
        </w:rPr>
        <w:t>2016</w:t>
      </w:r>
      <w:r>
        <w:rPr/>
        <w:t>年确认收入，截止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日该应收余额</w:t>
      </w:r>
      <w:r>
        <w:rPr>
          <w:rFonts w:ascii="宋体" w:hAnsi="宋体" w:cs="宋体" w:eastAsia="宋体" w:hint="default"/>
        </w:rPr>
        <w:t>307,241,892.92</w:t>
      </w:r>
      <w:r>
        <w:rPr/>
        <w:t>元。</w:t>
      </w:r>
      <w:r>
        <w:rPr>
          <w:rFonts w:ascii="宋体" w:hAnsi="宋体" w:cs="宋体" w:eastAsia="宋体" w:hint="default"/>
        </w:rPr>
        <w:t> </w:t>
      </w:r>
      <w:r>
        <w:rPr/>
        <w:t>本公司</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1</w:t>
      </w:r>
      <w:r>
        <w:rPr/>
        <w:t>日与河南省商丘市经济技术开发区签订的</w:t>
      </w:r>
      <w:r>
        <w:rPr>
          <w:rFonts w:ascii="宋体" w:hAnsi="宋体" w:cs="宋体" w:eastAsia="宋体" w:hint="default"/>
        </w:rPr>
        <w:t>LED</w:t>
      </w:r>
      <w:r>
        <w:rPr/>
        <w:t>路灯购销合同，一标段金额为：</w:t>
      </w:r>
      <w:r>
        <w:rPr>
          <w:rFonts w:ascii="宋体" w:hAnsi="宋体" w:cs="宋体" w:eastAsia="宋体" w:hint="default"/>
        </w:rPr>
        <w:t>6,078,568.02</w:t>
      </w:r>
      <w:r>
        <w:rPr/>
        <w:t>元，二标</w:t>
      </w:r>
    </w:p>
    <w:p>
      <w:pPr>
        <w:pStyle w:val="BodyText"/>
        <w:spacing w:line="316" w:lineRule="auto" w:before="18"/>
        <w:ind w:right="194"/>
        <w:jc w:val="left"/>
        <w:rPr>
          <w:rFonts w:ascii="宋体" w:hAnsi="宋体" w:cs="宋体" w:eastAsia="宋体" w:hint="default"/>
        </w:rPr>
      </w:pPr>
      <w:r>
        <w:rPr>
          <w:spacing w:val="-2"/>
        </w:rPr>
        <w:t>段金额为：</w:t>
      </w:r>
      <w:r>
        <w:rPr>
          <w:rFonts w:ascii="宋体" w:hAnsi="宋体" w:cs="宋体" w:eastAsia="宋体" w:hint="default"/>
          <w:spacing w:val="-2"/>
        </w:rPr>
        <w:t>6,070,419.64</w:t>
      </w:r>
      <w:r>
        <w:rPr>
          <w:spacing w:val="-2"/>
        </w:rPr>
        <w:t>元，合同合计</w:t>
      </w:r>
      <w:r>
        <w:rPr>
          <w:rFonts w:ascii="宋体" w:hAnsi="宋体" w:cs="宋体" w:eastAsia="宋体" w:hint="default"/>
          <w:spacing w:val="-2"/>
        </w:rPr>
        <w:t>12,148,987.66</w:t>
      </w:r>
      <w:r>
        <w:rPr>
          <w:spacing w:val="-2"/>
        </w:rPr>
        <w:t>元，按照三年四期分期收款</w:t>
      </w:r>
      <w:r>
        <w:rPr>
          <w:rFonts w:ascii="宋体" w:hAnsi="宋体" w:cs="宋体" w:eastAsia="宋体" w:hint="default"/>
          <w:spacing w:val="-2"/>
        </w:rPr>
        <w:t>,2016</w:t>
      </w:r>
      <w:r>
        <w:rPr>
          <w:spacing w:val="-2"/>
        </w:rPr>
        <w:t>年确认收入，截止</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日该</w:t>
      </w:r>
      <w:r>
        <w:rPr>
          <w:spacing w:val="-42"/>
        </w:rPr>
        <w:t> </w:t>
      </w:r>
      <w:r>
        <w:rPr/>
        <w:t>应收余额</w:t>
      </w:r>
      <w:r>
        <w:rPr>
          <w:rFonts w:ascii="宋体" w:hAnsi="宋体" w:cs="宋体" w:eastAsia="宋体" w:hint="default"/>
        </w:rPr>
        <w:t>8,498,987.66</w:t>
      </w:r>
      <w:r>
        <w:rPr/>
        <w:t>元。</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5" w:footer="980" w:top="1060" w:bottom="1160" w:left="980" w:right="840"/>
        </w:sectPr>
      </w:pPr>
    </w:p>
    <w:p>
      <w:pPr>
        <w:spacing w:line="240" w:lineRule="auto" w:before="9"/>
        <w:rPr>
          <w:rFonts w:ascii="宋体" w:hAnsi="宋体" w:cs="宋体" w:eastAsia="宋体" w:hint="default"/>
          <w:sz w:val="25"/>
          <w:szCs w:val="25"/>
        </w:rPr>
      </w:pPr>
    </w:p>
    <w:p>
      <w:pPr>
        <w:pStyle w:val="BodyText"/>
        <w:spacing w:line="319" w:lineRule="auto" w:before="44"/>
        <w:ind w:right="504" w:firstLine="360"/>
        <w:jc w:val="left"/>
        <w:rPr>
          <w:rFonts w:ascii="宋体" w:hAnsi="宋体" w:cs="宋体" w:eastAsia="宋体" w:hint="default"/>
        </w:rPr>
      </w:pPr>
      <w:r>
        <w:rPr/>
        <w:t>本公司与湄潭县城镇管理局签订的</w:t>
      </w:r>
      <w:r>
        <w:rPr>
          <w:rFonts w:ascii="宋体" w:hAnsi="宋体" w:cs="宋体" w:eastAsia="宋体" w:hint="default"/>
        </w:rPr>
        <w:t>LED</w:t>
      </w:r>
      <w:r>
        <w:rPr/>
        <w:t>路灯购销合同</w:t>
      </w:r>
      <w:r>
        <w:rPr>
          <w:rFonts w:ascii="宋体" w:hAnsi="宋体" w:cs="宋体" w:eastAsia="宋体" w:hint="default"/>
        </w:rPr>
        <w:t>(</w:t>
      </w:r>
      <w:r>
        <w:rPr/>
        <w:t>湄潭县会展中心和游客按待中心灯饰亮化工程</w:t>
      </w:r>
      <w:r>
        <w:rPr>
          <w:rFonts w:ascii="宋体" w:hAnsi="宋体" w:cs="宋体" w:eastAsia="宋体" w:hint="default"/>
        </w:rPr>
        <w:t>)</w:t>
      </w:r>
      <w:r>
        <w:rPr/>
        <w:t>，合同金额为 </w:t>
      </w:r>
      <w:r>
        <w:rPr>
          <w:rFonts w:ascii="宋体" w:hAnsi="宋体" w:cs="宋体" w:eastAsia="宋体" w:hint="default"/>
        </w:rPr>
        <w:t>4,537,500.00</w:t>
      </w:r>
      <w:r>
        <w:rPr/>
        <w:t>元，按照二年三期分期收款，</w:t>
      </w:r>
      <w:r>
        <w:rPr>
          <w:rFonts w:ascii="宋体" w:hAnsi="宋体" w:cs="宋体" w:eastAsia="宋体" w:hint="default"/>
        </w:rPr>
        <w:t>2016</w:t>
      </w:r>
      <w:r>
        <w:rPr/>
        <w:t>年确认收入，截止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日该应收余额</w:t>
      </w:r>
      <w:r>
        <w:rPr>
          <w:rFonts w:ascii="宋体" w:hAnsi="宋体" w:cs="宋体" w:eastAsia="宋体" w:hint="default"/>
        </w:rPr>
        <w:t>4,537,500.00</w:t>
      </w:r>
      <w:r>
        <w:rPr/>
        <w:t>元。</w:t>
      </w:r>
      <w:r>
        <w:rPr>
          <w:rFonts w:ascii="宋体" w:hAnsi="宋体" w:cs="宋体" w:eastAsia="宋体" w:hint="default"/>
        </w:rPr>
        <w:t> </w:t>
      </w:r>
    </w:p>
    <w:p>
      <w:pPr>
        <w:pStyle w:val="BodyText"/>
        <w:spacing w:line="316" w:lineRule="auto" w:before="17"/>
        <w:ind w:right="152" w:firstLine="360"/>
        <w:jc w:val="both"/>
        <w:rPr>
          <w:rFonts w:ascii="宋体" w:hAnsi="宋体" w:cs="宋体" w:eastAsia="宋体" w:hint="default"/>
        </w:rPr>
      </w:pPr>
      <w:r>
        <w:rPr>
          <w:spacing w:val="-2"/>
        </w:rPr>
        <w:t>本公司与湄潭县城镇管理局签订的</w:t>
      </w:r>
      <w:r>
        <w:rPr>
          <w:rFonts w:ascii="宋体" w:hAnsi="宋体" w:cs="宋体" w:eastAsia="宋体" w:hint="default"/>
          <w:spacing w:val="-2"/>
        </w:rPr>
        <w:t>LED</w:t>
      </w:r>
      <w:r>
        <w:rPr>
          <w:spacing w:val="-2"/>
        </w:rPr>
        <w:t>路灯购销合同</w:t>
      </w:r>
      <w:r>
        <w:rPr>
          <w:rFonts w:ascii="宋体" w:hAnsi="宋体" w:cs="宋体" w:eastAsia="宋体" w:hint="default"/>
          <w:spacing w:val="-2"/>
        </w:rPr>
        <w:t>(</w:t>
      </w:r>
      <w:r>
        <w:rPr>
          <w:spacing w:val="-2"/>
        </w:rPr>
        <w:t>湄潭县大林桥至会展中心、象山桥、老花江桥、及游客接待中心长</w:t>
      </w:r>
      <w:r>
        <w:rPr/>
        <w:t> 廊灯饰亮化工程</w:t>
      </w:r>
      <w:r>
        <w:rPr>
          <w:rFonts w:ascii="宋体" w:hAnsi="宋体" w:cs="宋体" w:eastAsia="宋体" w:hint="default"/>
        </w:rPr>
        <w:t>)</w:t>
      </w:r>
      <w:r>
        <w:rPr/>
        <w:t>，合同金额约为</w:t>
      </w:r>
      <w:r>
        <w:rPr>
          <w:rFonts w:ascii="宋体" w:hAnsi="宋体" w:cs="宋体" w:eastAsia="宋体" w:hint="default"/>
        </w:rPr>
        <w:t>1,511,663.00</w:t>
      </w:r>
      <w:r>
        <w:rPr/>
        <w:t>元，按照二年三期分期收款</w:t>
      </w:r>
      <w:r>
        <w:rPr>
          <w:rFonts w:ascii="宋体" w:hAnsi="宋体" w:cs="宋体" w:eastAsia="宋体" w:hint="default"/>
        </w:rPr>
        <w:t>,</w:t>
      </w:r>
      <w:r>
        <w:rPr>
          <w:rFonts w:ascii="宋体" w:hAnsi="宋体" w:cs="宋体" w:eastAsia="宋体" w:hint="default"/>
          <w:spacing w:val="-9"/>
        </w:rPr>
        <w:t> </w:t>
      </w:r>
      <w:r>
        <w:rPr>
          <w:rFonts w:ascii="宋体" w:hAnsi="宋体" w:cs="宋体" w:eastAsia="宋体" w:hint="default"/>
        </w:rPr>
        <w:t>2016</w:t>
      </w:r>
      <w:r>
        <w:rPr/>
        <w:t>年确认收入，截止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日该应收 余额</w:t>
      </w:r>
      <w:r>
        <w:rPr>
          <w:rFonts w:ascii="宋体" w:hAnsi="宋体" w:cs="宋体" w:eastAsia="宋体" w:hint="default"/>
        </w:rPr>
        <w:t>1,511,663.00</w:t>
      </w:r>
      <w:r>
        <w:rPr/>
        <w:t>元。</w:t>
      </w:r>
      <w:r>
        <w:rPr>
          <w:rFonts w:ascii="宋体" w:hAnsi="宋体" w:cs="宋体" w:eastAsia="宋体" w:hint="default"/>
        </w:rPr>
        <w:t> </w:t>
      </w:r>
    </w:p>
    <w:p>
      <w:pPr>
        <w:pStyle w:val="BodyText"/>
        <w:spacing w:line="316" w:lineRule="auto" w:before="19"/>
        <w:ind w:right="189" w:firstLine="360"/>
        <w:jc w:val="both"/>
        <w:rPr>
          <w:rFonts w:ascii="宋体" w:hAnsi="宋体" w:cs="宋体" w:eastAsia="宋体" w:hint="default"/>
        </w:rPr>
      </w:pPr>
      <w:r>
        <w:rPr>
          <w:spacing w:val="-3"/>
        </w:rPr>
        <w:t>本公司与湄潭县城镇管理局签订的</w:t>
      </w:r>
      <w:r>
        <w:rPr>
          <w:rFonts w:ascii="宋体" w:hAnsi="宋体" w:cs="宋体" w:eastAsia="宋体" w:hint="default"/>
          <w:spacing w:val="-3"/>
        </w:rPr>
        <w:t>LED</w:t>
      </w:r>
      <w:r>
        <w:rPr>
          <w:spacing w:val="-3"/>
        </w:rPr>
        <w:t>路灯购销合同</w:t>
      </w:r>
      <w:r>
        <w:rPr>
          <w:rFonts w:ascii="宋体" w:hAnsi="宋体" w:cs="宋体" w:eastAsia="宋体" w:hint="default"/>
          <w:spacing w:val="-3"/>
        </w:rPr>
        <w:t>(</w:t>
      </w:r>
      <w:r>
        <w:rPr>
          <w:spacing w:val="-3"/>
        </w:rPr>
        <w:t>湄潭县高速路东出口、湄江步道景观亮化工程</w:t>
      </w:r>
      <w:r>
        <w:rPr>
          <w:rFonts w:ascii="宋体" w:hAnsi="宋体" w:cs="宋体" w:eastAsia="宋体" w:hint="default"/>
          <w:spacing w:val="-3"/>
        </w:rPr>
        <w:t>EPC</w:t>
      </w:r>
      <w:r>
        <w:rPr>
          <w:spacing w:val="-3"/>
        </w:rPr>
        <w:t>总承包项目</w:t>
      </w:r>
      <w:r>
        <w:rPr>
          <w:rFonts w:ascii="宋体" w:hAnsi="宋体" w:cs="宋体" w:eastAsia="宋体" w:hint="default"/>
          <w:spacing w:val="-3"/>
        </w:rPr>
        <w:t>)</w:t>
      </w:r>
      <w:r>
        <w:rPr>
          <w:spacing w:val="-3"/>
        </w:rPr>
        <w:t>，合</w:t>
      </w:r>
      <w:r>
        <w:rPr>
          <w:spacing w:val="-41"/>
        </w:rPr>
        <w:t> </w:t>
      </w:r>
      <w:r>
        <w:rPr/>
        <w:t>同金额约为</w:t>
      </w:r>
      <w:r>
        <w:rPr>
          <w:rFonts w:ascii="宋体" w:hAnsi="宋体" w:cs="宋体" w:eastAsia="宋体" w:hint="default"/>
        </w:rPr>
        <w:t>16,000,000.00</w:t>
      </w:r>
      <w:r>
        <w:rPr/>
        <w:t>元，按照三年三期分期收款</w:t>
      </w:r>
      <w:r>
        <w:rPr>
          <w:rFonts w:ascii="宋体" w:hAnsi="宋体" w:cs="宋体" w:eastAsia="宋体" w:hint="default"/>
        </w:rPr>
        <w:t>,</w:t>
      </w:r>
      <w:r>
        <w:rPr>
          <w:rFonts w:ascii="宋体" w:hAnsi="宋体" w:cs="宋体" w:eastAsia="宋体" w:hint="default"/>
          <w:spacing w:val="-7"/>
        </w:rPr>
        <w:t> </w:t>
      </w:r>
      <w:r>
        <w:rPr>
          <w:rFonts w:ascii="宋体" w:hAnsi="宋体" w:cs="宋体" w:eastAsia="宋体" w:hint="default"/>
        </w:rPr>
        <w:t>2016</w:t>
      </w:r>
      <w:r>
        <w:rPr/>
        <w:t>年确认收入，截止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日该应收余额</w:t>
      </w:r>
      <w:r>
        <w:rPr>
          <w:rFonts w:ascii="宋体" w:hAnsi="宋体" w:cs="宋体" w:eastAsia="宋体" w:hint="default"/>
        </w:rPr>
        <w:t>16,000,000.00 </w:t>
      </w:r>
      <w:r>
        <w:rPr/>
        <w:t>元。</w:t>
      </w:r>
      <w:r>
        <w:rPr>
          <w:rFonts w:ascii="宋体" w:hAnsi="宋体" w:cs="宋体" w:eastAsia="宋体" w:hint="default"/>
        </w:rPr>
        <w:t> </w:t>
      </w:r>
    </w:p>
    <w:p>
      <w:pPr>
        <w:pStyle w:val="BodyText"/>
        <w:spacing w:line="316" w:lineRule="auto" w:before="19"/>
        <w:ind w:right="144" w:firstLine="360"/>
        <w:jc w:val="left"/>
        <w:rPr>
          <w:rFonts w:ascii="宋体" w:hAnsi="宋体" w:cs="宋体" w:eastAsia="宋体" w:hint="default"/>
        </w:rPr>
      </w:pPr>
      <w:r>
        <w:rPr/>
        <w:t>本公司与湄潭县城镇管理局签订的</w:t>
      </w:r>
      <w:r>
        <w:rPr>
          <w:rFonts w:ascii="宋体" w:hAnsi="宋体" w:cs="宋体" w:eastAsia="宋体" w:hint="default"/>
        </w:rPr>
        <w:t>LED</w:t>
      </w:r>
      <w:r>
        <w:rPr/>
        <w:t>路灯购销合同</w:t>
      </w:r>
      <w:r>
        <w:rPr>
          <w:rFonts w:ascii="宋体" w:hAnsi="宋体" w:cs="宋体" w:eastAsia="宋体" w:hint="default"/>
        </w:rPr>
        <w:t>(</w:t>
      </w:r>
      <w:r>
        <w:rPr/>
        <w:t>湄潭县城</w:t>
      </w:r>
      <w:r>
        <w:rPr>
          <w:rFonts w:ascii="宋体" w:hAnsi="宋体" w:cs="宋体" w:eastAsia="宋体" w:hint="default"/>
        </w:rPr>
        <w:t>2017</w:t>
      </w:r>
      <w:r>
        <w:rPr/>
        <w:t>年迎春氛围亮化工程</w:t>
      </w:r>
      <w:r>
        <w:rPr>
          <w:rFonts w:ascii="宋体" w:hAnsi="宋体" w:cs="宋体" w:eastAsia="宋体" w:hint="default"/>
        </w:rPr>
        <w:t>)</w:t>
      </w:r>
      <w:r>
        <w:rPr/>
        <w:t>，合同金额约为</w:t>
      </w:r>
      <w:r>
        <w:rPr>
          <w:rFonts w:ascii="宋体" w:hAnsi="宋体" w:cs="宋体" w:eastAsia="宋体" w:hint="default"/>
        </w:rPr>
        <w:t>1,990,000.00 </w:t>
      </w:r>
      <w:r>
        <w:rPr/>
        <w:t>元，按照二年三期分期收款</w:t>
      </w:r>
      <w:r>
        <w:rPr>
          <w:rFonts w:ascii="宋体" w:hAnsi="宋体" w:cs="宋体" w:eastAsia="宋体" w:hint="default"/>
        </w:rPr>
        <w:t>,</w:t>
      </w:r>
      <w:r>
        <w:rPr>
          <w:rFonts w:ascii="宋体" w:hAnsi="宋体" w:cs="宋体" w:eastAsia="宋体" w:hint="default"/>
          <w:spacing w:val="-5"/>
        </w:rPr>
        <w:t> </w:t>
      </w:r>
      <w:r>
        <w:rPr>
          <w:rFonts w:ascii="宋体" w:hAnsi="宋体" w:cs="宋体" w:eastAsia="宋体" w:hint="default"/>
        </w:rPr>
        <w:t>2016</w:t>
      </w:r>
      <w:r>
        <w:rPr/>
        <w:t>年确认收入，截止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日该应收余额</w:t>
      </w:r>
      <w:r>
        <w:rPr>
          <w:rFonts w:ascii="宋体" w:hAnsi="宋体" w:cs="宋体" w:eastAsia="宋体" w:hint="default"/>
        </w:rPr>
        <w:t>1,990,000.00</w:t>
      </w:r>
      <w:r>
        <w:rPr/>
        <w:t>元。</w:t>
      </w:r>
      <w:r>
        <w:rPr>
          <w:rFonts w:ascii="宋体" w:hAnsi="宋体" w:cs="宋体" w:eastAsia="宋体" w:hint="default"/>
        </w:rPr>
        <w:t> </w:t>
      </w:r>
    </w:p>
    <w:p>
      <w:pPr>
        <w:pStyle w:val="BodyText"/>
        <w:spacing w:line="316" w:lineRule="auto" w:before="19"/>
        <w:ind w:right="144" w:firstLine="360"/>
        <w:jc w:val="left"/>
        <w:rPr>
          <w:rFonts w:ascii="宋体" w:hAnsi="宋体" w:cs="宋体" w:eastAsia="宋体" w:hint="default"/>
        </w:rPr>
      </w:pPr>
      <w:r>
        <w:rPr/>
        <w:t>本公司子公司深圳市证通佳明光电有限公司与贵州省季皇房地产开发有限公司签订的贵州</w:t>
      </w:r>
      <w:r>
        <w:rPr>
          <w:rFonts w:ascii="宋体" w:hAnsi="宋体" w:cs="宋体" w:eastAsia="宋体" w:hint="default"/>
        </w:rPr>
        <w:t>(</w:t>
      </w:r>
      <w:r>
        <w:rPr/>
        <w:t>季皇</w:t>
      </w:r>
      <w:r>
        <w:rPr>
          <w:rFonts w:ascii="宋体" w:hAnsi="宋体" w:cs="宋体" w:eastAsia="宋体" w:hint="default"/>
        </w:rPr>
        <w:t>)</w:t>
      </w:r>
      <w:r>
        <w:rPr/>
        <w:t>农产品交易中心路灯 </w:t>
      </w:r>
      <w:r>
        <w:rPr>
          <w:rFonts w:ascii="宋体" w:hAnsi="宋体" w:cs="宋体" w:eastAsia="宋体" w:hint="default"/>
        </w:rPr>
        <w:t>LED</w:t>
      </w:r>
      <w:r>
        <w:rPr/>
        <w:t>功能照明造型灯箱采购合同</w:t>
      </w:r>
      <w:r>
        <w:rPr>
          <w:rFonts w:ascii="宋体" w:hAnsi="宋体" w:cs="宋体" w:eastAsia="宋体" w:hint="default"/>
        </w:rPr>
        <w:t>(</w:t>
      </w:r>
      <w:r>
        <w:rPr/>
        <w:t>贵州季皇农产品交易中心灯饰亮化及智能化工程</w:t>
      </w:r>
      <w:r>
        <w:rPr>
          <w:rFonts w:ascii="宋体" w:hAnsi="宋体" w:cs="宋体" w:eastAsia="宋体" w:hint="default"/>
        </w:rPr>
        <w:t>)</w:t>
      </w:r>
      <w:r>
        <w:rPr/>
        <w:t>，合同含税金额约为</w:t>
      </w:r>
      <w:r>
        <w:rPr>
          <w:rFonts w:ascii="宋体" w:hAnsi="宋体" w:cs="宋体" w:eastAsia="宋体" w:hint="default"/>
        </w:rPr>
        <w:t>4,237,698.74</w:t>
      </w:r>
      <w:r>
        <w:rPr/>
        <w:t>元，按 照三年三期分期收款，以实际结算确认收入</w:t>
      </w:r>
      <w:r>
        <w:rPr>
          <w:rFonts w:ascii="宋体" w:hAnsi="宋体" w:cs="宋体" w:eastAsia="宋体" w:hint="default"/>
        </w:rPr>
        <w:t>2,867,289.25</w:t>
      </w:r>
      <w:r>
        <w:rPr/>
        <w:t>元，截止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日应收余额</w:t>
      </w:r>
      <w:r>
        <w:rPr>
          <w:rFonts w:ascii="宋体" w:hAnsi="宋体" w:cs="宋体" w:eastAsia="宋体" w:hint="default"/>
        </w:rPr>
        <w:t>3,354,728.42</w:t>
      </w:r>
      <w:r>
        <w:rPr/>
        <w:t>元。</w:t>
      </w:r>
      <w:r>
        <w:rPr>
          <w:rFonts w:ascii="宋体" w:hAnsi="宋体" w:cs="宋体" w:eastAsia="宋体" w:hint="default"/>
        </w:rPr>
        <w:t> </w:t>
      </w:r>
    </w:p>
    <w:p>
      <w:pPr>
        <w:pStyle w:val="BodyText"/>
        <w:spacing w:line="316" w:lineRule="auto" w:before="19"/>
        <w:ind w:left="513" w:right="143"/>
        <w:jc w:val="left"/>
      </w:pPr>
      <w:r>
        <w:rPr>
          <w:rFonts w:ascii="宋体" w:hAnsi="宋体" w:cs="宋体" w:eastAsia="宋体" w:hint="default"/>
        </w:rPr>
        <w:t>(5)2017</w:t>
      </w:r>
      <w:r>
        <w:rPr/>
        <w:t>年度</w:t>
      </w:r>
      <w:r>
        <w:rPr>
          <w:rFonts w:ascii="宋体" w:hAnsi="宋体" w:cs="宋体" w:eastAsia="宋体" w:hint="default"/>
        </w:rPr>
        <w:t> </w:t>
      </w:r>
      <w:r>
        <w:rPr/>
        <w:t>本公司与丹寨县市政管理局签订丹寨县县城区建筑立面墙体灯安装协议书，工程审核报告金额为</w:t>
      </w:r>
      <w:r>
        <w:rPr>
          <w:rFonts w:ascii="宋体" w:hAnsi="宋体" w:cs="宋体" w:eastAsia="宋体" w:hint="default"/>
        </w:rPr>
        <w:t>12,840,840.94</w:t>
      </w:r>
      <w:r>
        <w:rPr/>
        <w:t>元，按</w:t>
      </w:r>
    </w:p>
    <w:p>
      <w:pPr>
        <w:pStyle w:val="BodyText"/>
        <w:spacing w:line="316" w:lineRule="auto" w:before="19"/>
        <w:ind w:right="0"/>
        <w:jc w:val="left"/>
        <w:rPr>
          <w:rFonts w:ascii="宋体" w:hAnsi="宋体" w:cs="宋体" w:eastAsia="宋体" w:hint="default"/>
        </w:rPr>
      </w:pPr>
      <w:r>
        <w:rPr/>
        <w:t>项目竣工验收合格当年年底支付项目工程回购款</w:t>
      </w:r>
      <w:r>
        <w:rPr>
          <w:rFonts w:ascii="宋体" w:hAnsi="宋体" w:cs="宋体" w:eastAsia="宋体" w:hint="default"/>
        </w:rPr>
        <w:t>50%</w:t>
      </w:r>
      <w:r>
        <w:rPr/>
        <w:t>；第三年年底支付</w:t>
      </w:r>
      <w:r>
        <w:rPr>
          <w:rFonts w:ascii="宋体" w:hAnsi="宋体" w:cs="宋体" w:eastAsia="宋体" w:hint="default"/>
        </w:rPr>
        <w:t>40%</w:t>
      </w:r>
      <w:r>
        <w:rPr/>
        <w:t>回购款，第五年年底全部付清的方式分期收款</w:t>
      </w:r>
      <w:r>
        <w:rPr>
          <w:rFonts w:ascii="宋体" w:hAnsi="宋体" w:cs="宋体" w:eastAsia="宋体" w:hint="default"/>
        </w:rPr>
        <w:t>, 2017</w:t>
      </w:r>
      <w:r>
        <w:rPr/>
        <w:t>年确认收入，截止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日该应收余额</w:t>
      </w:r>
      <w:r>
        <w:rPr>
          <w:rFonts w:ascii="宋体" w:hAnsi="宋体" w:cs="宋体" w:eastAsia="宋体" w:hint="default"/>
        </w:rPr>
        <w:t>12,840,840.94</w:t>
      </w:r>
      <w:r>
        <w:rPr/>
        <w:t>元。</w:t>
      </w:r>
      <w:r>
        <w:rPr>
          <w:rFonts w:ascii="宋体" w:hAnsi="宋体" w:cs="宋体" w:eastAsia="宋体" w:hint="default"/>
        </w:rPr>
        <w:t> </w:t>
      </w:r>
    </w:p>
    <w:p>
      <w:pPr>
        <w:pStyle w:val="BodyText"/>
        <w:spacing w:line="316" w:lineRule="auto" w:before="19"/>
        <w:ind w:right="0" w:firstLine="360"/>
        <w:jc w:val="left"/>
      </w:pPr>
      <w:r>
        <w:rPr/>
        <w:t>本公司与遵义市播州区石板镇人民政府签订遵义市播州区石板镇景观灯饰亮化工程协议，工程审核报告金额为 </w:t>
      </w:r>
      <w:r>
        <w:rPr>
          <w:rFonts w:ascii="宋体" w:hAnsi="宋体" w:cs="宋体" w:eastAsia="宋体" w:hint="default"/>
          <w:spacing w:val="-2"/>
        </w:rPr>
        <w:t>21,805,483.68</w:t>
      </w:r>
      <w:r>
        <w:rPr>
          <w:spacing w:val="-2"/>
        </w:rPr>
        <w:t>元，按项目竣工验收合格当年支付项目工程回购款</w:t>
      </w:r>
      <w:r>
        <w:rPr>
          <w:rFonts w:ascii="宋体" w:hAnsi="宋体" w:cs="宋体" w:eastAsia="宋体" w:hint="default"/>
          <w:spacing w:val="-2"/>
        </w:rPr>
        <w:t>20%</w:t>
      </w:r>
      <w:r>
        <w:rPr>
          <w:spacing w:val="-2"/>
        </w:rPr>
        <w:t>，以后均在各年度的第一季度以此计算支付工程回购款</w:t>
      </w:r>
    </w:p>
    <w:p>
      <w:pPr>
        <w:pStyle w:val="BodyText"/>
        <w:spacing w:line="316" w:lineRule="auto" w:before="19"/>
        <w:ind w:left="513" w:right="0" w:hanging="361"/>
        <w:jc w:val="left"/>
      </w:pPr>
      <w:r>
        <w:rPr>
          <w:rFonts w:ascii="宋体" w:hAnsi="宋体" w:cs="宋体" w:eastAsia="宋体" w:hint="default"/>
        </w:rPr>
        <w:t>20%</w:t>
      </w:r>
      <w:r>
        <w:rPr/>
        <w:t>，直至全部付清的方式分期收款</w:t>
      </w:r>
      <w:r>
        <w:rPr>
          <w:rFonts w:ascii="宋体" w:hAnsi="宋体" w:cs="宋体" w:eastAsia="宋体" w:hint="default"/>
        </w:rPr>
        <w:t>, 2017</w:t>
      </w:r>
      <w:r>
        <w:rPr/>
        <w:t>年确认收入，截止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日该应收余额</w:t>
      </w:r>
      <w:r>
        <w:rPr>
          <w:rFonts w:ascii="宋体" w:hAnsi="宋体" w:cs="宋体" w:eastAsia="宋体" w:hint="default"/>
        </w:rPr>
        <w:t>21,805,483.68</w:t>
      </w:r>
      <w:r>
        <w:rPr/>
        <w:t>元。</w:t>
      </w:r>
      <w:r>
        <w:rPr>
          <w:rFonts w:ascii="宋体" w:hAnsi="宋体" w:cs="宋体" w:eastAsia="宋体" w:hint="default"/>
        </w:rPr>
        <w:t> </w:t>
      </w:r>
      <w:r>
        <w:rPr>
          <w:spacing w:val="-2"/>
        </w:rPr>
        <w:t>本公司与施秉县城镇建设投资开发有限公司签订施秉县城区亮化一期工程项目投资合作框架协议，工程审核报告金额为</w:t>
      </w:r>
    </w:p>
    <w:p>
      <w:pPr>
        <w:pStyle w:val="BodyText"/>
        <w:spacing w:line="316" w:lineRule="auto" w:before="19"/>
        <w:ind w:right="0"/>
        <w:jc w:val="left"/>
        <w:rPr>
          <w:rFonts w:ascii="宋体" w:hAnsi="宋体" w:cs="宋体" w:eastAsia="宋体" w:hint="default"/>
        </w:rPr>
      </w:pPr>
      <w:r>
        <w:rPr>
          <w:rFonts w:ascii="宋体" w:hAnsi="宋体" w:cs="宋体" w:eastAsia="宋体" w:hint="default"/>
          <w:spacing w:val="-4"/>
        </w:rPr>
        <w:t>27,202,171.06</w:t>
      </w:r>
      <w:r>
        <w:rPr>
          <w:spacing w:val="-4"/>
        </w:rPr>
        <w:t>元，工程结算方式按</w:t>
      </w:r>
      <w:r>
        <w:rPr>
          <w:rFonts w:ascii="宋体" w:hAnsi="宋体" w:cs="宋体" w:eastAsia="宋体" w:hint="default"/>
          <w:spacing w:val="-4"/>
        </w:rPr>
        <w:t>30%</w:t>
      </w:r>
      <w:r>
        <w:rPr>
          <w:spacing w:val="-4"/>
        </w:rPr>
        <w:t>、</w:t>
      </w:r>
      <w:r>
        <w:rPr>
          <w:rFonts w:ascii="宋体" w:hAnsi="宋体" w:cs="宋体" w:eastAsia="宋体" w:hint="default"/>
          <w:spacing w:val="-4"/>
        </w:rPr>
        <w:t>20%</w:t>
      </w:r>
      <w:r>
        <w:rPr>
          <w:spacing w:val="-4"/>
        </w:rPr>
        <w:t>、</w:t>
      </w:r>
      <w:r>
        <w:rPr>
          <w:rFonts w:ascii="宋体" w:hAnsi="宋体" w:cs="宋体" w:eastAsia="宋体" w:hint="default"/>
          <w:spacing w:val="-4"/>
        </w:rPr>
        <w:t>20%</w:t>
      </w:r>
      <w:r>
        <w:rPr>
          <w:spacing w:val="-4"/>
        </w:rPr>
        <w:t>、</w:t>
      </w:r>
      <w:r>
        <w:rPr>
          <w:rFonts w:ascii="宋体" w:hAnsi="宋体" w:cs="宋体" w:eastAsia="宋体" w:hint="default"/>
          <w:spacing w:val="-4"/>
        </w:rPr>
        <w:t>20%</w:t>
      </w:r>
      <w:r>
        <w:rPr>
          <w:spacing w:val="-4"/>
        </w:rPr>
        <w:t>、</w:t>
      </w:r>
      <w:r>
        <w:rPr>
          <w:rFonts w:ascii="宋体" w:hAnsi="宋体" w:cs="宋体" w:eastAsia="宋体" w:hint="default"/>
          <w:spacing w:val="-4"/>
        </w:rPr>
        <w:t>10%</w:t>
      </w:r>
      <w:r>
        <w:rPr>
          <w:spacing w:val="-4"/>
        </w:rPr>
        <w:t>比例五年支付完毕的方式分期收款</w:t>
      </w:r>
      <w:r>
        <w:rPr>
          <w:rFonts w:ascii="宋体" w:hAnsi="宋体" w:cs="宋体" w:eastAsia="宋体" w:hint="default"/>
          <w:spacing w:val="-4"/>
        </w:rPr>
        <w:t>,</w:t>
      </w:r>
      <w:r>
        <w:rPr>
          <w:rFonts w:ascii="宋体" w:hAnsi="宋体" w:cs="宋体" w:eastAsia="宋体" w:hint="default"/>
          <w:spacing w:val="-17"/>
        </w:rPr>
        <w:t> </w:t>
      </w:r>
      <w:r>
        <w:rPr>
          <w:rFonts w:ascii="宋体" w:hAnsi="宋体" w:cs="宋体" w:eastAsia="宋体" w:hint="default"/>
          <w:spacing w:val="-3"/>
        </w:rPr>
        <w:t>2017</w:t>
      </w:r>
      <w:r>
        <w:rPr>
          <w:spacing w:val="-3"/>
        </w:rPr>
        <w:t>年确认收入，截止</w:t>
      </w:r>
      <w:r>
        <w:rPr>
          <w:rFonts w:ascii="宋体" w:hAnsi="宋体" w:cs="宋体" w:eastAsia="宋体" w:hint="default"/>
          <w:spacing w:val="-3"/>
        </w:rPr>
        <w:t>2017</w:t>
      </w:r>
      <w:r>
        <w:rPr>
          <w:rFonts w:ascii="宋体" w:hAnsi="宋体" w:cs="宋体" w:eastAsia="宋体" w:hint="default"/>
          <w:spacing w:val="-75"/>
        </w:rPr>
        <w:t> </w:t>
      </w:r>
      <w:r>
        <w:rPr>
          <w:rFonts w:ascii="宋体" w:hAnsi="宋体" w:cs="宋体" w:eastAsia="宋体" w:hint="default"/>
          <w:spacing w:val="-75"/>
        </w:rPr>
      </w:r>
      <w:r>
        <w:rPr/>
        <w:t>年</w:t>
      </w:r>
      <w:r>
        <w:rPr>
          <w:rFonts w:ascii="宋体" w:hAnsi="宋体" w:cs="宋体" w:eastAsia="宋体" w:hint="default"/>
        </w:rPr>
        <w:t>12</w:t>
      </w:r>
      <w:r>
        <w:rPr/>
        <w:t>月</w:t>
      </w:r>
      <w:r>
        <w:rPr>
          <w:rFonts w:ascii="宋体" w:hAnsi="宋体" w:cs="宋体" w:eastAsia="宋体" w:hint="default"/>
        </w:rPr>
        <w:t>31</w:t>
      </w:r>
      <w:r>
        <w:rPr/>
        <w:t>日该应收余额</w:t>
      </w:r>
      <w:r>
        <w:rPr>
          <w:rFonts w:ascii="宋体" w:hAnsi="宋体" w:cs="宋体" w:eastAsia="宋体" w:hint="default"/>
        </w:rPr>
        <w:t>25,202,171.06</w:t>
      </w:r>
      <w:r>
        <w:rPr/>
        <w:t>元。</w:t>
      </w:r>
      <w:r>
        <w:rPr>
          <w:rFonts w:ascii="宋体" w:hAnsi="宋体" w:cs="宋体" w:eastAsia="宋体" w:hint="default"/>
        </w:rPr>
        <w:t> </w:t>
      </w:r>
    </w:p>
    <w:p>
      <w:pPr>
        <w:pStyle w:val="BodyText"/>
        <w:spacing w:line="319" w:lineRule="auto" w:before="19"/>
        <w:ind w:right="152" w:firstLine="360"/>
        <w:jc w:val="both"/>
        <w:rPr>
          <w:rFonts w:ascii="宋体" w:hAnsi="宋体" w:cs="宋体" w:eastAsia="宋体" w:hint="default"/>
        </w:rPr>
      </w:pPr>
      <w:r>
        <w:rPr>
          <w:spacing w:val="-2"/>
        </w:rPr>
        <w:t>本公司与遵义市播州区新民镇人民政府签订遵义市播州区新民镇景观灯饰亮化工程建设框架协议书，工程审核报告金额</w:t>
      </w:r>
      <w:r>
        <w:rPr/>
        <w:t> </w:t>
      </w:r>
      <w:r>
        <w:rPr>
          <w:spacing w:val="-2"/>
        </w:rPr>
        <w:t>为</w:t>
      </w:r>
      <w:r>
        <w:rPr>
          <w:rFonts w:ascii="宋体" w:hAnsi="宋体" w:cs="宋体" w:eastAsia="宋体" w:hint="default"/>
          <w:spacing w:val="-2"/>
        </w:rPr>
        <w:t>34,640,368.00</w:t>
      </w:r>
      <w:r>
        <w:rPr>
          <w:spacing w:val="-2"/>
        </w:rPr>
        <w:t>元，按项目竣工验收合格当年支付项目工程回购款</w:t>
      </w:r>
      <w:r>
        <w:rPr>
          <w:rFonts w:ascii="宋体" w:hAnsi="宋体" w:cs="宋体" w:eastAsia="宋体" w:hint="default"/>
          <w:spacing w:val="-2"/>
        </w:rPr>
        <w:t>20%</w:t>
      </w:r>
      <w:r>
        <w:rPr>
          <w:spacing w:val="-2"/>
        </w:rPr>
        <w:t>，以后均在各年度的第一季度以此计算支付工程回购</w:t>
      </w:r>
      <w:r>
        <w:rPr>
          <w:spacing w:val="-58"/>
        </w:rPr>
        <w:t> </w:t>
      </w:r>
      <w:r>
        <w:rPr>
          <w:spacing w:val="-58"/>
        </w:rPr>
      </w:r>
      <w:r>
        <w:rPr/>
        <w:t>款</w:t>
      </w:r>
      <w:r>
        <w:rPr>
          <w:rFonts w:ascii="宋体" w:hAnsi="宋体" w:cs="宋体" w:eastAsia="宋体" w:hint="default"/>
        </w:rPr>
        <w:t>20%</w:t>
      </w:r>
      <w:r>
        <w:rPr/>
        <w:t>，直至全部付清的方式分期收款</w:t>
      </w:r>
      <w:r>
        <w:rPr>
          <w:rFonts w:ascii="宋体" w:hAnsi="宋体" w:cs="宋体" w:eastAsia="宋体" w:hint="default"/>
        </w:rPr>
        <w:t>,</w:t>
      </w:r>
      <w:r>
        <w:rPr>
          <w:rFonts w:ascii="宋体" w:hAnsi="宋体" w:cs="宋体" w:eastAsia="宋体" w:hint="default"/>
          <w:spacing w:val="-12"/>
        </w:rPr>
        <w:t> </w:t>
      </w:r>
      <w:r>
        <w:rPr>
          <w:rFonts w:ascii="宋体" w:hAnsi="宋体" w:cs="宋体" w:eastAsia="宋体" w:hint="default"/>
        </w:rPr>
        <w:t>2017</w:t>
      </w:r>
      <w:r>
        <w:rPr/>
        <w:t>年确认收入，截止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日该应收余额</w:t>
      </w:r>
      <w:r>
        <w:rPr>
          <w:rFonts w:ascii="宋体" w:hAnsi="宋体" w:cs="宋体" w:eastAsia="宋体" w:hint="default"/>
        </w:rPr>
        <w:t>34,640,368.00</w:t>
      </w:r>
      <w:r>
        <w:rPr/>
        <w:t>元。</w:t>
      </w:r>
      <w:r>
        <w:rPr>
          <w:rFonts w:ascii="宋体" w:hAnsi="宋体" w:cs="宋体" w:eastAsia="宋体" w:hint="default"/>
        </w:rPr>
        <w:t> </w:t>
      </w:r>
    </w:p>
    <w:p>
      <w:pPr>
        <w:pStyle w:val="BodyText"/>
        <w:spacing w:line="316" w:lineRule="auto" w:before="17"/>
        <w:ind w:right="0" w:firstLine="360"/>
        <w:jc w:val="left"/>
        <w:rPr>
          <w:rFonts w:ascii="宋体" w:hAnsi="宋体" w:cs="宋体" w:eastAsia="宋体" w:hint="default"/>
        </w:rPr>
      </w:pPr>
      <w:r>
        <w:rPr/>
        <w:t>本公司与惠水城投集团城市建设投资发展有限公司签订惠水县城区景观灯饰亮化工程投资合作协议，合同金额约为 </w:t>
      </w:r>
      <w:r>
        <w:rPr>
          <w:rFonts w:ascii="宋体" w:hAnsi="宋体" w:cs="宋体" w:eastAsia="宋体" w:hint="default"/>
          <w:spacing w:val="-1"/>
        </w:rPr>
        <w:t>37,760,000.00</w:t>
      </w:r>
      <w:r>
        <w:rPr>
          <w:spacing w:val="-1"/>
        </w:rPr>
        <w:t>元，按每年支付工程总价的</w:t>
      </w:r>
      <w:r>
        <w:rPr>
          <w:rFonts w:ascii="宋体" w:hAnsi="宋体" w:cs="宋体" w:eastAsia="宋体" w:hint="default"/>
          <w:spacing w:val="-1"/>
        </w:rPr>
        <w:t>20%</w:t>
      </w:r>
      <w:r>
        <w:rPr>
          <w:spacing w:val="-1"/>
        </w:rPr>
        <w:t>，分五年付清的方式分期收款</w:t>
      </w:r>
      <w:r>
        <w:rPr>
          <w:rFonts w:ascii="宋体" w:hAnsi="宋体" w:cs="宋体" w:eastAsia="宋体" w:hint="default"/>
          <w:spacing w:val="-1"/>
        </w:rPr>
        <w:t>,</w:t>
      </w:r>
      <w:r>
        <w:rPr>
          <w:rFonts w:ascii="宋体" w:hAnsi="宋体" w:cs="宋体" w:eastAsia="宋体" w:hint="default"/>
          <w:spacing w:val="-39"/>
        </w:rPr>
        <w:t> </w:t>
      </w:r>
      <w:r>
        <w:rPr>
          <w:rFonts w:ascii="宋体" w:hAnsi="宋体" w:cs="宋体" w:eastAsia="宋体" w:hint="default"/>
          <w:spacing w:val="-1"/>
        </w:rPr>
        <w:t>2017</w:t>
      </w:r>
      <w:r>
        <w:rPr>
          <w:spacing w:val="-1"/>
        </w:rPr>
        <w:t>年确认收入，截止</w:t>
      </w:r>
      <w:r>
        <w:rPr>
          <w:rFonts w:ascii="宋体" w:hAnsi="宋体" w:cs="宋体" w:eastAsia="宋体" w:hint="default"/>
          <w:spacing w:val="-1"/>
        </w:rPr>
        <w:t>2017</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日该应收</w:t>
      </w:r>
      <w:r>
        <w:rPr>
          <w:spacing w:val="-86"/>
        </w:rPr>
        <w:t> </w:t>
      </w:r>
      <w:r>
        <w:rPr>
          <w:spacing w:val="-86"/>
        </w:rPr>
      </w:r>
      <w:r>
        <w:rPr/>
        <w:t>余额</w:t>
      </w:r>
      <w:r>
        <w:rPr>
          <w:rFonts w:ascii="宋体" w:hAnsi="宋体" w:cs="宋体" w:eastAsia="宋体" w:hint="default"/>
        </w:rPr>
        <w:t>37,760,000.00</w:t>
      </w:r>
      <w:r>
        <w:rPr/>
        <w:t>元。</w:t>
      </w:r>
      <w:r>
        <w:rPr>
          <w:rFonts w:ascii="宋体" w:hAnsi="宋体" w:cs="宋体" w:eastAsia="宋体" w:hint="default"/>
        </w:rPr>
        <w:t> </w:t>
      </w:r>
    </w:p>
    <w:p>
      <w:pPr>
        <w:pStyle w:val="BodyText"/>
        <w:spacing w:line="316" w:lineRule="auto" w:before="19"/>
        <w:ind w:right="0" w:firstLine="360"/>
        <w:jc w:val="left"/>
        <w:rPr>
          <w:rFonts w:ascii="宋体" w:hAnsi="宋体" w:cs="宋体" w:eastAsia="宋体" w:hint="default"/>
        </w:rPr>
      </w:pPr>
      <w:r>
        <w:rPr>
          <w:spacing w:val="-2"/>
        </w:rPr>
        <w:t>本公司与义县市政管理处签订义县整城景观灯饰亮化工程项目投资合作框架协议，合同金额约为</w:t>
      </w:r>
      <w:r>
        <w:rPr>
          <w:rFonts w:ascii="宋体" w:hAnsi="宋体" w:cs="宋体" w:eastAsia="宋体" w:hint="default"/>
          <w:spacing w:val="-2"/>
        </w:rPr>
        <w:t>6,667,500.00</w:t>
      </w:r>
      <w:r>
        <w:rPr>
          <w:spacing w:val="-2"/>
        </w:rPr>
        <w:t>元，按项</w:t>
      </w:r>
      <w:r>
        <w:rPr/>
        <w:t> 目验收</w:t>
      </w:r>
      <w:r>
        <w:rPr>
          <w:rFonts w:ascii="宋体" w:hAnsi="宋体" w:cs="宋体" w:eastAsia="宋体" w:hint="default"/>
        </w:rPr>
        <w:t>60</w:t>
      </w:r>
      <w:r>
        <w:rPr/>
        <w:t>天内支付第一笔款，分</w:t>
      </w:r>
      <w:r>
        <w:rPr>
          <w:rFonts w:ascii="宋体" w:hAnsi="宋体" w:cs="宋体" w:eastAsia="宋体" w:hint="default"/>
        </w:rPr>
        <w:t>10</w:t>
      </w:r>
      <w:r>
        <w:rPr/>
        <w:t>年等额支付的方式分期收款</w:t>
      </w:r>
      <w:r>
        <w:rPr>
          <w:rFonts w:ascii="宋体" w:hAnsi="宋体" w:cs="宋体" w:eastAsia="宋体" w:hint="default"/>
        </w:rPr>
        <w:t>, 2017</w:t>
      </w:r>
      <w:r>
        <w:rPr/>
        <w:t>年确认收入，截止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日该应收余额 </w:t>
      </w:r>
      <w:r>
        <w:rPr>
          <w:rFonts w:ascii="宋体" w:hAnsi="宋体" w:cs="宋体" w:eastAsia="宋体" w:hint="default"/>
        </w:rPr>
        <w:t>6,667,500.00</w:t>
      </w:r>
      <w:r>
        <w:rPr/>
        <w:t>元。</w:t>
      </w:r>
      <w:r>
        <w:rPr>
          <w:rFonts w:ascii="宋体" w:hAnsi="宋体" w:cs="宋体" w:eastAsia="宋体" w:hint="default"/>
        </w:rPr>
        <w:t> </w:t>
      </w:r>
    </w:p>
    <w:p>
      <w:pPr>
        <w:pStyle w:val="BodyText"/>
        <w:spacing w:line="316" w:lineRule="auto" w:before="19"/>
        <w:ind w:right="144" w:firstLine="360"/>
        <w:jc w:val="left"/>
        <w:rPr>
          <w:rFonts w:ascii="宋体" w:hAnsi="宋体" w:cs="宋体" w:eastAsia="宋体" w:hint="default"/>
        </w:rPr>
      </w:pPr>
      <w:r>
        <w:rPr/>
        <w:t>本公司与铜川市耀州区诚基开发投资有限公司签订铜川市耀州区智慧城市建设项目</w:t>
      </w:r>
      <w:r>
        <w:rPr>
          <w:rFonts w:ascii="宋体" w:hAnsi="宋体" w:cs="宋体" w:eastAsia="宋体" w:hint="default"/>
        </w:rPr>
        <w:t>(</w:t>
      </w:r>
      <w:r>
        <w:rPr/>
        <w:t>第一期</w:t>
      </w:r>
      <w:r>
        <w:rPr>
          <w:rFonts w:ascii="宋体" w:hAnsi="宋体" w:cs="宋体" w:eastAsia="宋体" w:hint="default"/>
        </w:rPr>
        <w:t>)</w:t>
      </w:r>
      <w:r>
        <w:rPr/>
        <w:t>，工程审核报告金额为 </w:t>
      </w:r>
      <w:r>
        <w:rPr>
          <w:rFonts w:ascii="宋体" w:hAnsi="宋体" w:cs="宋体" w:eastAsia="宋体" w:hint="default"/>
        </w:rPr>
        <w:t>161,759,540.00</w:t>
      </w:r>
      <w:r>
        <w:rPr/>
        <w:t>元，按项目竣工验收合格当年支付项目工程回购款</w:t>
      </w:r>
      <w:r>
        <w:rPr>
          <w:rFonts w:ascii="宋体" w:hAnsi="宋体" w:cs="宋体" w:eastAsia="宋体" w:hint="default"/>
        </w:rPr>
        <w:t>20%</w:t>
      </w:r>
      <w:r>
        <w:rPr/>
        <w:t>，以后均在各年度的第一季度以此计算支付工程回购 款</w:t>
      </w:r>
      <w:r>
        <w:rPr>
          <w:rFonts w:ascii="宋体" w:hAnsi="宋体" w:cs="宋体" w:eastAsia="宋体" w:hint="default"/>
        </w:rPr>
        <w:t>20%</w:t>
      </w:r>
      <w:r>
        <w:rPr/>
        <w:t>，直至全部付清的方式分期收款</w:t>
      </w:r>
      <w:r>
        <w:rPr>
          <w:rFonts w:ascii="宋体" w:hAnsi="宋体" w:cs="宋体" w:eastAsia="宋体" w:hint="default"/>
        </w:rPr>
        <w:t>,</w:t>
      </w:r>
      <w:r>
        <w:rPr>
          <w:rFonts w:ascii="宋体" w:hAnsi="宋体" w:cs="宋体" w:eastAsia="宋体" w:hint="default"/>
          <w:spacing w:val="-10"/>
        </w:rPr>
        <w:t> </w:t>
      </w:r>
      <w:r>
        <w:rPr>
          <w:rFonts w:ascii="宋体" w:hAnsi="宋体" w:cs="宋体" w:eastAsia="宋体" w:hint="default"/>
        </w:rPr>
        <w:t>2017</w:t>
      </w:r>
      <w:r>
        <w:rPr/>
        <w:t>年确认收入，截止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日该应收余额</w:t>
      </w:r>
      <w:r>
        <w:rPr>
          <w:rFonts w:ascii="宋体" w:hAnsi="宋体" w:cs="宋体" w:eastAsia="宋体" w:hint="default"/>
        </w:rPr>
        <w:t>161,759,540.00</w:t>
      </w:r>
      <w:r>
        <w:rPr/>
        <w:t>元。</w:t>
      </w:r>
      <w:r>
        <w:rPr>
          <w:rFonts w:ascii="宋体" w:hAnsi="宋体" w:cs="宋体" w:eastAsia="宋体" w:hint="default"/>
        </w:rPr>
        <w:t> </w:t>
      </w:r>
    </w:p>
    <w:p>
      <w:pPr>
        <w:pStyle w:val="BodyText"/>
        <w:spacing w:line="319" w:lineRule="auto" w:before="19"/>
        <w:ind w:right="151" w:firstLine="360"/>
        <w:jc w:val="both"/>
        <w:rPr>
          <w:rFonts w:ascii="宋体" w:hAnsi="宋体" w:cs="宋体" w:eastAsia="宋体" w:hint="default"/>
        </w:rPr>
      </w:pPr>
      <w:r>
        <w:rPr/>
        <w:t>本公司子公司深圳市证通佳明光电有限公司与阿拉善盟高宇建工有限公司签订的</w:t>
      </w:r>
      <w:r>
        <w:rPr>
          <w:rFonts w:ascii="宋体" w:hAnsi="宋体" w:cs="宋体" w:eastAsia="宋体" w:hint="default"/>
        </w:rPr>
        <w:t>LED</w:t>
      </w:r>
      <w:r>
        <w:rPr/>
        <w:t>路灯销售合同，合同含税金额约为 </w:t>
      </w:r>
      <w:r>
        <w:rPr>
          <w:rFonts w:ascii="宋体" w:hAnsi="宋体" w:cs="宋体" w:eastAsia="宋体" w:hint="default"/>
          <w:spacing w:val="-2"/>
        </w:rPr>
        <w:t>79,000,000.00</w:t>
      </w:r>
      <w:r>
        <w:rPr>
          <w:spacing w:val="-2"/>
        </w:rPr>
        <w:t>元，按照货物完成验收</w:t>
      </w:r>
      <w:r>
        <w:rPr>
          <w:rFonts w:ascii="宋体" w:hAnsi="宋体" w:cs="宋体" w:eastAsia="宋体" w:hint="default"/>
          <w:spacing w:val="-2"/>
        </w:rPr>
        <w:t>12</w:t>
      </w:r>
      <w:r>
        <w:rPr>
          <w:spacing w:val="-2"/>
        </w:rPr>
        <w:t>个月后支付</w:t>
      </w:r>
      <w:r>
        <w:rPr>
          <w:rFonts w:ascii="宋体" w:hAnsi="宋体" w:cs="宋体" w:eastAsia="宋体" w:hint="default"/>
          <w:spacing w:val="-2"/>
        </w:rPr>
        <w:t>25%</w:t>
      </w:r>
      <w:r>
        <w:rPr>
          <w:spacing w:val="-2"/>
        </w:rPr>
        <w:t>货款，货物完成验收</w:t>
      </w:r>
      <w:r>
        <w:rPr>
          <w:rFonts w:ascii="宋体" w:hAnsi="宋体" w:cs="宋体" w:eastAsia="宋体" w:hint="default"/>
          <w:spacing w:val="-2"/>
        </w:rPr>
        <w:t>24</w:t>
      </w:r>
      <w:r>
        <w:rPr>
          <w:spacing w:val="-2"/>
        </w:rPr>
        <w:t>个月后支付全部货款</w:t>
      </w:r>
      <w:r>
        <w:rPr>
          <w:rFonts w:ascii="宋体" w:hAnsi="宋体" w:cs="宋体" w:eastAsia="宋体" w:hint="default"/>
          <w:spacing w:val="-2"/>
        </w:rPr>
        <w:t>70%</w:t>
      </w:r>
      <w:r>
        <w:rPr>
          <w:spacing w:val="-2"/>
        </w:rPr>
        <w:t>；预留合同</w:t>
      </w:r>
      <w:r>
        <w:rPr>
          <w:spacing w:val="25"/>
        </w:rPr>
        <w:t> </w:t>
      </w:r>
      <w:r>
        <w:rPr>
          <w:rFonts w:ascii="宋体" w:hAnsi="宋体" w:cs="宋体" w:eastAsia="宋体" w:hint="default"/>
          <w:spacing w:val="25"/>
        </w:rPr>
      </w:r>
      <w:r>
        <w:rPr>
          <w:rFonts w:ascii="宋体" w:hAnsi="宋体" w:cs="宋体" w:eastAsia="宋体" w:hint="default"/>
          <w:spacing w:val="-1"/>
        </w:rPr>
        <w:t>5%</w:t>
      </w:r>
      <w:r>
        <w:rPr>
          <w:spacing w:val="-1"/>
        </w:rPr>
        <w:t>作为质</w:t>
      </w:r>
      <w:r>
        <w:rPr>
          <w:spacing w:val="-84"/>
        </w:rPr>
        <w:t> </w:t>
      </w:r>
      <w:r>
        <w:rPr>
          <w:spacing w:val="-84"/>
        </w:rPr>
      </w:r>
      <w:r>
        <w:rPr/>
        <w:t>保金，质保金在二年质保期满后全部付清，截止</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日应收余额</w:t>
      </w:r>
      <w:r>
        <w:rPr>
          <w:rFonts w:ascii="宋体" w:hAnsi="宋体" w:cs="宋体" w:eastAsia="宋体" w:hint="default"/>
        </w:rPr>
        <w:t>79,000,000.00</w:t>
      </w:r>
      <w:r>
        <w:rPr/>
        <w:t>元。</w:t>
      </w:r>
      <w:r>
        <w:rPr>
          <w:rFonts w:ascii="宋体" w:hAnsi="宋体" w:cs="宋体" w:eastAsia="宋体" w:hint="default"/>
        </w:rPr>
        <w:t> </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401"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权益法下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其他综合</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其他权益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宣告发放</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33" w:right="0"/>
              <w:jc w:val="left"/>
              <w:rPr>
                <w:rFonts w:ascii="宋体" w:hAnsi="宋体" w:cs="宋体" w:eastAsia="宋体" w:hint="default"/>
                <w:sz w:val="18"/>
                <w:szCs w:val="18"/>
              </w:rPr>
            </w:pPr>
            <w:r>
              <w:rPr>
                <w:rFonts w:ascii="宋体" w:hAnsi="宋体" w:cs="宋体" w:eastAsia="宋体" w:hint="default"/>
                <w:sz w:val="18"/>
                <w:szCs w:val="18"/>
              </w:rPr>
              <w:t>计提减值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67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24" w:right="35" w:hanging="92"/>
              <w:jc w:val="left"/>
              <w:rPr>
                <w:rFonts w:ascii="宋体" w:hAnsi="宋体" w:cs="宋体" w:eastAsia="宋体" w:hint="default"/>
                <w:sz w:val="18"/>
                <w:szCs w:val="18"/>
              </w:rPr>
            </w:pPr>
            <w:r>
              <w:rPr>
                <w:rFonts w:ascii="宋体" w:hAnsi="宋体" w:cs="宋体" w:eastAsia="宋体" w:hint="default"/>
                <w:sz w:val="18"/>
                <w:szCs w:val="18"/>
              </w:rPr>
              <w:t>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3" w:right="0"/>
              <w:jc w:val="left"/>
              <w:rPr>
                <w:rFonts w:ascii="宋体" w:hAnsi="宋体" w:cs="宋体" w:eastAsia="宋体" w:hint="default"/>
                <w:sz w:val="18"/>
                <w:szCs w:val="18"/>
              </w:rPr>
            </w:pPr>
            <w:r>
              <w:rPr>
                <w:rFonts w:ascii="宋体" w:hAnsi="宋体" w:cs="宋体" w:eastAsia="宋体" w:hint="default"/>
                <w:sz w:val="18"/>
                <w:szCs w:val="18"/>
              </w:rPr>
              <w:t>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24" w:right="31" w:hanging="92"/>
              <w:jc w:val="left"/>
              <w:rPr>
                <w:rFonts w:ascii="宋体" w:hAnsi="宋体" w:cs="宋体" w:eastAsia="宋体" w:hint="default"/>
                <w:sz w:val="18"/>
                <w:szCs w:val="18"/>
              </w:rPr>
            </w:pPr>
            <w:r>
              <w:rPr>
                <w:rFonts w:ascii="宋体" w:hAnsi="宋体" w:cs="宋体" w:eastAsia="宋体" w:hint="default"/>
                <w:sz w:val="18"/>
                <w:szCs w:val="18"/>
              </w:rPr>
              <w:t>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3"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3"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1"/>
              <w:jc w:val="both"/>
              <w:rPr>
                <w:rFonts w:ascii="宋体" w:hAnsi="宋体" w:cs="宋体" w:eastAsia="宋体" w:hint="default"/>
                <w:sz w:val="18"/>
                <w:szCs w:val="18"/>
              </w:rPr>
            </w:pPr>
            <w:r>
              <w:rPr>
                <w:rFonts w:ascii="宋体" w:hAnsi="宋体" w:cs="宋体" w:eastAsia="宋体" w:hint="default"/>
                <w:sz w:val="18"/>
                <w:szCs w:val="18"/>
              </w:rPr>
              <w:t>深圳市通 新源物业 管理有限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25,209,45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-548,389.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24,661,07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25,209,45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-548,389.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24,661,07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25,209,45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-548,389.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24,661,07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0.83</w:t>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12</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55,602,277.60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55,602,277.60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43"/>
                <w:sz w:val="18"/>
                <w:szCs w:val="18"/>
              </w:rPr>
              <w:t> </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55,602,277.60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55,602,277.60</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10,242,953.88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10,242,953.88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1,367,404.96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1,367,404.96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1,367,404.96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1,367,404.96</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11,610,358.84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11,610,358.84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43,991,918.76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43,991,918.76</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45,359,323.72</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45,359,323.72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pict>
          <v:group style="position:absolute;margin-left:116.779999pt;margin-top:39.417717pt;width:58.1pt;height:20.7pt;mso-position-horizontal-relative:page;mso-position-vertical-relative:paragraph;z-index:-1152376" coordorigin="2336,788" coordsize="1162,414">
            <v:group style="position:absolute;left:2346;top:799;width:2;height:392" coordorigin="2346,799" coordsize="2,392">
              <v:shape style="position:absolute;left:2346;top:799;width:2;height:392" coordorigin="2346,799" coordsize="0,392" path="m2346,799l2346,1191e" filled="false" stroked="true" strokeweight="1.08pt" strokecolor="#ffffff">
                <v:path arrowok="t"/>
              </v:shape>
            </v:group>
            <v:group style="position:absolute;left:2357;top:799;width:1140;height:392" coordorigin="2357,799" coordsize="1140,392">
              <v:shape style="position:absolute;left:2357;top:799;width:1140;height:392" coordorigin="2357,799" coordsize="1140,392" path="m2357,1191l3497,1191,3497,799,2357,799,2357,1191xe" filled="true" fillcolor="#ffffff" stroked="false">
                <v:path arrowok="t"/>
                <v:fill type="solid"/>
              </v:shape>
            </v:group>
            <w10:wrap type="none"/>
          </v:group>
        </w:pict>
      </w: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402" w:hRule="exact"/>
        </w:trPr>
        <w:tc>
          <w:tcPr>
            <w:tcW w:w="1194" w:type="dxa"/>
            <w:tcBorders>
              <w:top w:val="single" w:sz="4" w:space="0" w:color="000000"/>
              <w:left w:val="single" w:sz="4" w:space="0" w:color="000000"/>
              <w:bottom w:val="single" w:sz="4" w:space="0" w:color="000000"/>
              <w:right w:val="single" w:sz="13" w:space="0" w:color="E0FFFF"/>
            </w:tcBorders>
            <w:shd w:val="clear" w:color="auto" w:fill="D2D2D2"/>
          </w:tcPr>
          <w:p>
            <w:pPr>
              <w:pStyle w:val="TableParagraph"/>
              <w:spacing w:line="240" w:lineRule="auto" w:before="50"/>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机器设备</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专用设备</w:t>
            </w:r>
          </w:p>
        </w:tc>
        <w:tc>
          <w:tcPr>
            <w:tcW w:w="11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模具</w:t>
            </w:r>
          </w:p>
        </w:tc>
        <w:tc>
          <w:tcPr>
            <w:tcW w:w="1195"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198" w:type="dxa"/>
            <w:tcBorders>
              <w:top w:val="single" w:sz="4" w:space="0" w:color="000000"/>
              <w:left w:val="single" w:sz="10" w:space="0" w:color="E0FFFF"/>
              <w:bottom w:val="single" w:sz="4" w:space="0" w:color="000000"/>
              <w:right w:val="single" w:sz="4" w:space="0" w:color="000000"/>
            </w:tcBorders>
            <w:shd w:val="clear" w:color="auto" w:fill="D2D2D2"/>
          </w:tcPr>
          <w:p>
            <w:pPr>
              <w:pStyle w:val="TableParagraph"/>
              <w:spacing w:line="240" w:lineRule="auto" w:before="50"/>
              <w:ind w:right="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一、账面原值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425,375,710.13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85,895,301.68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361,335,659.18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23,258,051.50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7,983,155.19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42,905,841.01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946,753,718.69</w:t>
            </w: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31,883,034.29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center"/>
              <w:rPr>
                <w:rFonts w:ascii="Times New Roman" w:hAnsi="Times New Roman" w:cs="Times New Roman" w:eastAsia="Times New Roman" w:hint="default"/>
                <w:sz w:val="18"/>
                <w:szCs w:val="18"/>
              </w:rPr>
            </w:pPr>
            <w:r>
              <w:rPr>
                <w:rFonts w:ascii="Times New Roman"/>
                <w:sz w:val="18"/>
              </w:rPr>
              <w:t>55,395,359.95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20,246,758.78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2,422,444.05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212,725.79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9,168,674.24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119,328,997.10</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）购置</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7" w:right="0"/>
              <w:jc w:val="center"/>
              <w:rPr>
                <w:rFonts w:ascii="Times New Roman" w:hAnsi="Times New Roman" w:cs="Times New Roman" w:eastAsia="Times New Roman" w:hint="default"/>
                <w:sz w:val="18"/>
                <w:szCs w:val="18"/>
              </w:rPr>
            </w:pPr>
            <w:r>
              <w:rPr>
                <w:rFonts w:ascii="Times New Roman"/>
                <w:sz w:val="18"/>
              </w:rPr>
              <w:t>31,921,433.28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7,699,109.14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2,422,444.05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212,725.79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9,168,674.24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51,424,386.50</w:t>
            </w: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31,883,034.29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23,473,926.67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12,547,649.64</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67,904,610.60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196"/>
        <w:gridCol w:w="1198"/>
        <w:gridCol w:w="1196"/>
        <w:gridCol w:w="1195"/>
        <w:gridCol w:w="1198"/>
        <w:gridCol w:w="1195"/>
        <w:gridCol w:w="1196"/>
        <w:gridCol w:w="1198"/>
      </w:tblGrid>
      <w:tr>
        <w:trPr>
          <w:trHeight w:val="36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工程转入</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w:t>
            </w:r>
            <w:r>
              <w:rPr>
                <w:rFonts w:ascii="宋体" w:hAnsi="宋体" w:cs="宋体" w:eastAsia="宋体" w:hint="default"/>
                <w:sz w:val="18"/>
                <w:szCs w:val="18"/>
              </w:rPr>
              <w:t> 合并增加</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3,127,424.11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312,328.27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378,847.37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3,818,599.75</w:t>
            </w: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3,127,424.11</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312,328.27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378,847.37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3,818,599.75</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457,258,744.42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138,163,237.52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381,582,417.96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25,680,495.55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7,883,552.71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51,695,667.88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1,062,264,116.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04</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32,598,228.33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36,099,768.98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32,859,389.59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13,591,322.27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5,338,484.61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19,118,425.48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139,605,619.26</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17,564,325.01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9,217,370.98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36,051,519.07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2,957,109.80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523,416.99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8,579,126.45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74,892,868.30</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17,564,325.01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9,217,370.98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36,051,519.07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2,957,109.80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523,416.99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8,579,126.45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74,892,868.30</w:t>
            </w: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2,971,052.90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284,349.47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205,675.07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3,461,077.44</w:t>
            </w: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2,971,052.90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284,349.47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205,675.07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3,461,077.44</w:t>
            </w:r>
          </w:p>
        </w:tc>
      </w:tr>
      <w:tr>
        <w:trPr>
          <w:trHeight w:val="404"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50,162,553.34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42,346,087.06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68,910,908.66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16,548,432.07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5,577,552.13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27,491,876.86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211,037,410.12</w:t>
            </w: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）计提</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4"/>
                <w:sz w:val="18"/>
                <w:szCs w:val="18"/>
              </w:rPr>
              <w:t> </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r>
              <w:rPr>
                <w:rFonts w:ascii="宋体" w:hAnsi="宋体" w:cs="宋体" w:eastAsia="宋体" w:hint="default"/>
                <w:sz w:val="18"/>
                <w:szCs w:val="18"/>
              </w:rPr>
              <w:t> 或报废</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407,096,191.08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95,817,150.46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312,671,509.30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9,132,063.48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2,306,000.58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24,203,791.02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851,226,705.92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6"/>
        <w:gridCol w:w="1198"/>
      </w:tblGrid>
      <w:tr>
        <w:trPr>
          <w:trHeight w:val="362"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122"/>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392,777,481.80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49,795,532.70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328,476,269.59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9,666,729.23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8" w:right="0"/>
              <w:jc w:val="left"/>
              <w:rPr>
                <w:rFonts w:ascii="Times New Roman" w:hAnsi="Times New Roman" w:cs="Times New Roman" w:eastAsia="Times New Roman" w:hint="default"/>
                <w:sz w:val="18"/>
                <w:szCs w:val="18"/>
              </w:rPr>
            </w:pPr>
            <w:r>
              <w:rPr>
                <w:rFonts w:ascii="Times New Roman"/>
                <w:sz w:val="18"/>
              </w:rPr>
              <w:t>2,644,670.58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23,787,415.53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807,148,099.43</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新疆房产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单元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号房</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708,779.22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正在办理</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708,779.22</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pStyle w:val="BodyText"/>
        <w:spacing w:line="240" w:lineRule="auto" w:before="117"/>
        <w:ind w:right="0"/>
        <w:jc w:val="left"/>
      </w:pPr>
      <w:r>
        <w:rPr>
          <w:rFonts w:ascii="Times New Roman" w:hAnsi="Times New Roman" w:cs="Times New Roman" w:eastAsia="Times New Roman" w:hint="default"/>
        </w:rPr>
        <w:t>1</w:t>
      </w:r>
      <w:r>
        <w:rPr/>
        <w:t>、年末用于抵押的固定资产价值为</w:t>
      </w:r>
      <w:r>
        <w:rPr>
          <w:rFonts w:ascii="Times New Roman" w:hAnsi="Times New Roman" w:cs="Times New Roman" w:eastAsia="Times New Roman" w:hint="default"/>
        </w:rPr>
        <w:t>123,450,887.46</w:t>
      </w:r>
      <w:r>
        <w:rPr/>
        <w:t>元。</w:t>
      </w:r>
    </w:p>
    <w:p>
      <w:pPr>
        <w:pStyle w:val="BodyText"/>
        <w:spacing w:line="300" w:lineRule="auto" w:before="63"/>
        <w:ind w:right="0"/>
        <w:jc w:val="left"/>
      </w:pPr>
      <w:r>
        <w:rPr>
          <w:rFonts w:ascii="Times New Roman" w:hAnsi="Times New Roman" w:cs="Times New Roman" w:eastAsia="Times New Roman" w:hint="default"/>
          <w:spacing w:val="-2"/>
        </w:rPr>
        <w:t>2</w:t>
      </w:r>
      <w:r>
        <w:rPr>
          <w:spacing w:val="-2"/>
        </w:rPr>
        <w:t>、本期已提足折旧仍继续使用的固定资产原值</w:t>
      </w:r>
      <w:r>
        <w:rPr>
          <w:rFonts w:ascii="Times New Roman" w:hAnsi="Times New Roman" w:cs="Times New Roman" w:eastAsia="Times New Roman" w:hint="default"/>
          <w:spacing w:val="-2"/>
        </w:rPr>
        <w:t>58,495,749.81</w:t>
      </w:r>
      <w:r>
        <w:rPr>
          <w:spacing w:val="-2"/>
        </w:rPr>
        <w:t>元。本年计提的折旧额</w:t>
      </w:r>
      <w:r>
        <w:rPr>
          <w:rFonts w:ascii="Times New Roman" w:hAnsi="Times New Roman" w:cs="Times New Roman" w:eastAsia="Times New Roman" w:hint="default"/>
          <w:spacing w:val="-2"/>
        </w:rPr>
        <w:t>74,892,868.30</w:t>
      </w:r>
      <w:r>
        <w:rPr>
          <w:spacing w:val="-2"/>
        </w:rPr>
        <w:t>元，本年由在建工程转入的</w:t>
      </w:r>
      <w:r>
        <w:rPr>
          <w:spacing w:val="-47"/>
        </w:rPr>
        <w:t> </w:t>
      </w:r>
      <w:r>
        <w:rPr>
          <w:spacing w:val="-47"/>
        </w:rPr>
      </w:r>
      <w:r>
        <w:rPr/>
        <w:t>固定资产</w:t>
      </w:r>
      <w:r>
        <w:rPr>
          <w:rFonts w:ascii="Times New Roman" w:hAnsi="Times New Roman" w:cs="Times New Roman" w:eastAsia="Times New Roman" w:hint="default"/>
        </w:rPr>
        <w:t>67,904,610.60</w:t>
      </w:r>
      <w:r>
        <w:rPr/>
        <w:t>元。</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14</w:t>
      </w:r>
      <w:r>
        <w:rPr/>
        <w:t>、在建工程</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34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年产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万台惠 农通农村电子商 务专用终端产能 建设项目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9,002,026.66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9,002,026.66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10,548,611.97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10,548,611.97</w:t>
            </w:r>
          </w:p>
        </w:tc>
      </w:tr>
      <w:tr>
        <w:trPr>
          <w:trHeight w:val="196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17"/>
              <w:jc w:val="left"/>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万台符合 中国人民银行 </w:t>
            </w:r>
            <w:r>
              <w:rPr>
                <w:rFonts w:ascii="Times New Roman" w:hAnsi="Times New Roman" w:cs="Times New Roman" w:eastAsia="Times New Roman" w:hint="default"/>
                <w:sz w:val="18"/>
                <w:szCs w:val="18"/>
              </w:rPr>
              <w:t>PBOC2.0 </w:t>
            </w:r>
            <w:r>
              <w:rPr>
                <w:rFonts w:ascii="宋体" w:hAnsi="宋体" w:cs="宋体" w:eastAsia="宋体" w:hint="default"/>
                <w:sz w:val="18"/>
                <w:szCs w:val="18"/>
              </w:rPr>
              <w:t>新标准</w:t>
            </w:r>
            <w:r>
              <w:rPr>
                <w:rFonts w:ascii="宋体" w:hAnsi="宋体" w:cs="宋体" w:eastAsia="宋体" w:hint="default"/>
                <w:w w:val="99"/>
                <w:sz w:val="18"/>
                <w:szCs w:val="18"/>
              </w:rPr>
              <w:t> </w:t>
            </w:r>
            <w:r>
              <w:rPr>
                <w:rFonts w:ascii="宋体" w:hAnsi="宋体" w:cs="宋体" w:eastAsia="宋体" w:hint="default"/>
                <w:sz w:val="18"/>
                <w:szCs w:val="18"/>
              </w:rPr>
              <w:t>的金融</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卡</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终端产能建设项 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626,661.22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626,661.22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11,129,481.88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11,129,481.88</w:t>
            </w:r>
          </w:p>
        </w:tc>
      </w:tr>
      <w:tr>
        <w:trPr>
          <w:trHeight w:val="102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证通电子大数据 云计算产业园 </w:t>
            </w:r>
            <w:r>
              <w:rPr>
                <w:rFonts w:ascii="Times New Roman" w:hAnsi="Times New Roman" w:cs="Times New Roman" w:eastAsia="Times New Roman" w:hint="default"/>
                <w:sz w:val="18"/>
                <w:szCs w:val="18"/>
              </w:rPr>
              <w:t>(</w:t>
            </w:r>
            <w:r>
              <w:rPr>
                <w:rFonts w:ascii="宋体" w:hAnsi="宋体" w:cs="宋体" w:eastAsia="宋体" w:hint="default"/>
                <w:sz w:val="18"/>
                <w:szCs w:val="18"/>
              </w:rPr>
              <w:t>光明云谷</w:t>
            </w:r>
            <w:r>
              <w:rPr>
                <w:rFonts w:ascii="Times New Roman" w:hAnsi="Times New Roman" w:cs="Times New Roman" w:eastAsia="Times New Roman" w:hint="default"/>
                <w:sz w:val="18"/>
                <w:szCs w:val="18"/>
              </w:rPr>
              <w:t>)</w:t>
            </w: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170,921,793.98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170,921,793.98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79,682,897.20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79,682,897.20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证通产业园二期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3,856,927.45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3,856,927.45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2,699,743.53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2,699,743.53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研发中心扩建项 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29,498,836.71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29,498,836.71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17,541,979.46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17,541,979.46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证通云项目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2,935,960.98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2,935,960.98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自助钣金产能规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2,202,703.78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2,202,703.78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划建设项目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凤冈县城新区代 建一期</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430,837.00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430,837.00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偏岩</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3,236,386.94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3,236,386.94</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基于国密标准的 金融数据安全集 群加密服务平台 研发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1,338,315.39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1,338,315.39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1,338,315.39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1,338,315.39</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凤冈县城新区亮 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155,842.19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155,842.19</w:t>
            </w: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53"/>
              <w:jc w:val="both"/>
              <w:rPr>
                <w:rFonts w:ascii="Times New Roman" w:hAnsi="Times New Roman" w:cs="Times New Roman" w:eastAsia="Times New Roman" w:hint="default"/>
                <w:sz w:val="18"/>
                <w:szCs w:val="18"/>
              </w:rPr>
            </w:pPr>
            <w:r>
              <w:rPr>
                <w:rFonts w:ascii="宋体" w:hAnsi="宋体" w:cs="宋体" w:eastAsia="宋体" w:hint="default"/>
                <w:sz w:val="18"/>
                <w:szCs w:val="18"/>
              </w:rPr>
              <w:t>商丘市城乡一体 化示范区管理委 员会</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二 标段</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2"/>
                <w:sz w:val="18"/>
              </w:rPr>
              <w:t>111,875.40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2"/>
                <w:sz w:val="18"/>
              </w:rPr>
              <w:t>111,875.40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预付工程款项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307,596.46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307,596.46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3,061,895.57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3,061,895.57</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长沙云谷数据中 心项目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262,083,482.01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262,083,482.01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74,121,878.13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74,121,878.13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长沙软件研发中 心项目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10,670,084.01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10,670,084.01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定州市城市节能 照明项目</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项 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35,223,824.73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35,223,824.73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20,727,122.62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20,727,122.62</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兰州二标段项目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3,107,731.03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3,107,731.03</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遵义市高铁新城 灯光设计施工项 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811,539.42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811,539.42</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both"/>
              <w:rPr>
                <w:rFonts w:ascii="宋体" w:hAnsi="宋体" w:cs="宋体" w:eastAsia="宋体" w:hint="default"/>
                <w:sz w:val="18"/>
                <w:szCs w:val="18"/>
              </w:rPr>
            </w:pPr>
            <w:r>
              <w:rPr>
                <w:rFonts w:ascii="宋体" w:hAnsi="宋体" w:cs="宋体" w:eastAsia="宋体" w:hint="default"/>
                <w:sz w:val="18"/>
                <w:szCs w:val="18"/>
              </w:rPr>
              <w:t>凤冈县旅游投资 发展有限公司项 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202,660.13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202,660.13</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黄家坝邓家寨亮 化项目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18,038.57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18,038.57</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阜新市新邱区</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323,582.26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323,582.26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IDC </w:t>
            </w:r>
            <w:r>
              <w:rPr>
                <w:rFonts w:ascii="宋体" w:hAnsi="宋体" w:cs="宋体" w:eastAsia="宋体" w:hint="default"/>
                <w:sz w:val="18"/>
                <w:szCs w:val="18"/>
              </w:rPr>
              <w:t>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87,724,397.02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87,724,397.02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45,436,108.70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45,436,108.70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广州南沙</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IDC </w:t>
            </w:r>
            <w:r>
              <w:rPr>
                <w:rFonts w:ascii="宋体" w:hAnsi="宋体" w:cs="宋体" w:eastAsia="宋体" w:hint="default"/>
                <w:sz w:val="18"/>
                <w:szCs w:val="18"/>
              </w:rPr>
              <w:t>工 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1,447,945.50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1,447,945.50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29,311,912.50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29,311,912.50</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电信研究院绿色 节能改造</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501,226.41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501,226.41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广信动环监控接</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670,935.84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670,935.84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入二期项目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深圳共济动环系 统监控</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823,104.25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823,104.25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823,104.25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823,104.25</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致远</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办公系 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176,415.09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176,415.09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134,905.66</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134,905.66</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深圳光明云计算 中心项目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75,358.50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75,358.50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云计算管理平台 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896,226.30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896,226.30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619,163,657.50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619,163,657.50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306,776,614.59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306,776,614.59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1"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3" w:right="92"/>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89"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73"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258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55"/>
              <w:jc w:val="both"/>
              <w:rPr>
                <w:rFonts w:ascii="宋体" w:hAnsi="宋体" w:cs="宋体" w:eastAsia="宋体" w:hint="default"/>
                <w:sz w:val="18"/>
                <w:szCs w:val="18"/>
              </w:rPr>
            </w:pPr>
            <w:r>
              <w:rPr>
                <w:rFonts w:ascii="宋体" w:hAnsi="宋体" w:cs="宋体" w:eastAsia="宋体" w:hint="default"/>
                <w:sz w:val="18"/>
                <w:szCs w:val="18"/>
              </w:rPr>
              <w:t>年产</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万台惠 农通农 村电子 商务专 用终端 产能建 设项目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10,665,4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47.41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10,548,6</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11.97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1,546,58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5.31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9,002,02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98.90%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98.90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14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9"/>
              <w:ind w:left="24" w:right="90"/>
              <w:jc w:val="left"/>
              <w:rPr>
                <w:rFonts w:ascii="Times New Roman" w:hAnsi="Times New Roman" w:cs="Times New Roman" w:eastAsia="Times New Roman" w:hint="default"/>
                <w:sz w:val="18"/>
                <w:szCs w:val="18"/>
              </w:rPr>
            </w:pPr>
            <w:r>
              <w:rPr>
                <w:rFonts w:ascii="宋体" w:hAnsi="宋体" w:cs="宋体" w:eastAsia="宋体" w:hint="default"/>
                <w:sz w:val="18"/>
                <w:szCs w:val="18"/>
              </w:rPr>
              <w:t>年产</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万台符 合中国 人民银 行 </w:t>
            </w:r>
            <w:r>
              <w:rPr>
                <w:rFonts w:ascii="Times New Roman" w:hAnsi="Times New Roman" w:cs="Times New Roman" w:eastAsia="Times New Roman" w:hint="default"/>
                <w:sz w:val="18"/>
                <w:szCs w:val="18"/>
              </w:rPr>
              <w:t>PBOC2.</w:t>
            </w:r>
          </w:p>
          <w:p>
            <w:pPr>
              <w:pStyle w:val="TableParagraph"/>
              <w:spacing w:line="307" w:lineRule="auto" w:before="3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新标准 的金融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终</w:t>
            </w:r>
          </w:p>
          <w:p>
            <w:pPr>
              <w:pStyle w:val="TableParagraph"/>
              <w:spacing w:line="316" w:lineRule="auto" w:before="4"/>
              <w:ind w:left="24" w:right="156"/>
              <w:jc w:val="both"/>
              <w:rPr>
                <w:rFonts w:ascii="宋体" w:hAnsi="宋体" w:cs="宋体" w:eastAsia="宋体" w:hint="default"/>
                <w:sz w:val="18"/>
                <w:szCs w:val="18"/>
              </w:rPr>
            </w:pPr>
            <w:r>
              <w:rPr>
                <w:rFonts w:ascii="宋体" w:hAnsi="宋体" w:cs="宋体" w:eastAsia="宋体" w:hint="default"/>
                <w:sz w:val="18"/>
                <w:szCs w:val="18"/>
              </w:rPr>
              <w:t>端产能 建设项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71" w:right="0"/>
              <w:jc w:val="left"/>
              <w:rPr>
                <w:rFonts w:ascii="Times New Roman" w:hAnsi="Times New Roman" w:cs="Times New Roman" w:eastAsia="Times New Roman" w:hint="default"/>
                <w:sz w:val="18"/>
                <w:szCs w:val="18"/>
              </w:rPr>
            </w:pPr>
            <w:r>
              <w:rPr>
                <w:rFonts w:ascii="Times New Roman"/>
                <w:sz w:val="18"/>
              </w:rPr>
              <w:t>12,332,6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61.88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79" w:right="0"/>
              <w:jc w:val="left"/>
              <w:rPr>
                <w:rFonts w:ascii="Times New Roman" w:hAnsi="Times New Roman" w:cs="Times New Roman" w:eastAsia="Times New Roman" w:hint="default"/>
                <w:sz w:val="18"/>
                <w:szCs w:val="18"/>
              </w:rPr>
            </w:pPr>
            <w:r>
              <w:rPr>
                <w:rFonts w:ascii="Times New Roman"/>
                <w:sz w:val="18"/>
              </w:rPr>
              <w:t>11,129,4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81.88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71" w:right="0"/>
              <w:jc w:val="left"/>
              <w:rPr>
                <w:rFonts w:ascii="Times New Roman" w:hAnsi="Times New Roman" w:cs="Times New Roman" w:eastAsia="Times New Roman" w:hint="default"/>
                <w:sz w:val="18"/>
                <w:szCs w:val="18"/>
              </w:rPr>
            </w:pPr>
            <w:r>
              <w:rPr>
                <w:rFonts w:ascii="Times New Roman"/>
                <w:sz w:val="18"/>
              </w:rPr>
              <w:t>10,502,8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20.66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626,661.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90.24%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90.24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24" w:right="156"/>
              <w:jc w:val="left"/>
              <w:rPr>
                <w:rFonts w:ascii="宋体" w:hAnsi="宋体" w:cs="宋体" w:eastAsia="宋体" w:hint="default"/>
                <w:sz w:val="18"/>
                <w:szCs w:val="18"/>
              </w:rPr>
            </w:pPr>
            <w:r>
              <w:rPr>
                <w:rFonts w:ascii="宋体" w:hAnsi="宋体" w:cs="宋体" w:eastAsia="宋体" w:hint="default"/>
                <w:sz w:val="18"/>
                <w:szCs w:val="18"/>
              </w:rPr>
              <w:t>证通电 子大数</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257,127,</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79,682,8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97.20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91,238,8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96.78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170,921,</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793.98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94.30%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94.30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61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8"/>
              <w:ind w:left="24" w:right="96"/>
              <w:jc w:val="both"/>
              <w:rPr>
                <w:rFonts w:ascii="宋体" w:hAnsi="宋体" w:cs="宋体" w:eastAsia="宋体" w:hint="default"/>
                <w:sz w:val="18"/>
                <w:szCs w:val="18"/>
              </w:rPr>
            </w:pPr>
            <w:r>
              <w:rPr>
                <w:rFonts w:ascii="宋体" w:hAnsi="宋体" w:cs="宋体" w:eastAsia="宋体" w:hint="default"/>
                <w:sz w:val="18"/>
                <w:szCs w:val="18"/>
              </w:rPr>
              <w:t>据云计 算产业 园</w:t>
            </w:r>
            <w:r>
              <w:rPr>
                <w:rFonts w:ascii="Times New Roman" w:hAnsi="Times New Roman" w:cs="Times New Roman" w:eastAsia="Times New Roman" w:hint="default"/>
                <w:sz w:val="18"/>
                <w:szCs w:val="18"/>
              </w:rPr>
              <w:t>(</w:t>
            </w:r>
            <w:r>
              <w:rPr>
                <w:rFonts w:ascii="宋体" w:hAnsi="宋体" w:cs="宋体" w:eastAsia="宋体" w:hint="default"/>
                <w:sz w:val="18"/>
                <w:szCs w:val="18"/>
              </w:rPr>
              <w:t>光明 云谷</w:t>
            </w:r>
            <w:r>
              <w:rPr>
                <w:rFonts w:ascii="Times New Roman" w:hAnsi="Times New Roman" w:cs="Times New Roman" w:eastAsia="Times New Roman" w:hint="default"/>
                <w:sz w:val="18"/>
                <w:szCs w:val="18"/>
              </w:rPr>
              <w:t>)</w:t>
            </w:r>
            <w:r>
              <w:rPr>
                <w:rFonts w:ascii="宋体" w:hAnsi="宋体" w:cs="宋体" w:eastAsia="宋体" w:hint="default"/>
                <w:sz w:val="18"/>
                <w:szCs w:val="18"/>
              </w:rPr>
              <w:t>项 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证通产 业园二 期</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32,765,8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36.00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2,699,74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27,947,8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20.24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26,790,6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36.32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3,856,92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7.45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93.54%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93.54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研发中 心扩建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75,160,0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17,541,9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79.46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11,956,8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57.25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29,498,8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36.71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8" w:right="0"/>
              <w:jc w:val="center"/>
              <w:rPr>
                <w:rFonts w:ascii="Times New Roman" w:hAnsi="Times New Roman" w:cs="Times New Roman" w:eastAsia="Times New Roman" w:hint="default"/>
                <w:sz w:val="18"/>
                <w:szCs w:val="18"/>
              </w:rPr>
            </w:pPr>
            <w:r>
              <w:rPr>
                <w:rFonts w:ascii="Times New Roman"/>
                <w:sz w:val="18"/>
              </w:rPr>
              <w:t>96.10%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96.10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证通云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47,312,5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2,935,96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0.98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2,935,96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0.98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4" w:right="0"/>
              <w:jc w:val="center"/>
              <w:rPr>
                <w:rFonts w:ascii="Times New Roman" w:hAnsi="Times New Roman" w:cs="Times New Roman" w:eastAsia="Times New Roman" w:hint="default"/>
                <w:sz w:val="18"/>
                <w:szCs w:val="18"/>
              </w:rPr>
            </w:pPr>
            <w:r>
              <w:rPr>
                <w:rFonts w:ascii="Times New Roman"/>
                <w:sz w:val="18"/>
              </w:rPr>
              <w:t>6.21%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6.21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33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自助钣 金产能 规划建 设项目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50,000,0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2,202,70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3.78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2,202,70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14" w:right="0"/>
              <w:jc w:val="center"/>
              <w:rPr>
                <w:rFonts w:ascii="Times New Roman" w:hAnsi="Times New Roman" w:cs="Times New Roman" w:eastAsia="Times New Roman" w:hint="default"/>
                <w:sz w:val="18"/>
                <w:szCs w:val="18"/>
              </w:rPr>
            </w:pPr>
            <w:r>
              <w:rPr>
                <w:rFonts w:ascii="Times New Roman"/>
                <w:sz w:val="18"/>
              </w:rPr>
              <w:t>4.41%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4.41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64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凤冈县 城新区 代建一 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项 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430,837.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430,837.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71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偏岩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3,236,38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6.94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3,236,38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6.94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258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基于国 密标准 的金融 数据安 全集群 加密服 务平台 研发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1,338,31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5.39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1,338,31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28" w:right="0"/>
              <w:jc w:val="center"/>
              <w:rPr>
                <w:rFonts w:ascii="Times New Roman" w:hAnsi="Times New Roman" w:cs="Times New Roman" w:eastAsia="Times New Roman" w:hint="default"/>
                <w:sz w:val="18"/>
                <w:szCs w:val="18"/>
              </w:rPr>
            </w:pPr>
            <w:r>
              <w:rPr>
                <w:rFonts w:ascii="Times New Roman"/>
                <w:sz w:val="18"/>
              </w:rPr>
              <w:t>89.22%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89.22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34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凤冈县 城新区 亮化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155,842.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155,842.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92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3"/>
              <w:jc w:val="left"/>
              <w:rPr>
                <w:rFonts w:ascii="宋体" w:hAnsi="宋体" w:cs="宋体" w:eastAsia="宋体" w:hint="default"/>
                <w:sz w:val="18"/>
                <w:szCs w:val="18"/>
              </w:rPr>
            </w:pPr>
            <w:r>
              <w:rPr>
                <w:rFonts w:ascii="宋体" w:hAnsi="宋体" w:cs="宋体" w:eastAsia="宋体" w:hint="default"/>
                <w:sz w:val="18"/>
                <w:szCs w:val="18"/>
              </w:rPr>
              <w:t>商丘市 城乡一 体化示 范区管 理委员 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项</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111,875.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111,875.</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67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96"/>
              <w:jc w:val="left"/>
              <w:rPr>
                <w:rFonts w:ascii="Times New Roman" w:hAnsi="Times New Roman" w:cs="Times New Roman" w:eastAsia="Times New Roman"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二标 段</w:t>
            </w:r>
            <w:r>
              <w:rPr>
                <w:rFonts w:ascii="Times New Roman" w:hAnsi="Times New Roman" w:cs="Times New Roman" w:eastAsia="Times New Roman" w:hint="default"/>
                <w:sz w:val="18"/>
                <w:szCs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left"/>
              <w:rPr>
                <w:rFonts w:ascii="宋体" w:hAnsi="宋体" w:cs="宋体" w:eastAsia="宋体" w:hint="default"/>
                <w:sz w:val="18"/>
                <w:szCs w:val="18"/>
              </w:rPr>
            </w:pPr>
            <w:r>
              <w:rPr>
                <w:rFonts w:ascii="宋体" w:hAnsi="宋体" w:cs="宋体" w:eastAsia="宋体" w:hint="default"/>
                <w:sz w:val="18"/>
                <w:szCs w:val="18"/>
              </w:rPr>
              <w:t>预付工 程款项</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3,061,89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3,827,57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6,581,87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7.88</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307,596.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33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长沙云 谷数据 中心项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728,025,</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500.00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74,121,8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78.13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187,961,</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603.88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262,083,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482.01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36.00%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36.00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161"/>
              <w:jc w:val="left"/>
              <w:rPr>
                <w:rFonts w:ascii="宋体" w:hAnsi="宋体" w:cs="宋体" w:eastAsia="宋体" w:hint="default"/>
                <w:sz w:val="18"/>
                <w:szCs w:val="18"/>
              </w:rPr>
            </w:pPr>
            <w:r>
              <w:rPr>
                <w:rFonts w:ascii="宋体" w:hAnsi="宋体" w:cs="宋体" w:eastAsia="宋体" w:hint="default"/>
                <w:sz w:val="18"/>
                <w:szCs w:val="18"/>
              </w:rPr>
              <w:t>募股资 金</w:t>
            </w: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长沙软 件研发 中心项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333,576,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400.00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10,670,0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84.01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10,670,0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84.01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3.20%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3.20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65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0"/>
              <w:jc w:val="left"/>
              <w:rPr>
                <w:rFonts w:ascii="宋体" w:hAnsi="宋体" w:cs="宋体" w:eastAsia="宋体" w:hint="default"/>
                <w:sz w:val="18"/>
                <w:szCs w:val="18"/>
              </w:rPr>
            </w:pPr>
            <w:r>
              <w:rPr>
                <w:rFonts w:ascii="宋体" w:hAnsi="宋体" w:cs="宋体" w:eastAsia="宋体" w:hint="default"/>
                <w:sz w:val="18"/>
                <w:szCs w:val="18"/>
              </w:rPr>
              <w:t>定州市 城市节 能照明 项目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9" w:right="0"/>
              <w:jc w:val="center"/>
              <w:rPr>
                <w:rFonts w:ascii="Times New Roman" w:hAnsi="Times New Roman" w:cs="Times New Roman" w:eastAsia="Times New Roman" w:hint="default"/>
                <w:sz w:val="18"/>
                <w:szCs w:val="18"/>
              </w:rPr>
            </w:pPr>
            <w:r>
              <w:rPr>
                <w:rFonts w:ascii="Times New Roman"/>
                <w:sz w:val="18"/>
              </w:rPr>
              <w:t>108,034,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285.71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20,727,1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22.62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14,496,7</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02.11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71" w:right="0"/>
              <w:jc w:val="left"/>
              <w:rPr>
                <w:rFonts w:ascii="Times New Roman" w:hAnsi="Times New Roman" w:cs="Times New Roman" w:eastAsia="Times New Roman" w:hint="default"/>
                <w:sz w:val="18"/>
                <w:szCs w:val="18"/>
              </w:rPr>
            </w:pPr>
            <w:r>
              <w:rPr>
                <w:rFonts w:ascii="Times New Roman"/>
                <w:sz w:val="18"/>
              </w:rPr>
              <w:t>35,223,8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24.73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32.60%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32.60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兰州二 标段项 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20,961,6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04.71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3,107,73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17,853,8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73.68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20,961,6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04.71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652"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遵义市 高铁新 城灯光 设计施 工项目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811,539.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811,539.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pacing w:val="-1"/>
                <w:sz w:val="18"/>
              </w:rPr>
              <w:t>811,539.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64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凤冈县 旅游投 资发展 有限公 司项目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202,660.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202,660.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8"/>
              <w:jc w:val="right"/>
              <w:rPr>
                <w:rFonts w:ascii="Times New Roman" w:hAnsi="Times New Roman" w:cs="Times New Roman" w:eastAsia="Times New Roman" w:hint="default"/>
                <w:sz w:val="18"/>
                <w:szCs w:val="18"/>
              </w:rPr>
            </w:pPr>
            <w:r>
              <w:rPr>
                <w:rFonts w:ascii="Times New Roman"/>
                <w:sz w:val="18"/>
              </w:rPr>
              <w:t>202,660.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33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黄家坝 邓家寨 亮化项 目</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18,038.5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18,038.5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79"/>
              <w:jc w:val="both"/>
              <w:rPr>
                <w:rFonts w:ascii="宋体" w:hAnsi="宋体" w:cs="宋体" w:eastAsia="宋体" w:hint="default"/>
                <w:sz w:val="18"/>
                <w:szCs w:val="18"/>
              </w:rPr>
            </w:pPr>
            <w:r>
              <w:rPr>
                <w:rFonts w:ascii="宋体" w:hAnsi="宋体" w:cs="宋体" w:eastAsia="宋体" w:hint="default"/>
                <w:sz w:val="18"/>
                <w:szCs w:val="18"/>
              </w:rPr>
              <w:t>阜新市 新邱区 </w:t>
            </w: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w:t>
            </w:r>
          </w:p>
          <w:p>
            <w:pPr>
              <w:pStyle w:val="TableParagraph"/>
              <w:spacing w:line="233" w:lineRule="exact"/>
              <w:ind w:left="24" w:right="0"/>
              <w:jc w:val="both"/>
              <w:rPr>
                <w:rFonts w:ascii="宋体" w:hAnsi="宋体" w:cs="宋体" w:eastAsia="宋体" w:hint="default"/>
                <w:sz w:val="18"/>
                <w:szCs w:val="18"/>
              </w:rPr>
            </w:pPr>
            <w:r>
              <w:rPr>
                <w:rFonts w:ascii="宋体" w:hAnsi="宋体" w:cs="宋体" w:eastAsia="宋体" w:hint="default"/>
                <w:sz w:val="18"/>
                <w:szCs w:val="18"/>
              </w:rPr>
              <w:t>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8,400,00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323,582.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323,582.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3.85%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3.85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102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东莞</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w:t>
            </w:r>
          </w:p>
          <w:p>
            <w:pPr>
              <w:pStyle w:val="TableParagraph"/>
              <w:spacing w:line="240" w:lineRule="auto" w:before="62"/>
              <w:ind w:left="24" w:right="0"/>
              <w:jc w:val="left"/>
              <w:rPr>
                <w:rFonts w:ascii="宋体" w:hAnsi="宋体" w:cs="宋体" w:eastAsia="宋体" w:hint="default"/>
                <w:sz w:val="18"/>
                <w:szCs w:val="18"/>
              </w:rPr>
            </w:pPr>
            <w:r>
              <w:rPr>
                <w:rFonts w:ascii="宋体" w:hAnsi="宋体" w:cs="宋体" w:eastAsia="宋体" w:hint="default"/>
                <w:sz w:val="18"/>
                <w:szCs w:val="18"/>
              </w:rPr>
              <w:t>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171,286,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780.48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45,436,1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08.70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42,288,2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88.32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87,724,3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97.02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51.21%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51.21</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7,281,06</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2.87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32"/>
        <w:gridCol w:w="737"/>
        <w:gridCol w:w="734"/>
        <w:gridCol w:w="737"/>
        <w:gridCol w:w="737"/>
        <w:gridCol w:w="734"/>
        <w:gridCol w:w="737"/>
        <w:gridCol w:w="737"/>
        <w:gridCol w:w="734"/>
        <w:gridCol w:w="737"/>
        <w:gridCol w:w="737"/>
        <w:gridCol w:w="734"/>
        <w:gridCol w:w="737"/>
      </w:tblGrid>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left"/>
              <w:rPr>
                <w:rFonts w:ascii="Times New Roman" w:hAnsi="Times New Roman" w:cs="Times New Roman" w:eastAsia="Times New Roman" w:hint="default"/>
                <w:sz w:val="18"/>
                <w:szCs w:val="18"/>
              </w:rPr>
            </w:pPr>
            <w:r>
              <w:rPr>
                <w:rFonts w:ascii="宋体" w:hAnsi="宋体" w:cs="宋体" w:eastAsia="宋体" w:hint="default"/>
                <w:sz w:val="18"/>
                <w:szCs w:val="18"/>
              </w:rPr>
              <w:t>广州南 沙</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IDC</w:t>
            </w:r>
          </w:p>
          <w:p>
            <w:pPr>
              <w:pStyle w:val="TableParagraph"/>
              <w:spacing w:line="233" w:lineRule="exact"/>
              <w:ind w:left="24" w:right="0"/>
              <w:jc w:val="left"/>
              <w:rPr>
                <w:rFonts w:ascii="宋体" w:hAnsi="宋体" w:cs="宋体" w:eastAsia="宋体" w:hint="default"/>
                <w:sz w:val="18"/>
                <w:szCs w:val="18"/>
              </w:rPr>
            </w:pPr>
            <w:r>
              <w:rPr>
                <w:rFonts w:ascii="宋体" w:hAnsi="宋体" w:cs="宋体" w:eastAsia="宋体" w:hint="default"/>
                <w:sz w:val="18"/>
                <w:szCs w:val="18"/>
              </w:rPr>
              <w:t>工程</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590,000,</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29,311,9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12.50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1,447,94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20,199,4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90.56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9,112,42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1.94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1,447,94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5.50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电信研 究院绿 色节能 改造</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716,037.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501,226.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214,811.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716,037.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7"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广信动 环监控 接入二 期项目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670,935.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670,935.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670,935.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4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深圳共 济动环 系统监 控</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1,465,53</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823,104.</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823,104.</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z w:val="18"/>
              </w:rPr>
              <w:t>56.16%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56.16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致远</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OA</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办公系 统</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212,500.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134,905.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41,509.4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176,415.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83.02%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83.02</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339"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6"/>
              <w:jc w:val="both"/>
              <w:rPr>
                <w:rFonts w:ascii="宋体" w:hAnsi="宋体" w:cs="宋体" w:eastAsia="宋体" w:hint="default"/>
                <w:sz w:val="18"/>
                <w:szCs w:val="18"/>
              </w:rPr>
            </w:pPr>
            <w:r>
              <w:rPr>
                <w:rFonts w:ascii="宋体" w:hAnsi="宋体" w:cs="宋体" w:eastAsia="宋体" w:hint="default"/>
                <w:sz w:val="18"/>
                <w:szCs w:val="18"/>
              </w:rPr>
              <w:t>深圳光 明云计 算中心 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75,358.5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75,358.5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75,358.5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5"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6"/>
              <w:jc w:val="both"/>
              <w:rPr>
                <w:rFonts w:ascii="宋体" w:hAnsi="宋体" w:cs="宋体" w:eastAsia="宋体" w:hint="default"/>
                <w:sz w:val="18"/>
                <w:szCs w:val="18"/>
              </w:rPr>
            </w:pPr>
            <w:r>
              <w:rPr>
                <w:rFonts w:ascii="宋体" w:hAnsi="宋体" w:cs="宋体" w:eastAsia="宋体" w:hint="default"/>
                <w:sz w:val="18"/>
                <w:szCs w:val="18"/>
              </w:rPr>
              <w:t>云计算 管理平 台项目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896,226.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896,226.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896,226.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2,452,19</w:t>
            </w:r>
          </w:p>
          <w:p>
            <w:pPr>
              <w:pStyle w:val="TableParagraph"/>
              <w:spacing w:line="240" w:lineRule="auto" w:before="102"/>
              <w:ind w:left="79" w:right="0"/>
              <w:jc w:val="left"/>
              <w:rPr>
                <w:rFonts w:ascii="Times New Roman" w:hAnsi="Times New Roman" w:cs="Times New Roman" w:eastAsia="Times New Roman" w:hint="default"/>
                <w:sz w:val="18"/>
                <w:szCs w:val="18"/>
              </w:rPr>
            </w:pPr>
            <w:r>
              <w:rPr>
                <w:rFonts w:ascii="Times New Roman"/>
                <w:sz w:val="18"/>
              </w:rPr>
              <w:t>9,206.11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306,776,</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614.59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415,408,</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218.31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88,866,2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15.31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14,154,9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60.09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619,163,</w:t>
            </w:r>
          </w:p>
          <w:p>
            <w:pPr>
              <w:pStyle w:val="TableParagraph"/>
              <w:spacing w:line="240" w:lineRule="auto" w:before="102"/>
              <w:ind w:left="185" w:right="0"/>
              <w:jc w:val="center"/>
              <w:rPr>
                <w:rFonts w:ascii="Times New Roman" w:hAnsi="Times New Roman" w:cs="Times New Roman" w:eastAsia="Times New Roman" w:hint="default"/>
                <w:sz w:val="18"/>
                <w:szCs w:val="18"/>
              </w:rPr>
            </w:pPr>
            <w:r>
              <w:rPr>
                <w:rFonts w:ascii="Times New Roman"/>
                <w:sz w:val="18"/>
              </w:rPr>
              <w:t>657.50</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7,281,06</w:t>
            </w:r>
          </w:p>
          <w:p>
            <w:pPr>
              <w:pStyle w:val="TableParagraph"/>
              <w:spacing w:line="240" w:lineRule="auto" w:before="102"/>
              <w:ind w:left="389" w:right="0"/>
              <w:jc w:val="left"/>
              <w:rPr>
                <w:rFonts w:ascii="Times New Roman" w:hAnsi="Times New Roman" w:cs="Times New Roman" w:eastAsia="Times New Roman" w:hint="default"/>
                <w:sz w:val="18"/>
                <w:szCs w:val="18"/>
              </w:rPr>
            </w:pPr>
            <w:r>
              <w:rPr>
                <w:rFonts w:ascii="Times New Roman"/>
                <w:sz w:val="18"/>
              </w:rPr>
              <w:t>2.87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4.15%</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302"/>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15</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41"/>
        <w:gridCol w:w="1074"/>
        <w:gridCol w:w="1064"/>
        <w:gridCol w:w="1063"/>
        <w:gridCol w:w="1064"/>
        <w:gridCol w:w="1063"/>
        <w:gridCol w:w="1061"/>
        <w:gridCol w:w="1064"/>
        <w:gridCol w:w="1063"/>
      </w:tblGrid>
      <w:tr>
        <w:trPr>
          <w:trHeight w:val="161" w:hRule="exact"/>
        </w:trPr>
        <w:tc>
          <w:tcPr>
            <w:tcW w:w="1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10" w:space="0" w:color="D2D2D2"/>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其他特许权</w:t>
            </w:r>
          </w:p>
        </w:tc>
        <w:tc>
          <w:tcPr>
            <w:tcW w:w="1063"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电脑软件</w:t>
            </w:r>
          </w:p>
        </w:tc>
        <w:tc>
          <w:tcPr>
            <w:tcW w:w="1061" w:type="dxa"/>
            <w:vMerge w:val="restart"/>
            <w:tcBorders>
              <w:top w:val="single" w:sz="4" w:space="0" w:color="000000"/>
              <w:left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064" w:type="dxa"/>
            <w:vMerge w:val="restart"/>
            <w:tcBorders>
              <w:top w:val="single" w:sz="4" w:space="0" w:color="000000"/>
              <w:left w:val="single" w:sz="4" w:space="0" w:color="000000"/>
              <w:right w:val="single" w:sz="4" w:space="0" w:color="000000"/>
            </w:tcBorders>
            <w:shd w:val="clear" w:color="auto" w:fill="E0FFFF"/>
          </w:tcPr>
          <w:p>
            <w:pPr>
              <w:pStyle w:val="TableParagraph"/>
              <w:spacing w:line="300" w:lineRule="auto" w:before="49"/>
              <w:ind w:left="351" w:right="31" w:hanging="308"/>
              <w:jc w:val="left"/>
              <w:rPr>
                <w:rFonts w:ascii="宋体" w:hAnsi="宋体" w:cs="宋体" w:eastAsia="宋体" w:hint="default"/>
                <w:sz w:val="18"/>
                <w:szCs w:val="18"/>
              </w:rPr>
            </w:pPr>
            <w:r>
              <w:rPr>
                <w:rFonts w:ascii="Times New Roman" w:hAnsi="Times New Roman" w:cs="Times New Roman" w:eastAsia="Times New Roman" w:hint="default"/>
                <w:sz w:val="18"/>
                <w:szCs w:val="18"/>
              </w:rPr>
              <w:t>EMC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项目收 益权</w:t>
            </w:r>
          </w:p>
        </w:tc>
        <w:tc>
          <w:tcPr>
            <w:tcW w:w="1063" w:type="dxa"/>
            <w:vMerge w:val="restart"/>
            <w:tcBorders>
              <w:top w:val="single" w:sz="4" w:space="0" w:color="000000"/>
              <w:left w:val="single" w:sz="10" w:space="0" w:color="E0FFFF"/>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0"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91" w:hRule="exact"/>
        </w:trPr>
        <w:tc>
          <w:tcPr>
            <w:tcW w:w="1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8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0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专利权</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064" w:type="dxa"/>
            <w:vMerge/>
            <w:tcBorders>
              <w:left w:val="single" w:sz="10" w:space="0" w:color="D2D2D2"/>
              <w:right w:val="single" w:sz="4" w:space="0" w:color="000000"/>
            </w:tcBorders>
            <w:shd w:val="clear" w:color="auto" w:fill="E0FFFF"/>
          </w:tcPr>
          <w:p>
            <w:pPr/>
          </w:p>
        </w:tc>
        <w:tc>
          <w:tcPr>
            <w:tcW w:w="1063" w:type="dxa"/>
            <w:vMerge/>
            <w:tcBorders>
              <w:left w:val="single" w:sz="4" w:space="0" w:color="000000"/>
              <w:right w:val="single" w:sz="4" w:space="0" w:color="000000"/>
            </w:tcBorders>
            <w:shd w:val="clear" w:color="auto" w:fill="E0FFFF"/>
          </w:tcPr>
          <w:p>
            <w:pPr/>
          </w:p>
        </w:tc>
        <w:tc>
          <w:tcPr>
            <w:tcW w:w="1061" w:type="dxa"/>
            <w:vMerge/>
            <w:tcBorders>
              <w:left w:val="single" w:sz="4" w:space="0" w:color="000000"/>
              <w:right w:val="single" w:sz="4" w:space="0" w:color="000000"/>
            </w:tcBorders>
            <w:shd w:val="clear" w:color="auto" w:fill="E0FFFF"/>
          </w:tcPr>
          <w:p>
            <w:pPr/>
          </w:p>
        </w:tc>
        <w:tc>
          <w:tcPr>
            <w:tcW w:w="1064" w:type="dxa"/>
            <w:vMerge/>
            <w:tcBorders>
              <w:left w:val="single" w:sz="4" w:space="0" w:color="000000"/>
              <w:right w:val="single" w:sz="4" w:space="0" w:color="000000"/>
            </w:tcBorders>
            <w:shd w:val="clear" w:color="auto" w:fill="E0FFFF"/>
          </w:tcPr>
          <w:p>
            <w:pPr/>
          </w:p>
        </w:tc>
        <w:tc>
          <w:tcPr>
            <w:tcW w:w="1063" w:type="dxa"/>
            <w:vMerge/>
            <w:tcBorders>
              <w:left w:val="single" w:sz="10" w:space="0" w:color="E0FFFF"/>
              <w:right w:val="single" w:sz="4" w:space="0" w:color="000000"/>
            </w:tcBorders>
            <w:shd w:val="clear" w:color="auto" w:fill="D2D2D2"/>
          </w:tcPr>
          <w:p>
            <w:pPr/>
          </w:p>
        </w:tc>
      </w:tr>
      <w:tr>
        <w:trPr>
          <w:trHeight w:val="161" w:hRule="exact"/>
        </w:trPr>
        <w:tc>
          <w:tcPr>
            <w:tcW w:w="1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10" w:space="0" w:color="D2D2D2"/>
              <w:bottom w:val="single" w:sz="4" w:space="0" w:color="000000"/>
              <w:right w:val="single" w:sz="4" w:space="0" w:color="000000"/>
            </w:tcBorders>
            <w:shd w:val="clear" w:color="auto" w:fill="E0FFFF"/>
          </w:tcPr>
          <w:p>
            <w:pPr/>
          </w:p>
        </w:tc>
        <w:tc>
          <w:tcPr>
            <w:tcW w:w="1063" w:type="dxa"/>
            <w:vMerge/>
            <w:tcBorders>
              <w:left w:val="single" w:sz="4" w:space="0" w:color="000000"/>
              <w:bottom w:val="single" w:sz="4" w:space="0" w:color="000000"/>
              <w:right w:val="single" w:sz="4" w:space="0" w:color="000000"/>
            </w:tcBorders>
            <w:shd w:val="clear" w:color="auto" w:fill="E0FFFF"/>
          </w:tcPr>
          <w:p>
            <w:pPr/>
          </w:p>
        </w:tc>
        <w:tc>
          <w:tcPr>
            <w:tcW w:w="1061" w:type="dxa"/>
            <w:vMerge/>
            <w:tcBorders>
              <w:left w:val="single" w:sz="4" w:space="0" w:color="000000"/>
              <w:bottom w:val="single" w:sz="4" w:space="0" w:color="000000"/>
              <w:right w:val="single" w:sz="4" w:space="0" w:color="000000"/>
            </w:tcBorders>
            <w:shd w:val="clear" w:color="auto" w:fill="E0FFFF"/>
          </w:tcPr>
          <w:p>
            <w:pPr/>
          </w:p>
        </w:tc>
        <w:tc>
          <w:tcPr>
            <w:tcW w:w="1064" w:type="dxa"/>
            <w:vMerge/>
            <w:tcBorders>
              <w:left w:val="single" w:sz="4" w:space="0" w:color="000000"/>
              <w:bottom w:val="single" w:sz="4" w:space="0" w:color="000000"/>
              <w:right w:val="single" w:sz="4" w:space="0" w:color="000000"/>
            </w:tcBorders>
            <w:shd w:val="clear" w:color="auto" w:fill="E0FFFF"/>
          </w:tcPr>
          <w:p>
            <w:pPr/>
          </w:p>
        </w:tc>
        <w:tc>
          <w:tcPr>
            <w:tcW w:w="1063" w:type="dxa"/>
            <w:vMerge/>
            <w:tcBorders>
              <w:left w:val="single" w:sz="10" w:space="0" w:color="E0FFFF"/>
              <w:bottom w:val="single" w:sz="4" w:space="0" w:color="000000"/>
              <w:right w:val="single" w:sz="4" w:space="0" w:color="000000"/>
            </w:tcBorders>
            <w:shd w:val="clear" w:color="auto" w:fill="D2D2D2"/>
          </w:tcPr>
          <w:p>
            <w:pPr/>
          </w:p>
        </w:tc>
      </w:tr>
      <w:tr>
        <w:trPr>
          <w:trHeight w:val="404"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pacing w:val="-12"/>
                <w:sz w:val="18"/>
                <w:szCs w:val="18"/>
              </w:rPr>
              <w:t>一、账面原值</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5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07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121,624,942.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1,765,568.16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1,360,240.00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11,336,264.9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1,500,000.00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94,638,166.0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232,225,181.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96</w:t>
            </w:r>
          </w:p>
        </w:tc>
      </w:tr>
      <w:tr>
        <w:trPr>
          <w:trHeight w:val="715" w:hRule="exact"/>
        </w:trPr>
        <w:tc>
          <w:tcPr>
            <w:tcW w:w="1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5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74" w:type="dxa"/>
            <w:tcBorders>
              <w:top w:val="single" w:sz="4" w:space="0" w:color="000000"/>
              <w:left w:val="single" w:sz="12" w:space="0" w:color="D2D2D2"/>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43,521,654.1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140,041.75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36,941,874.5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80,603,570.3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购置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12,020,506.0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140,041.75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15,980,269.8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28,140,817.6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3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 内部研发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24" w:right="3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 企业合并增 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97" w:lineRule="auto" w:before="51"/>
              <w:ind w:left="24" w:right="3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 程</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31,501,148.0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20,961,604.7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52,462,752.7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3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7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121,624,942.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45,287,222.2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1,360,240.00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11,476,306.6</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131,580,040.</w:t>
            </w:r>
          </w:p>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312,828,752.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33</w:t>
            </w: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
              <w:jc w:val="right"/>
              <w:rPr>
                <w:rFonts w:ascii="宋体" w:hAnsi="宋体" w:cs="宋体" w:eastAsia="宋体" w:hint="default"/>
                <w:sz w:val="18"/>
                <w:szCs w:val="18"/>
              </w:rPr>
            </w:pPr>
            <w:r>
              <w:rPr>
                <w:rFonts w:ascii="宋体" w:hAnsi="宋体" w:cs="宋体" w:eastAsia="宋体" w:hint="default"/>
                <w:spacing w:val="-12"/>
                <w:w w:val="95"/>
                <w:sz w:val="18"/>
                <w:szCs w:val="18"/>
              </w:rPr>
              <w:t>二、累计摊销</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7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8,930,585.36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439,916.71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680,119.88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4,002,557.59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150,000.00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31,670,118.8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45,873,298.3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3,109,092.74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1,943,790.36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136,023.96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1,752,601.59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9,735,741.52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16,977,250.1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3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计提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3,109,092.74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1,943,790.36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136,023.96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1,752,601.59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9,735,741.52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16,977,250.1</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7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处置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12,039,678.1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2,383,707.07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816,143.84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5,755,159.18</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450,000.00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41,405,860.3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62,850,548.5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12"/>
                <w:w w:val="95"/>
                <w:sz w:val="18"/>
                <w:szCs w:val="18"/>
              </w:rPr>
              <w:t>三、减值准备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 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7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 增加金额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计提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7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 减少金额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3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 置</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 余额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12"/>
                <w:sz w:val="18"/>
                <w:szCs w:val="18"/>
              </w:rPr>
              <w:t>四、账面价值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 账面价值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109,585,264.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42,903,515.1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544,096.16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5,721,147.51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1,050,000.00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90,174,180.1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249,978,203.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77</w:t>
            </w:r>
          </w:p>
        </w:tc>
      </w:tr>
      <w:tr>
        <w:trPr>
          <w:trHeight w:val="71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4" w:right="17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 账面价值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112,694,357.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1,325,651.45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680,120.12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7,333,707.35</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1,350,000.00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62,968,047.1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186,351,883.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57</w:t>
            </w:r>
          </w:p>
        </w:tc>
      </w:tr>
    </w:tbl>
    <w:p>
      <w:pPr>
        <w:pStyle w:val="BodyText"/>
        <w:spacing w:line="240" w:lineRule="auto" w:before="49"/>
        <w:ind w:right="0"/>
        <w:jc w:val="left"/>
      </w:pPr>
      <w:r>
        <w:rPr/>
        <w:t>本期末通过公司内部研发形成的无形资产占无形资产余额的比例</w:t>
      </w:r>
      <w:r>
        <w:rPr>
          <w:spacing w:val="-43"/>
        </w:rPr>
        <w:t> </w:t>
      </w:r>
      <w:r>
        <w:rPr>
          <w:rFonts w:ascii="Times New Roman" w:hAnsi="Times New Roman" w:cs="Times New Roman" w:eastAsia="Times New Roman" w:hint="default"/>
        </w:rPr>
        <w:t>12.60%</w:t>
      </w:r>
      <w:r>
        <w:rPr/>
        <w:t>。</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57" w:lineRule="auto" w:before="49"/>
        <w:ind w:right="7659"/>
        <w:jc w:val="left"/>
      </w:pPr>
      <w:r>
        <w:rPr/>
        <w:t>其他说明： 本期摊销</w:t>
      </w:r>
      <w:r>
        <w:rPr>
          <w:rFonts w:ascii="Times New Roman" w:hAnsi="Times New Roman" w:cs="Times New Roman" w:eastAsia="Times New Roman" w:hint="default"/>
        </w:rPr>
        <w:t>16,977,250.17</w:t>
      </w:r>
      <w:r>
        <w:rPr/>
        <w:t>元。</w:t>
      </w:r>
    </w:p>
    <w:p>
      <w:pPr>
        <w:pStyle w:val="BodyText"/>
        <w:spacing w:line="201" w:lineRule="exact"/>
        <w:ind w:right="0"/>
        <w:jc w:val="left"/>
      </w:pPr>
      <w:r>
        <w:rPr/>
        <w:t>其他特许权系高尔夫球会会籍特许权。</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16</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05"/>
              <w:jc w:val="center"/>
              <w:rPr>
                <w:rFonts w:ascii="宋体" w:hAnsi="宋体" w:cs="宋体" w:eastAsia="宋体" w:hint="default"/>
                <w:sz w:val="18"/>
                <w:szCs w:val="18"/>
              </w:rPr>
            </w:pPr>
            <w:r>
              <w:rPr>
                <w:rFonts w:ascii="宋体" w:hAnsi="宋体" w:cs="宋体" w:eastAsia="宋体" w:hint="default"/>
                <w:sz w:val="18"/>
                <w:szCs w:val="18"/>
              </w:rPr>
              <w:t>惠生活平台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12,660,686.1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7,934,795.74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20,595,481.8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6" w:lineRule="auto" w:before="49"/>
              <w:ind w:left="22" w:right="129"/>
              <w:jc w:val="left"/>
              <w:rPr>
                <w:rFonts w:ascii="宋体" w:hAnsi="宋体" w:cs="宋体" w:eastAsia="宋体" w:hint="default"/>
                <w:sz w:val="18"/>
                <w:szCs w:val="18"/>
              </w:rPr>
            </w:pPr>
            <w:r>
              <w:rPr>
                <w:rFonts w:ascii="宋体" w:hAnsi="宋体" w:cs="宋体" w:eastAsia="宋体" w:hint="default"/>
                <w:sz w:val="18"/>
                <w:szCs w:val="18"/>
              </w:rPr>
              <w:t>智能通用云 计算项目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4,421,789.54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802,562.37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5,224,351.91</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2" w:right="65"/>
              <w:jc w:val="left"/>
              <w:rPr>
                <w:rFonts w:ascii="宋体" w:hAnsi="宋体" w:cs="宋体" w:eastAsia="宋体" w:hint="default"/>
                <w:sz w:val="18"/>
                <w:szCs w:val="18"/>
              </w:rPr>
            </w:pPr>
            <w:r>
              <w:rPr>
                <w:rFonts w:ascii="宋体" w:hAnsi="宋体" w:cs="宋体" w:eastAsia="宋体" w:hint="default"/>
                <w:sz w:val="18"/>
                <w:szCs w:val="18"/>
              </w:rPr>
              <w:t>智能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机 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10,905,666.1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10,905,666.1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00" w:lineRule="auto" w:before="49"/>
              <w:ind w:left="22" w:right="65"/>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终 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II</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12,196,677.2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12,196,677.2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38" w:lineRule="auto" w:before="49"/>
              <w:ind w:left="22"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智能知识库 管理系统 </w:t>
            </w:r>
            <w:r>
              <w:rPr>
                <w:rFonts w:ascii="Times New Roman" w:hAnsi="Times New Roman" w:cs="Times New Roman" w:eastAsia="Times New Roman" w:hint="default"/>
                <w:sz w:val="18"/>
                <w:szCs w:val="18"/>
              </w:rPr>
              <w:t>V2.0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752,265.93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752,265.93</w:t>
            </w:r>
          </w:p>
        </w:tc>
      </w:tr>
      <w:tr>
        <w:trPr>
          <w:trHeight w:val="403" w:hRule="exact"/>
        </w:trPr>
        <w:tc>
          <w:tcPr>
            <w:tcW w:w="1062"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70"/>
              <w:ind w:right="105"/>
              <w:jc w:val="center"/>
              <w:rPr>
                <w:rFonts w:ascii="宋体" w:hAnsi="宋体" w:cs="宋体" w:eastAsia="宋体" w:hint="default"/>
                <w:sz w:val="18"/>
                <w:szCs w:val="18"/>
              </w:rPr>
            </w:pPr>
            <w:r>
              <w:rPr>
                <w:rFonts w:ascii="宋体" w:hAnsi="宋体" w:cs="宋体" w:eastAsia="宋体" w:hint="default"/>
                <w:sz w:val="18"/>
                <w:szCs w:val="18"/>
              </w:rPr>
              <w:t>惠生活平台</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3,980,582.54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3,980,582.54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987" w:hRule="exact"/>
        </w:trPr>
        <w:tc>
          <w:tcPr>
            <w:tcW w:w="1064"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319" w:lineRule="auto" w:before="8"/>
              <w:ind w:left="24" w:right="129"/>
              <w:jc w:val="both"/>
              <w:rPr>
                <w:rFonts w:ascii="宋体" w:hAnsi="宋体" w:cs="宋体" w:eastAsia="宋体" w:hint="default"/>
                <w:sz w:val="18"/>
                <w:szCs w:val="18"/>
              </w:rPr>
            </w:pPr>
            <w:r>
              <w:rPr>
                <w:rFonts w:ascii="宋体" w:hAnsi="宋体" w:cs="宋体" w:eastAsia="宋体" w:hint="default"/>
                <w:sz w:val="18"/>
                <w:szCs w:val="18"/>
              </w:rPr>
              <w:t>智慧景区及 数据分析系 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27,988,141.8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25,666,883.7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31,501,148.0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22,153,877.5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1,752,790.31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690,141.99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521,938.86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1,920,993.44</w:t>
            </w:r>
          </w:p>
        </w:tc>
      </w:tr>
      <w:tr>
        <w:trPr>
          <w:trHeight w:val="40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28,718,137.75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3,010,382.28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25,707,755.47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1,752,790.31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29,408,279.74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3,532,321.14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27,628,748.91</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7"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178,169,785.40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26,873,646.45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119,490,081.33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18,303,782.33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4,024,137.48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603,620.62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4,330,477.77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649,571.67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12,006,373.14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1,800,955.97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5,334,800.00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800,220.00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12,792,669.19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1,918,900.38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3,901,261.80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585,189.27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24,005,666.67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3,600,850.00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43,833,812.84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7,680,119.88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230,998,631.88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34,797,973.42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176,890,433.74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28,018,883.15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4"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29,243,357.55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7,310,839.39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39,835,549.43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9,870,920.71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29,243,357.55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7,310,839.39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39,835,549.43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9,870,920.71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161"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2" w:right="51"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4"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right w:val="single" w:sz="4" w:space="0" w:color="000000"/>
            </w:tcBorders>
            <w:shd w:val="clear" w:color="auto" w:fill="D2D2D2"/>
          </w:tcPr>
          <w:p>
            <w:pPr/>
          </w:p>
        </w:tc>
        <w:tc>
          <w:tcPr>
            <w:tcW w:w="1916" w:type="dxa"/>
            <w:vMerge/>
            <w:tcBorders>
              <w:left w:val="single" w:sz="4" w:space="0" w:color="000000"/>
              <w:right w:val="single" w:sz="4" w:space="0" w:color="000000"/>
            </w:tcBorders>
            <w:shd w:val="clear" w:color="auto" w:fill="D2D2D2"/>
          </w:tcPr>
          <w:p>
            <w:pPr/>
          </w:p>
        </w:tc>
      </w:tr>
      <w:tr>
        <w:trPr>
          <w:trHeight w:val="161"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34,797,973.42</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28,018,883.15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7,310,839.39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9,870,920.71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79,278,722.30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27,786,459.00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17,769,520.50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4,580,028.79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3,080,836.29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83,858,751.09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48,636,815.79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2017</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202,881.29</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947,418.35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947,418.35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5,258,941.11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5,258,941.11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7,105,124.45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7,105,124.45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14,509,138.07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14,272,093.80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51,458,100.32</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79,278,722.30</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27,786,459.00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19</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241,000,000.00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78,488,810.40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113,327,244.00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担保借款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732,744,700.00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961,233,510.40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030" w:right="0"/>
              <w:jc w:val="left"/>
              <w:rPr>
                <w:rFonts w:ascii="Times New Roman" w:hAnsi="Times New Roman" w:cs="Times New Roman" w:eastAsia="Times New Roman" w:hint="default"/>
                <w:sz w:val="18"/>
                <w:szCs w:val="18"/>
              </w:rPr>
            </w:pPr>
            <w:r>
              <w:rPr>
                <w:rFonts w:ascii="Times New Roman"/>
                <w:sz w:val="18"/>
              </w:rPr>
              <w:t>354,327,244.00</w:t>
            </w:r>
          </w:p>
        </w:tc>
      </w:tr>
    </w:tbl>
    <w:p>
      <w:pPr>
        <w:pStyle w:val="BodyText"/>
        <w:spacing w:line="240" w:lineRule="auto" w:before="49"/>
        <w:ind w:right="0"/>
        <w:jc w:val="left"/>
      </w:pPr>
      <w:r>
        <w:rPr/>
        <w:t>短期借款分类的说明：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20</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118,828,169.06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74,564,738.94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51,079,195.00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120,200,000.00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169,907,364.06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194,764,738.94</w:t>
            </w:r>
          </w:p>
        </w:tc>
      </w:tr>
    </w:tbl>
    <w:p>
      <w:pPr>
        <w:pStyle w:val="BodyText"/>
        <w:spacing w:line="240" w:lineRule="auto" w:before="49"/>
        <w:ind w:right="0"/>
        <w:jc w:val="left"/>
      </w:pPr>
      <w:r>
        <w:rPr/>
        <w:t>本期末已到期未支付的应付票据总额为</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9"/>
        </w:rPr>
        <w:t> </w:t>
      </w:r>
      <w:r>
        <w:rPr/>
        <w:t>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21</w:t>
      </w:r>
      <w:r>
        <w:rPr/>
        <w:t>、应付账款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426,941,902.82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613,254,531.21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85,041,697.16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10,130,286.19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1,423,164.25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15,552,231.32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1,597,551.46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2,461,374.54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515,004,315.69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641,398,423.26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上海华东电脑股份有限公司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65,903,221.50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诉讼未付款</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甘肃鸿盛达电力科技有限公司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12,343,858.11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尚未到协议付款期</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四川华体照明科技股份有限公司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1,246,720.60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尚未到协议付款期</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79,493,800.21</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pStyle w:val="BodyText"/>
        <w:spacing w:line="240" w:lineRule="auto" w:before="115"/>
        <w:ind w:right="0"/>
        <w:jc w:val="left"/>
      </w:pPr>
      <w:r>
        <w:rPr>
          <w:rFonts w:ascii="Times New Roman" w:hAnsi="Times New Roman" w:cs="Times New Roman" w:eastAsia="Times New Roman" w:hint="default"/>
        </w:rPr>
        <w:t>3</w:t>
      </w:r>
      <w:r>
        <w:rPr/>
        <w:t>、年末余额中无欠持本公司</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spacing w:val="-18"/>
        </w:rPr>
        <w:t> </w:t>
      </w:r>
      <w:r>
        <w:rPr>
          <w:rFonts w:ascii="Times New Roman" w:hAnsi="Times New Roman" w:cs="Times New Roman" w:eastAsia="Times New Roman" w:hint="default"/>
        </w:rPr>
        <w:t>5</w:t>
      </w:r>
      <w:r>
        <w:rPr/>
        <w:t>％</w:t>
      </w:r>
      <w:r>
        <w:rPr>
          <w:rFonts w:ascii="Times New Roman" w:hAnsi="Times New Roman" w:cs="Times New Roman" w:eastAsia="Times New Roman" w:hint="default"/>
        </w:rPr>
        <w:t>)</w:t>
      </w:r>
      <w:r>
        <w:rPr/>
        <w:t>表决权股份的股东单位款项。</w:t>
      </w:r>
    </w:p>
    <w:p>
      <w:pPr>
        <w:pStyle w:val="BodyText"/>
        <w:spacing w:line="240" w:lineRule="auto" w:before="63"/>
        <w:ind w:right="0"/>
        <w:jc w:val="left"/>
      </w:pPr>
      <w:r>
        <w:rPr>
          <w:rFonts w:ascii="Times New Roman" w:hAnsi="Times New Roman" w:cs="Times New Roman" w:eastAsia="Times New Roman" w:hint="default"/>
        </w:rPr>
        <w:t>4</w:t>
      </w:r>
      <w:r>
        <w:rPr/>
        <w:t>、年末余额中欠关联方情况，详见附注十一、</w:t>
      </w:r>
      <w:r>
        <w:rPr>
          <w:rFonts w:ascii="Times New Roman" w:hAnsi="Times New Roman" w:cs="Times New Roman" w:eastAsia="Times New Roman" w:hint="default"/>
        </w:rPr>
        <w:t>(5)</w:t>
      </w:r>
      <w:r>
        <w:rPr/>
        <w:t>。</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22</w:t>
      </w:r>
      <w:r>
        <w:rPr/>
        <w:t>、预收款项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14,157,457.26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22,559,963.83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3,515,506.50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6,044,245.28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778,012.00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6,120.00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6,120.00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18,457,095.76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28,610,329.11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8"/>
              <w:jc w:val="righ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4,299,638.50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14"/>
              <w:jc w:val="right"/>
              <w:rPr>
                <w:rFonts w:ascii="宋体" w:hAnsi="宋体" w:cs="宋体" w:eastAsia="宋体" w:hint="default"/>
                <w:sz w:val="18"/>
                <w:szCs w:val="18"/>
              </w:rPr>
            </w:pPr>
            <w:r>
              <w:rPr>
                <w:rFonts w:ascii="宋体" w:hAnsi="宋体" w:cs="宋体" w:eastAsia="宋体" w:hint="default"/>
                <w:sz w:val="18"/>
                <w:szCs w:val="18"/>
              </w:rPr>
              <w:t>主要系公司预收客户购货定金</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4,299,638.50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0"/>
        <w:ind w:right="0"/>
        <w:jc w:val="left"/>
      </w:pPr>
      <w:r>
        <w:rPr/>
        <w:t>其他说明：</w:t>
      </w:r>
    </w:p>
    <w:p>
      <w:pPr>
        <w:pStyle w:val="BodyText"/>
        <w:spacing w:line="240" w:lineRule="auto" w:before="115"/>
        <w:ind w:right="0"/>
        <w:jc w:val="left"/>
      </w:pPr>
      <w:r>
        <w:rPr>
          <w:rFonts w:ascii="Times New Roman" w:hAnsi="Times New Roman" w:cs="Times New Roman" w:eastAsia="Times New Roman" w:hint="default"/>
        </w:rPr>
        <w:t>3</w:t>
      </w:r>
      <w:r>
        <w:rPr/>
        <w:t>、年末余额中无预收持本公司</w:t>
      </w:r>
      <w:r>
        <w:rPr>
          <w:rFonts w:ascii="Times New Roman" w:hAnsi="Times New Roman" w:cs="Times New Roman" w:eastAsia="Times New Roman" w:hint="default"/>
        </w:rPr>
        <w:t>5</w:t>
      </w:r>
      <w:r>
        <w:rPr/>
        <w:t>％以上</w:t>
      </w:r>
      <w:r>
        <w:rPr>
          <w:rFonts w:ascii="Times New Roman" w:hAnsi="Times New Roman" w:cs="Times New Roman" w:eastAsia="Times New Roman" w:hint="default"/>
        </w:rPr>
        <w:t>(</w:t>
      </w:r>
      <w:r>
        <w:rPr/>
        <w:t>含</w:t>
      </w:r>
      <w:r>
        <w:rPr>
          <w:rFonts w:ascii="Times New Roman" w:hAnsi="Times New Roman" w:cs="Times New Roman" w:eastAsia="Times New Roman" w:hint="default"/>
        </w:rPr>
        <w:t>5</w:t>
      </w:r>
      <w:r>
        <w:rPr/>
        <w:t>％</w:t>
      </w:r>
      <w:r>
        <w:rPr>
          <w:rFonts w:ascii="Times New Roman" w:hAnsi="Times New Roman" w:cs="Times New Roman" w:eastAsia="Times New Roman" w:hint="default"/>
        </w:rPr>
        <w:t>)</w:t>
      </w:r>
      <w:r>
        <w:rPr/>
        <w:t>表决权股份的股东单位款项。</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23</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24,398,434.72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220,838,456.89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218,332,726.77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26,904,164.84</w:t>
            </w:r>
          </w:p>
        </w:tc>
      </w:tr>
      <w:tr>
        <w:trPr>
          <w:trHeight w:val="71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1"/>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77,262.03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11,033,104.24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10,971,425.98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138,940.29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24,475,696.75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231,871,561.13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229,304,152.75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27,043,105.13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1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24,261,262.61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211,844,698.29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209,406,532.33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26,699,428.57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1,435,898.97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1,435,898.97</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49,094.75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2,905,632.34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2,887,475.92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67,251.17</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31,225.06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2,308,657.63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2,282,326.37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57,556.32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2,483.44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263,699.31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262,538.35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3,644.40</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2,181.67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333,275.40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329,406.62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6,050.45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其他保险</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13,204.58</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13,204.58</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39,323.00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4,614,231.81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4,545,237.81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108,317.00</w:t>
            </w:r>
          </w:p>
        </w:tc>
      </w:tr>
      <w:tr>
        <w:trPr>
          <w:trHeight w:val="716"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48,754.36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37,995.48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57,581.74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29,168.10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24,398,434.72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220,838,456.89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218,332,726.77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26,904,164.84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74,764.81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10,494,468.30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10,436,270.02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132,963.09</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2,497.22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538,635.94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535,155.96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5,977.20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77,262.03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11,033,104.24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10,971,425.98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138,940.29</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24</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6"/>
        <w:gridCol w:w="3192"/>
        <w:gridCol w:w="3190"/>
      </w:tblGrid>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38,776,338.73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17,428,580.84</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8,670,279.32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15,213,233.30</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1,001,884.19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711,425.07</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1,892,140.67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1,916,275.48</w:t>
            </w:r>
          </w:p>
        </w:tc>
      </w:tr>
      <w:tr>
        <w:trPr>
          <w:trHeight w:val="404"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477,823.10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570,270.24</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84,915.86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157,400.83</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863,248.08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891,913.08</w:t>
            </w:r>
          </w:p>
        </w:tc>
      </w:tr>
      <w:tr>
        <w:trPr>
          <w:trHeight w:val="401"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577,437.20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594,456.10</w:t>
            </w:r>
          </w:p>
        </w:tc>
      </w:tr>
      <w:tr>
        <w:trPr>
          <w:trHeight w:val="403" w:hRule="exact"/>
        </w:trPr>
        <w:tc>
          <w:tcPr>
            <w:tcW w:w="3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216,670.13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612,368.86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52,560,737.28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38,095,923.80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25</w:t>
      </w:r>
      <w:r>
        <w:rPr/>
        <w:t>、应付利息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87,083.34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4,795,555.62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4,795,555.59</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1,379,299.97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106,473.70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应付诉讼利息</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5,443,423.04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5,679,604.28</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11,705,361.97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10,581,633.57</w:t>
            </w:r>
          </w:p>
        </w:tc>
      </w:tr>
    </w:tbl>
    <w:p>
      <w:pPr>
        <w:pStyle w:val="BodyText"/>
        <w:spacing w:line="240" w:lineRule="auto" w:before="49"/>
        <w:ind w:right="0"/>
        <w:jc w:val="left"/>
      </w:pPr>
      <w:r>
        <w:rPr/>
        <w:t>重要的已逾期未支付的利息情况：</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26</w:t>
      </w:r>
      <w:r>
        <w:rPr/>
        <w:t>、应付股利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附回购义务的限制性股票的普通股股利</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317,036.41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317,036.41</w:t>
            </w:r>
          </w:p>
        </w:tc>
      </w:tr>
    </w:tbl>
    <w:p>
      <w:pPr>
        <w:pStyle w:val="BodyText"/>
        <w:spacing w:line="240" w:lineRule="auto" w:before="49"/>
        <w:ind w:right="0"/>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27</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尚未支付的报销款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5,232,474.12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3,185,853.77</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3,889,319.69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2,594,943.41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23,016,198.33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应付暂收款及其他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2,752,080.23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5,501,274.38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11,873,874.04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34,298,269.89</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3,622,173.37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合同规定暂扣的保证金及押金所致</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3,622,173.37</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7974"/>
        <w:jc w:val="left"/>
      </w:pPr>
      <w:r>
        <w:rPr/>
        <w:t>其他说明 按账龄列示其他应付款</w:t>
      </w:r>
    </w:p>
    <w:tbl>
      <w:tblPr>
        <w:tblW w:w="0" w:type="auto"/>
        <w:jc w:val="left"/>
        <w:tblInd w:w="131" w:type="dxa"/>
        <w:tblLayout w:type="fixed"/>
        <w:tblCellMar>
          <w:top w:w="0" w:type="dxa"/>
          <w:left w:w="0" w:type="dxa"/>
          <w:bottom w:w="0" w:type="dxa"/>
          <w:right w:w="0" w:type="dxa"/>
        </w:tblCellMar>
        <w:tblLook w:val="01E0"/>
      </w:tblPr>
      <w:tblGrid>
        <w:gridCol w:w="2927"/>
        <w:gridCol w:w="2806"/>
        <w:gridCol w:w="2806"/>
      </w:tblGrid>
      <w:tr>
        <w:trPr>
          <w:trHeight w:val="341" w:hRule="exact"/>
        </w:trPr>
        <w:tc>
          <w:tcPr>
            <w:tcW w:w="2927" w:type="dxa"/>
            <w:tcBorders>
              <w:top w:val="nil" w:sz="6" w:space="0" w:color="auto"/>
              <w:left w:val="nil" w:sz="6" w:space="0" w:color="auto"/>
              <w:bottom w:val="single" w:sz="6" w:space="0" w:color="000000"/>
              <w:right w:val="single" w:sz="6" w:space="0" w:color="000000"/>
            </w:tcBorders>
          </w:tcPr>
          <w:p>
            <w:pPr>
              <w:pStyle w:val="TableParagraph"/>
              <w:spacing w:line="233" w:lineRule="exact"/>
              <w:ind w:left="2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806" w:type="dxa"/>
            <w:tcBorders>
              <w:top w:val="nil" w:sz="6" w:space="0" w:color="auto"/>
              <w:left w:val="single" w:sz="6" w:space="0" w:color="000000"/>
              <w:bottom w:val="single" w:sz="6" w:space="0" w:color="000000"/>
              <w:right w:val="single" w:sz="6" w:space="0" w:color="000000"/>
            </w:tcBorders>
          </w:tcPr>
          <w:p>
            <w:pPr>
              <w:pStyle w:val="TableParagraph"/>
              <w:spacing w:line="233" w:lineRule="exact"/>
              <w:ind w:left="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2806" w:type="dxa"/>
            <w:tcBorders>
              <w:top w:val="nil" w:sz="6" w:space="0" w:color="auto"/>
              <w:left w:val="single" w:sz="6" w:space="0" w:color="000000"/>
              <w:bottom w:val="single" w:sz="6" w:space="0" w:color="000000"/>
              <w:right w:val="single" w:sz="6" w:space="0" w:color="000000"/>
            </w:tcBorders>
          </w:tcPr>
          <w:p>
            <w:pPr>
              <w:pStyle w:val="TableParagraph"/>
              <w:spacing w:line="233" w:lineRule="exact"/>
              <w:ind w:left="2"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36" w:hRule="exact"/>
        </w:trPr>
        <w:tc>
          <w:tcPr>
            <w:tcW w:w="2927" w:type="dxa"/>
            <w:tcBorders>
              <w:top w:val="single" w:sz="6" w:space="0" w:color="000000"/>
              <w:left w:val="nil" w:sz="6" w:space="0" w:color="auto"/>
              <w:bottom w:val="single" w:sz="6" w:space="0" w:color="000000"/>
              <w:right w:val="single" w:sz="6" w:space="0" w:color="000000"/>
            </w:tcBorders>
          </w:tcPr>
          <w:p>
            <w:pPr>
              <w:pStyle w:val="TableParagraph"/>
              <w:spacing w:line="237" w:lineRule="exact"/>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r>
              <w:rPr>
                <w:rFonts w:ascii="Times New Roman" w:hAnsi="Times New Roman" w:cs="Times New Roman" w:eastAsia="Times New Roman" w:hint="default"/>
                <w:sz w:val="18"/>
                <w:szCs w:val="18"/>
              </w:rPr>
              <w:t>)</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18"/>
                <w:szCs w:val="18"/>
              </w:rPr>
            </w:pPr>
            <w:r>
              <w:rPr>
                <w:rFonts w:ascii="Times New Roman"/>
                <w:spacing w:val="-1"/>
                <w:sz w:val="18"/>
              </w:rPr>
              <w:t>8,251,700.67</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18"/>
                <w:szCs w:val="18"/>
              </w:rPr>
            </w:pPr>
            <w:r>
              <w:rPr>
                <w:rFonts w:ascii="Times New Roman"/>
                <w:spacing w:val="-1"/>
                <w:sz w:val="18"/>
              </w:rPr>
              <w:t>32,519,767.36</w:t>
            </w:r>
          </w:p>
        </w:tc>
      </w:tr>
      <w:tr>
        <w:trPr>
          <w:trHeight w:val="336" w:hRule="exact"/>
        </w:trPr>
        <w:tc>
          <w:tcPr>
            <w:tcW w:w="2927" w:type="dxa"/>
            <w:tcBorders>
              <w:top w:val="single" w:sz="6" w:space="0" w:color="000000"/>
              <w:left w:val="nil" w:sz="6" w:space="0" w:color="auto"/>
              <w:bottom w:val="single" w:sz="6" w:space="0" w:color="000000"/>
              <w:right w:val="single" w:sz="6" w:space="0" w:color="000000"/>
            </w:tcBorders>
          </w:tcPr>
          <w:p>
            <w:pPr>
              <w:pStyle w:val="TableParagraph"/>
              <w:spacing w:line="237"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18"/>
                <w:szCs w:val="18"/>
              </w:rPr>
            </w:pPr>
            <w:r>
              <w:rPr>
                <w:rFonts w:ascii="Times New Roman"/>
                <w:spacing w:val="-1"/>
                <w:sz w:val="18"/>
              </w:rPr>
              <w:t>2,007,726.02</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18"/>
                <w:szCs w:val="18"/>
              </w:rPr>
            </w:pPr>
            <w:r>
              <w:rPr>
                <w:rFonts w:ascii="Times New Roman"/>
                <w:spacing w:val="-1"/>
                <w:sz w:val="18"/>
              </w:rPr>
              <w:t>507,072.31</w:t>
            </w:r>
          </w:p>
        </w:tc>
      </w:tr>
      <w:tr>
        <w:trPr>
          <w:trHeight w:val="339" w:hRule="exact"/>
        </w:trPr>
        <w:tc>
          <w:tcPr>
            <w:tcW w:w="2927" w:type="dxa"/>
            <w:tcBorders>
              <w:top w:val="single" w:sz="6" w:space="0" w:color="000000"/>
              <w:left w:val="nil" w:sz="6" w:space="0" w:color="auto"/>
              <w:bottom w:val="single" w:sz="6" w:space="0" w:color="000000"/>
              <w:right w:val="single" w:sz="6" w:space="0" w:color="000000"/>
            </w:tcBorders>
          </w:tcPr>
          <w:p>
            <w:pPr>
              <w:pStyle w:val="TableParagraph"/>
              <w:spacing w:line="240"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至</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362,340.93</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3"/>
              <w:ind w:right="0"/>
              <w:jc w:val="right"/>
              <w:rPr>
                <w:rFonts w:ascii="Times New Roman" w:hAnsi="Times New Roman" w:cs="Times New Roman" w:eastAsia="Times New Roman" w:hint="default"/>
                <w:sz w:val="18"/>
                <w:szCs w:val="18"/>
              </w:rPr>
            </w:pPr>
            <w:r>
              <w:rPr>
                <w:rFonts w:ascii="Times New Roman"/>
                <w:spacing w:val="-1"/>
                <w:sz w:val="18"/>
              </w:rPr>
              <w:t>259,548.82</w:t>
            </w:r>
          </w:p>
        </w:tc>
      </w:tr>
      <w:tr>
        <w:trPr>
          <w:trHeight w:val="336" w:hRule="exact"/>
        </w:trPr>
        <w:tc>
          <w:tcPr>
            <w:tcW w:w="2927" w:type="dxa"/>
            <w:tcBorders>
              <w:top w:val="single" w:sz="6" w:space="0" w:color="000000"/>
              <w:left w:val="nil" w:sz="6" w:space="0" w:color="auto"/>
              <w:bottom w:val="single" w:sz="6" w:space="0" w:color="000000"/>
              <w:right w:val="single" w:sz="6" w:space="0" w:color="000000"/>
            </w:tcBorders>
          </w:tcPr>
          <w:p>
            <w:pPr>
              <w:pStyle w:val="TableParagraph"/>
              <w:spacing w:line="237" w:lineRule="exact"/>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18"/>
                <w:szCs w:val="18"/>
              </w:rPr>
            </w:pPr>
            <w:r>
              <w:rPr>
                <w:rFonts w:ascii="Times New Roman"/>
                <w:spacing w:val="-1"/>
                <w:sz w:val="18"/>
              </w:rPr>
              <w:t>1,252,106.42</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18"/>
                <w:szCs w:val="18"/>
              </w:rPr>
            </w:pPr>
            <w:r>
              <w:rPr>
                <w:rFonts w:ascii="Times New Roman"/>
                <w:spacing w:val="-1"/>
                <w:sz w:val="18"/>
              </w:rPr>
              <w:t>1,011,881.40</w:t>
            </w:r>
          </w:p>
        </w:tc>
      </w:tr>
      <w:tr>
        <w:trPr>
          <w:trHeight w:val="338" w:hRule="exact"/>
        </w:trPr>
        <w:tc>
          <w:tcPr>
            <w:tcW w:w="2927" w:type="dxa"/>
            <w:tcBorders>
              <w:top w:val="single" w:sz="6" w:space="0" w:color="000000"/>
              <w:left w:val="nil" w:sz="6" w:space="0" w:color="auto"/>
              <w:bottom w:val="single" w:sz="6" w:space="0" w:color="000000"/>
              <w:right w:val="single" w:sz="6" w:space="0" w:color="000000"/>
            </w:tcBorders>
          </w:tcPr>
          <w:p>
            <w:pPr>
              <w:pStyle w:val="TableParagraph"/>
              <w:spacing w:line="224" w:lineRule="exact"/>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0"/>
              <w:jc w:val="right"/>
              <w:rPr>
                <w:rFonts w:ascii="Times New Roman" w:hAnsi="Times New Roman" w:cs="Times New Roman" w:eastAsia="Times New Roman" w:hint="default"/>
                <w:sz w:val="18"/>
                <w:szCs w:val="18"/>
              </w:rPr>
            </w:pPr>
            <w:r>
              <w:rPr>
                <w:rFonts w:ascii="Times New Roman"/>
                <w:spacing w:val="-1"/>
                <w:sz w:val="18"/>
              </w:rPr>
              <w:t>11,873,874.04</w:t>
            </w:r>
          </w:p>
        </w:tc>
        <w:tc>
          <w:tcPr>
            <w:tcW w:w="2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right="1"/>
              <w:jc w:val="right"/>
              <w:rPr>
                <w:rFonts w:ascii="Times New Roman" w:hAnsi="Times New Roman" w:cs="Times New Roman" w:eastAsia="Times New Roman" w:hint="default"/>
                <w:sz w:val="18"/>
                <w:szCs w:val="18"/>
              </w:rPr>
            </w:pPr>
            <w:r>
              <w:rPr>
                <w:rFonts w:ascii="Times New Roman"/>
                <w:spacing w:val="-1"/>
                <w:sz w:val="18"/>
              </w:rPr>
              <w:t>34,298,269.89</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Heading3"/>
        <w:spacing w:line="240" w:lineRule="auto" w:before="36"/>
        <w:ind w:right="0"/>
        <w:jc w:val="left"/>
        <w:rPr>
          <w:b w:val="0"/>
          <w:bCs w:val="0"/>
        </w:rPr>
      </w:pPr>
      <w:r>
        <w:rPr>
          <w:rFonts w:ascii="Times New Roman" w:hAnsi="Times New Roman" w:cs="Times New Roman" w:eastAsia="Times New Roman" w:hint="default"/>
        </w:rPr>
        <w:t>28</w:t>
      </w:r>
      <w:r>
        <w:rPr/>
        <w:t>、一年内到期的非流动负债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29</w:t>
      </w:r>
      <w:r>
        <w:rPr/>
        <w:t>、其他流动负债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电费</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480,044.98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预提运费等销售费用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887,094.42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2,685,233.70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预提差旅费等管理费用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735,983.12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待申报销项税</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38,181,668.68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887,094.42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42,082,930.48</w:t>
            </w:r>
          </w:p>
        </w:tc>
      </w:tr>
    </w:tbl>
    <w:p>
      <w:pPr>
        <w:pStyle w:val="BodyText"/>
        <w:spacing w:line="240" w:lineRule="auto" w:before="49"/>
        <w:ind w:right="0"/>
        <w:jc w:val="left"/>
      </w:pPr>
      <w:r>
        <w:rPr/>
        <w:t>短期应付债券的增减变动：</w:t>
      </w:r>
    </w:p>
    <w:p>
      <w:pPr>
        <w:pStyle w:val="BodyText"/>
        <w:spacing w:line="240" w:lineRule="auto" w:before="115"/>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8"/>
        <w:gridCol w:w="798"/>
        <w:gridCol w:w="799"/>
        <w:gridCol w:w="798"/>
        <w:gridCol w:w="797"/>
      </w:tblGrid>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32" w:hanging="92"/>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3" w:right="35"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30</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161,600,000.00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161,600,000.00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7614"/>
        <w:jc w:val="left"/>
      </w:pPr>
      <w:r>
        <w:rPr/>
        <w:t>长期借款分类的说明： 其他说明，包括利率区间：</w:t>
      </w:r>
    </w:p>
    <w:p>
      <w:pPr>
        <w:spacing w:line="240" w:lineRule="auto" w:before="2"/>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31</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证通</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01</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318,388,521.01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317,861,839.56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证通</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02</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79,597,154.61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79,465,484.25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397,985,675.62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397,327,323.81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9"/>
        <w:gridCol w:w="797"/>
        <w:gridCol w:w="799"/>
        <w:gridCol w:w="797"/>
        <w:gridCol w:w="800"/>
        <w:gridCol w:w="797"/>
        <w:gridCol w:w="799"/>
        <w:gridCol w:w="797"/>
        <w:gridCol w:w="799"/>
        <w:gridCol w:w="797"/>
      </w:tblGrid>
      <w:tr>
        <w:trPr>
          <w:trHeight w:val="713"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证通</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320,000,0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2015.10.2</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五年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317,190,0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317,861,8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39.56</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526,681.4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318,388,5</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21.01</w:t>
            </w:r>
          </w:p>
        </w:tc>
      </w:tr>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证通</w:t>
            </w:r>
          </w:p>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80,000,00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2015.10.3</w:t>
            </w:r>
          </w:p>
          <w:p>
            <w:pPr>
              <w:pStyle w:val="TableParagraph"/>
              <w:spacing w:line="240" w:lineRule="auto" w:before="102"/>
              <w:ind w:left="24"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五年</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79,440,00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79,465,48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4.25</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131,670.3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79,597,15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4.61</w:t>
            </w:r>
          </w:p>
        </w:tc>
      </w:tr>
      <w:tr>
        <w:trPr>
          <w:trHeight w:val="71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396,630,0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397,327,3</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23.81</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658,351.8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397,985,6</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75.62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32</w:t>
      </w:r>
      <w:r>
        <w:rPr/>
        <w:t>、长期应付款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售后回租融资租赁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85,928,008.10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115,319,372.35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85,928,008.10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115,319,372.35</w:t>
            </w: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r>
        <w:rPr/>
        <w:pict>
          <v:group style="position:absolute;margin-left:110.059998pt;margin-top:494.349976pt;width:52.8pt;height:54.6pt;mso-position-horizontal-relative:page;mso-position-vertical-relative:page;z-index:-1152352" coordorigin="2201,9887" coordsize="1056,1092">
            <v:shape style="position:absolute;left:2201;top:9887;width:1056;height:1092" coordorigin="2201,9887" coordsize="1056,1092" path="m2201,10979l3257,10979,3257,9887,2201,9887,2201,10979xe" filled="true" fillcolor="#ffffff" stroked="false">
              <v:path arrowok="t"/>
              <v:fill type="solid"/>
            </v:shape>
            <w10:wrap type="none"/>
          </v:group>
        </w:pict>
      </w:r>
    </w:p>
    <w:p>
      <w:pPr>
        <w:pStyle w:val="Heading3"/>
        <w:spacing w:line="240" w:lineRule="auto" w:before="36"/>
        <w:ind w:right="0"/>
        <w:jc w:val="left"/>
        <w:rPr>
          <w:b w:val="0"/>
          <w:bCs w:val="0"/>
        </w:rPr>
      </w:pPr>
      <w:r>
        <w:rPr>
          <w:rFonts w:ascii="Times New Roman" w:hAnsi="Times New Roman" w:cs="Times New Roman" w:eastAsia="Times New Roman" w:hint="default"/>
        </w:rPr>
        <w:t>33</w:t>
      </w:r>
      <w:r>
        <w:rPr/>
        <w:t>、预计负债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3"/>
        <w:gridCol w:w="2393"/>
      </w:tblGrid>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22,912,236.79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5,334,800.00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维护费</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22,912,236.79</w:t>
            </w:r>
          </w:p>
        </w:tc>
        <w:tc>
          <w:tcPr>
            <w:tcW w:w="239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5,334,800.00</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其他说明，包括重要预计负债的相关重要假设、估计说明：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34</w:t>
      </w:r>
      <w:r>
        <w:rPr/>
        <w:t>、递延收益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4"/>
        <w:gridCol w:w="1596"/>
        <w:gridCol w:w="1594"/>
        <w:gridCol w:w="1594"/>
      </w:tblGrid>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4"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61,603,333.34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37,597,666.67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24,005,666.67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9"/>
              <w:jc w:val="right"/>
              <w:rPr>
                <w:rFonts w:ascii="宋体" w:hAnsi="宋体" w:cs="宋体" w:eastAsia="宋体" w:hint="default"/>
                <w:sz w:val="18"/>
                <w:szCs w:val="18"/>
              </w:rPr>
            </w:pPr>
            <w:r>
              <w:rPr>
                <w:rFonts w:ascii="宋体" w:hAnsi="宋体" w:cs="宋体" w:eastAsia="宋体" w:hint="default"/>
                <w:sz w:val="18"/>
                <w:szCs w:val="18"/>
              </w:rPr>
              <w:t>政府补助项目</w:t>
            </w:r>
          </w:p>
        </w:tc>
      </w:tr>
      <w:tr>
        <w:trPr>
          <w:trHeight w:val="401" w:hRule="exact"/>
        </w:trPr>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61,603,333.34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37,597,666.67</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24,005,666.67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涉及政府补助的项目：</w:t>
      </w:r>
    </w:p>
    <w:p>
      <w:pPr>
        <w:pStyle w:val="BodyText"/>
        <w:spacing w:line="240" w:lineRule="auto" w:before="117"/>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56" w:right="75"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6" w:right="74"/>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76" w:right="72"/>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79" w:right="72"/>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6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97" w:lineRule="auto"/>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7"/>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金融支付</w:t>
            </w:r>
            <w:r>
              <w:rPr>
                <w:rFonts w:ascii="宋体" w:hAnsi="宋体" w:cs="宋体" w:eastAsia="宋体" w:hint="default"/>
                <w:w w:val="99"/>
                <w:sz w:val="18"/>
                <w:szCs w:val="18"/>
              </w:rPr>
              <w:t> </w:t>
            </w:r>
            <w:r>
              <w:rPr>
                <w:rFonts w:ascii="宋体" w:hAnsi="宋体" w:cs="宋体" w:eastAsia="宋体" w:hint="default"/>
                <w:sz w:val="18"/>
                <w:szCs w:val="18"/>
              </w:rPr>
              <w:t>信息安全产</w:t>
            </w:r>
            <w:r>
              <w:rPr>
                <w:rFonts w:ascii="宋体" w:hAnsi="宋体" w:cs="宋体" w:eastAsia="宋体" w:hint="default"/>
                <w:w w:val="99"/>
                <w:sz w:val="18"/>
                <w:szCs w:val="18"/>
              </w:rPr>
              <w:t> </w:t>
            </w:r>
            <w:r>
              <w:rPr>
                <w:rFonts w:ascii="宋体" w:hAnsi="宋体" w:cs="宋体" w:eastAsia="宋体" w:hint="default"/>
                <w:sz w:val="18"/>
                <w:szCs w:val="18"/>
              </w:rPr>
              <w:t>品技术改造</w:t>
            </w:r>
            <w:r>
              <w:rPr>
                <w:rFonts w:ascii="宋体" w:hAnsi="宋体" w:cs="宋体" w:eastAsia="宋体" w:hint="default"/>
                <w:w w:val="99"/>
                <w:sz w:val="18"/>
                <w:szCs w:val="18"/>
              </w:rPr>
              <w:t> </w:t>
            </w:r>
            <w:r>
              <w:rPr>
                <w:rFonts w:ascii="宋体" w:hAnsi="宋体" w:cs="宋体" w:eastAsia="宋体" w:hint="default"/>
                <w:sz w:val="18"/>
                <w:szCs w:val="18"/>
              </w:rPr>
              <w:t>产业化</w:t>
            </w:r>
            <w:r>
              <w:rPr>
                <w:rFonts w:ascii="Times New Roman" w:hAnsi="Times New Roman" w:cs="Times New Roman" w:eastAsia="Times New Roman" w:hint="default"/>
                <w:sz w:val="18"/>
                <w:szCs w:val="18"/>
              </w:rPr>
              <w:t>(</w:t>
            </w:r>
            <w:r>
              <w:rPr>
                <w:rFonts w:ascii="宋体" w:hAnsi="宋体" w:cs="宋体" w:eastAsia="宋体" w:hint="default"/>
                <w:sz w:val="18"/>
                <w:szCs w:val="18"/>
              </w:rPr>
              <w:t>中央</w:t>
            </w:r>
            <w:r>
              <w:rPr>
                <w:rFonts w:ascii="宋体" w:hAnsi="宋体" w:cs="宋体" w:eastAsia="宋体" w:hint="default"/>
                <w:w w:val="99"/>
                <w:sz w:val="18"/>
                <w:szCs w:val="18"/>
              </w:rPr>
              <w:t> </w:t>
            </w:r>
            <w:r>
              <w:rPr>
                <w:rFonts w:ascii="宋体" w:hAnsi="宋体" w:cs="宋体" w:eastAsia="宋体" w:hint="default"/>
                <w:sz w:val="18"/>
                <w:szCs w:val="18"/>
              </w:rPr>
              <w:t>预算内投资</w:t>
            </w:r>
            <w:r>
              <w:rPr>
                <w:rFonts w:ascii="Times New Roman" w:hAnsi="Times New Roman" w:cs="Times New Roman" w:eastAsia="Times New Roman" w:hint="default"/>
                <w:sz w:val="18"/>
                <w:szCs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58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9"/>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深圳市生</w:t>
            </w:r>
            <w:r>
              <w:rPr>
                <w:rFonts w:ascii="宋体" w:hAnsi="宋体" w:cs="宋体" w:eastAsia="宋体" w:hint="default"/>
                <w:w w:val="99"/>
                <w:sz w:val="18"/>
                <w:szCs w:val="18"/>
              </w:rPr>
              <w:t> </w:t>
            </w:r>
            <w:r>
              <w:rPr>
                <w:rFonts w:ascii="宋体" w:hAnsi="宋体" w:cs="宋体" w:eastAsia="宋体" w:hint="default"/>
                <w:sz w:val="18"/>
                <w:szCs w:val="18"/>
              </w:rPr>
              <w:t>物、互联网</w:t>
            </w:r>
            <w:r>
              <w:rPr>
                <w:rFonts w:ascii="宋体" w:hAnsi="宋体" w:cs="宋体" w:eastAsia="宋体" w:hint="default"/>
                <w:w w:val="99"/>
                <w:sz w:val="18"/>
                <w:szCs w:val="18"/>
              </w:rPr>
              <w:t> </w:t>
            </w:r>
            <w:r>
              <w:rPr>
                <w:rFonts w:ascii="宋体" w:hAnsi="宋体" w:cs="宋体" w:eastAsia="宋体" w:hint="default"/>
                <w:sz w:val="18"/>
                <w:szCs w:val="18"/>
              </w:rPr>
              <w:t>新能源产业</w:t>
            </w:r>
            <w:r>
              <w:rPr>
                <w:rFonts w:ascii="宋体" w:hAnsi="宋体" w:cs="宋体" w:eastAsia="宋体" w:hint="default"/>
                <w:w w:val="99"/>
                <w:sz w:val="18"/>
                <w:szCs w:val="18"/>
              </w:rPr>
              <w:t> </w:t>
            </w:r>
            <w:r>
              <w:rPr>
                <w:rFonts w:ascii="宋体" w:hAnsi="宋体" w:cs="宋体" w:eastAsia="宋体" w:hint="default"/>
                <w:sz w:val="18"/>
                <w:szCs w:val="18"/>
              </w:rPr>
              <w:t>发展专项紫</w:t>
            </w:r>
            <w:r>
              <w:rPr>
                <w:rFonts w:ascii="宋体" w:hAnsi="宋体" w:cs="宋体" w:eastAsia="宋体" w:hint="default"/>
                <w:w w:val="99"/>
                <w:sz w:val="18"/>
                <w:szCs w:val="18"/>
              </w:rPr>
              <w:t> </w:t>
            </w:r>
            <w:r>
              <w:rPr>
                <w:rFonts w:ascii="宋体" w:hAnsi="宋体" w:cs="宋体" w:eastAsia="宋体" w:hint="default"/>
                <w:sz w:val="18"/>
                <w:szCs w:val="18"/>
              </w:rPr>
              <w:t>金香基于云</w:t>
            </w:r>
            <w:r>
              <w:rPr>
                <w:rFonts w:ascii="宋体" w:hAnsi="宋体" w:cs="宋体" w:eastAsia="宋体" w:hint="default"/>
                <w:w w:val="99"/>
                <w:sz w:val="18"/>
                <w:szCs w:val="18"/>
              </w:rPr>
              <w:t> </w:t>
            </w:r>
            <w:r>
              <w:rPr>
                <w:rFonts w:ascii="宋体" w:hAnsi="宋体" w:cs="宋体" w:eastAsia="宋体" w:hint="default"/>
                <w:sz w:val="18"/>
                <w:szCs w:val="18"/>
              </w:rPr>
              <w:t>计算的安全</w:t>
            </w:r>
            <w:r>
              <w:rPr>
                <w:rFonts w:ascii="宋体" w:hAnsi="宋体" w:cs="宋体" w:eastAsia="宋体" w:hint="default"/>
                <w:w w:val="99"/>
                <w:sz w:val="18"/>
                <w:szCs w:val="18"/>
              </w:rPr>
              <w:t> </w:t>
            </w:r>
            <w:r>
              <w:rPr>
                <w:rFonts w:ascii="宋体" w:hAnsi="宋体" w:cs="宋体" w:eastAsia="宋体" w:hint="default"/>
                <w:sz w:val="18"/>
                <w:szCs w:val="18"/>
              </w:rPr>
              <w:t>支付平台关</w:t>
            </w:r>
            <w:r>
              <w:rPr>
                <w:rFonts w:ascii="宋体" w:hAnsi="宋体" w:cs="宋体" w:eastAsia="宋体" w:hint="default"/>
                <w:w w:val="99"/>
                <w:sz w:val="18"/>
                <w:szCs w:val="18"/>
              </w:rPr>
              <w:t> </w:t>
            </w:r>
            <w:r>
              <w:rPr>
                <w:rFonts w:ascii="宋体" w:hAnsi="宋体" w:cs="宋体" w:eastAsia="宋体" w:hint="default"/>
                <w:sz w:val="18"/>
                <w:szCs w:val="18"/>
              </w:rPr>
              <w:t>键技术研究</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86" w:right="0"/>
              <w:jc w:val="left"/>
              <w:rPr>
                <w:rFonts w:ascii="Times New Roman" w:hAnsi="Times New Roman" w:cs="Times New Roman" w:eastAsia="Times New Roman" w:hint="default"/>
                <w:sz w:val="18"/>
                <w:szCs w:val="18"/>
              </w:rPr>
            </w:pPr>
            <w:r>
              <w:rPr>
                <w:rFonts w:ascii="Times New Roman"/>
                <w:sz w:val="18"/>
              </w:rPr>
              <w:t>4,000,000.00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24" w:right="45"/>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高性能嵌</w:t>
            </w:r>
            <w:r>
              <w:rPr>
                <w:rFonts w:ascii="宋体" w:hAnsi="宋体" w:cs="宋体" w:eastAsia="宋体" w:hint="default"/>
                <w:w w:val="99"/>
                <w:sz w:val="18"/>
                <w:szCs w:val="18"/>
              </w:rPr>
              <w:t> </w:t>
            </w:r>
            <w:r>
              <w:rPr>
                <w:rFonts w:ascii="宋体" w:hAnsi="宋体" w:cs="宋体" w:eastAsia="宋体" w:hint="default"/>
                <w:sz w:val="18"/>
                <w:szCs w:val="18"/>
              </w:rPr>
              <w:t>入式金融安</w:t>
            </w:r>
            <w:r>
              <w:rPr>
                <w:rFonts w:ascii="宋体" w:hAnsi="宋体" w:cs="宋体" w:eastAsia="宋体" w:hint="default"/>
                <w:w w:val="99"/>
                <w:sz w:val="18"/>
                <w:szCs w:val="18"/>
              </w:rPr>
              <w:t> </w:t>
            </w:r>
            <w:r>
              <w:rPr>
                <w:rFonts w:ascii="宋体" w:hAnsi="宋体" w:cs="宋体" w:eastAsia="宋体" w:hint="default"/>
                <w:sz w:val="18"/>
                <w:szCs w:val="18"/>
              </w:rPr>
              <w:t>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设计 及产业化</w:t>
            </w:r>
            <w:r>
              <w:rPr>
                <w:rFonts w:ascii="Times New Roman" w:hAnsi="Times New Roman" w:cs="Times New Roman" w:eastAsia="Times New Roman" w:hint="default"/>
                <w:sz w:val="18"/>
                <w:szCs w:val="18"/>
              </w:rPr>
              <w:t>(</w:t>
            </w:r>
            <w:r>
              <w:rPr>
                <w:rFonts w:ascii="宋体" w:hAnsi="宋体" w:cs="宋体" w:eastAsia="宋体" w:hint="default"/>
                <w:sz w:val="18"/>
                <w:szCs w:val="18"/>
              </w:rPr>
              <w:t>广 东产学研资 助项目</w:t>
            </w:r>
            <w:r>
              <w:rPr>
                <w:rFonts w:ascii="Times New Roman" w:hAnsi="Times New Roman" w:cs="Times New Roman" w:eastAsia="Times New Roman" w:hint="default"/>
                <w:sz w:val="18"/>
                <w:szCs w:val="18"/>
              </w:rPr>
              <w:t>)</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88,333.34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17,666.67</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70,666.67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基于云计</w:t>
            </w:r>
            <w:r>
              <w:rPr>
                <w:rFonts w:ascii="宋体" w:hAnsi="宋体" w:cs="宋体" w:eastAsia="宋体" w:hint="default"/>
                <w:w w:val="99"/>
                <w:sz w:val="18"/>
                <w:szCs w:val="18"/>
              </w:rPr>
              <w:t> </w:t>
            </w:r>
            <w:r>
              <w:rPr>
                <w:rFonts w:ascii="宋体" w:hAnsi="宋体" w:cs="宋体" w:eastAsia="宋体" w:hint="default"/>
                <w:sz w:val="18"/>
                <w:szCs w:val="18"/>
              </w:rPr>
              <w:t>算平台的金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129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29"/>
              <w:jc w:val="both"/>
              <w:rPr>
                <w:rFonts w:ascii="宋体" w:hAnsi="宋体" w:cs="宋体" w:eastAsia="宋体" w:hint="default"/>
                <w:sz w:val="18"/>
                <w:szCs w:val="18"/>
              </w:rPr>
            </w:pPr>
            <w:r>
              <w:rPr>
                <w:rFonts w:ascii="宋体" w:hAnsi="宋体" w:cs="宋体" w:eastAsia="宋体" w:hint="default"/>
                <w:sz w:val="18"/>
                <w:szCs w:val="18"/>
              </w:rPr>
              <w:t>融电子透明 支付关键技 术研发与应 用示范</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9"/>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基于超级</w:t>
            </w:r>
            <w:r>
              <w:rPr>
                <w:rFonts w:ascii="宋体" w:hAnsi="宋体" w:cs="宋体" w:eastAsia="宋体" w:hint="default"/>
                <w:w w:val="99"/>
                <w:sz w:val="18"/>
                <w:szCs w:val="18"/>
              </w:rPr>
              <w:t> </w:t>
            </w:r>
            <w:r>
              <w:rPr>
                <w:rFonts w:ascii="宋体" w:hAnsi="宋体" w:cs="宋体" w:eastAsia="宋体" w:hint="default"/>
                <w:sz w:val="18"/>
                <w:szCs w:val="18"/>
              </w:rPr>
              <w:t>计算的金融</w:t>
            </w:r>
            <w:r>
              <w:rPr>
                <w:rFonts w:ascii="宋体" w:hAnsi="宋体" w:cs="宋体" w:eastAsia="宋体" w:hint="default"/>
                <w:w w:val="99"/>
                <w:sz w:val="18"/>
                <w:szCs w:val="18"/>
              </w:rPr>
              <w:t> </w:t>
            </w:r>
            <w:r>
              <w:rPr>
                <w:rFonts w:ascii="宋体" w:hAnsi="宋体" w:cs="宋体" w:eastAsia="宋体" w:hint="default"/>
                <w:sz w:val="18"/>
                <w:szCs w:val="18"/>
              </w:rPr>
              <w:t>安全云支付</w:t>
            </w:r>
            <w:r>
              <w:rPr>
                <w:rFonts w:ascii="宋体" w:hAnsi="宋体" w:cs="宋体" w:eastAsia="宋体" w:hint="default"/>
                <w:w w:val="99"/>
                <w:sz w:val="18"/>
                <w:szCs w:val="18"/>
              </w:rPr>
              <w:t> </w:t>
            </w:r>
            <w:r>
              <w:rPr>
                <w:rFonts w:ascii="宋体" w:hAnsi="宋体" w:cs="宋体" w:eastAsia="宋体" w:hint="default"/>
                <w:sz w:val="18"/>
                <w:szCs w:val="18"/>
              </w:rPr>
              <w:t>平台研发与</w:t>
            </w:r>
            <w:r>
              <w:rPr>
                <w:rFonts w:ascii="宋体" w:hAnsi="宋体" w:cs="宋体" w:eastAsia="宋体" w:hint="default"/>
                <w:w w:val="99"/>
                <w:sz w:val="18"/>
                <w:szCs w:val="18"/>
              </w:rPr>
              <w:t> </w:t>
            </w:r>
            <w:r>
              <w:rPr>
                <w:rFonts w:ascii="宋体" w:hAnsi="宋体" w:cs="宋体" w:eastAsia="宋体" w:hint="default"/>
                <w:sz w:val="18"/>
                <w:szCs w:val="18"/>
              </w:rPr>
              <w:t>产业化</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4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关于年产</w:t>
            </w:r>
          </w:p>
          <w:p>
            <w:pPr>
              <w:pStyle w:val="TableParagraph"/>
              <w:spacing w:line="300" w:lineRule="auto" w:before="63"/>
              <w:ind w:left="24" w:right="33"/>
              <w:jc w:val="both"/>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万套太阳 能</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路灯 产业化项目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9"/>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基于国密</w:t>
            </w:r>
            <w:r>
              <w:rPr>
                <w:rFonts w:ascii="宋体" w:hAnsi="宋体" w:cs="宋体" w:eastAsia="宋体" w:hint="default"/>
                <w:w w:val="99"/>
                <w:sz w:val="18"/>
                <w:szCs w:val="18"/>
              </w:rPr>
              <w:t> </w:t>
            </w:r>
            <w:r>
              <w:rPr>
                <w:rFonts w:ascii="宋体" w:hAnsi="宋体" w:cs="宋体" w:eastAsia="宋体" w:hint="default"/>
                <w:sz w:val="18"/>
                <w:szCs w:val="18"/>
              </w:rPr>
              <w:t>标准的金融</w:t>
            </w:r>
            <w:r>
              <w:rPr>
                <w:rFonts w:ascii="宋体" w:hAnsi="宋体" w:cs="宋体" w:eastAsia="宋体" w:hint="default"/>
                <w:w w:val="99"/>
                <w:sz w:val="18"/>
                <w:szCs w:val="18"/>
              </w:rPr>
              <w:t> </w:t>
            </w:r>
            <w:r>
              <w:rPr>
                <w:rFonts w:ascii="宋体" w:hAnsi="宋体" w:cs="宋体" w:eastAsia="宋体" w:hint="default"/>
                <w:sz w:val="18"/>
                <w:szCs w:val="18"/>
              </w:rPr>
              <w:t>数据安全集</w:t>
            </w:r>
            <w:r>
              <w:rPr>
                <w:rFonts w:ascii="宋体" w:hAnsi="宋体" w:cs="宋体" w:eastAsia="宋体" w:hint="default"/>
                <w:w w:val="99"/>
                <w:sz w:val="18"/>
                <w:szCs w:val="18"/>
              </w:rPr>
              <w:t> </w:t>
            </w:r>
            <w:r>
              <w:rPr>
                <w:rFonts w:ascii="宋体" w:hAnsi="宋体" w:cs="宋体" w:eastAsia="宋体" w:hint="default"/>
                <w:sz w:val="18"/>
                <w:szCs w:val="18"/>
              </w:rPr>
              <w:t>群加密服务</w:t>
            </w:r>
            <w:r>
              <w:rPr>
                <w:rFonts w:ascii="宋体" w:hAnsi="宋体" w:cs="宋体" w:eastAsia="宋体" w:hint="default"/>
                <w:w w:val="99"/>
                <w:sz w:val="18"/>
                <w:szCs w:val="18"/>
              </w:rPr>
              <w:t> </w:t>
            </w:r>
            <w:r>
              <w:rPr>
                <w:rFonts w:ascii="宋体" w:hAnsi="宋体" w:cs="宋体" w:eastAsia="宋体" w:hint="default"/>
                <w:sz w:val="18"/>
                <w:szCs w:val="18"/>
              </w:rPr>
              <w:t>平台研发项</w:t>
            </w:r>
            <w:r>
              <w:rPr>
                <w:rFonts w:ascii="宋体" w:hAnsi="宋体" w:cs="宋体" w:eastAsia="宋体" w:hint="default"/>
                <w:w w:val="99"/>
                <w:sz w:val="18"/>
                <w:szCs w:val="18"/>
              </w:rPr>
              <w:t> </w:t>
            </w:r>
            <w:r>
              <w:rPr>
                <w:rFonts w:ascii="宋体" w:hAnsi="宋体" w:cs="宋体" w:eastAsia="宋体" w:hint="default"/>
                <w:sz w:val="18"/>
                <w:szCs w:val="18"/>
              </w:rPr>
              <w:t>目</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29"/>
              <w:jc w:val="both"/>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深圳市科</w:t>
            </w:r>
            <w:r>
              <w:rPr>
                <w:rFonts w:ascii="宋体" w:hAnsi="宋体" w:cs="宋体" w:eastAsia="宋体" w:hint="default"/>
                <w:w w:val="99"/>
                <w:sz w:val="18"/>
                <w:szCs w:val="18"/>
              </w:rPr>
              <w:t> </w:t>
            </w:r>
            <w:r>
              <w:rPr>
                <w:rFonts w:ascii="宋体" w:hAnsi="宋体" w:cs="宋体" w:eastAsia="宋体" w:hint="default"/>
                <w:sz w:val="18"/>
                <w:szCs w:val="18"/>
              </w:rPr>
              <w:t>技研发技术</w:t>
            </w:r>
            <w:r>
              <w:rPr>
                <w:rFonts w:ascii="宋体" w:hAnsi="宋体" w:cs="宋体" w:eastAsia="宋体" w:hint="default"/>
                <w:w w:val="99"/>
                <w:sz w:val="18"/>
                <w:szCs w:val="18"/>
              </w:rPr>
              <w:t> </w:t>
            </w:r>
            <w:r>
              <w:rPr>
                <w:rFonts w:ascii="宋体" w:hAnsi="宋体" w:cs="宋体" w:eastAsia="宋体" w:hint="default"/>
                <w:sz w:val="18"/>
                <w:szCs w:val="18"/>
              </w:rPr>
              <w:t>创新资金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7"/>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基于国密</w:t>
            </w:r>
            <w:r>
              <w:rPr>
                <w:rFonts w:ascii="宋体" w:hAnsi="宋体" w:cs="宋体" w:eastAsia="宋体" w:hint="default"/>
                <w:w w:val="99"/>
                <w:sz w:val="18"/>
                <w:szCs w:val="18"/>
              </w:rPr>
              <w:t> </w:t>
            </w:r>
            <w:r>
              <w:rPr>
                <w:rFonts w:ascii="宋体" w:hAnsi="宋体" w:cs="宋体" w:eastAsia="宋体" w:hint="default"/>
                <w:sz w:val="18"/>
                <w:szCs w:val="18"/>
              </w:rPr>
              <w:t>算法的高安</w:t>
            </w:r>
            <w:r>
              <w:rPr>
                <w:rFonts w:ascii="宋体" w:hAnsi="宋体" w:cs="宋体" w:eastAsia="宋体" w:hint="default"/>
                <w:w w:val="99"/>
                <w:sz w:val="18"/>
                <w:szCs w:val="18"/>
              </w:rPr>
              <w:t> </w:t>
            </w:r>
            <w:r>
              <w:rPr>
                <w:rFonts w:ascii="宋体" w:hAnsi="宋体" w:cs="宋体" w:eastAsia="宋体" w:hint="default"/>
                <w:sz w:val="18"/>
                <w:szCs w:val="18"/>
              </w:rPr>
              <w:t>全性移动智</w:t>
            </w:r>
            <w:r>
              <w:rPr>
                <w:rFonts w:ascii="宋体" w:hAnsi="宋体" w:cs="宋体" w:eastAsia="宋体" w:hint="default"/>
                <w:w w:val="99"/>
                <w:sz w:val="18"/>
                <w:szCs w:val="18"/>
              </w:rPr>
              <w:t> </w:t>
            </w:r>
            <w:r>
              <w:rPr>
                <w:rFonts w:ascii="宋体" w:hAnsi="宋体" w:cs="宋体" w:eastAsia="宋体" w:hint="default"/>
                <w:sz w:val="18"/>
                <w:szCs w:val="18"/>
              </w:rPr>
              <w:t>能支付终端</w:t>
            </w:r>
            <w:r>
              <w:rPr>
                <w:rFonts w:ascii="宋体" w:hAnsi="宋体" w:cs="宋体" w:eastAsia="宋体" w:hint="default"/>
                <w:w w:val="99"/>
                <w:sz w:val="18"/>
                <w:szCs w:val="18"/>
              </w:rPr>
              <w:t> </w:t>
            </w:r>
            <w:r>
              <w:rPr>
                <w:rFonts w:ascii="宋体" w:hAnsi="宋体" w:cs="宋体" w:eastAsia="宋体" w:hint="default"/>
                <w:sz w:val="18"/>
                <w:szCs w:val="18"/>
              </w:rPr>
              <w:t>产品产业化</w:t>
            </w:r>
            <w:r>
              <w:rPr>
                <w:rFonts w:ascii="宋体" w:hAnsi="宋体" w:cs="宋体" w:eastAsia="宋体" w:hint="default"/>
                <w:w w:val="99"/>
                <w:sz w:val="18"/>
                <w:szCs w:val="18"/>
              </w:rPr>
              <w:t> </w:t>
            </w:r>
            <w:r>
              <w:rPr>
                <w:rFonts w:ascii="宋体" w:hAnsi="宋体" w:cs="宋体" w:eastAsia="宋体" w:hint="default"/>
                <w:sz w:val="18"/>
                <w:szCs w:val="18"/>
              </w:rPr>
              <w:t>项目资金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1"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面向金融</w:t>
            </w:r>
            <w:r>
              <w:rPr>
                <w:rFonts w:ascii="宋体" w:hAnsi="宋体" w:cs="宋体" w:eastAsia="宋体" w:hint="default"/>
                <w:w w:val="99"/>
                <w:sz w:val="18"/>
                <w:szCs w:val="18"/>
              </w:rPr>
              <w:t> </w:t>
            </w:r>
            <w:r>
              <w:rPr>
                <w:rFonts w:ascii="宋体" w:hAnsi="宋体" w:cs="宋体" w:eastAsia="宋体" w:hint="default"/>
                <w:sz w:val="18"/>
                <w:szCs w:val="18"/>
              </w:rPr>
              <w:t>领域的密码</w:t>
            </w:r>
            <w:r>
              <w:rPr>
                <w:rFonts w:ascii="宋体" w:hAnsi="宋体" w:cs="宋体" w:eastAsia="宋体" w:hint="default"/>
                <w:w w:val="99"/>
                <w:sz w:val="18"/>
                <w:szCs w:val="18"/>
              </w:rPr>
              <w:t> </w:t>
            </w:r>
            <w:r>
              <w:rPr>
                <w:rFonts w:ascii="宋体" w:hAnsi="宋体" w:cs="宋体" w:eastAsia="宋体" w:hint="default"/>
                <w:sz w:val="18"/>
                <w:szCs w:val="18"/>
              </w:rPr>
              <w:t>安全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芯 片产业化项 目资金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630,000.00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3,570,000.00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w:t>
            </w:r>
            <w:r>
              <w:rPr>
                <w:rFonts w:ascii="宋体" w:hAnsi="宋体" w:cs="宋体" w:eastAsia="宋体" w:hint="default"/>
                <w:sz w:val="18"/>
                <w:szCs w:val="18"/>
              </w:rPr>
              <w:t>高效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LED</w:t>
            </w:r>
          </w:p>
          <w:p>
            <w:pPr>
              <w:pStyle w:val="TableParagraph"/>
              <w:spacing w:line="319" w:lineRule="auto" w:before="63"/>
              <w:ind w:left="24" w:right="129"/>
              <w:jc w:val="both"/>
              <w:rPr>
                <w:rFonts w:ascii="宋体" w:hAnsi="宋体" w:cs="宋体" w:eastAsia="宋体" w:hint="default"/>
                <w:sz w:val="18"/>
                <w:szCs w:val="18"/>
              </w:rPr>
            </w:pPr>
            <w:r>
              <w:rPr>
                <w:rFonts w:ascii="宋体" w:hAnsi="宋体" w:cs="宋体" w:eastAsia="宋体" w:hint="default"/>
                <w:sz w:val="18"/>
                <w:szCs w:val="18"/>
              </w:rPr>
              <w:t>节能灯产品 研发及产业 化</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1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12)O2O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惠农</w:t>
            </w:r>
          </w:p>
          <w:p>
            <w:pPr>
              <w:pStyle w:val="TableParagraph"/>
              <w:spacing w:line="316" w:lineRule="auto" w:before="63"/>
              <w:ind w:left="24" w:right="129"/>
              <w:jc w:val="both"/>
              <w:rPr>
                <w:rFonts w:ascii="宋体" w:hAnsi="宋体" w:cs="宋体" w:eastAsia="宋体" w:hint="default"/>
                <w:sz w:val="18"/>
                <w:szCs w:val="18"/>
              </w:rPr>
            </w:pPr>
            <w:r>
              <w:rPr>
                <w:rFonts w:ascii="宋体" w:hAnsi="宋体" w:cs="宋体" w:eastAsia="宋体" w:hint="default"/>
                <w:sz w:val="18"/>
                <w:szCs w:val="18"/>
              </w:rPr>
              <w:t>商城电子商 务平台及终 端研发与产 业化项目资</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6,470,000.00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4"/>
                <w:szCs w:val="24"/>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6,470,000.00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64"/>
        <w:gridCol w:w="1066"/>
        <w:gridCol w:w="1064"/>
        <w:gridCol w:w="1063"/>
        <w:gridCol w:w="1061"/>
        <w:gridCol w:w="1063"/>
        <w:gridCol w:w="1063"/>
        <w:gridCol w:w="1064"/>
        <w:gridCol w:w="1063"/>
      </w:tblGrid>
      <w:tr>
        <w:trPr>
          <w:trHeight w:val="36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金</w:t>
            </w:r>
          </w:p>
        </w:tc>
        <w:tc>
          <w:tcPr>
            <w:tcW w:w="1066"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65"/>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厂房建设</w:t>
            </w:r>
            <w:r>
              <w:rPr>
                <w:rFonts w:ascii="宋体" w:hAnsi="宋体" w:cs="宋体" w:eastAsia="宋体" w:hint="default"/>
                <w:w w:val="99"/>
                <w:sz w:val="18"/>
                <w:szCs w:val="18"/>
              </w:rPr>
              <w:t> </w:t>
            </w:r>
            <w:r>
              <w:rPr>
                <w:rFonts w:ascii="宋体" w:hAnsi="宋体" w:cs="宋体" w:eastAsia="宋体" w:hint="default"/>
                <w:sz w:val="18"/>
                <w:szCs w:val="18"/>
              </w:rPr>
              <w:t>及设备购置</w:t>
            </w:r>
            <w:r>
              <w:rPr>
                <w:rFonts w:ascii="宋体" w:hAnsi="宋体" w:cs="宋体" w:eastAsia="宋体" w:hint="default"/>
                <w:w w:val="99"/>
                <w:sz w:val="18"/>
                <w:szCs w:val="18"/>
              </w:rPr>
              <w:t> </w:t>
            </w:r>
            <w:r>
              <w:rPr>
                <w:rFonts w:ascii="宋体" w:hAnsi="宋体" w:cs="宋体" w:eastAsia="宋体" w:hint="default"/>
                <w:sz w:val="18"/>
                <w:szCs w:val="18"/>
              </w:rPr>
              <w:t>补助</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13,820,000.0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13,820,000.0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61,603,333.3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16,127,666.6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21,470,000.0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24,005,666.6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35</w:t>
      </w:r>
      <w:r>
        <w:rPr/>
        <w:t>、其他非流动负债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分期收款销售商品待确认销项税额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5,394,130.04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17,518,690.50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5,394,130.04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17,518,690.50</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36</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单位：元</w:t>
      </w:r>
    </w:p>
    <w:p>
      <w:pPr>
        <w:spacing w:line="240" w:lineRule="auto" w:before="3"/>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198"/>
        <w:gridCol w:w="1196"/>
        <w:gridCol w:w="1195"/>
        <w:gridCol w:w="1198"/>
        <w:gridCol w:w="1195"/>
        <w:gridCol w:w="1185"/>
        <w:gridCol w:w="1208"/>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69"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69"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7" w:right="0"/>
              <w:jc w:val="left"/>
              <w:rPr>
                <w:rFonts w:ascii="Times New Roman" w:hAnsi="Times New Roman" w:cs="Times New Roman" w:eastAsia="Times New Roman" w:hint="default"/>
                <w:sz w:val="18"/>
                <w:szCs w:val="18"/>
              </w:rPr>
            </w:pPr>
            <w:r>
              <w:rPr>
                <w:rFonts w:ascii="Times New Roman"/>
                <w:sz w:val="18"/>
              </w:rPr>
              <w:t>519,678,668.00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8" w:right="0"/>
              <w:jc w:val="left"/>
              <w:rPr>
                <w:rFonts w:ascii="Times New Roman" w:hAnsi="Times New Roman" w:cs="Times New Roman" w:eastAsia="Times New Roman" w:hint="default"/>
                <w:sz w:val="18"/>
                <w:szCs w:val="18"/>
              </w:rPr>
            </w:pPr>
            <w:r>
              <w:rPr>
                <w:rFonts w:ascii="Times New Roman"/>
                <w:sz w:val="18"/>
              </w:rPr>
              <w:t>-4,521,720.00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8" w:right="0"/>
              <w:jc w:val="left"/>
              <w:rPr>
                <w:rFonts w:ascii="Times New Roman" w:hAnsi="Times New Roman" w:cs="Times New Roman" w:eastAsia="Times New Roman" w:hint="default"/>
                <w:sz w:val="18"/>
                <w:szCs w:val="18"/>
              </w:rPr>
            </w:pPr>
            <w:r>
              <w:rPr>
                <w:rFonts w:ascii="Times New Roman"/>
                <w:sz w:val="18"/>
              </w:rPr>
              <w:t>-4,521,720.00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left"/>
              <w:rPr>
                <w:rFonts w:ascii="Times New Roman" w:hAnsi="Times New Roman" w:cs="Times New Roman" w:eastAsia="Times New Roman" w:hint="default"/>
                <w:sz w:val="18"/>
                <w:szCs w:val="18"/>
              </w:rPr>
            </w:pPr>
            <w:r>
              <w:rPr>
                <w:rFonts w:ascii="Times New Roman"/>
                <w:sz w:val="18"/>
              </w:rPr>
              <w:t>515,156,948.00</w:t>
            </w:r>
          </w:p>
        </w:tc>
      </w:tr>
    </w:tbl>
    <w:p>
      <w:pPr>
        <w:pStyle w:val="BodyText"/>
        <w:spacing w:line="240" w:lineRule="auto" w:before="49"/>
        <w:ind w:right="0"/>
        <w:jc w:val="left"/>
      </w:pPr>
      <w:r>
        <w:rPr/>
        <w:t>其他说明：</w:t>
      </w:r>
    </w:p>
    <w:p>
      <w:pPr>
        <w:pStyle w:val="BodyText"/>
        <w:spacing w:line="300" w:lineRule="auto" w:before="115"/>
        <w:ind w:right="151" w:firstLine="360"/>
        <w:jc w:val="both"/>
      </w:pPr>
      <w:r>
        <w:rPr/>
        <w:t>根据公司于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日召开第四届董事会第十四次</w:t>
      </w:r>
      <w:r>
        <w:rPr>
          <w:rFonts w:ascii="Times New Roman" w:hAnsi="Times New Roman" w:cs="Times New Roman" w:eastAsia="Times New Roman" w:hint="default"/>
        </w:rPr>
        <w:t>(</w:t>
      </w:r>
      <w:r>
        <w:rPr/>
        <w:t>临时</w:t>
      </w:r>
      <w:r>
        <w:rPr>
          <w:rFonts w:ascii="Times New Roman" w:hAnsi="Times New Roman" w:cs="Times New Roman" w:eastAsia="Times New Roman" w:hint="default"/>
        </w:rPr>
        <w:t>)</w:t>
      </w:r>
      <w:r>
        <w:rPr/>
        <w:t>会议，审议通过《关于公司回购注销未达到解锁条件及部 分已不符合激励条件的激励对象已获授但尚未解锁的限制性股票的议案》，首次授予的未达到第三期解锁条件的</w:t>
      </w:r>
      <w:r>
        <w:rPr>
          <w:rFonts w:ascii="Times New Roman" w:hAnsi="Times New Roman" w:cs="Times New Roman" w:eastAsia="Times New Roman" w:hint="default"/>
        </w:rPr>
        <w:t>398.912</w:t>
      </w:r>
      <w:r>
        <w:rPr/>
        <w:t>万 </w:t>
      </w:r>
      <w:r>
        <w:rPr>
          <w:spacing w:val="-3"/>
        </w:rPr>
        <w:t>股限制性股票、预留授予的未达到第二期解锁条件的</w:t>
      </w:r>
      <w:r>
        <w:rPr>
          <w:rFonts w:ascii="Times New Roman" w:hAnsi="Times New Roman" w:cs="Times New Roman" w:eastAsia="Times New Roman" w:hint="default"/>
          <w:spacing w:val="-3"/>
        </w:rPr>
        <w:t>34.2</w:t>
      </w:r>
      <w:r>
        <w:rPr>
          <w:spacing w:val="-3"/>
        </w:rPr>
        <w:t>万股限制性股票及离职人员的尚未解锁</w:t>
      </w:r>
      <w:r>
        <w:rPr>
          <w:rFonts w:ascii="Times New Roman" w:hAnsi="Times New Roman" w:cs="Times New Roman" w:eastAsia="Times New Roman" w:hint="default"/>
          <w:spacing w:val="-3"/>
        </w:rPr>
        <w:t>19.06</w:t>
      </w:r>
      <w:r>
        <w:rPr>
          <w:spacing w:val="-3"/>
        </w:rPr>
        <w:t>万，合计</w:t>
      </w:r>
      <w:r>
        <w:rPr>
          <w:rFonts w:ascii="Times New Roman" w:hAnsi="Times New Roman" w:cs="Times New Roman" w:eastAsia="Times New Roman" w:hint="default"/>
          <w:spacing w:val="-3"/>
        </w:rPr>
        <w:t>452.172</w:t>
      </w:r>
      <w:r>
        <w:rPr>
          <w:spacing w:val="-3"/>
        </w:rPr>
        <w:t>万股。</w:t>
      </w:r>
      <w:r>
        <w:rPr>
          <w:spacing w:val="-33"/>
        </w:rPr>
        <w:t> </w:t>
      </w:r>
      <w:r>
        <w:rPr>
          <w:spacing w:val="-33"/>
        </w:rPr>
      </w:r>
      <w:r>
        <w:rPr/>
        <w:t>本次减少股份数为</w:t>
      </w:r>
      <w:r>
        <w:rPr>
          <w:rFonts w:ascii="Times New Roman" w:hAnsi="Times New Roman" w:cs="Times New Roman" w:eastAsia="Times New Roman" w:hint="default"/>
        </w:rPr>
        <w:t>4,521,720</w:t>
      </w:r>
      <w:r>
        <w:rPr/>
        <w:t>股，减少实收资本</w:t>
      </w:r>
      <w:r>
        <w:rPr>
          <w:rFonts w:ascii="Times New Roman" w:hAnsi="Times New Roman" w:cs="Times New Roman" w:eastAsia="Times New Roman" w:hint="default"/>
        </w:rPr>
        <w:t>(</w:t>
      </w:r>
      <w:r>
        <w:rPr/>
        <w:t>股本</w:t>
      </w:r>
      <w:r>
        <w:rPr>
          <w:rFonts w:ascii="Times New Roman" w:hAnsi="Times New Roman" w:cs="Times New Roman" w:eastAsia="Times New Roman" w:hint="default"/>
        </w:rPr>
        <w:t>)</w:t>
      </w:r>
      <w:r>
        <w:rPr/>
        <w:t>人民币</w:t>
      </w:r>
      <w:r>
        <w:rPr>
          <w:rFonts w:ascii="Times New Roman" w:hAnsi="Times New Roman" w:cs="Times New Roman" w:eastAsia="Times New Roman" w:hint="default"/>
        </w:rPr>
        <w:t>4,521,720.00</w:t>
      </w:r>
      <w:r>
        <w:rPr/>
        <w:t>元。该减资业经中勤万信会计师事务所</w:t>
      </w:r>
      <w:r>
        <w:rPr>
          <w:rFonts w:ascii="Times New Roman" w:hAnsi="Times New Roman" w:cs="Times New Roman" w:eastAsia="Times New Roman" w:hint="default"/>
        </w:rPr>
        <w:t>(</w:t>
      </w:r>
      <w:r>
        <w:rPr/>
        <w:t>特殊普通合 伙</w:t>
      </w:r>
      <w:r>
        <w:rPr>
          <w:rFonts w:ascii="Times New Roman" w:hAnsi="Times New Roman" w:cs="Times New Roman" w:eastAsia="Times New Roman" w:hint="default"/>
        </w:rPr>
        <w:t>)</w:t>
      </w:r>
      <w:r>
        <w:rPr/>
        <w:t>验证，并出具了勤信验字【</w:t>
      </w:r>
      <w:r>
        <w:rPr>
          <w:rFonts w:ascii="Times New Roman" w:hAnsi="Times New Roman" w:cs="Times New Roman" w:eastAsia="Times New Roman" w:hint="default"/>
        </w:rPr>
        <w:t>2017</w:t>
      </w:r>
      <w:r>
        <w:rPr/>
        <w:t>】第</w:t>
      </w:r>
      <w:r>
        <w:rPr>
          <w:rFonts w:ascii="Times New Roman" w:hAnsi="Times New Roman" w:cs="Times New Roman" w:eastAsia="Times New Roman" w:hint="default"/>
        </w:rPr>
        <w:t>1097</w:t>
      </w:r>
      <w:r>
        <w:rPr/>
        <w:t>号验资报告。</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37</w:t>
      </w:r>
      <w:r>
        <w:rPr/>
        <w:t>、资本公积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1,805,755,249.07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18,242,366.71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18,494,478.33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2" w:right="0"/>
              <w:jc w:val="left"/>
              <w:rPr>
                <w:rFonts w:ascii="Times New Roman" w:hAnsi="Times New Roman" w:cs="Times New Roman" w:eastAsia="Times New Roman" w:hint="default"/>
                <w:sz w:val="18"/>
                <w:szCs w:val="18"/>
              </w:rPr>
            </w:pPr>
            <w:r>
              <w:rPr>
                <w:rFonts w:ascii="Times New Roman"/>
                <w:sz w:val="18"/>
              </w:rPr>
              <w:t>1,805,503,137.45</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1,805,755,249.07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18,242,366.71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18,494,478.33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2" w:right="0"/>
              <w:jc w:val="left"/>
              <w:rPr>
                <w:rFonts w:ascii="Times New Roman" w:hAnsi="Times New Roman" w:cs="Times New Roman" w:eastAsia="Times New Roman" w:hint="default"/>
                <w:sz w:val="18"/>
                <w:szCs w:val="18"/>
              </w:rPr>
            </w:pPr>
            <w:r>
              <w:rPr>
                <w:rFonts w:ascii="Times New Roman"/>
                <w:sz w:val="18"/>
              </w:rPr>
              <w:t>1,805,503,137.45</w:t>
            </w:r>
          </w:p>
        </w:tc>
      </w:tr>
    </w:tbl>
    <w:p>
      <w:pPr>
        <w:pStyle w:val="BodyText"/>
        <w:spacing w:line="316" w:lineRule="auto" w:before="8"/>
        <w:ind w:left="513" w:right="233"/>
        <w:jc w:val="left"/>
      </w:pPr>
      <w:r>
        <w:rPr/>
        <w:t>其他说明，包括本期增减变动情况、变动原因说明：</w:t>
      </w:r>
      <w:r>
        <w:rPr>
          <w:rFonts w:ascii="宋体" w:hAnsi="宋体" w:cs="宋体" w:eastAsia="宋体" w:hint="default"/>
        </w:rPr>
        <w:t> </w:t>
      </w:r>
      <w:r>
        <w:rPr/>
        <w:t>本期资本公积增加主要系公司前期股权激励费用累计可税前扣除的金额超过会计确认的与股份激励相关的费用其所得</w:t>
      </w:r>
    </w:p>
    <w:p>
      <w:pPr>
        <w:pStyle w:val="BodyText"/>
        <w:spacing w:line="316" w:lineRule="auto" w:before="19"/>
        <w:ind w:right="151"/>
        <w:jc w:val="both"/>
      </w:pPr>
      <w:r>
        <w:rPr/>
        <w:t>税影响金额为</w:t>
      </w:r>
      <w:r>
        <w:rPr>
          <w:rFonts w:ascii="宋体" w:hAnsi="宋体" w:cs="宋体" w:eastAsia="宋体" w:hint="default"/>
        </w:rPr>
        <w:t>6,031,593.42</w:t>
      </w:r>
      <w:r>
        <w:rPr/>
        <w:t>元计入资本公积；少数股东及子公司四川蜀信易电子商务有限公司进行增资</w:t>
      </w:r>
      <w:r>
        <w:rPr>
          <w:rFonts w:ascii="宋体" w:hAnsi="宋体" w:cs="宋体" w:eastAsia="宋体" w:hint="default"/>
        </w:rPr>
        <w:t>,</w:t>
      </w:r>
      <w:r>
        <w:rPr/>
        <w:t>增资后公司按持股 </w:t>
      </w:r>
      <w:r>
        <w:rPr>
          <w:spacing w:val="-2"/>
        </w:rPr>
        <w:t>比例享有四川蜀信易电子商务有限公司的净资产与公司的投资成本差异计入资本公积</w:t>
      </w:r>
      <w:r>
        <w:rPr>
          <w:rFonts w:ascii="宋体" w:hAnsi="宋体" w:cs="宋体" w:eastAsia="宋体" w:hint="default"/>
          <w:spacing w:val="-2"/>
        </w:rPr>
        <w:t>8,610,773.29</w:t>
      </w:r>
      <w:r>
        <w:rPr>
          <w:spacing w:val="-2"/>
        </w:rPr>
        <w:t>元；子公司定州市中标节</w:t>
      </w:r>
      <w:r>
        <w:rPr>
          <w:spacing w:val="-56"/>
        </w:rPr>
        <w:t> </w:t>
      </w:r>
      <w:r>
        <w:rPr>
          <w:spacing w:val="-56"/>
        </w:rPr>
      </w:r>
      <w:r>
        <w:rPr/>
        <w:t>能技术服务有限公司收到定州发展改革局关于下达资源节约循环利用重点工程</w:t>
      </w:r>
      <w:r>
        <w:rPr>
          <w:rFonts w:ascii="宋体" w:hAnsi="宋体" w:cs="宋体" w:eastAsia="宋体" w:hint="default"/>
        </w:rPr>
        <w:t>2016</w:t>
      </w:r>
      <w:r>
        <w:rPr/>
        <w:t>年中央预算内投资计划下达的</w:t>
      </w:r>
    </w:p>
    <w:p>
      <w:pPr>
        <w:spacing w:after="0" w:line="316" w:lineRule="auto"/>
        <w:jc w:val="both"/>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19" w:lineRule="auto" w:before="44"/>
        <w:ind w:left="513" w:right="233" w:hanging="361"/>
        <w:jc w:val="left"/>
      </w:pPr>
      <w:r>
        <w:rPr>
          <w:rFonts w:ascii="宋体" w:hAnsi="宋体" w:cs="宋体" w:eastAsia="宋体" w:hint="default"/>
        </w:rPr>
        <w:t>3,600,000.00</w:t>
      </w:r>
      <w:r>
        <w:rPr/>
        <w:t>元计入资本公积。</w:t>
      </w:r>
      <w:r>
        <w:rPr>
          <w:rFonts w:ascii="宋体" w:hAnsi="宋体" w:cs="宋体" w:eastAsia="宋体" w:hint="default"/>
        </w:rPr>
        <w:t> </w:t>
      </w:r>
      <w:r>
        <w:rPr/>
        <w:t>本期资本公积减少主要系公司回购注销未达到解锁条件及部分已不符合激励条件的激励对象已获授但尚未解锁的限制</w:t>
      </w:r>
    </w:p>
    <w:p>
      <w:pPr>
        <w:pStyle w:val="BodyText"/>
        <w:spacing w:line="240" w:lineRule="auto" w:before="17"/>
        <w:ind w:right="0"/>
        <w:jc w:val="left"/>
        <w:rPr>
          <w:rFonts w:ascii="宋体" w:hAnsi="宋体" w:cs="宋体" w:eastAsia="宋体" w:hint="default"/>
        </w:rPr>
      </w:pPr>
      <w:r>
        <w:rPr/>
        <w:t>性股票减少的资本公积</w:t>
      </w:r>
      <w:r>
        <w:rPr>
          <w:rFonts w:ascii="宋体" w:hAnsi="宋体" w:cs="宋体" w:eastAsia="宋体" w:hint="default"/>
        </w:rPr>
        <w:t>18,494,478.33</w:t>
      </w:r>
      <w:r>
        <w:rPr/>
        <w:t>元。</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5"/>
          <w:szCs w:val="15"/>
        </w:rPr>
      </w:pPr>
    </w:p>
    <w:p>
      <w:pPr>
        <w:pStyle w:val="Heading3"/>
        <w:spacing w:line="240" w:lineRule="auto"/>
        <w:ind w:right="0"/>
        <w:jc w:val="left"/>
        <w:rPr>
          <w:b w:val="0"/>
          <w:bCs w:val="0"/>
        </w:rPr>
      </w:pPr>
      <w:r>
        <w:rPr>
          <w:rFonts w:ascii="Times New Roman" w:hAnsi="Times New Roman" w:cs="Times New Roman" w:eastAsia="Times New Roman" w:hint="default"/>
        </w:rPr>
        <w:t>38</w:t>
      </w:r>
      <w:r>
        <w:rPr/>
        <w:t>、库存股</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附有回购义务的限制性 股票收到的款项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23,016,198.33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23,016,198.33</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23,016,198.33</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23,016,198.33</w:t>
            </w:r>
          </w:p>
        </w:tc>
        <w:tc>
          <w:tcPr>
            <w:tcW w:w="191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39</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99"/>
        <w:gridCol w:w="1068"/>
        <w:gridCol w:w="936"/>
        <w:gridCol w:w="1152"/>
        <w:gridCol w:w="934"/>
        <w:gridCol w:w="937"/>
        <w:gridCol w:w="936"/>
        <w:gridCol w:w="797"/>
      </w:tblGrid>
      <w:tr>
        <w:trPr>
          <w:trHeight w:val="396"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68" w:type="dxa"/>
            <w:vMerge w:val="restart"/>
            <w:tcBorders>
              <w:top w:val="single" w:sz="4" w:space="0" w:color="000000"/>
              <w:left w:val="single" w:sz="4" w:space="0" w:color="000000"/>
              <w:right w:val="single" w:sz="4" w:space="0" w:color="000000"/>
            </w:tcBorders>
            <w:shd w:val="clear" w:color="auto" w:fill="D2D2D2"/>
          </w:tcPr>
          <w:p>
            <w:pPr/>
          </w:p>
        </w:tc>
        <w:tc>
          <w:tcPr>
            <w:tcW w:w="48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2"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3"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1"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7"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105" w:right="9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0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0"/>
              <w:ind w:left="283" w:right="19"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0"/>
              <w:ind w:left="105" w:right="9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6"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7"/>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7"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68" w:type="dxa"/>
            <w:vMerge/>
            <w:tcBorders>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7"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75"/>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2,128,830.84</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-3,473,637.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-2,431,546.</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28</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-1,042,091.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-302,715.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2,128,830.84</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-3,473,637.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-2,431,546.</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28</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-1,042,091.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-302,715.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r>
      <w:tr>
        <w:trPr>
          <w:trHeight w:val="394"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外币财务报表折算差额</w:t>
            </w:r>
          </w:p>
        </w:tc>
        <w:tc>
          <w:tcPr>
            <w:tcW w:w="1068"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8"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2,128,830.84</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-3,473,637.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55</w:t>
            </w:r>
          </w:p>
        </w:tc>
        <w:tc>
          <w:tcPr>
            <w:tcW w:w="1152" w:type="dxa"/>
            <w:vMerge w:val="restart"/>
            <w:tcBorders>
              <w:top w:val="single" w:sz="4" w:space="0" w:color="000000"/>
              <w:left w:val="single" w:sz="4" w:space="0" w:color="000000"/>
              <w:right w:val="single" w:sz="4" w:space="0" w:color="000000"/>
            </w:tcBorders>
          </w:tcPr>
          <w:p>
            <w:pPr/>
          </w:p>
        </w:tc>
        <w:tc>
          <w:tcPr>
            <w:tcW w:w="934" w:type="dxa"/>
            <w:vMerge w:val="restart"/>
            <w:tcBorders>
              <w:top w:val="single" w:sz="4" w:space="0" w:color="000000"/>
              <w:left w:val="single" w:sz="4" w:space="0" w:color="000000"/>
              <w:right w:val="single" w:sz="4" w:space="0" w:color="000000"/>
            </w:tcBorders>
          </w:tcPr>
          <w:p>
            <w:pPr/>
          </w:p>
        </w:tc>
        <w:tc>
          <w:tcPr>
            <w:tcW w:w="937"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-2,431,546.</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28</w:t>
            </w: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-1,042,091.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27</w:t>
            </w: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-302,715.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8" w:type="dxa"/>
            <w:vMerge/>
            <w:tcBorders>
              <w:left w:val="single" w:sz="9" w:space="0" w:color="D2D2D2"/>
              <w:right w:val="single" w:sz="4" w:space="0" w:color="000000"/>
            </w:tcBorders>
          </w:tcPr>
          <w:p>
            <w:pPr/>
          </w:p>
        </w:tc>
        <w:tc>
          <w:tcPr>
            <w:tcW w:w="936"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7"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8" w:type="dxa"/>
            <w:vMerge/>
            <w:tcBorders>
              <w:left w:val="single" w:sz="9" w:space="0" w:color="D2D2D2"/>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7"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40</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6"/>
        <w:gridCol w:w="1913"/>
        <w:gridCol w:w="1916"/>
      </w:tblGrid>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30,185,286.42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6,256,723.99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36,442,010.41</w:t>
            </w:r>
          </w:p>
        </w:tc>
      </w:tr>
      <w:tr>
        <w:trPr>
          <w:trHeight w:val="40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30,185,286.42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6,256,723.99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36,442,010.41</w:t>
            </w:r>
          </w:p>
        </w:tc>
      </w:tr>
    </w:tbl>
    <w:p>
      <w:pPr>
        <w:pStyle w:val="BodyText"/>
        <w:spacing w:line="357" w:lineRule="auto" w:before="49"/>
        <w:ind w:right="1434"/>
        <w:jc w:val="left"/>
      </w:pPr>
      <w:r>
        <w:rPr/>
        <w:t>盈余公积说明，包括本期增减变动情况、变动原因说明： 根据《公司法》和公司章程规定，本公司本期按母公司净利润的</w:t>
      </w:r>
      <w:r>
        <w:rPr>
          <w:rFonts w:ascii="Times New Roman" w:hAnsi="Times New Roman" w:cs="Times New Roman" w:eastAsia="Times New Roman" w:hint="default"/>
        </w:rPr>
        <w:t>10.00%</w:t>
      </w:r>
      <w:r>
        <w:rPr/>
        <w:t>计提法定盈余公积</w:t>
      </w:r>
      <w:r>
        <w:rPr>
          <w:rFonts w:ascii="Times New Roman" w:hAnsi="Times New Roman" w:cs="Times New Roman" w:eastAsia="Times New Roman" w:hint="default"/>
        </w:rPr>
        <w:t>6,256,723.99</w:t>
      </w:r>
      <w:r>
        <w:rPr/>
        <w:t>元。</w:t>
      </w:r>
    </w:p>
    <w:p>
      <w:pPr>
        <w:spacing w:after="0" w:line="357"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41</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703"/>
        <w:gridCol w:w="2934"/>
        <w:gridCol w:w="2919"/>
      </w:tblGrid>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398,980,440.32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374,067,979.84</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43,095,599.68</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54,395,643.64</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6,256,723.99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4,370,457.24</w:t>
            </w:r>
          </w:p>
        </w:tc>
      </w:tr>
      <w:tr>
        <w:trPr>
          <w:trHeight w:val="403"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25,757,847.40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25,112,725.92</w:t>
            </w:r>
          </w:p>
        </w:tc>
      </w:tr>
      <w:tr>
        <w:trPr>
          <w:trHeight w:val="401" w:hRule="exact"/>
        </w:trPr>
        <w:tc>
          <w:tcPr>
            <w:tcW w:w="37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410,061,468.61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398,980,440.32</w:t>
            </w:r>
          </w:p>
        </w:tc>
      </w:tr>
    </w:tbl>
    <w:p>
      <w:pPr>
        <w:pStyle w:val="BodyText"/>
        <w:spacing w:line="316" w:lineRule="auto" w:before="8"/>
        <w:ind w:left="513" w:right="1134"/>
        <w:jc w:val="left"/>
        <w:rPr>
          <w:rFonts w:ascii="宋体" w:hAnsi="宋体" w:cs="宋体" w:eastAsia="宋体" w:hint="default"/>
        </w:rPr>
      </w:pPr>
      <w:r>
        <w:rPr/>
        <w:t>调整期初未分配利润明细：</w:t>
      </w:r>
      <w:r>
        <w:rPr>
          <w:rFonts w:ascii="宋体" w:hAnsi="宋体" w:cs="宋体" w:eastAsia="宋体" w:hint="default"/>
        </w:rPr>
        <w:t> 1)</w:t>
      </w:r>
      <w:r>
        <w:rPr/>
        <w:t>、由于《企业会计准则》及其相关新规定进行追溯调整，影响期初未分配利润</w:t>
      </w:r>
      <w:r>
        <w:rPr>
          <w:rFonts w:ascii="宋体" w:hAnsi="宋体" w:cs="宋体" w:eastAsia="宋体" w:hint="default"/>
        </w:rPr>
        <w:t>0.00</w:t>
      </w:r>
      <w:r>
        <w:rPr/>
        <w:t>元。</w:t>
      </w:r>
      <w:r>
        <w:rPr>
          <w:rFonts w:ascii="宋体" w:hAnsi="宋体" w:cs="宋体" w:eastAsia="宋体" w:hint="default"/>
        </w:rPr>
        <w:t> </w:t>
      </w:r>
    </w:p>
    <w:p>
      <w:pPr>
        <w:pStyle w:val="BodyText"/>
        <w:spacing w:line="240" w:lineRule="auto" w:before="19"/>
        <w:ind w:left="513" w:right="0"/>
        <w:jc w:val="left"/>
        <w:rPr>
          <w:rFonts w:ascii="宋体" w:hAnsi="宋体" w:cs="宋体" w:eastAsia="宋体" w:hint="default"/>
        </w:rPr>
      </w:pPr>
      <w:r>
        <w:rPr>
          <w:rFonts w:ascii="宋体" w:hAnsi="宋体" w:cs="宋体" w:eastAsia="宋体" w:hint="default"/>
        </w:rPr>
        <w:t>2)</w:t>
      </w:r>
      <w:r>
        <w:rPr/>
        <w:t>、由于会计政策变更，影响期初未分配利润</w:t>
      </w:r>
      <w:r>
        <w:rPr>
          <w:rFonts w:ascii="宋体" w:hAnsi="宋体" w:cs="宋体" w:eastAsia="宋体" w:hint="default"/>
        </w:rPr>
        <w:t>0.00</w:t>
      </w:r>
      <w:r>
        <w:rPr/>
        <w:t>元。</w:t>
      </w:r>
      <w:r>
        <w:rPr>
          <w:rFonts w:ascii="宋体" w:hAnsi="宋体" w:cs="宋体" w:eastAsia="宋体" w:hint="default"/>
        </w:rPr>
        <w:t> </w:t>
      </w:r>
    </w:p>
    <w:p>
      <w:pPr>
        <w:pStyle w:val="BodyText"/>
        <w:spacing w:line="240" w:lineRule="auto" w:before="76"/>
        <w:ind w:left="513" w:right="0"/>
        <w:jc w:val="left"/>
        <w:rPr>
          <w:rFonts w:ascii="宋体" w:hAnsi="宋体" w:cs="宋体" w:eastAsia="宋体" w:hint="default"/>
        </w:rPr>
      </w:pPr>
      <w:r>
        <w:rPr>
          <w:rFonts w:ascii="宋体" w:hAnsi="宋体" w:cs="宋体" w:eastAsia="宋体" w:hint="default"/>
        </w:rPr>
        <w:t>3)</w:t>
      </w:r>
      <w:r>
        <w:rPr/>
        <w:t>、由于重大会计差错更正，影响期初未分配利润</w:t>
      </w:r>
      <w:r>
        <w:rPr>
          <w:rFonts w:ascii="宋体" w:hAnsi="宋体" w:cs="宋体" w:eastAsia="宋体" w:hint="default"/>
        </w:rPr>
        <w:t>0.00</w:t>
      </w:r>
      <w:r>
        <w:rPr/>
        <w:t>元。</w:t>
      </w:r>
      <w:r>
        <w:rPr>
          <w:rFonts w:ascii="宋体" w:hAnsi="宋体" w:cs="宋体" w:eastAsia="宋体" w:hint="default"/>
        </w:rPr>
        <w:t> </w:t>
      </w:r>
    </w:p>
    <w:p>
      <w:pPr>
        <w:pStyle w:val="BodyText"/>
        <w:spacing w:line="240" w:lineRule="auto" w:before="76"/>
        <w:ind w:left="513" w:right="0"/>
        <w:jc w:val="left"/>
        <w:rPr>
          <w:rFonts w:ascii="宋体" w:hAnsi="宋体" w:cs="宋体" w:eastAsia="宋体" w:hint="default"/>
        </w:rPr>
      </w:pPr>
      <w:r>
        <w:rPr>
          <w:rFonts w:ascii="宋体" w:hAnsi="宋体" w:cs="宋体" w:eastAsia="宋体" w:hint="default"/>
        </w:rPr>
        <w:t>4)</w:t>
      </w:r>
      <w:r>
        <w:rPr/>
        <w:t>、由于同一控制导致的合并范围变更，影响期初未分配利润</w:t>
      </w:r>
      <w:r>
        <w:rPr>
          <w:rFonts w:ascii="宋体" w:hAnsi="宋体" w:cs="宋体" w:eastAsia="宋体" w:hint="default"/>
        </w:rPr>
        <w:t>0.00</w:t>
      </w:r>
      <w:r>
        <w:rPr/>
        <w:t>元。</w:t>
      </w:r>
      <w:r>
        <w:rPr>
          <w:rFonts w:ascii="宋体" w:hAnsi="宋体" w:cs="宋体" w:eastAsia="宋体" w:hint="default"/>
        </w:rPr>
        <w:t> </w:t>
      </w:r>
    </w:p>
    <w:p>
      <w:pPr>
        <w:pStyle w:val="BodyText"/>
        <w:spacing w:line="240" w:lineRule="auto" w:before="76"/>
        <w:ind w:left="513" w:right="0"/>
        <w:jc w:val="left"/>
        <w:rPr>
          <w:rFonts w:ascii="宋体" w:hAnsi="宋体" w:cs="宋体" w:eastAsia="宋体" w:hint="default"/>
        </w:rPr>
      </w:pPr>
      <w:r>
        <w:rPr>
          <w:rFonts w:ascii="宋体" w:hAnsi="宋体" w:cs="宋体" w:eastAsia="宋体" w:hint="default"/>
        </w:rPr>
        <w:t>5)</w:t>
      </w:r>
      <w:r>
        <w:rPr/>
        <w:t>、其他调整合计影响期初未分配利润</w:t>
      </w:r>
      <w:r>
        <w:rPr>
          <w:rFonts w:ascii="宋体" w:hAnsi="宋体" w:cs="宋体" w:eastAsia="宋体" w:hint="default"/>
        </w:rPr>
        <w:t>0.00</w:t>
      </w:r>
      <w:r>
        <w:rPr/>
        <w:t>元。</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42</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6"/>
        <w:gridCol w:w="1913"/>
        <w:gridCol w:w="1916"/>
      </w:tblGrid>
      <w:tr>
        <w:trPr>
          <w:trHeight w:val="204"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1,682,593,168.29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1,244,752,658.85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1,795,906,799.75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1,365,730,427.77</w:t>
            </w:r>
          </w:p>
        </w:tc>
      </w:tr>
      <w:tr>
        <w:trPr>
          <w:trHeight w:val="404"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1,682,593,168.29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1,244,752,658.85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1,795,906,799.75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1,365,730,427.77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43</w:t>
      </w:r>
      <w:r>
        <w:rPr/>
        <w:t>、税金及附加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3,685,557.28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3,071,554.11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1,735,841.70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1,302,459.53</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2,219,569.85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1,094,032.03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220,691.29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154,961.71</w:t>
            </w:r>
          </w:p>
        </w:tc>
      </w:tr>
      <w:tr>
        <w:trPr>
          <w:trHeight w:val="404"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4,860.00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20,257.23</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2,072,533.22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1,278,160.78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3"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289,140.21</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872,344.29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868,306.35</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2,841.08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45,894.78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10,814,238.71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8,124,766.73</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44</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工资奖金及福利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67,161,790.74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58,665,258.42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9,474,127.14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12,805,774.33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12,966,240.40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13,411,941.90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7,774,590.74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7,537,440.06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7,468,278.05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11,564,065.40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维修费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1,594,212.34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2,700,304.36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2,926,071.61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3,163,981.63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3,747,439.91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1,687,337.35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2,379,152.56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3,041,985.63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2,782,103.23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2,369,297.16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低值易耗品摊销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1,096,066.97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1,665,463.35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18,425,907.00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17,194,468.23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137,795,980.69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135,807,317.82</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45</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工资奖金及福利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36,880,366.64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28,991,418.99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8,204,953.85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6,734,201.12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2,267,408.23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2,889,583.74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5,099,454.08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8,451,085.07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6,662,746.12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6,136,590.72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2,631,653.72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3,040,491.24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6,643,782.81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2,856,887.17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74,554,690.97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67,620,895.38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1,590,574.28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顾问咨询费用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5,979,714.99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3,921,428.92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-85,042.26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8,766,468.49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11,773,785.64</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157,691,239.90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143,921,900.01</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46</w:t>
      </w:r>
      <w:r>
        <w:rPr/>
        <w:t>、财务费用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66,107,364.28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64,565,571.82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42,770,531.73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28,665,100.54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5,585,754.64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-752,853.98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6,897,729.92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4,302,205.47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债券折价摊销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658,351.84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587,447.70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36,478,668.95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40,037,270.47</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47</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52,401,445.93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36,455,875.10</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16,094,917.57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11,129,716.74</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68,496,363.50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47,585,591.84</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48</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8"/>
        <w:gridCol w:w="3202"/>
        <w:gridCol w:w="2919"/>
      </w:tblGrid>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-548,389.06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-550,360.22</w:t>
            </w:r>
          </w:p>
        </w:tc>
      </w:tr>
      <w:tr>
        <w:trPr>
          <w:trHeight w:val="401"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863,685.83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315,296.77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-550,360.22</w:t>
            </w:r>
          </w:p>
        </w:tc>
      </w:tr>
    </w:tbl>
    <w:p>
      <w:pPr>
        <w:pStyle w:val="BodyText"/>
        <w:spacing w:line="357" w:lineRule="auto" w:before="49"/>
        <w:ind w:right="6714"/>
        <w:jc w:val="left"/>
        <w:rPr>
          <w:rFonts w:ascii="宋体" w:hAnsi="宋体" w:cs="宋体" w:eastAsia="宋体" w:hint="default"/>
        </w:rPr>
      </w:pPr>
      <w:r>
        <w:rPr/>
        <w:t>其他说明： 按权益法核算的长期股权投资收益</w:t>
      </w:r>
      <w:r>
        <w:rPr>
          <w:rFonts w:ascii="宋体" w:hAnsi="宋体" w:cs="宋体" w:eastAsia="宋体" w:hint="default"/>
        </w:rPr>
        <w:t> </w:t>
      </w:r>
    </w:p>
    <w:tbl>
      <w:tblPr>
        <w:tblW w:w="0" w:type="auto"/>
        <w:jc w:val="left"/>
        <w:tblInd w:w="143" w:type="dxa"/>
        <w:tblLayout w:type="fixed"/>
        <w:tblCellMar>
          <w:top w:w="0" w:type="dxa"/>
          <w:left w:w="0" w:type="dxa"/>
          <w:bottom w:w="0" w:type="dxa"/>
          <w:right w:w="0" w:type="dxa"/>
        </w:tblCellMar>
        <w:tblLook w:val="01E0"/>
      </w:tblPr>
      <w:tblGrid>
        <w:gridCol w:w="3459"/>
        <w:gridCol w:w="1810"/>
        <w:gridCol w:w="1814"/>
        <w:gridCol w:w="2566"/>
      </w:tblGrid>
      <w:tr>
        <w:trPr>
          <w:trHeight w:val="379"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87" w:right="0"/>
              <w:jc w:val="center"/>
              <w:rPr>
                <w:rFonts w:ascii="宋体" w:hAnsi="宋体" w:cs="宋体" w:eastAsia="宋体" w:hint="default"/>
                <w:sz w:val="18"/>
                <w:szCs w:val="18"/>
              </w:rPr>
            </w:pPr>
            <w:r>
              <w:rPr>
                <w:rFonts w:ascii="宋体" w:hAnsi="宋体" w:cs="宋体" w:eastAsia="宋体" w:hint="default"/>
                <w:b/>
                <w:bCs/>
                <w:sz w:val="18"/>
                <w:szCs w:val="18"/>
              </w:rPr>
              <w:t>被投资单位</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37" w:right="0"/>
              <w:jc w:val="left"/>
              <w:rPr>
                <w:rFonts w:ascii="宋体" w:hAnsi="宋体" w:cs="宋体" w:eastAsia="宋体" w:hint="default"/>
                <w:sz w:val="18"/>
                <w:szCs w:val="18"/>
              </w:rPr>
            </w:pPr>
            <w:r>
              <w:rPr>
                <w:rFonts w:ascii="宋体" w:hAnsi="宋体" w:cs="宋体" w:eastAsia="宋体" w:hint="default"/>
                <w:b/>
                <w:bCs/>
                <w:sz w:val="18"/>
                <w:szCs w:val="18"/>
              </w:rPr>
              <w:t>本年金额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39" w:right="0"/>
              <w:jc w:val="left"/>
              <w:rPr>
                <w:rFonts w:ascii="宋体" w:hAnsi="宋体" w:cs="宋体" w:eastAsia="宋体" w:hint="default"/>
                <w:sz w:val="18"/>
                <w:szCs w:val="18"/>
              </w:rPr>
            </w:pPr>
            <w:r>
              <w:rPr>
                <w:rFonts w:ascii="宋体" w:hAnsi="宋体" w:cs="宋体" w:eastAsia="宋体" w:hint="default"/>
                <w:b/>
                <w:bCs/>
                <w:sz w:val="18"/>
                <w:szCs w:val="18"/>
              </w:rPr>
              <w:t>上年金额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91" w:right="0"/>
              <w:jc w:val="left"/>
              <w:rPr>
                <w:rFonts w:ascii="宋体" w:hAnsi="宋体" w:cs="宋体" w:eastAsia="宋体" w:hint="default"/>
                <w:sz w:val="18"/>
                <w:szCs w:val="18"/>
              </w:rPr>
            </w:pPr>
            <w:r>
              <w:rPr>
                <w:rFonts w:ascii="宋体" w:hAnsi="宋体" w:cs="宋体" w:eastAsia="宋体" w:hint="default"/>
                <w:b/>
                <w:bCs/>
                <w:sz w:val="18"/>
                <w:szCs w:val="18"/>
              </w:rPr>
              <w:t>本年比上年增减变动的原因</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379"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r>
              <w:rPr>
                <w:rFonts w:ascii="宋体" w:hAnsi="宋体" w:cs="宋体" w:eastAsia="宋体" w:hint="default"/>
                <w:sz w:val="18"/>
                <w:szCs w:val="18"/>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spacing w:val="-1"/>
                <w:sz w:val="18"/>
              </w:rPr>
              <w:t>-548,389.06</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right"/>
              <w:rPr>
                <w:rFonts w:ascii="宋体" w:hAnsi="宋体" w:cs="宋体" w:eastAsia="宋体" w:hint="default"/>
                <w:sz w:val="18"/>
                <w:szCs w:val="18"/>
              </w:rPr>
            </w:pPr>
            <w:r>
              <w:rPr>
                <w:rFonts w:ascii="宋体"/>
                <w:spacing w:val="-1"/>
                <w:sz w:val="18"/>
              </w:rPr>
              <w:t>-550,360.22</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647" w:right="0"/>
              <w:jc w:val="left"/>
              <w:rPr>
                <w:rFonts w:ascii="宋体" w:hAnsi="宋体" w:cs="宋体" w:eastAsia="宋体" w:hint="default"/>
                <w:sz w:val="18"/>
                <w:szCs w:val="18"/>
              </w:rPr>
            </w:pPr>
            <w:r>
              <w:rPr>
                <w:rFonts w:ascii="宋体" w:hAnsi="宋体" w:cs="宋体" w:eastAsia="宋体" w:hint="default"/>
                <w:sz w:val="18"/>
                <w:szCs w:val="18"/>
              </w:rPr>
              <w:t>本期亏损额增加</w:t>
            </w:r>
            <w:r>
              <w:rPr>
                <w:rFonts w:ascii="宋体" w:hAnsi="宋体" w:cs="宋体" w:eastAsia="宋体" w:hint="default"/>
                <w:sz w:val="18"/>
                <w:szCs w:val="18"/>
              </w:rPr>
              <w:t> </w:t>
            </w:r>
          </w:p>
        </w:tc>
      </w:tr>
      <w:tr>
        <w:trPr>
          <w:trHeight w:val="379"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87" w:right="0"/>
              <w:jc w:val="center"/>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0"/>
              <w:jc w:val="right"/>
              <w:rPr>
                <w:rFonts w:ascii="宋体" w:hAnsi="宋体" w:cs="宋体" w:eastAsia="宋体" w:hint="default"/>
                <w:sz w:val="18"/>
                <w:szCs w:val="18"/>
              </w:rPr>
            </w:pPr>
            <w:r>
              <w:rPr>
                <w:rFonts w:ascii="宋体"/>
                <w:spacing w:val="-1"/>
                <w:sz w:val="18"/>
              </w:rPr>
              <w:t>-548,389.06</w:t>
            </w:r>
          </w:p>
        </w:tc>
        <w:tc>
          <w:tcPr>
            <w:tcW w:w="1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right="-1"/>
              <w:jc w:val="right"/>
              <w:rPr>
                <w:rFonts w:ascii="宋体" w:hAnsi="宋体" w:cs="宋体" w:eastAsia="宋体" w:hint="default"/>
                <w:sz w:val="18"/>
                <w:szCs w:val="18"/>
              </w:rPr>
            </w:pPr>
            <w:r>
              <w:rPr>
                <w:rFonts w:ascii="宋体"/>
                <w:spacing w:val="-1"/>
                <w:sz w:val="18"/>
              </w:rPr>
              <w:t>-550,360.22</w:t>
            </w:r>
          </w:p>
        </w:tc>
        <w:tc>
          <w:tcPr>
            <w:tcW w:w="2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 w:right="0"/>
              <w:jc w:val="left"/>
              <w:rPr>
                <w:rFonts w:ascii="宋体" w:hAnsi="宋体" w:cs="宋体" w:eastAsia="宋体" w:hint="default"/>
                <w:sz w:val="18"/>
                <w:szCs w:val="18"/>
              </w:rPr>
            </w:pPr>
            <w:r>
              <w:rPr>
                <w:rFonts w:ascii="宋体"/>
                <w:sz w:val="18"/>
              </w:rPr>
              <w:t>   </w:t>
            </w:r>
          </w:p>
        </w:tc>
      </w:tr>
    </w:tbl>
    <w:p>
      <w:pPr>
        <w:pStyle w:val="BodyText"/>
        <w:spacing w:line="224" w:lineRule="exact"/>
        <w:ind w:right="0"/>
        <w:jc w:val="left"/>
        <w:rPr>
          <w:rFonts w:ascii="宋体" w:hAnsi="宋体" w:cs="宋体" w:eastAsia="宋体" w:hint="default"/>
        </w:rPr>
      </w:pPr>
      <w:r>
        <w:rPr>
          <w:rFonts w:ascii="宋体"/>
        </w:rPr>
        <w:t> </w:t>
      </w:r>
    </w:p>
    <w:p>
      <w:pPr>
        <w:spacing w:after="0" w:line="224" w:lineRule="exact"/>
        <w:jc w:val="left"/>
        <w:rPr>
          <w:rFonts w:ascii="宋体" w:hAnsi="宋体" w:cs="宋体" w:eastAsia="宋体" w:hint="default"/>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49</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处置固定资产净收益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-27,007.84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50</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软件退税款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1,015,696.82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5,435,902.53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6,451,599.35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27"/>
          <w:szCs w:val="27"/>
        </w:rPr>
      </w:pPr>
    </w:p>
    <w:p>
      <w:pPr>
        <w:pStyle w:val="BodyText"/>
        <w:spacing w:line="240" w:lineRule="auto" w:before="44"/>
        <w:ind w:right="0"/>
        <w:jc w:val="left"/>
      </w:pPr>
      <w:r>
        <w:rPr/>
        <w:t>其他说明</w:t>
      </w:r>
    </w:p>
    <w:p>
      <w:pPr>
        <w:spacing w:line="240" w:lineRule="auto" w:before="4"/>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4583"/>
        <w:gridCol w:w="2355"/>
        <w:gridCol w:w="2761"/>
      </w:tblGrid>
      <w:tr>
        <w:trPr>
          <w:trHeight w:val="434"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11"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81" w:right="0"/>
              <w:jc w:val="left"/>
              <w:rPr>
                <w:rFonts w:ascii="宋体" w:hAnsi="宋体" w:cs="宋体" w:eastAsia="宋体" w:hint="default"/>
                <w:sz w:val="18"/>
                <w:szCs w:val="18"/>
              </w:rPr>
            </w:pPr>
            <w:r>
              <w:rPr>
                <w:rFonts w:ascii="宋体" w:hAnsi="宋体" w:cs="宋体" w:eastAsia="宋体" w:hint="default"/>
                <w:b/>
                <w:bCs/>
                <w:sz w:val="18"/>
                <w:szCs w:val="18"/>
              </w:rPr>
              <w:t>与资产相关还是收益相关</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458"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软件退税</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1,015,696.82</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8"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年中央中小企业发展专项资金</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183,400.00</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6"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宋体" w:hAnsi="宋体" w:cs="宋体" w:eastAsia="宋体" w:hint="default"/>
                <w:sz w:val="18"/>
                <w:szCs w:val="18"/>
              </w:rPr>
            </w:pPr>
            <w:r>
              <w:rPr>
                <w:rFonts w:ascii="宋体" w:hAnsi="宋体" w:cs="宋体" w:eastAsia="宋体" w:hint="default"/>
                <w:sz w:val="18"/>
                <w:szCs w:val="18"/>
              </w:rPr>
              <w:t>失业稳岗、生育补贴</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1"/>
              <w:jc w:val="right"/>
              <w:rPr>
                <w:rFonts w:ascii="Times New Roman" w:hAnsi="Times New Roman" w:cs="Times New Roman" w:eastAsia="Times New Roman" w:hint="default"/>
                <w:sz w:val="18"/>
                <w:szCs w:val="18"/>
              </w:rPr>
            </w:pPr>
            <w:r>
              <w:rPr>
                <w:rFonts w:ascii="Times New Roman"/>
                <w:spacing w:val="-1"/>
                <w:sz w:val="18"/>
              </w:rPr>
              <w:t>47,496.90</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8"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展会补贴</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195,460.00</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9"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深圳市高技能人才公共实训管理服务岗前培训补贴</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86,948.96</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8"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知识产权计算机软件资金资助</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121,600.00</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8"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提升国际化奖金</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247,330.00</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8"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家用金融多媒体云支付终端项目</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6"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4" w:right="0"/>
              <w:jc w:val="left"/>
              <w:rPr>
                <w:rFonts w:ascii="宋体" w:hAnsi="宋体" w:cs="宋体" w:eastAsia="宋体" w:hint="default"/>
                <w:sz w:val="18"/>
                <w:szCs w:val="18"/>
              </w:rPr>
            </w:pPr>
            <w:r>
              <w:rPr>
                <w:rFonts w:ascii="宋体" w:hAnsi="宋体" w:cs="宋体" w:eastAsia="宋体" w:hint="default"/>
                <w:sz w:val="18"/>
                <w:szCs w:val="18"/>
              </w:rPr>
              <w:t>专利补贴</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1"/>
              <w:jc w:val="right"/>
              <w:rPr>
                <w:rFonts w:ascii="Times New Roman" w:hAnsi="Times New Roman" w:cs="Times New Roman" w:eastAsia="Times New Roman" w:hint="default"/>
                <w:sz w:val="18"/>
                <w:szCs w:val="18"/>
              </w:rPr>
            </w:pPr>
            <w:r>
              <w:rPr>
                <w:rFonts w:ascii="Times New Roman"/>
                <w:spacing w:val="-1"/>
                <w:sz w:val="18"/>
              </w:rPr>
              <w:t>46,000.00</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23"/>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58"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东莞市经济和信息化局节能技术改造专项资金</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70"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77"/>
              <w:ind w:left="24" w:right="106"/>
              <w:jc w:val="left"/>
              <w:rPr>
                <w:rFonts w:ascii="宋体" w:hAnsi="宋体" w:cs="宋体" w:eastAsia="宋体" w:hint="default"/>
                <w:sz w:val="18"/>
                <w:szCs w:val="18"/>
              </w:rPr>
            </w:pPr>
            <w:r>
              <w:rPr>
                <w:rFonts w:ascii="宋体" w:hAnsi="宋体" w:cs="宋体" w:eastAsia="宋体" w:hint="default"/>
                <w:sz w:val="18"/>
                <w:szCs w:val="18"/>
              </w:rPr>
              <w:t>金融支付信息安全产品技术改造产业化</w:t>
            </w:r>
            <w:r>
              <w:rPr>
                <w:rFonts w:ascii="Times New Roman" w:hAnsi="Times New Roman" w:cs="Times New Roman" w:eastAsia="Times New Roman" w:hint="default"/>
                <w:sz w:val="18"/>
                <w:szCs w:val="18"/>
              </w:rPr>
              <w:t>(</w:t>
            </w:r>
            <w:r>
              <w:rPr>
                <w:rFonts w:ascii="宋体" w:hAnsi="宋体" w:cs="宋体" w:eastAsia="宋体" w:hint="default"/>
                <w:sz w:val="18"/>
                <w:szCs w:val="18"/>
              </w:rPr>
              <w:t>中央预算内投资</w:t>
            </w:r>
            <w:r>
              <w:rPr>
                <w:rFonts w:ascii="Times New Roman" w:hAnsi="Times New Roman" w:cs="Times New Roman" w:eastAsia="Times New Roman" w:hint="default"/>
                <w:sz w:val="18"/>
                <w:szCs w:val="18"/>
              </w:rPr>
              <w:t>) </w:t>
            </w:r>
            <w:r>
              <w:rPr>
                <w:rFonts w:ascii="宋体" w:hAnsi="宋体" w:cs="宋体" w:eastAsia="宋体" w:hint="default"/>
                <w:sz w:val="18"/>
                <w:szCs w:val="18"/>
              </w:rPr>
              <w:t>资金补助</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71"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77"/>
              <w:ind w:left="24" w:right="48"/>
              <w:jc w:val="left"/>
              <w:rPr>
                <w:rFonts w:ascii="宋体" w:hAnsi="宋体" w:cs="宋体" w:eastAsia="宋体" w:hint="default"/>
                <w:sz w:val="18"/>
                <w:szCs w:val="18"/>
              </w:rPr>
            </w:pPr>
            <w:r>
              <w:rPr>
                <w:rFonts w:ascii="宋体" w:hAnsi="宋体" w:cs="宋体" w:eastAsia="宋体" w:hint="default"/>
                <w:sz w:val="18"/>
                <w:szCs w:val="18"/>
              </w:rPr>
              <w:t>深圳市生物、互联网、新能源产业发展专项资金基于云计 算的安全支付平台关键技术研究资金补助</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960,000.00</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70"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77"/>
              <w:ind w:left="24" w:right="86"/>
              <w:jc w:val="left"/>
              <w:rPr>
                <w:rFonts w:ascii="宋体" w:hAnsi="宋体" w:cs="宋体" w:eastAsia="宋体" w:hint="default"/>
                <w:sz w:val="18"/>
                <w:szCs w:val="18"/>
              </w:rPr>
            </w:pPr>
            <w:r>
              <w:rPr>
                <w:rFonts w:ascii="宋体" w:hAnsi="宋体" w:cs="宋体" w:eastAsia="宋体" w:hint="default"/>
                <w:sz w:val="18"/>
                <w:szCs w:val="18"/>
              </w:rPr>
              <w:t>高性能嵌入式金融安全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CPU</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设计及产业化</w:t>
            </w:r>
            <w:r>
              <w:rPr>
                <w:rFonts w:ascii="Times New Roman" w:hAnsi="Times New Roman" w:cs="Times New Roman" w:eastAsia="Times New Roman" w:hint="default"/>
                <w:sz w:val="18"/>
                <w:szCs w:val="18"/>
              </w:rPr>
              <w:t>(</w:t>
            </w:r>
            <w:r>
              <w:rPr>
                <w:rFonts w:ascii="宋体" w:hAnsi="宋体" w:cs="宋体" w:eastAsia="宋体" w:hint="default"/>
                <w:sz w:val="18"/>
                <w:szCs w:val="18"/>
              </w:rPr>
              <w:t>广东产学研资 助项目</w:t>
            </w:r>
            <w:r>
              <w:rPr>
                <w:rFonts w:ascii="Times New Roman" w:hAnsi="Times New Roman" w:cs="Times New Roman" w:eastAsia="Times New Roman" w:hint="default"/>
                <w:sz w:val="18"/>
                <w:szCs w:val="18"/>
              </w:rPr>
              <w:t>)</w:t>
            </w:r>
            <w:r>
              <w:rPr>
                <w:rFonts w:ascii="宋体" w:hAnsi="宋体" w:cs="宋体" w:eastAsia="宋体" w:hint="default"/>
                <w:sz w:val="18"/>
                <w:szCs w:val="18"/>
              </w:rPr>
              <w:t>资金补助</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17,666.67</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70"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7"/>
              <w:ind w:left="24" w:right="46"/>
              <w:jc w:val="left"/>
              <w:rPr>
                <w:rFonts w:ascii="宋体" w:hAnsi="宋体" w:cs="宋体" w:eastAsia="宋体" w:hint="default"/>
                <w:sz w:val="18"/>
                <w:szCs w:val="18"/>
              </w:rPr>
            </w:pPr>
            <w:r>
              <w:rPr>
                <w:rFonts w:ascii="宋体" w:hAnsi="宋体" w:cs="宋体" w:eastAsia="宋体" w:hint="default"/>
                <w:sz w:val="18"/>
                <w:szCs w:val="18"/>
              </w:rPr>
              <w:t>基于云计算平台的金融电子透明支付关键技术研发与应用 示范资金补助</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19" w:type="dxa"/>
        <w:tblLayout w:type="fixed"/>
        <w:tblCellMar>
          <w:top w:w="0" w:type="dxa"/>
          <w:left w:w="0" w:type="dxa"/>
          <w:bottom w:w="0" w:type="dxa"/>
          <w:right w:w="0" w:type="dxa"/>
        </w:tblCellMar>
        <w:tblLook w:val="01E0"/>
      </w:tblPr>
      <w:tblGrid>
        <w:gridCol w:w="4583"/>
        <w:gridCol w:w="2355"/>
        <w:gridCol w:w="2761"/>
      </w:tblGrid>
      <w:tr>
        <w:trPr>
          <w:trHeight w:val="434"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9" w:right="0"/>
              <w:jc w:val="center"/>
              <w:rPr>
                <w:rFonts w:ascii="宋体" w:hAnsi="宋体" w:cs="宋体" w:eastAsia="宋体" w:hint="default"/>
                <w:sz w:val="18"/>
                <w:szCs w:val="18"/>
              </w:rPr>
            </w:pPr>
            <w:r>
              <w:rPr>
                <w:rFonts w:ascii="宋体" w:hAnsi="宋体" w:cs="宋体" w:eastAsia="宋体" w:hint="default"/>
                <w:b/>
                <w:bCs/>
                <w:sz w:val="18"/>
                <w:szCs w:val="18"/>
              </w:rPr>
              <w:t>项目</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811" w:right="0"/>
              <w:jc w:val="left"/>
              <w:rPr>
                <w:rFonts w:ascii="宋体" w:hAnsi="宋体" w:cs="宋体" w:eastAsia="宋体" w:hint="default"/>
                <w:sz w:val="18"/>
                <w:szCs w:val="18"/>
              </w:rPr>
            </w:pPr>
            <w:r>
              <w:rPr>
                <w:rFonts w:ascii="宋体" w:hAnsi="宋体" w:cs="宋体" w:eastAsia="宋体" w:hint="default"/>
                <w:b/>
                <w:bCs/>
                <w:sz w:val="18"/>
                <w:szCs w:val="18"/>
              </w:rPr>
              <w:t>本期金额</w:t>
            </w:r>
            <w:r>
              <w:rPr>
                <w:rFonts w:ascii="宋体" w:hAnsi="宋体" w:cs="宋体" w:eastAsia="宋体" w:hint="default"/>
                <w:b/>
                <w:bCs/>
                <w:w w:val="99"/>
                <w:sz w:val="18"/>
                <w:szCs w:val="18"/>
              </w:rPr>
              <w:t> </w:t>
            </w:r>
            <w:r>
              <w:rPr>
                <w:rFonts w:ascii="宋体" w:hAnsi="宋体" w:cs="宋体" w:eastAsia="宋体" w:hint="default"/>
                <w:sz w:val="18"/>
                <w:szCs w:val="18"/>
              </w:rPr>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381" w:right="0"/>
              <w:jc w:val="left"/>
              <w:rPr>
                <w:rFonts w:ascii="宋体" w:hAnsi="宋体" w:cs="宋体" w:eastAsia="宋体" w:hint="default"/>
                <w:sz w:val="18"/>
                <w:szCs w:val="18"/>
              </w:rPr>
            </w:pPr>
            <w:r>
              <w:rPr>
                <w:rFonts w:ascii="宋体" w:hAnsi="宋体" w:cs="宋体" w:eastAsia="宋体" w:hint="default"/>
                <w:b/>
                <w:bCs/>
                <w:sz w:val="18"/>
                <w:szCs w:val="18"/>
              </w:rPr>
              <w:t>与资产相关还是收益相关</w:t>
            </w:r>
            <w:r>
              <w:rPr>
                <w:rFonts w:ascii="宋体" w:hAnsi="宋体" w:cs="宋体" w:eastAsia="宋体" w:hint="default"/>
                <w:b/>
                <w:bCs/>
                <w:w w:val="99"/>
                <w:sz w:val="18"/>
                <w:szCs w:val="18"/>
              </w:rPr>
              <w:t> </w:t>
            </w:r>
            <w:r>
              <w:rPr>
                <w:rFonts w:ascii="宋体" w:hAnsi="宋体" w:cs="宋体" w:eastAsia="宋体" w:hint="default"/>
                <w:sz w:val="18"/>
                <w:szCs w:val="18"/>
              </w:rPr>
            </w:r>
          </w:p>
        </w:tc>
      </w:tr>
      <w:tr>
        <w:trPr>
          <w:trHeight w:val="771"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8"/>
              <w:ind w:left="24" w:right="48"/>
              <w:jc w:val="left"/>
              <w:rPr>
                <w:rFonts w:ascii="宋体" w:hAnsi="宋体" w:cs="宋体" w:eastAsia="宋体" w:hint="default"/>
                <w:sz w:val="18"/>
                <w:szCs w:val="18"/>
              </w:rPr>
            </w:pPr>
            <w:r>
              <w:rPr>
                <w:rFonts w:ascii="宋体" w:hAnsi="宋体" w:cs="宋体" w:eastAsia="宋体" w:hint="default"/>
                <w:sz w:val="18"/>
                <w:szCs w:val="18"/>
              </w:rPr>
              <w:t>基于超级计算的金融安全云支付平台研发与产业化资金补 助</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58"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深圳市科技研发技术创新资金补助</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200,000.00</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58"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面向金融领域的密码安全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SOC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芯片产业化项目资金补助</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630,000.00</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58" w:hRule="exact"/>
        </w:trPr>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21"/>
              <w:jc w:val="right"/>
              <w:rPr>
                <w:rFonts w:ascii="Times New Roman" w:hAnsi="Times New Roman" w:cs="Times New Roman" w:eastAsia="Times New Roman" w:hint="default"/>
                <w:sz w:val="18"/>
                <w:szCs w:val="18"/>
              </w:rPr>
            </w:pPr>
            <w:r>
              <w:rPr>
                <w:rFonts w:ascii="Times New Roman"/>
                <w:spacing w:val="-1"/>
                <w:sz w:val="18"/>
              </w:rPr>
              <w:t>6,451,599.35</w:t>
            </w:r>
          </w:p>
        </w:tc>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90" w:right="0"/>
              <w:jc w:val="center"/>
              <w:rPr>
                <w:rFonts w:ascii="宋体" w:hAnsi="宋体" w:cs="宋体" w:eastAsia="宋体" w:hint="default"/>
                <w:sz w:val="18"/>
                <w:szCs w:val="18"/>
              </w:rPr>
            </w:pPr>
            <w:r>
              <w:rPr>
                <w:rFonts w:ascii="宋体"/>
                <w:sz w:val="18"/>
              </w:rPr>
              <w:t> </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51</w:t>
      </w:r>
      <w:r>
        <w:rPr/>
        <w:t>、营业外收入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15,973,767.40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9,485,852.51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15,973,767.40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固定资产报废收益</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97,250.00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软件退税款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2,951,673.34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372,529.81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916,591.96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372,529.81</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16,346,297.21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13,451,367.81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16,346,297.21</w:t>
            </w:r>
          </w:p>
        </w:tc>
      </w:tr>
    </w:tbl>
    <w:p>
      <w:pPr>
        <w:pStyle w:val="BodyText"/>
        <w:spacing w:line="240" w:lineRule="auto" w:before="49"/>
        <w:ind w:right="0"/>
        <w:jc w:val="left"/>
      </w:pPr>
      <w:r>
        <w:rPr/>
        <w:t>计入当期损益的政府补助：</w:t>
      </w:r>
    </w:p>
    <w:p>
      <w:pPr>
        <w:pStyle w:val="BodyText"/>
        <w:spacing w:line="240" w:lineRule="auto" w:before="115"/>
        <w:ind w:left="0" w:right="151"/>
        <w:jc w:val="right"/>
      </w:pPr>
      <w:r>
        <w:rPr/>
        <w:pict>
          <v:group style="position:absolute;margin-left:269.690002pt;margin-top:59.241711pt;width:52.75pt;height:23.4pt;mso-position-horizontal-relative:page;mso-position-vertical-relative:paragraph;z-index:-1152328" coordorigin="5394,1185" coordsize="1055,468">
            <v:shape style="position:absolute;left:5394;top:1185;width:1055;height:468" coordorigin="5394,1185" coordsize="1055,468" path="m5394,1653l6448,1653,6448,1185,5394,1185,5394,1653xe" filled="true" fillcolor="#ffffff" stroked="false">
              <v:path arrowok="t"/>
              <v:fill type="solid"/>
            </v:shape>
            <w10:wrap type="none"/>
          </v:group>
        </w:pict>
      </w: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716"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65"/>
              <w:jc w:val="righ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2"/>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72"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76" w:right="48" w:hanging="24"/>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7" w:lineRule="auto"/>
              <w:ind w:left="24" w:right="81"/>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年企业 研究开发资 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5"/>
              <w:ind w:left="23" w:right="127"/>
              <w:jc w:val="left"/>
              <w:rPr>
                <w:rFonts w:ascii="宋体" w:hAnsi="宋体" w:cs="宋体" w:eastAsia="宋体" w:hint="default"/>
                <w:sz w:val="18"/>
                <w:szCs w:val="18"/>
              </w:rPr>
            </w:pPr>
            <w:r>
              <w:rPr>
                <w:rFonts w:ascii="宋体" w:hAnsi="宋体" w:cs="宋体" w:eastAsia="宋体" w:hint="default"/>
                <w:sz w:val="18"/>
                <w:szCs w:val="18"/>
              </w:rPr>
              <w:t>深圳市财政 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7"/>
              <w:jc w:val="both"/>
              <w:rPr>
                <w:rFonts w:ascii="宋体" w:hAnsi="宋体" w:cs="宋体" w:eastAsia="宋体" w:hint="default"/>
                <w:sz w:val="18"/>
                <w:szCs w:val="18"/>
              </w:rPr>
            </w:pPr>
            <w:r>
              <w:rPr>
                <w:rFonts w:ascii="宋体" w:hAnsi="宋体" w:cs="宋体" w:eastAsia="宋体" w:hint="default"/>
                <w:sz w:val="18"/>
                <w:szCs w:val="18"/>
              </w:rPr>
              <w:t>因研究开发 技术更新及 改造等获得 的补助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3,135,000.00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130"/>
              <w:jc w:val="right"/>
              <w:rPr>
                <w:rFonts w:ascii="宋体" w:hAnsi="宋体" w:cs="宋体" w:eastAsia="宋体" w:hint="default"/>
                <w:sz w:val="18"/>
                <w:szCs w:val="18"/>
              </w:rPr>
            </w:pPr>
            <w:r>
              <w:rPr>
                <w:rFonts w:ascii="宋体" w:hAnsi="宋体" w:cs="宋体" w:eastAsia="宋体" w:hint="default"/>
                <w:sz w:val="18"/>
                <w:szCs w:val="18"/>
              </w:rPr>
              <w:t>软件退税款</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深圳市南山 区国家税务 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2,951,673.34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4" w:right="130"/>
              <w:jc w:val="both"/>
              <w:rPr>
                <w:rFonts w:ascii="宋体" w:hAnsi="宋体" w:cs="宋体" w:eastAsia="宋体" w:hint="default"/>
                <w:sz w:val="18"/>
                <w:szCs w:val="18"/>
              </w:rPr>
            </w:pPr>
            <w:r>
              <w:rPr>
                <w:rFonts w:ascii="宋体" w:hAnsi="宋体" w:cs="宋体" w:eastAsia="宋体" w:hint="default"/>
                <w:sz w:val="18"/>
                <w:szCs w:val="18"/>
              </w:rPr>
              <w:t>提升竞争力 重点工业企 业扩产增效 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3" w:right="127"/>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因从事国家 鼓励和扶持 </w:t>
            </w:r>
            <w:r>
              <w:rPr>
                <w:rFonts w:ascii="宋体" w:hAnsi="宋体" w:cs="宋体" w:eastAsia="宋体" w:hint="default"/>
                <w:spacing w:val="-12"/>
                <w:sz w:val="18"/>
                <w:szCs w:val="18"/>
              </w:rPr>
              <w:t>特定行业、产</w:t>
            </w:r>
            <w:r>
              <w:rPr>
                <w:rFonts w:ascii="宋体" w:hAnsi="宋体" w:cs="宋体" w:eastAsia="宋体" w:hint="default"/>
                <w:sz w:val="18"/>
                <w:szCs w:val="18"/>
              </w:rPr>
              <w:t> 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1,590,000.00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7"/>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pgSz w:w="11910" w:h="16840"/>
          <w:pgMar w:header="745" w:footer="980" w:top="1060" w:bottom="1160" w:left="980" w:right="980"/>
        </w:sectPr>
      </w:pPr>
    </w:p>
    <w:p>
      <w:pPr>
        <w:pStyle w:val="BodyText"/>
        <w:spacing w:line="312" w:lineRule="auto" w:before="44"/>
        <w:ind w:left="181" w:right="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年深圳 市企业研究 开发资助计 划第一批</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77" w:right="-20"/>
        <w:jc w:val="left"/>
      </w:pPr>
      <w:r>
        <w:rPr/>
        <w:t>深圳市科技</w:t>
      </w:r>
    </w:p>
    <w:p>
      <w:pPr>
        <w:pStyle w:val="BodyText"/>
        <w:spacing w:line="156" w:lineRule="exact"/>
        <w:ind w:left="0" w:right="0"/>
        <w:jc w:val="right"/>
      </w:pPr>
      <w:r>
        <w:rPr/>
        <w:t>补助</w:t>
      </w:r>
    </w:p>
    <w:p>
      <w:pPr>
        <w:pStyle w:val="BodyText"/>
        <w:spacing w:line="196" w:lineRule="exact"/>
        <w:ind w:left="77" w:right="-20"/>
        <w:jc w:val="left"/>
      </w:pPr>
      <w:r>
        <w:rPr/>
        <w:t>创新委员会</w:t>
      </w:r>
    </w:p>
    <w:p>
      <w:pPr>
        <w:pStyle w:val="BodyText"/>
        <w:spacing w:line="312" w:lineRule="exact" w:before="5"/>
        <w:ind w:left="181" w:right="5472"/>
        <w:jc w:val="left"/>
      </w:pPr>
      <w:r>
        <w:rPr/>
        <w:br w:type="column"/>
      </w:r>
      <w:r>
        <w:rPr/>
        <w:t>因研究开发、 技术更新及</w:t>
      </w:r>
    </w:p>
    <w:p>
      <w:pPr>
        <w:pStyle w:val="BodyText"/>
        <w:tabs>
          <w:tab w:pos="2308" w:val="left" w:leader="none"/>
          <w:tab w:pos="4629" w:val="left" w:leader="none"/>
        </w:tabs>
        <w:spacing w:line="86" w:lineRule="exact"/>
        <w:ind w:left="1244" w:right="0"/>
        <w:jc w:val="left"/>
      </w:pPr>
      <w:r>
        <w:rPr/>
        <w:t>否</w:t>
        <w:tab/>
        <w:t>否</w:t>
        <w:tab/>
      </w:r>
      <w:r>
        <w:rPr>
          <w:rFonts w:ascii="Times New Roman" w:hAnsi="Times New Roman" w:cs="Times New Roman" w:eastAsia="Times New Roman" w:hint="default"/>
        </w:rPr>
        <w:t>980,000.00</w:t>
      </w:r>
      <w:r>
        <w:rPr>
          <w:rFonts w:ascii="Times New Roman" w:hAnsi="Times New Roman" w:cs="Times New Roman" w:eastAsia="Times New Roman" w:hint="default"/>
          <w:spacing w:val="9"/>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131" w:space="40"/>
            <w:col w:w="1501" w:space="522"/>
            <w:col w:w="6756"/>
          </w:cols>
        </w:sectPr>
      </w:pPr>
    </w:p>
    <w:p>
      <w:pPr>
        <w:pStyle w:val="BodyText"/>
        <w:spacing w:line="316" w:lineRule="auto" w:before="113"/>
        <w:ind w:left="181" w:right="-20"/>
        <w:jc w:val="left"/>
      </w:pPr>
      <w:r>
        <w:rPr/>
        <w:t>深圳市生物、 </w:t>
      </w:r>
      <w:r>
        <w:rPr>
          <w:spacing w:val="-12"/>
        </w:rPr>
        <w:t>互联网、新能</w:t>
      </w:r>
      <w:r>
        <w:rPr/>
        <w:t> 源产业发展</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pStyle w:val="BodyText"/>
        <w:spacing w:line="240" w:lineRule="auto"/>
        <w:ind w:left="181" w:right="0"/>
        <w:jc w:val="left"/>
      </w:pPr>
      <w:r>
        <w:rPr/>
        <w:t>因研究开发、</w:t>
      </w:r>
    </w:p>
    <w:p>
      <w:pPr>
        <w:spacing w:after="0" w:line="240" w:lineRule="auto"/>
        <w:jc w:val="left"/>
        <w:sectPr>
          <w:type w:val="continuous"/>
          <w:pgSz w:w="11910" w:h="16840"/>
          <w:pgMar w:top="1060" w:bottom="1160" w:left="980" w:right="980"/>
          <w:cols w:num="2" w:equalWidth="0">
            <w:col w:w="1262" w:space="1931"/>
            <w:col w:w="6757"/>
          </w:cols>
        </w:sectPr>
      </w:pPr>
    </w:p>
    <w:p>
      <w:pPr>
        <w:pStyle w:val="BodyText"/>
        <w:spacing w:line="316" w:lineRule="auto" w:before="19"/>
        <w:ind w:left="181" w:right="0"/>
        <w:jc w:val="both"/>
      </w:pPr>
      <w:r>
        <w:rPr/>
        <w:t>专项资金项 基于云计算 的安全支付 平台关键技 术研究</w:t>
      </w:r>
    </w:p>
    <w:p>
      <w:pPr>
        <w:pStyle w:val="BodyText"/>
        <w:spacing w:line="196" w:lineRule="exact" w:before="21"/>
        <w:ind w:left="125" w:right="-19"/>
        <w:jc w:val="left"/>
      </w:pPr>
      <w:r>
        <w:rPr/>
        <w:br w:type="column"/>
      </w:r>
      <w:r>
        <w:rPr/>
        <w:t>深圳市财政</w:t>
      </w:r>
    </w:p>
    <w:p>
      <w:pPr>
        <w:pStyle w:val="BodyText"/>
        <w:spacing w:line="155" w:lineRule="exact"/>
        <w:ind w:left="0" w:right="0"/>
        <w:jc w:val="right"/>
      </w:pPr>
      <w:r>
        <w:rPr/>
        <w:t>奖励</w:t>
      </w:r>
    </w:p>
    <w:p>
      <w:pPr>
        <w:pStyle w:val="BodyText"/>
        <w:spacing w:line="195" w:lineRule="exact"/>
        <w:ind w:left="125" w:right="-19"/>
        <w:jc w:val="left"/>
      </w:pPr>
      <w:r>
        <w:rPr/>
        <w:t>委员会</w:t>
      </w:r>
    </w:p>
    <w:p>
      <w:pPr>
        <w:pStyle w:val="BodyText"/>
        <w:spacing w:line="316" w:lineRule="auto" w:before="19"/>
        <w:ind w:left="181" w:right="0"/>
        <w:jc w:val="both"/>
      </w:pPr>
      <w:r>
        <w:rPr/>
        <w:br w:type="column"/>
      </w:r>
      <w:r>
        <w:rPr/>
        <w:t>技术更新及 改造等获得 的补助</w:t>
      </w:r>
    </w:p>
    <w:p>
      <w:pPr>
        <w:spacing w:line="240" w:lineRule="auto" w:before="7"/>
        <w:rPr>
          <w:rFonts w:ascii="宋体" w:hAnsi="宋体" w:cs="宋体" w:eastAsia="宋体" w:hint="default"/>
          <w:sz w:val="13"/>
          <w:szCs w:val="13"/>
        </w:rPr>
      </w:pPr>
      <w:r>
        <w:rPr/>
        <w:br w:type="column"/>
      </w:r>
      <w:r>
        <w:rPr>
          <w:rFonts w:ascii="宋体"/>
          <w:sz w:val="13"/>
        </w:rPr>
      </w:r>
    </w:p>
    <w:p>
      <w:pPr>
        <w:pStyle w:val="BodyText"/>
        <w:tabs>
          <w:tab w:pos="1186" w:val="left" w:leader="none"/>
          <w:tab w:pos="3507" w:val="left" w:leader="none"/>
        </w:tabs>
        <w:spacing w:line="240" w:lineRule="auto"/>
        <w:ind w:left="123" w:right="0"/>
        <w:jc w:val="left"/>
      </w:pPr>
      <w:r>
        <w:rPr/>
        <w:t>否</w:t>
        <w:tab/>
        <w:t>否</w:t>
        <w:tab/>
      </w:r>
      <w:r>
        <w:rPr>
          <w:rFonts w:ascii="Times New Roman" w:hAnsi="Times New Roman" w:cs="Times New Roman" w:eastAsia="Times New Roman" w:hint="default"/>
        </w:rPr>
        <w:t>800,000.00</w:t>
      </w:r>
      <w:r>
        <w:rPr>
          <w:rFonts w:ascii="Times New Roman" w:hAnsi="Times New Roman" w:cs="Times New Roman" w:eastAsia="Times New Roman" w:hint="default"/>
          <w:spacing w:val="9"/>
        </w:rPr>
        <w:t> </w:t>
      </w:r>
      <w:r>
        <w:rPr/>
        <w:t>与资产相关</w:t>
      </w:r>
    </w:p>
    <w:p>
      <w:pPr>
        <w:spacing w:after="0" w:line="240" w:lineRule="auto"/>
        <w:jc w:val="left"/>
        <w:sectPr>
          <w:type w:val="continuous"/>
          <w:pgSz w:w="11910" w:h="16840"/>
          <w:pgMar w:top="1060" w:bottom="1160" w:left="980" w:right="980"/>
          <w:cols w:num="4" w:equalWidth="0">
            <w:col w:w="1082" w:space="40"/>
            <w:col w:w="1550" w:space="522"/>
            <w:col w:w="1082" w:space="40"/>
            <w:col w:w="5634"/>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pStyle w:val="BodyText"/>
        <w:spacing w:line="240" w:lineRule="auto"/>
        <w:ind w:left="181" w:right="-20"/>
        <w:jc w:val="left"/>
      </w:pPr>
      <w:r>
        <w:rPr/>
        <w:t>稳岗补贴</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316" w:lineRule="auto"/>
        <w:ind w:left="181" w:right="-20"/>
        <w:jc w:val="left"/>
      </w:pPr>
      <w:r>
        <w:rPr/>
        <w:t>深圳市社会 保险基金管</w:t>
      </w:r>
      <w:r>
        <w:rPr>
          <w:spacing w:val="73"/>
        </w:rPr>
        <w:t> </w:t>
      </w:r>
      <w:r>
        <w:rPr/>
        <w:t>补助</w:t>
      </w:r>
      <w:r>
        <w:rPr/>
        <w:t> 理局</w:t>
      </w:r>
    </w:p>
    <w:p>
      <w:pPr>
        <w:pStyle w:val="BodyText"/>
        <w:spacing w:line="319" w:lineRule="auto" w:before="110"/>
        <w:ind w:left="181" w:right="-20"/>
        <w:jc w:val="left"/>
      </w:pPr>
      <w:r>
        <w:rPr/>
        <w:br w:type="column"/>
      </w:r>
      <w:r>
        <w:rPr/>
        <w:t>因从事国家 鼓励和扶持 </w:t>
      </w:r>
      <w:r>
        <w:rPr>
          <w:spacing w:val="-12"/>
        </w:rPr>
        <w:t>特定行业、产</w:t>
      </w:r>
      <w:r>
        <w:rPr/>
        <w:t> 业而获得的 </w:t>
      </w:r>
      <w:r>
        <w:rPr>
          <w:spacing w:val="-12"/>
        </w:rPr>
        <w:t>补助（按国家</w:t>
      </w:r>
      <w:r>
        <w:rPr/>
        <w:t> 级政策规定 依法取得）</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5"/>
          <w:szCs w:val="25"/>
        </w:rPr>
      </w:pPr>
    </w:p>
    <w:p>
      <w:pPr>
        <w:pStyle w:val="BodyText"/>
        <w:tabs>
          <w:tab w:pos="1078" w:val="left" w:leader="none"/>
          <w:tab w:pos="3399" w:val="left" w:leader="none"/>
        </w:tabs>
        <w:spacing w:line="240" w:lineRule="auto"/>
        <w:ind w:left="15" w:right="0"/>
        <w:jc w:val="left"/>
      </w:pPr>
      <w:r>
        <w:rPr/>
        <w:t>否</w:t>
        <w:tab/>
        <w:t>否</w:t>
        <w:tab/>
      </w:r>
      <w:r>
        <w:rPr>
          <w:rFonts w:ascii="Times New Roman" w:hAnsi="Times New Roman" w:cs="Times New Roman" w:eastAsia="Times New Roman" w:hint="default"/>
        </w:rPr>
        <w:t>644,467.15</w:t>
      </w:r>
      <w:r>
        <w:rPr>
          <w:rFonts w:ascii="Times New Roman" w:hAnsi="Times New Roman" w:cs="Times New Roman" w:eastAsia="Times New Roman" w:hint="default"/>
          <w:spacing w:val="9"/>
        </w:rPr>
        <w:t> </w:t>
      </w:r>
      <w:r>
        <w:rPr/>
        <w:t>与收益相关</w:t>
      </w:r>
    </w:p>
    <w:p>
      <w:pPr>
        <w:spacing w:after="0" w:line="240" w:lineRule="auto"/>
        <w:jc w:val="left"/>
        <w:sectPr>
          <w:type w:val="continuous"/>
          <w:pgSz w:w="11910" w:h="16840"/>
          <w:pgMar w:top="1060" w:bottom="1160" w:left="980" w:right="980"/>
          <w:cols w:num="4" w:equalWidth="0">
            <w:col w:w="902" w:space="164"/>
            <w:col w:w="1605" w:space="522"/>
            <w:col w:w="1190" w:space="40"/>
            <w:col w:w="5527"/>
          </w:cols>
        </w:sect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pStyle w:val="BodyText"/>
        <w:spacing w:line="316" w:lineRule="auto"/>
        <w:ind w:left="181" w:right="0"/>
        <w:jc w:val="both"/>
      </w:pPr>
      <w:r>
        <w:rPr/>
        <w:t>第五批扶持 计划品牌培 育项目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9"/>
          <w:szCs w:val="19"/>
        </w:rPr>
      </w:pPr>
    </w:p>
    <w:p>
      <w:pPr>
        <w:pStyle w:val="BodyText"/>
        <w:spacing w:line="316" w:lineRule="auto"/>
        <w:ind w:left="125" w:right="-19"/>
        <w:jc w:val="left"/>
      </w:pPr>
      <w:r>
        <w:rPr/>
        <w:t>深圳市经济 贸易和信息</w:t>
      </w:r>
      <w:r>
        <w:rPr>
          <w:spacing w:val="73"/>
        </w:rPr>
        <w:t> </w:t>
      </w:r>
      <w:r>
        <w:rPr/>
        <w:t>补助</w:t>
      </w:r>
      <w:r>
        <w:rPr/>
        <w:t> 化委员会</w:t>
      </w:r>
    </w:p>
    <w:p>
      <w:pPr>
        <w:pStyle w:val="BodyText"/>
        <w:spacing w:line="316" w:lineRule="auto" w:before="108"/>
        <w:ind w:left="181" w:right="-20"/>
        <w:jc w:val="left"/>
      </w:pPr>
      <w:r>
        <w:rPr/>
        <w:br w:type="column"/>
      </w:r>
      <w:r>
        <w:rPr/>
        <w:t>因从事国家 鼓励和扶持 </w:t>
      </w:r>
      <w:r>
        <w:rPr>
          <w:spacing w:val="-12"/>
        </w:rPr>
        <w:t>特定行业、产</w:t>
      </w:r>
      <w:r>
        <w:rPr/>
        <w:t> 业而获得的 </w:t>
      </w:r>
      <w:r>
        <w:rPr>
          <w:spacing w:val="-12"/>
        </w:rPr>
        <w:t>补助（按国家</w:t>
      </w:r>
      <w:r>
        <w:rPr/>
        <w:t> 级政策规定 依法取得）</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5"/>
          <w:szCs w:val="25"/>
        </w:rPr>
      </w:pPr>
    </w:p>
    <w:p>
      <w:pPr>
        <w:pStyle w:val="BodyText"/>
        <w:tabs>
          <w:tab w:pos="1078" w:val="left" w:leader="none"/>
          <w:tab w:pos="3399" w:val="left" w:leader="none"/>
        </w:tabs>
        <w:spacing w:line="240" w:lineRule="auto"/>
        <w:ind w:left="15" w:right="0"/>
        <w:jc w:val="left"/>
      </w:pPr>
      <w:r>
        <w:rPr/>
        <w:t>否</w:t>
        <w:tab/>
        <w:t>否</w:t>
        <w:tab/>
      </w:r>
      <w:r>
        <w:rPr>
          <w:rFonts w:ascii="Times New Roman" w:hAnsi="Times New Roman" w:cs="Times New Roman" w:eastAsia="Times New Roman" w:hint="default"/>
        </w:rPr>
        <w:t>620,000.00</w:t>
      </w:r>
      <w:r>
        <w:rPr>
          <w:rFonts w:ascii="Times New Roman" w:hAnsi="Times New Roman" w:cs="Times New Roman" w:eastAsia="Times New Roman" w:hint="default"/>
          <w:spacing w:val="9"/>
        </w:rPr>
        <w:t> </w:t>
      </w:r>
      <w:r>
        <w:rPr/>
        <w:t>与收益相关</w:t>
      </w:r>
    </w:p>
    <w:p>
      <w:pPr>
        <w:spacing w:after="0" w:line="240" w:lineRule="auto"/>
        <w:jc w:val="left"/>
        <w:sectPr>
          <w:type w:val="continuous"/>
          <w:pgSz w:w="11910" w:h="16840"/>
          <w:pgMar w:top="1060" w:bottom="1160" w:left="980" w:right="980"/>
          <w:cols w:num="4" w:equalWidth="0">
            <w:col w:w="1082" w:space="40"/>
            <w:col w:w="1550" w:space="522"/>
            <w:col w:w="1190" w:space="40"/>
            <w:col w:w="5526"/>
          </w:cols>
        </w:sectPr>
      </w:pPr>
    </w:p>
    <w:p>
      <w:pPr>
        <w:pStyle w:val="BodyText"/>
        <w:spacing w:line="314" w:lineRule="auto" w:before="110"/>
        <w:ind w:left="181" w:right="0"/>
        <w:jc w:val="both"/>
        <w:rPr>
          <w:rFonts w:ascii="Times New Roman" w:hAnsi="Times New Roman" w:cs="Times New Roman" w:eastAsia="Times New Roman" w:hint="default"/>
        </w:rPr>
      </w:pPr>
      <w:r>
        <w:rPr/>
        <w:t>金融支付信 息安全产品 技术改造产 业化</w:t>
      </w:r>
      <w:r>
        <w:rPr>
          <w:rFonts w:ascii="Times New Roman" w:hAnsi="Times New Roman" w:cs="Times New Roman" w:eastAsia="Times New Roman" w:hint="default"/>
        </w:rPr>
        <w:t>(</w:t>
      </w:r>
      <w:r>
        <w:rPr/>
        <w:t>中央预 算内投资</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8"/>
        <w:rPr>
          <w:rFonts w:ascii="Times New Roman" w:hAnsi="Times New Roman" w:cs="Times New Roman" w:eastAsia="Times New Roman" w:hint="default"/>
          <w:sz w:val="18"/>
          <w:szCs w:val="18"/>
        </w:rPr>
      </w:pPr>
    </w:p>
    <w:p>
      <w:pPr>
        <w:pStyle w:val="BodyText"/>
        <w:spacing w:line="316" w:lineRule="auto"/>
        <w:ind w:left="65" w:right="-20"/>
        <w:jc w:val="left"/>
      </w:pPr>
      <w:r>
        <w:rPr/>
        <w:t>深圳市发展 和改革委员</w:t>
      </w:r>
      <w:r>
        <w:rPr>
          <w:spacing w:val="73"/>
        </w:rPr>
        <w:t> </w:t>
      </w:r>
      <w:r>
        <w:rPr/>
        <w:t>补助</w:t>
      </w:r>
      <w:r>
        <w:rPr/>
        <w:t> 会</w:t>
      </w:r>
    </w:p>
    <w:p>
      <w:pPr>
        <w:spacing w:line="240" w:lineRule="auto" w:before="8"/>
        <w:rPr>
          <w:rFonts w:ascii="宋体" w:hAnsi="宋体" w:cs="宋体" w:eastAsia="宋体" w:hint="default"/>
          <w:sz w:val="14"/>
          <w:szCs w:val="14"/>
        </w:rPr>
      </w:pPr>
      <w:r>
        <w:rPr/>
        <w:br w:type="column"/>
      </w:r>
      <w:r>
        <w:rPr>
          <w:rFonts w:ascii="宋体"/>
          <w:sz w:val="14"/>
        </w:rPr>
      </w:r>
    </w:p>
    <w:p>
      <w:pPr>
        <w:pStyle w:val="BodyText"/>
        <w:spacing w:line="310" w:lineRule="atLeast"/>
        <w:ind w:left="181" w:right="5472"/>
        <w:jc w:val="left"/>
      </w:pPr>
      <w:r>
        <w:rPr/>
        <w:t>因研究开发、 技术更新及</w:t>
      </w:r>
    </w:p>
    <w:p>
      <w:pPr>
        <w:pStyle w:val="BodyText"/>
        <w:tabs>
          <w:tab w:pos="2308" w:val="left" w:leader="none"/>
          <w:tab w:pos="4629" w:val="left" w:leader="none"/>
        </w:tabs>
        <w:spacing w:line="123" w:lineRule="exact"/>
        <w:ind w:left="1244" w:right="0"/>
        <w:jc w:val="left"/>
      </w:pPr>
      <w:r>
        <w:rPr/>
        <w:t>否</w:t>
        <w:tab/>
        <w:t>否</w:t>
        <w:tab/>
      </w:r>
      <w:r>
        <w:rPr>
          <w:rFonts w:ascii="Times New Roman" w:hAnsi="Times New Roman" w:cs="Times New Roman" w:eastAsia="Times New Roman" w:hint="default"/>
        </w:rPr>
        <w:t>600,000.00</w:t>
      </w:r>
      <w:r>
        <w:rPr>
          <w:rFonts w:ascii="Times New Roman" w:hAnsi="Times New Roman" w:cs="Times New Roman" w:eastAsia="Times New Roman" w:hint="default"/>
          <w:spacing w:val="9"/>
        </w:rPr>
        <w:t> </w:t>
      </w:r>
      <w:r>
        <w:rPr/>
        <w:t>与资产相关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143" w:space="40"/>
            <w:col w:w="1489" w:space="522"/>
            <w:col w:w="6756"/>
          </w:cols>
        </w:sectPr>
      </w:pPr>
    </w:p>
    <w:p>
      <w:pPr>
        <w:pStyle w:val="BodyText"/>
        <w:spacing w:line="316" w:lineRule="auto" w:before="92"/>
        <w:ind w:left="181" w:right="0"/>
        <w:jc w:val="both"/>
      </w:pPr>
      <w:r>
        <w:rPr/>
        <w:t>基于云计算 平台的金融 电子透明支 付关键技术 研发与应用 示范</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8"/>
          <w:szCs w:val="18"/>
        </w:rPr>
      </w:pPr>
    </w:p>
    <w:p>
      <w:pPr>
        <w:pStyle w:val="BodyText"/>
        <w:spacing w:line="196" w:lineRule="exact"/>
        <w:ind w:left="125" w:right="-19"/>
        <w:jc w:val="left"/>
      </w:pPr>
      <w:r>
        <w:rPr/>
        <w:t>深圳市财政</w:t>
      </w:r>
    </w:p>
    <w:p>
      <w:pPr>
        <w:pStyle w:val="BodyText"/>
        <w:spacing w:line="155" w:lineRule="exact"/>
        <w:ind w:left="0" w:right="0"/>
        <w:jc w:val="right"/>
      </w:pPr>
      <w:r>
        <w:rPr/>
        <w:t>补助</w:t>
      </w:r>
    </w:p>
    <w:p>
      <w:pPr>
        <w:pStyle w:val="BodyText"/>
        <w:spacing w:line="195" w:lineRule="exact"/>
        <w:ind w:left="125" w:right="-19"/>
        <w:jc w:val="left"/>
      </w:pPr>
      <w:r>
        <w:rPr/>
        <w:t>委员会</w:t>
      </w:r>
    </w:p>
    <w:p>
      <w:pPr>
        <w:spacing w:line="240" w:lineRule="auto" w:before="3"/>
        <w:rPr>
          <w:rFonts w:ascii="宋体" w:hAnsi="宋体" w:cs="宋体" w:eastAsia="宋体" w:hint="default"/>
          <w:sz w:val="25"/>
          <w:szCs w:val="25"/>
        </w:rPr>
      </w:pPr>
      <w:r>
        <w:rPr/>
        <w:br w:type="column"/>
      </w:r>
      <w:r>
        <w:rPr>
          <w:rFonts w:ascii="宋体"/>
          <w:sz w:val="25"/>
        </w:rPr>
      </w:r>
    </w:p>
    <w:p>
      <w:pPr>
        <w:pStyle w:val="BodyText"/>
        <w:spacing w:line="310" w:lineRule="atLeast"/>
        <w:ind w:left="181" w:right="5472"/>
        <w:jc w:val="left"/>
      </w:pPr>
      <w:r>
        <w:rPr/>
        <w:t>因研究开发、 技术更新及</w:t>
      </w:r>
    </w:p>
    <w:p>
      <w:pPr>
        <w:pStyle w:val="BodyText"/>
        <w:tabs>
          <w:tab w:pos="2308" w:val="left" w:leader="none"/>
          <w:tab w:pos="4629" w:val="left" w:leader="none"/>
        </w:tabs>
        <w:spacing w:line="124" w:lineRule="exact"/>
        <w:ind w:left="1244" w:right="0"/>
        <w:jc w:val="left"/>
      </w:pPr>
      <w:r>
        <w:rPr/>
        <w:t>否</w:t>
        <w:tab/>
        <w:t>否</w:t>
        <w:tab/>
      </w:r>
      <w:r>
        <w:rPr>
          <w:rFonts w:ascii="Times New Roman" w:hAnsi="Times New Roman" w:cs="Times New Roman" w:eastAsia="Times New Roman" w:hint="default"/>
        </w:rPr>
        <w:t>250,000.00</w:t>
      </w:r>
      <w:r>
        <w:rPr>
          <w:rFonts w:ascii="Times New Roman" w:hAnsi="Times New Roman" w:cs="Times New Roman" w:eastAsia="Times New Roman" w:hint="default"/>
          <w:spacing w:val="9"/>
        </w:rPr>
        <w:t> </w:t>
      </w:r>
      <w:r>
        <w:rPr/>
        <w:t>与资产相关</w:t>
      </w:r>
    </w:p>
    <w:p>
      <w:pPr>
        <w:pStyle w:val="BodyText"/>
        <w:spacing w:line="188"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4"/>
        <w:rPr>
          <w:rFonts w:ascii="宋体" w:hAnsi="宋体" w:cs="宋体" w:eastAsia="宋体" w:hint="default"/>
          <w:sz w:val="20"/>
          <w:szCs w:val="20"/>
        </w:rPr>
      </w:pPr>
    </w:p>
    <w:p>
      <w:pPr>
        <w:pStyle w:val="BodyText"/>
        <w:spacing w:line="316" w:lineRule="auto"/>
        <w:ind w:left="181" w:right="0"/>
        <w:jc w:val="both"/>
      </w:pPr>
      <w:r>
        <w:rPr/>
        <w:t>国内外发明 专利申请资 助</w:t>
      </w:r>
    </w:p>
    <w:p>
      <w:pPr>
        <w:spacing w:line="240" w:lineRule="auto" w:before="4"/>
        <w:rPr>
          <w:rFonts w:ascii="宋体" w:hAnsi="宋体" w:cs="宋体" w:eastAsia="宋体" w:hint="default"/>
          <w:sz w:val="20"/>
          <w:szCs w:val="20"/>
        </w:rPr>
      </w:pPr>
      <w:r>
        <w:rPr/>
        <w:br w:type="column"/>
      </w:r>
      <w:r>
        <w:rPr>
          <w:rFonts w:ascii="宋体"/>
          <w:sz w:val="20"/>
        </w:rPr>
      </w:r>
    </w:p>
    <w:p>
      <w:pPr>
        <w:pStyle w:val="BodyText"/>
        <w:spacing w:line="316" w:lineRule="auto"/>
        <w:ind w:left="125" w:right="-19"/>
        <w:jc w:val="left"/>
      </w:pPr>
      <w:r>
        <w:rPr/>
        <w:t>深圳市南山 区科学技术</w:t>
      </w:r>
      <w:r>
        <w:rPr>
          <w:spacing w:val="73"/>
        </w:rPr>
        <w:t> </w:t>
      </w:r>
      <w:r>
        <w:rPr/>
        <w:t>补助</w:t>
      </w:r>
      <w:r>
        <w:rPr/>
        <w:t> 局</w:t>
      </w:r>
    </w:p>
    <w:p>
      <w:pPr>
        <w:pStyle w:val="BodyText"/>
        <w:spacing w:line="310" w:lineRule="atLeast" w:before="35"/>
        <w:ind w:left="181" w:right="5472"/>
        <w:jc w:val="left"/>
      </w:pPr>
      <w:r>
        <w:rPr/>
        <w:br w:type="column"/>
      </w:r>
      <w:r>
        <w:rPr/>
        <w:t>因研究开发、 技术更新及</w:t>
      </w:r>
    </w:p>
    <w:p>
      <w:pPr>
        <w:pStyle w:val="BodyText"/>
        <w:tabs>
          <w:tab w:pos="2308" w:val="left" w:leader="none"/>
          <w:tab w:pos="4629" w:val="left" w:leader="none"/>
        </w:tabs>
        <w:spacing w:line="123" w:lineRule="exact"/>
        <w:ind w:left="1244" w:right="0"/>
        <w:jc w:val="left"/>
      </w:pPr>
      <w:r>
        <w:rPr/>
        <w:t>否</w:t>
        <w:tab/>
        <w:t>否</w:t>
        <w:tab/>
      </w:r>
      <w:r>
        <w:rPr>
          <w:rFonts w:ascii="Times New Roman" w:hAnsi="Times New Roman" w:cs="Times New Roman" w:eastAsia="Times New Roman" w:hint="default"/>
        </w:rPr>
        <w:t>225,000.00</w:t>
      </w:r>
      <w:r>
        <w:rPr>
          <w:rFonts w:ascii="Times New Roman" w:hAnsi="Times New Roman" w:cs="Times New Roman" w:eastAsia="Times New Roman" w:hint="default"/>
          <w:spacing w:val="9"/>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5"/>
        <w:rPr>
          <w:rFonts w:ascii="宋体" w:hAnsi="宋体" w:cs="宋体" w:eastAsia="宋体" w:hint="default"/>
          <w:sz w:val="9"/>
          <w:szCs w:val="9"/>
        </w:rPr>
      </w:pPr>
      <w:r>
        <w:rPr/>
        <w:pict>
          <v:group style="position:absolute;margin-left:56.400002pt;margin-top:71.759979pt;width:479.05pt;height:692.3pt;mso-position-horizontal-relative:page;mso-position-vertical-relative:page;z-index:-1152304" coordorigin="1128,1435" coordsize="9581,13846">
            <v:group style="position:absolute;left:5394;top:1450;width:1055;height:469" coordorigin="5394,1450" coordsize="1055,469">
              <v:shape style="position:absolute;left:5394;top:1450;width:1055;height:469" coordorigin="5394,1450" coordsize="1055,469" path="m5394,1918l6448,1918,6448,1450,5394,1450,5394,1918xe" filled="true" fillcolor="#ffffff" stroked="false">
                <v:path arrowok="t"/>
                <v:fill type="solid"/>
              </v:shape>
            </v:group>
            <v:group style="position:absolute;left:1138;top:1445;width:1057;height:2" coordorigin="1138,1445" coordsize="1057,2">
              <v:shape style="position:absolute;left:1138;top:1445;width:1057;height:2" coordorigin="1138,1445" coordsize="1057,0" path="m1138,1445l2194,1445e" filled="false" stroked="true" strokeweight=".48pt" strokecolor="#000000">
                <v:path arrowok="t"/>
              </v:shape>
            </v:group>
            <v:group style="position:absolute;left:2204;top:1445;width:1054;height:2" coordorigin="2204,1445" coordsize="1054,2">
              <v:shape style="position:absolute;left:2204;top:1445;width:1054;height:2" coordorigin="2204,1445" coordsize="1054,0" path="m2204,1445l3257,1445e" filled="false" stroked="true" strokeweight=".48pt" strokecolor="#000000">
                <v:path arrowok="t"/>
              </v:shape>
            </v:group>
            <v:group style="position:absolute;left:3267;top:1445;width:1055;height:2" coordorigin="3267,1445" coordsize="1055,2">
              <v:shape style="position:absolute;left:3267;top:1445;width:1055;height:2" coordorigin="3267,1445" coordsize="1055,0" path="m3267,1445l4321,1445e" filled="false" stroked="true" strokeweight=".48pt" strokecolor="#000000">
                <v:path arrowok="t"/>
              </v:shape>
            </v:group>
            <v:group style="position:absolute;left:4331;top:1445;width:1054;height:2" coordorigin="4331,1445" coordsize="1054,2">
              <v:shape style="position:absolute;left:4331;top:1445;width:1054;height:2" coordorigin="4331,1445" coordsize="1054,0" path="m4331,1445l5384,1445e" filled="false" stroked="true" strokeweight=".48pt" strokecolor="#000000">
                <v:path arrowok="t"/>
              </v:shape>
            </v:group>
            <v:group style="position:absolute;left:5394;top:1445;width:1052;height:2" coordorigin="5394,1445" coordsize="1052,2">
              <v:shape style="position:absolute;left:5394;top:1445;width:1052;height:2" coordorigin="5394,1445" coordsize="1052,0" path="m5394,1445l6445,1445e" filled="false" stroked="true" strokeweight=".48pt" strokecolor="#000000">
                <v:path arrowok="t"/>
              </v:shape>
            </v:group>
            <v:group style="position:absolute;left:6455;top:1445;width:1054;height:2" coordorigin="6455,1445" coordsize="1054,2">
              <v:shape style="position:absolute;left:6455;top:1445;width:1054;height:2" coordorigin="6455,1445" coordsize="1054,0" path="m6455,1445l7509,1445e" filled="false" stroked="true" strokeweight=".48pt" strokecolor="#000000">
                <v:path arrowok="t"/>
              </v:shape>
            </v:group>
            <v:group style="position:absolute;left:7518;top:1445;width:1054;height:2" coordorigin="7518,1445" coordsize="1054,2">
              <v:shape style="position:absolute;left:7518;top:1445;width:1054;height:2" coordorigin="7518,1445" coordsize="1054,0" path="m7518,1445l8572,1445e" filled="false" stroked="true" strokeweight=".48pt" strokecolor="#000000">
                <v:path arrowok="t"/>
              </v:shape>
            </v:group>
            <v:group style="position:absolute;left:8581;top:1445;width:1055;height:2" coordorigin="8581,1445" coordsize="1055,2">
              <v:shape style="position:absolute;left:8581;top:1445;width:1055;height:2" coordorigin="8581,1445" coordsize="1055,0" path="m8581,1445l9635,1445e" filled="false" stroked="true" strokeweight=".48pt" strokecolor="#000000">
                <v:path arrowok="t"/>
              </v:shape>
            </v:group>
            <v:group style="position:absolute;left:9645;top:1445;width:1054;height:2" coordorigin="9645,1445" coordsize="1054,2">
              <v:shape style="position:absolute;left:9645;top:1445;width:1054;height:2" coordorigin="9645,1445" coordsize="1054,0" path="m9645,1445l10699,1445e" filled="false" stroked="true" strokeweight=".48pt" strokecolor="#000000">
                <v:path arrowok="t"/>
              </v:shape>
            </v:group>
            <v:group style="position:absolute;left:2204;top:2789;width:1054;height:936" coordorigin="2204,2789" coordsize="1054,936">
              <v:shape style="position:absolute;left:2204;top:2789;width:1054;height:936" coordorigin="2204,2789" coordsize="1054,936" path="m2204,3725l3257,3725,3257,2789,2204,2789,2204,3725xe" filled="true" fillcolor="#ffffff" stroked="false">
                <v:path arrowok="t"/>
                <v:fill type="solid"/>
              </v:shape>
            </v:group>
            <v:group style="position:absolute;left:1138;top:2782;width:1057;height:2" coordorigin="1138,2782" coordsize="1057,2">
              <v:shape style="position:absolute;left:1138;top:2782;width:1057;height:2" coordorigin="1138,2782" coordsize="1057,0" path="m1138,2782l2194,2782e" filled="false" stroked="true" strokeweight=".48pt" strokecolor="#000000">
                <v:path arrowok="t"/>
              </v:shape>
            </v:group>
            <v:group style="position:absolute;left:2204;top:2782;width:1054;height:2" coordorigin="2204,2782" coordsize="1054,2">
              <v:shape style="position:absolute;left:2204;top:2782;width:1054;height:2" coordorigin="2204,2782" coordsize="1054,0" path="m2204,2782l3257,2782e" filled="false" stroked="true" strokeweight=".48pt" strokecolor="#000000">
                <v:path arrowok="t"/>
              </v:shape>
            </v:group>
            <v:group style="position:absolute;left:3267;top:2782;width:1055;height:2" coordorigin="3267,2782" coordsize="1055,2">
              <v:shape style="position:absolute;left:3267;top:2782;width:1055;height:2" coordorigin="3267,2782" coordsize="1055,0" path="m3267,2782l4321,2782e" filled="false" stroked="true" strokeweight=".48pt" strokecolor="#000000">
                <v:path arrowok="t"/>
              </v:shape>
            </v:group>
            <v:group style="position:absolute;left:5394;top:2789;width:1055;height:1092" coordorigin="5394,2789" coordsize="1055,1092">
              <v:shape style="position:absolute;left:5394;top:2789;width:1055;height:1092" coordorigin="5394,2789" coordsize="1055,1092" path="m5394,3881l6448,3881,6448,2789,5394,2789,5394,3881xe" filled="true" fillcolor="#ffffff" stroked="false">
                <v:path arrowok="t"/>
                <v:fill type="solid"/>
              </v:shape>
            </v:group>
            <v:group style="position:absolute;left:4331;top:2782;width:1054;height:2" coordorigin="4331,2782" coordsize="1054,2">
              <v:shape style="position:absolute;left:4331;top:2782;width:1054;height:2" coordorigin="4331,2782" coordsize="1054,0" path="m4331,2782l5384,2782e" filled="false" stroked="true" strokeweight=".48pt" strokecolor="#000000">
                <v:path arrowok="t"/>
              </v:shape>
            </v:group>
            <v:group style="position:absolute;left:5394;top:2782;width:1052;height:2" coordorigin="5394,2782" coordsize="1052,2">
              <v:shape style="position:absolute;left:5394;top:2782;width:1052;height:2" coordorigin="5394,2782" coordsize="1052,0" path="m5394,2782l6445,2782e" filled="false" stroked="true" strokeweight=".48pt" strokecolor="#000000">
                <v:path arrowok="t"/>
              </v:shape>
            </v:group>
            <v:group style="position:absolute;left:6455;top:2782;width:1054;height:2" coordorigin="6455,2782" coordsize="1054,2">
              <v:shape style="position:absolute;left:6455;top:2782;width:1054;height:2" coordorigin="6455,2782" coordsize="1054,0" path="m6455,2782l7509,2782e" filled="false" stroked="true" strokeweight=".48pt" strokecolor="#000000">
                <v:path arrowok="t"/>
              </v:shape>
            </v:group>
            <v:group style="position:absolute;left:7518;top:2782;width:1054;height:2" coordorigin="7518,2782" coordsize="1054,2">
              <v:shape style="position:absolute;left:7518;top:2782;width:1054;height:2" coordorigin="7518,2782" coordsize="1054,0" path="m7518,2782l8572,2782e" filled="false" stroked="true" strokeweight=".48pt" strokecolor="#000000">
                <v:path arrowok="t"/>
              </v:shape>
            </v:group>
            <v:group style="position:absolute;left:8581;top:2782;width:1055;height:2" coordorigin="8581,2782" coordsize="1055,2">
              <v:shape style="position:absolute;left:8581;top:2782;width:1055;height:2" coordorigin="8581,2782" coordsize="1055,0" path="m8581,2782l9635,2782e" filled="false" stroked="true" strokeweight=".48pt" strokecolor="#000000">
                <v:path arrowok="t"/>
              </v:shape>
            </v:group>
            <v:group style="position:absolute;left:9645;top:2782;width:1054;height:2" coordorigin="9645,2782" coordsize="1054,2">
              <v:shape style="position:absolute;left:9645;top:2782;width:1054;height:2" coordorigin="9645,2782" coordsize="1054,0" path="m9645,2782l10699,2782e" filled="false" stroked="true" strokeweight=".48pt" strokecolor="#000000">
                <v:path arrowok="t"/>
              </v:shape>
            </v:group>
            <v:group style="position:absolute;left:1138;top:5369;width:1057;height:2" coordorigin="1138,5369" coordsize="1057,2">
              <v:shape style="position:absolute;left:1138;top:5369;width:1057;height:2" coordorigin="1138,5369" coordsize="1057,0" path="m1138,5369l2194,5369e" filled="false" stroked="true" strokeweight=".48001pt" strokecolor="#000000">
                <v:path arrowok="t"/>
              </v:shape>
            </v:group>
            <v:group style="position:absolute;left:2204;top:5369;width:1054;height:2" coordorigin="2204,5369" coordsize="1054,2">
              <v:shape style="position:absolute;left:2204;top:5369;width:1054;height:2" coordorigin="2204,5369" coordsize="1054,0" path="m2204,5369l3257,5369e" filled="false" stroked="true" strokeweight=".48001pt" strokecolor="#000000">
                <v:path arrowok="t"/>
              </v:shape>
            </v:group>
            <v:group style="position:absolute;left:3267;top:5369;width:1055;height:2" coordorigin="3267,5369" coordsize="1055,2">
              <v:shape style="position:absolute;left:3267;top:5369;width:1055;height:2" coordorigin="3267,5369" coordsize="1055,0" path="m3267,5369l4321,5369e" filled="false" stroked="true" strokeweight=".48001pt" strokecolor="#000000">
                <v:path arrowok="t"/>
              </v:shape>
            </v:group>
            <v:group style="position:absolute;left:4331;top:5369;width:1054;height:2" coordorigin="4331,5369" coordsize="1054,2">
              <v:shape style="position:absolute;left:4331;top:5369;width:1054;height:2" coordorigin="4331,5369" coordsize="1054,0" path="m4331,5369l5384,5369e" filled="false" stroked="true" strokeweight=".48001pt" strokecolor="#000000">
                <v:path arrowok="t"/>
              </v:shape>
            </v:group>
            <v:group style="position:absolute;left:5394;top:5369;width:1052;height:2" coordorigin="5394,5369" coordsize="1052,2">
              <v:shape style="position:absolute;left:5394;top:5369;width:1052;height:2" coordorigin="5394,5369" coordsize="1052,0" path="m5394,5369l6445,5369e" filled="false" stroked="true" strokeweight=".48001pt" strokecolor="#000000">
                <v:path arrowok="t"/>
              </v:shape>
            </v:group>
            <v:group style="position:absolute;left:6455;top:5369;width:1054;height:2" coordorigin="6455,5369" coordsize="1054,2">
              <v:shape style="position:absolute;left:6455;top:5369;width:1054;height:2" coordorigin="6455,5369" coordsize="1054,0" path="m6455,5369l7509,5369e" filled="false" stroked="true" strokeweight=".48001pt" strokecolor="#000000">
                <v:path arrowok="t"/>
              </v:shape>
            </v:group>
            <v:group style="position:absolute;left:7518;top:5369;width:1054;height:2" coordorigin="7518,5369" coordsize="1054,2">
              <v:shape style="position:absolute;left:7518;top:5369;width:1054;height:2" coordorigin="7518,5369" coordsize="1054,0" path="m7518,5369l8572,5369e" filled="false" stroked="true" strokeweight=".48001pt" strokecolor="#000000">
                <v:path arrowok="t"/>
              </v:shape>
            </v:group>
            <v:group style="position:absolute;left:8581;top:5369;width:1055;height:2" coordorigin="8581,5369" coordsize="1055,2">
              <v:shape style="position:absolute;left:8581;top:5369;width:1055;height:2" coordorigin="8581,5369" coordsize="1055,0" path="m8581,5369l9635,5369e" filled="false" stroked="true" strokeweight=".48001pt" strokecolor="#000000">
                <v:path arrowok="t"/>
              </v:shape>
            </v:group>
            <v:group style="position:absolute;left:9645;top:5369;width:1054;height:2" coordorigin="9645,5369" coordsize="1054,2">
              <v:shape style="position:absolute;left:9645;top:5369;width:1054;height:2" coordorigin="9645,5369" coordsize="1054,0" path="m9645,5369l10699,5369e" filled="false" stroked="true" strokeweight=".48001pt" strokecolor="#000000">
                <v:path arrowok="t"/>
              </v:shape>
            </v:group>
            <v:group style="position:absolute;left:1138;top:7643;width:1057;height:2" coordorigin="1138,7643" coordsize="1057,2">
              <v:shape style="position:absolute;left:1138;top:7643;width:1057;height:2" coordorigin="1138,7643" coordsize="1057,0" path="m1138,7643l2194,7643e" filled="false" stroked="true" strokeweight=".48001pt" strokecolor="#000000">
                <v:path arrowok="t"/>
              </v:shape>
            </v:group>
            <v:group style="position:absolute;left:2204;top:7643;width:1054;height:2" coordorigin="2204,7643" coordsize="1054,2">
              <v:shape style="position:absolute;left:2204;top:7643;width:1054;height:2" coordorigin="2204,7643" coordsize="1054,0" path="m2204,7643l3257,7643e" filled="false" stroked="true" strokeweight=".48001pt" strokecolor="#000000">
                <v:path arrowok="t"/>
              </v:shape>
            </v:group>
            <v:group style="position:absolute;left:3267;top:7643;width:1055;height:2" coordorigin="3267,7643" coordsize="1055,2">
              <v:shape style="position:absolute;left:3267;top:7643;width:1055;height:2" coordorigin="3267,7643" coordsize="1055,0" path="m3267,7643l4321,7643e" filled="false" stroked="true" strokeweight=".48001pt" strokecolor="#000000">
                <v:path arrowok="t"/>
              </v:shape>
            </v:group>
            <v:group style="position:absolute;left:4331;top:7643;width:1054;height:2" coordorigin="4331,7643" coordsize="1054,2">
              <v:shape style="position:absolute;left:4331;top:7643;width:1054;height:2" coordorigin="4331,7643" coordsize="1054,0" path="m4331,7643l5384,7643e" filled="false" stroked="true" strokeweight=".48001pt" strokecolor="#000000">
                <v:path arrowok="t"/>
              </v:shape>
            </v:group>
            <v:group style="position:absolute;left:5394;top:7643;width:1052;height:2" coordorigin="5394,7643" coordsize="1052,2">
              <v:shape style="position:absolute;left:5394;top:7643;width:1052;height:2" coordorigin="5394,7643" coordsize="1052,0" path="m5394,7643l6445,7643e" filled="false" stroked="true" strokeweight=".48001pt" strokecolor="#000000">
                <v:path arrowok="t"/>
              </v:shape>
            </v:group>
            <v:group style="position:absolute;left:6455;top:7643;width:1054;height:2" coordorigin="6455,7643" coordsize="1054,2">
              <v:shape style="position:absolute;left:6455;top:7643;width:1054;height:2" coordorigin="6455,7643" coordsize="1054,0" path="m6455,7643l7509,7643e" filled="false" stroked="true" strokeweight=".48001pt" strokecolor="#000000">
                <v:path arrowok="t"/>
              </v:shape>
            </v:group>
            <v:group style="position:absolute;left:7518;top:7643;width:1054;height:2" coordorigin="7518,7643" coordsize="1054,2">
              <v:shape style="position:absolute;left:7518;top:7643;width:1054;height:2" coordorigin="7518,7643" coordsize="1054,0" path="m7518,7643l8572,7643e" filled="false" stroked="true" strokeweight=".48001pt" strokecolor="#000000">
                <v:path arrowok="t"/>
              </v:shape>
            </v:group>
            <v:group style="position:absolute;left:8581;top:7643;width:1055;height:2" coordorigin="8581,7643" coordsize="1055,2">
              <v:shape style="position:absolute;left:8581;top:7643;width:1055;height:2" coordorigin="8581,7643" coordsize="1055,0" path="m8581,7643l9635,7643e" filled="false" stroked="true" strokeweight=".48001pt" strokecolor="#000000">
                <v:path arrowok="t"/>
              </v:shape>
            </v:group>
            <v:group style="position:absolute;left:9645;top:7643;width:1054;height:2" coordorigin="9645,7643" coordsize="1054,2">
              <v:shape style="position:absolute;left:9645;top:7643;width:1054;height:2" coordorigin="9645,7643" coordsize="1054,0" path="m9645,7643l10699,7643e" filled="false" stroked="true" strokeweight=".48001pt" strokecolor="#000000">
                <v:path arrowok="t"/>
              </v:shape>
            </v:group>
            <v:group style="position:absolute;left:5394;top:9923;width:1055;height:624" coordorigin="5394,9923" coordsize="1055,624">
              <v:shape style="position:absolute;left:5394;top:9923;width:1055;height:624" coordorigin="5394,9923" coordsize="1055,624" path="m5394,10547l6448,10547,6448,9923,5394,9923,5394,10547xe" filled="true" fillcolor="#ffffff" stroked="false">
                <v:path arrowok="t"/>
                <v:fill type="solid"/>
              </v:shape>
            </v:group>
            <v:group style="position:absolute;left:1138;top:9918;width:1057;height:2" coordorigin="1138,9918" coordsize="1057,2">
              <v:shape style="position:absolute;left:1138;top:9918;width:1057;height:2" coordorigin="1138,9918" coordsize="1057,0" path="m1138,9918l2194,9918e" filled="false" stroked="true" strokeweight=".48001pt" strokecolor="#000000">
                <v:path arrowok="t"/>
              </v:shape>
            </v:group>
            <v:group style="position:absolute;left:2204;top:9918;width:1054;height:2" coordorigin="2204,9918" coordsize="1054,2">
              <v:shape style="position:absolute;left:2204;top:9918;width:1054;height:2" coordorigin="2204,9918" coordsize="1054,0" path="m2204,9918l3257,9918e" filled="false" stroked="true" strokeweight=".48001pt" strokecolor="#000000">
                <v:path arrowok="t"/>
              </v:shape>
            </v:group>
            <v:group style="position:absolute;left:3267;top:9918;width:1055;height:2" coordorigin="3267,9918" coordsize="1055,2">
              <v:shape style="position:absolute;left:3267;top:9918;width:1055;height:2" coordorigin="3267,9918" coordsize="1055,0" path="m3267,9918l4321,9918e" filled="false" stroked="true" strokeweight=".48001pt" strokecolor="#000000">
                <v:path arrowok="t"/>
              </v:shape>
            </v:group>
            <v:group style="position:absolute;left:4331;top:9918;width:1054;height:2" coordorigin="4331,9918" coordsize="1054,2">
              <v:shape style="position:absolute;left:4331;top:9918;width:1054;height:2" coordorigin="4331,9918" coordsize="1054,0" path="m4331,9918l5384,9918e" filled="false" stroked="true" strokeweight=".48001pt" strokecolor="#000000">
                <v:path arrowok="t"/>
              </v:shape>
            </v:group>
            <v:group style="position:absolute;left:5394;top:9918;width:1052;height:2" coordorigin="5394,9918" coordsize="1052,2">
              <v:shape style="position:absolute;left:5394;top:9918;width:1052;height:2" coordorigin="5394,9918" coordsize="1052,0" path="m5394,9918l6445,9918e" filled="false" stroked="true" strokeweight=".48001pt" strokecolor="#000000">
                <v:path arrowok="t"/>
              </v:shape>
            </v:group>
            <v:group style="position:absolute;left:6455;top:9918;width:1054;height:2" coordorigin="6455,9918" coordsize="1054,2">
              <v:shape style="position:absolute;left:6455;top:9918;width:1054;height:2" coordorigin="6455,9918" coordsize="1054,0" path="m6455,9918l7509,9918e" filled="false" stroked="true" strokeweight=".48001pt" strokecolor="#000000">
                <v:path arrowok="t"/>
              </v:shape>
            </v:group>
            <v:group style="position:absolute;left:7518;top:9918;width:1054;height:2" coordorigin="7518,9918" coordsize="1054,2">
              <v:shape style="position:absolute;left:7518;top:9918;width:1054;height:2" coordorigin="7518,9918" coordsize="1054,0" path="m7518,9918l8572,9918e" filled="false" stroked="true" strokeweight=".48001pt" strokecolor="#000000">
                <v:path arrowok="t"/>
              </v:shape>
            </v:group>
            <v:group style="position:absolute;left:8581;top:9918;width:1055;height:2" coordorigin="8581,9918" coordsize="1055,2">
              <v:shape style="position:absolute;left:8581;top:9918;width:1055;height:2" coordorigin="8581,9918" coordsize="1055,0" path="m8581,9918l9635,9918e" filled="false" stroked="true" strokeweight=".48001pt" strokecolor="#000000">
                <v:path arrowok="t"/>
              </v:shape>
            </v:group>
            <v:group style="position:absolute;left:9645;top:9918;width:1054;height:2" coordorigin="9645,9918" coordsize="1054,2">
              <v:shape style="position:absolute;left:9645;top:9918;width:1054;height:2" coordorigin="9645,9918" coordsize="1054,0" path="m9645,9918l10699,9918e" filled="false" stroked="true" strokeweight=".48001pt" strokecolor="#000000">
                <v:path arrowok="t"/>
              </v:shape>
            </v:group>
            <v:group style="position:absolute;left:5394;top:11574;width:1055;height:780" coordorigin="5394,11574" coordsize="1055,780">
              <v:shape style="position:absolute;left:5394;top:11574;width:1055;height:780" coordorigin="5394,11574" coordsize="1055,780" path="m5394,12354l6448,12354,6448,11574,5394,11574,5394,12354xe" filled="true" fillcolor="#ffffff" stroked="false">
                <v:path arrowok="t"/>
                <v:fill type="solid"/>
              </v:shape>
            </v:group>
            <v:group style="position:absolute;left:1138;top:11567;width:1057;height:2" coordorigin="1138,11567" coordsize="1057,2">
              <v:shape style="position:absolute;left:1138;top:11567;width:1057;height:2" coordorigin="1138,11567" coordsize="1057,0" path="m1138,11567l2194,11567e" filled="false" stroked="true" strokeweight=".47998pt" strokecolor="#000000">
                <v:path arrowok="t"/>
              </v:shape>
            </v:group>
            <v:group style="position:absolute;left:2204;top:11567;width:1054;height:2" coordorigin="2204,11567" coordsize="1054,2">
              <v:shape style="position:absolute;left:2204;top:11567;width:1054;height:2" coordorigin="2204,11567" coordsize="1054,0" path="m2204,11567l3257,11567e" filled="false" stroked="true" strokeweight=".47998pt" strokecolor="#000000">
                <v:path arrowok="t"/>
              </v:shape>
            </v:group>
            <v:group style="position:absolute;left:3267;top:11567;width:1055;height:2" coordorigin="3267,11567" coordsize="1055,2">
              <v:shape style="position:absolute;left:3267;top:11567;width:1055;height:2" coordorigin="3267,11567" coordsize="1055,0" path="m3267,11567l4321,11567e" filled="false" stroked="true" strokeweight=".47998pt" strokecolor="#000000">
                <v:path arrowok="t"/>
              </v:shape>
            </v:group>
            <v:group style="position:absolute;left:4331;top:11567;width:1054;height:2" coordorigin="4331,11567" coordsize="1054,2">
              <v:shape style="position:absolute;left:4331;top:11567;width:1054;height:2" coordorigin="4331,11567" coordsize="1054,0" path="m4331,11567l5384,11567e" filled="false" stroked="true" strokeweight=".47998pt" strokecolor="#000000">
                <v:path arrowok="t"/>
              </v:shape>
            </v:group>
            <v:group style="position:absolute;left:5394;top:11567;width:1052;height:2" coordorigin="5394,11567" coordsize="1052,2">
              <v:shape style="position:absolute;left:5394;top:11567;width:1052;height:2" coordorigin="5394,11567" coordsize="1052,0" path="m5394,11567l6445,11567e" filled="false" stroked="true" strokeweight=".47998pt" strokecolor="#000000">
                <v:path arrowok="t"/>
              </v:shape>
            </v:group>
            <v:group style="position:absolute;left:6455;top:11567;width:1054;height:2" coordorigin="6455,11567" coordsize="1054,2">
              <v:shape style="position:absolute;left:6455;top:11567;width:1054;height:2" coordorigin="6455,11567" coordsize="1054,0" path="m6455,11567l7509,11567e" filled="false" stroked="true" strokeweight=".47998pt" strokecolor="#000000">
                <v:path arrowok="t"/>
              </v:shape>
            </v:group>
            <v:group style="position:absolute;left:7518;top:11567;width:1054;height:2" coordorigin="7518,11567" coordsize="1054,2">
              <v:shape style="position:absolute;left:7518;top:11567;width:1054;height:2" coordorigin="7518,11567" coordsize="1054,0" path="m7518,11567l8572,11567e" filled="false" stroked="true" strokeweight=".47998pt" strokecolor="#000000">
                <v:path arrowok="t"/>
              </v:shape>
            </v:group>
            <v:group style="position:absolute;left:8581;top:11567;width:1055;height:2" coordorigin="8581,11567" coordsize="1055,2">
              <v:shape style="position:absolute;left:8581;top:11567;width:1055;height:2" coordorigin="8581,11567" coordsize="1055,0" path="m8581,11567l9635,11567e" filled="false" stroked="true" strokeweight=".47998pt" strokecolor="#000000">
                <v:path arrowok="t"/>
              </v:shape>
            </v:group>
            <v:group style="position:absolute;left:9645;top:11567;width:1054;height:2" coordorigin="9645,11567" coordsize="1054,2">
              <v:shape style="position:absolute;left:9645;top:11567;width:1054;height:2" coordorigin="9645,11567" coordsize="1054,0" path="m9645,11567l10699,11567e" filled="false" stroked="true" strokeweight=".47998pt" strokecolor="#000000">
                <v:path arrowok="t"/>
              </v:shape>
            </v:group>
            <v:group style="position:absolute;left:5394;top:13536;width:1055;height:468" coordorigin="5394,13536" coordsize="1055,468">
              <v:shape style="position:absolute;left:5394;top:13536;width:1055;height:468" coordorigin="5394,13536" coordsize="1055,468" path="m5394,14004l6448,14004,6448,13536,5394,13536,5394,14004xe" filled="true" fillcolor="#ffffff" stroked="false">
                <v:path arrowok="t"/>
                <v:fill type="solid"/>
              </v:shape>
            </v:group>
            <v:group style="position:absolute;left:1138;top:13531;width:1057;height:2" coordorigin="1138,13531" coordsize="1057,2">
              <v:shape style="position:absolute;left:1138;top:13531;width:1057;height:2" coordorigin="1138,13531" coordsize="1057,0" path="m1138,13531l2194,13531e" filled="false" stroked="true" strokeweight=".47998pt" strokecolor="#000000">
                <v:path arrowok="t"/>
              </v:shape>
            </v:group>
            <v:group style="position:absolute;left:2204;top:13531;width:1054;height:2" coordorigin="2204,13531" coordsize="1054,2">
              <v:shape style="position:absolute;left:2204;top:13531;width:1054;height:2" coordorigin="2204,13531" coordsize="1054,0" path="m2204,13531l3257,13531e" filled="false" stroked="true" strokeweight=".47998pt" strokecolor="#000000">
                <v:path arrowok="t"/>
              </v:shape>
            </v:group>
            <v:group style="position:absolute;left:3267;top:13531;width:1055;height:2" coordorigin="3267,13531" coordsize="1055,2">
              <v:shape style="position:absolute;left:3267;top:13531;width:1055;height:2" coordorigin="3267,13531" coordsize="1055,0" path="m3267,13531l4321,13531e" filled="false" stroked="true" strokeweight=".47998pt" strokecolor="#000000">
                <v:path arrowok="t"/>
              </v:shape>
            </v:group>
            <v:group style="position:absolute;left:4331;top:13531;width:1054;height:2" coordorigin="4331,13531" coordsize="1054,2">
              <v:shape style="position:absolute;left:4331;top:13531;width:1054;height:2" coordorigin="4331,13531" coordsize="1054,0" path="m4331,13531l5384,13531e" filled="false" stroked="true" strokeweight=".47998pt" strokecolor="#000000">
                <v:path arrowok="t"/>
              </v:shape>
            </v:group>
            <v:group style="position:absolute;left:5394;top:13531;width:1052;height:2" coordorigin="5394,13531" coordsize="1052,2">
              <v:shape style="position:absolute;left:5394;top:13531;width:1052;height:2" coordorigin="5394,13531" coordsize="1052,0" path="m5394,13531l6445,13531e" filled="false" stroked="true" strokeweight=".47998pt" strokecolor="#000000">
                <v:path arrowok="t"/>
              </v:shape>
            </v:group>
            <v:group style="position:absolute;left:6455;top:13531;width:1054;height:2" coordorigin="6455,13531" coordsize="1054,2">
              <v:shape style="position:absolute;left:6455;top:13531;width:1054;height:2" coordorigin="6455,13531" coordsize="1054,0" path="m6455,13531l7509,13531e" filled="false" stroked="true" strokeweight=".47998pt" strokecolor="#000000">
                <v:path arrowok="t"/>
              </v:shape>
            </v:group>
            <v:group style="position:absolute;left:7518;top:13531;width:1054;height:2" coordorigin="7518,13531" coordsize="1054,2">
              <v:shape style="position:absolute;left:7518;top:13531;width:1054;height:2" coordorigin="7518,13531" coordsize="1054,0" path="m7518,13531l8572,13531e" filled="false" stroked="true" strokeweight=".47998pt" strokecolor="#000000">
                <v:path arrowok="t"/>
              </v:shape>
            </v:group>
            <v:group style="position:absolute;left:8581;top:13531;width:1055;height:2" coordorigin="8581,13531" coordsize="1055,2">
              <v:shape style="position:absolute;left:8581;top:13531;width:1055;height:2" coordorigin="8581,13531" coordsize="1055,0" path="m8581,13531l9635,13531e" filled="false" stroked="true" strokeweight=".47998pt" strokecolor="#000000">
                <v:path arrowok="t"/>
              </v:shape>
            </v:group>
            <v:group style="position:absolute;left:9645;top:13531;width:1054;height:2" coordorigin="9645,13531" coordsize="1054,2">
              <v:shape style="position:absolute;left:9645;top:13531;width:1054;height:2" coordorigin="9645,13531" coordsize="1054,0" path="m9645,13531l10699,13531e" filled="false" stroked="true" strokeweight=".47998pt" strokecolor="#000000">
                <v:path arrowok="t"/>
              </v:shape>
            </v:group>
            <v:group style="position:absolute;left:5406;top:14875;width:2;height:392" coordorigin="5406,14875" coordsize="2,392">
              <v:shape style="position:absolute;left:5406;top:14875;width:2;height:392" coordorigin="5406,14875" coordsize="0,392" path="m5406,14875l5406,15266e" filled="false" stroked="true" strokeweight="1.2pt" strokecolor="#ffffff">
                <v:path arrowok="t"/>
              </v:shape>
            </v:group>
            <v:group style="position:absolute;left:1138;top:14868;width:1057;height:2" coordorigin="1138,14868" coordsize="1057,2">
              <v:shape style="position:absolute;left:1138;top:14868;width:1057;height:2" coordorigin="1138,14868" coordsize="1057,0" path="m1138,14868l2194,14868e" filled="false" stroked="true" strokeweight=".48004pt" strokecolor="#000000">
                <v:path arrowok="t"/>
              </v:shape>
            </v:group>
            <v:group style="position:absolute;left:2204;top:14868;width:1054;height:2" coordorigin="2204,14868" coordsize="1054,2">
              <v:shape style="position:absolute;left:2204;top:14868;width:1054;height:2" coordorigin="2204,14868" coordsize="1054,0" path="m2204,14868l3257,14868e" filled="false" stroked="true" strokeweight=".48004pt" strokecolor="#000000">
                <v:path arrowok="t"/>
              </v:shape>
            </v:group>
            <v:group style="position:absolute;left:3267;top:14868;width:1055;height:2" coordorigin="3267,14868" coordsize="1055,2">
              <v:shape style="position:absolute;left:3267;top:14868;width:1055;height:2" coordorigin="3267,14868" coordsize="1055,0" path="m3267,14868l4321,14868e" filled="false" stroked="true" strokeweight=".48004pt" strokecolor="#000000">
                <v:path arrowok="t"/>
              </v:shape>
            </v:group>
            <v:group style="position:absolute;left:4331;top:14868;width:1054;height:2" coordorigin="4331,14868" coordsize="1054,2">
              <v:shape style="position:absolute;left:4331;top:14868;width:1054;height:2" coordorigin="4331,14868" coordsize="1054,0" path="m4331,14868l5384,14868e" filled="false" stroked="true" strokeweight=".48004pt" strokecolor="#000000">
                <v:path arrowok="t"/>
              </v:shape>
            </v:group>
            <v:group style="position:absolute;left:5394;top:14868;width:1052;height:2" coordorigin="5394,14868" coordsize="1052,2">
              <v:shape style="position:absolute;left:5394;top:14868;width:1052;height:2" coordorigin="5394,14868" coordsize="1052,0" path="m5394,14868l6445,14868e" filled="false" stroked="true" strokeweight=".48004pt" strokecolor="#000000">
                <v:path arrowok="t"/>
              </v:shape>
            </v:group>
            <v:group style="position:absolute;left:6455;top:14868;width:1054;height:2" coordorigin="6455,14868" coordsize="1054,2">
              <v:shape style="position:absolute;left:6455;top:14868;width:1054;height:2" coordorigin="6455,14868" coordsize="1054,0" path="m6455,14868l7509,14868e" filled="false" stroked="true" strokeweight=".48004pt" strokecolor="#000000">
                <v:path arrowok="t"/>
              </v:shape>
            </v:group>
            <v:group style="position:absolute;left:7518;top:14868;width:1054;height:2" coordorigin="7518,14868" coordsize="1054,2">
              <v:shape style="position:absolute;left:7518;top:14868;width:1054;height:2" coordorigin="7518,14868" coordsize="1054,0" path="m7518,14868l8572,14868e" filled="false" stroked="true" strokeweight=".48004pt" strokecolor="#000000">
                <v:path arrowok="t"/>
              </v:shape>
            </v:group>
            <v:group style="position:absolute;left:8581;top:14868;width:1055;height:2" coordorigin="8581,14868" coordsize="1055,2">
              <v:shape style="position:absolute;left:8581;top:14868;width:1055;height:2" coordorigin="8581,14868" coordsize="1055,0" path="m8581,14868l9635,14868e" filled="false" stroked="true" strokeweight=".48004pt" strokecolor="#000000">
                <v:path arrowok="t"/>
              </v:shape>
            </v:group>
            <v:group style="position:absolute;left:9645;top:14868;width:1054;height:2" coordorigin="9645,14868" coordsize="1054,2">
              <v:shape style="position:absolute;left:9645;top:14868;width:1054;height:2" coordorigin="9645,14868" coordsize="1054,0" path="m9645,14868l10699,14868e" filled="false" stroked="true" strokeweight=".48004pt" strokecolor="#000000">
                <v:path arrowok="t"/>
              </v:shape>
            </v:group>
            <v:group style="position:absolute;left:1133;top:1440;width:2;height:13836" coordorigin="1133,1440" coordsize="2,13836">
              <v:shape style="position:absolute;left:1133;top:1440;width:2;height:13836" coordorigin="1133,1440" coordsize="0,13836" path="m1133,1440l1133,15276e" filled="false" stroked="true" strokeweight=".48pt" strokecolor="#000000">
                <v:path arrowok="t"/>
              </v:shape>
            </v:group>
            <v:group style="position:absolute;left:1138;top:15271;width:1057;height:2" coordorigin="1138,15271" coordsize="1057,2">
              <v:shape style="position:absolute;left:1138;top:15271;width:1057;height:2" coordorigin="1138,15271" coordsize="1057,0" path="m1138,15271l2194,15271e" filled="false" stroked="true" strokeweight=".47998pt" strokecolor="#000000">
                <v:path arrowok="t"/>
              </v:shape>
            </v:group>
            <v:group style="position:absolute;left:2199;top:1440;width:2;height:13836" coordorigin="2199,1440" coordsize="2,13836">
              <v:shape style="position:absolute;left:2199;top:1440;width:2;height:13836" coordorigin="2199,1440" coordsize="0,13836" path="m2199,1440l2199,15276e" filled="false" stroked="true" strokeweight=".48pt" strokecolor="#000000">
                <v:path arrowok="t"/>
              </v:shape>
            </v:group>
            <v:group style="position:absolute;left:2204;top:15271;width:1054;height:2" coordorigin="2204,15271" coordsize="1054,2">
              <v:shape style="position:absolute;left:2204;top:15271;width:1054;height:2" coordorigin="2204,15271" coordsize="1054,0" path="m2204,15271l3257,15271e" filled="false" stroked="true" strokeweight=".47998pt" strokecolor="#000000">
                <v:path arrowok="t"/>
              </v:shape>
            </v:group>
            <v:group style="position:absolute;left:3262;top:1440;width:2;height:13836" coordorigin="3262,1440" coordsize="2,13836">
              <v:shape style="position:absolute;left:3262;top:1440;width:2;height:13836" coordorigin="3262,1440" coordsize="0,13836" path="m3262,1440l3262,15276e" filled="false" stroked="true" strokeweight=".48pt" strokecolor="#000000">
                <v:path arrowok="t"/>
              </v:shape>
            </v:group>
            <v:group style="position:absolute;left:3267;top:15271;width:1055;height:2" coordorigin="3267,15271" coordsize="1055,2">
              <v:shape style="position:absolute;left:3267;top:15271;width:1055;height:2" coordorigin="3267,15271" coordsize="1055,0" path="m3267,15271l4321,15271e" filled="false" stroked="true" strokeweight=".47998pt" strokecolor="#000000">
                <v:path arrowok="t"/>
              </v:shape>
            </v:group>
            <v:group style="position:absolute;left:4326;top:1440;width:2;height:13836" coordorigin="4326,1440" coordsize="2,13836">
              <v:shape style="position:absolute;left:4326;top:1440;width:2;height:13836" coordorigin="4326,1440" coordsize="0,13836" path="m4326,1440l4326,15276e" filled="false" stroked="true" strokeweight=".48pt" strokecolor="#000000">
                <v:path arrowok="t"/>
              </v:shape>
            </v:group>
            <v:group style="position:absolute;left:4331;top:15271;width:1054;height:2" coordorigin="4331,15271" coordsize="1054,2">
              <v:shape style="position:absolute;left:4331;top:15271;width:1054;height:2" coordorigin="4331,15271" coordsize="1054,0" path="m4331,15271l5384,15271e" filled="false" stroked="true" strokeweight=".47998pt" strokecolor="#000000">
                <v:path arrowok="t"/>
              </v:shape>
            </v:group>
            <v:group style="position:absolute;left:5389;top:1440;width:2;height:13836" coordorigin="5389,1440" coordsize="2,13836">
              <v:shape style="position:absolute;left:5389;top:1440;width:2;height:13836" coordorigin="5389,1440" coordsize="0,13836" path="m5389,1440l5389,15276e" filled="false" stroked="true" strokeweight=".47998pt" strokecolor="#000000">
                <v:path arrowok="t"/>
              </v:shape>
            </v:group>
            <v:group style="position:absolute;left:5394;top:15271;width:1052;height:2" coordorigin="5394,15271" coordsize="1052,2">
              <v:shape style="position:absolute;left:5394;top:15271;width:1052;height:2" coordorigin="5394,15271" coordsize="1052,0" path="m5394,15271l6445,15271e" filled="false" stroked="true" strokeweight=".47998pt" strokecolor="#000000">
                <v:path arrowok="t"/>
              </v:shape>
            </v:group>
            <v:group style="position:absolute;left:6450;top:1440;width:2;height:13836" coordorigin="6450,1440" coordsize="2,13836">
              <v:shape style="position:absolute;left:6450;top:1440;width:2;height:13836" coordorigin="6450,1440" coordsize="0,13836" path="m6450,1440l6450,15276e" filled="false" stroked="true" strokeweight=".48001pt" strokecolor="#000000">
                <v:path arrowok="t"/>
              </v:shape>
            </v:group>
            <v:group style="position:absolute;left:6455;top:15271;width:1054;height:2" coordorigin="6455,15271" coordsize="1054,2">
              <v:shape style="position:absolute;left:6455;top:15271;width:1054;height:2" coordorigin="6455,15271" coordsize="1054,0" path="m6455,15271l7509,15271e" filled="false" stroked="true" strokeweight=".47998pt" strokecolor="#000000">
                <v:path arrowok="t"/>
              </v:shape>
            </v:group>
            <v:group style="position:absolute;left:7513;top:1440;width:2;height:13836" coordorigin="7513,1440" coordsize="2,13836">
              <v:shape style="position:absolute;left:7513;top:1440;width:2;height:13836" coordorigin="7513,1440" coordsize="0,13836" path="m7513,1440l7513,15276e" filled="false" stroked="true" strokeweight=".48001pt" strokecolor="#000000">
                <v:path arrowok="t"/>
              </v:shape>
            </v:group>
            <v:group style="position:absolute;left:7518;top:15271;width:1054;height:2" coordorigin="7518,15271" coordsize="1054,2">
              <v:shape style="position:absolute;left:7518;top:15271;width:1054;height:2" coordorigin="7518,15271" coordsize="1054,0" path="m7518,15271l8572,15271e" filled="false" stroked="true" strokeweight=".47998pt" strokecolor="#000000">
                <v:path arrowok="t"/>
              </v:shape>
            </v:group>
            <v:group style="position:absolute;left:8577;top:1440;width:2;height:13836" coordorigin="8577,1440" coordsize="2,13836">
              <v:shape style="position:absolute;left:8577;top:1440;width:2;height:13836" coordorigin="8577,1440" coordsize="0,13836" path="m8577,1440l8577,15276e" filled="false" stroked="true" strokeweight=".47998pt" strokecolor="#000000">
                <v:path arrowok="t"/>
              </v:shape>
            </v:group>
            <v:group style="position:absolute;left:8581;top:15271;width:1055;height:2" coordorigin="8581,15271" coordsize="1055,2">
              <v:shape style="position:absolute;left:8581;top:15271;width:1055;height:2" coordorigin="8581,15271" coordsize="1055,0" path="m8581,15271l9635,15271e" filled="false" stroked="true" strokeweight=".47998pt" strokecolor="#000000">
                <v:path arrowok="t"/>
              </v:shape>
            </v:group>
            <v:group style="position:absolute;left:9640;top:1440;width:2;height:13836" coordorigin="9640,1440" coordsize="2,13836">
              <v:shape style="position:absolute;left:9640;top:1440;width:2;height:13836" coordorigin="9640,1440" coordsize="0,13836" path="m9640,1440l9640,15276e" filled="false" stroked="true" strokeweight=".48001pt" strokecolor="#000000">
                <v:path arrowok="t"/>
              </v:shape>
            </v:group>
            <v:group style="position:absolute;left:9645;top:15271;width:1054;height:2" coordorigin="9645,15271" coordsize="1054,2">
              <v:shape style="position:absolute;left:9645;top:15271;width:1054;height:2" coordorigin="9645,15271" coordsize="1054,0" path="m9645,15271l10699,15271e" filled="false" stroked="true" strokeweight=".47998pt" strokecolor="#000000">
                <v:path arrowok="t"/>
              </v:shape>
            </v:group>
            <v:group style="position:absolute;left:10704;top:1440;width:2;height:13836" coordorigin="10704,1440" coordsize="2,13836">
              <v:shape style="position:absolute;left:10704;top:1440;width:2;height:13836" coordorigin="10704,1440" coordsize="0,13836" path="m10704,1440l10704,15276e" filled="false" stroked="true" strokeweight=".47998pt" strokecolor="#000000">
                <v:path arrowok="t"/>
              </v:shape>
            </v:group>
            <w10:wrap type="none"/>
          </v:group>
        </w:pict>
      </w:r>
    </w:p>
    <w:p>
      <w:pPr>
        <w:pStyle w:val="BodyText"/>
        <w:tabs>
          <w:tab w:pos="3374" w:val="left" w:leader="none"/>
          <w:tab w:pos="5501" w:val="left" w:leader="none"/>
          <w:tab w:pos="7822" w:val="left" w:leader="none"/>
        </w:tabs>
        <w:spacing w:line="240" w:lineRule="auto" w:before="43"/>
        <w:ind w:left="181" w:right="0"/>
        <w:jc w:val="left"/>
      </w:pPr>
      <w:r>
        <w:rPr/>
        <w:t>深圳市科技  深圳市科技</w:t>
      </w:r>
      <w:r>
        <w:rPr>
          <w:spacing w:val="59"/>
        </w:rPr>
        <w:t> </w:t>
      </w:r>
      <w:r>
        <w:rPr>
          <w:position w:val="2"/>
        </w:rPr>
        <w:t>补助</w:t>
        <w:tab/>
      </w:r>
      <w:r>
        <w:rPr>
          <w:spacing w:val="-3"/>
        </w:rPr>
        <w:t>因研究开发、</w:t>
      </w:r>
      <w:r>
        <w:rPr>
          <w:spacing w:val="-3"/>
          <w:position w:val="2"/>
        </w:rPr>
        <w:t>否</w:t>
        <w:tab/>
      </w:r>
      <w:r>
        <w:rPr>
          <w:position w:val="2"/>
        </w:rPr>
        <w:t>否</w:t>
        <w:tab/>
      </w:r>
      <w:r>
        <w:rPr>
          <w:rFonts w:ascii="Times New Roman" w:hAnsi="Times New Roman" w:cs="Times New Roman" w:eastAsia="Times New Roman" w:hint="default"/>
          <w:position w:val="2"/>
        </w:rPr>
        <w:t>200,000.00</w:t>
      </w:r>
      <w:r>
        <w:rPr>
          <w:rFonts w:ascii="Times New Roman" w:hAnsi="Times New Roman" w:cs="Times New Roman" w:eastAsia="Times New Roman" w:hint="default"/>
          <w:spacing w:val="9"/>
          <w:position w:val="2"/>
        </w:rPr>
        <w:t> </w:t>
      </w:r>
      <w:r>
        <w:rPr>
          <w:position w:val="2"/>
        </w:rPr>
        <w:t>与资产相关</w:t>
      </w:r>
      <w:r>
        <w:rPr/>
      </w:r>
    </w:p>
    <w:p>
      <w:pPr>
        <w:spacing w:after="0" w:line="240" w:lineRule="auto"/>
        <w:jc w:val="left"/>
        <w:sectPr>
          <w:type w:val="continuous"/>
          <w:pgSz w:w="11910" w:h="16840"/>
          <w:pgMar w:top="1060" w:bottom="1160" w:left="980" w:right="980"/>
        </w:sectPr>
      </w:pPr>
    </w:p>
    <w:p>
      <w:pPr>
        <w:spacing w:line="240" w:lineRule="auto" w:before="6"/>
        <w:rPr>
          <w:rFonts w:ascii="宋体" w:hAnsi="宋体" w:cs="宋体" w:eastAsia="宋体" w:hint="default"/>
          <w:sz w:val="26"/>
          <w:szCs w:val="26"/>
        </w:rPr>
      </w:pPr>
    </w:p>
    <w:p>
      <w:pPr>
        <w:pStyle w:val="BodyText"/>
        <w:spacing w:line="319" w:lineRule="auto" w:before="44"/>
        <w:ind w:left="181" w:right="8845"/>
        <w:jc w:val="left"/>
      </w:pPr>
      <w:r>
        <w:rPr/>
        <w:pict>
          <v:shape style="position:absolute;margin-left:109.940002pt;margin-top:1.551738pt;width:224.9pt;height:100.0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3"/>
                    <w:gridCol w:w="1064"/>
                    <w:gridCol w:w="1063"/>
                    <w:gridCol w:w="1061"/>
                    <w:gridCol w:w="246"/>
                  </w:tblGrid>
                  <w:tr>
                    <w:trPr>
                      <w:trHeight w:val="987" w:hRule="exact"/>
                    </w:trPr>
                    <w:tc>
                      <w:tcPr>
                        <w:tcW w:w="1063"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8" w:right="0"/>
                          <w:jc w:val="left"/>
                          <w:rPr>
                            <w:rFonts w:ascii="宋体" w:hAnsi="宋体" w:cs="宋体" w:eastAsia="宋体" w:hint="default"/>
                            <w:sz w:val="18"/>
                            <w:szCs w:val="18"/>
                          </w:rPr>
                        </w:pPr>
                        <w:r>
                          <w:rPr>
                            <w:rFonts w:ascii="宋体" w:hAnsi="宋体" w:cs="宋体" w:eastAsia="宋体" w:hint="default"/>
                            <w:sz w:val="18"/>
                            <w:szCs w:val="18"/>
                          </w:rPr>
                          <w:t>创新委员会</w:t>
                        </w:r>
                      </w:p>
                    </w:tc>
                    <w:tc>
                      <w:tcPr>
                        <w:tcW w:w="1064" w:type="dxa"/>
                        <w:tcBorders>
                          <w:top w:val="nil" w:sz="6" w:space="0" w:color="auto"/>
                          <w:left w:val="nil" w:sz="6" w:space="0" w:color="auto"/>
                          <w:bottom w:val="nil" w:sz="6" w:space="0" w:color="auto"/>
                          <w:right w:val="nil" w:sz="6" w:space="0" w:color="auto"/>
                        </w:tcBorders>
                      </w:tcPr>
                      <w:p>
                        <w:pPr/>
                      </w:p>
                    </w:tc>
                    <w:tc>
                      <w:tcPr>
                        <w:tcW w:w="1063" w:type="dxa"/>
                        <w:tcBorders>
                          <w:top w:val="nil" w:sz="6" w:space="0" w:color="auto"/>
                          <w:left w:val="nil" w:sz="6" w:space="0" w:color="auto"/>
                          <w:bottom w:val="nil" w:sz="6" w:space="0" w:color="auto"/>
                          <w:right w:val="nil" w:sz="6" w:space="0" w:color="auto"/>
                        </w:tcBorders>
                      </w:tcPr>
                      <w:p>
                        <w:pPr>
                          <w:pStyle w:val="TableParagraph"/>
                          <w:spacing w:line="319" w:lineRule="auto" w:before="13"/>
                          <w:ind w:left="28" w:right="132"/>
                          <w:jc w:val="both"/>
                          <w:rPr>
                            <w:rFonts w:ascii="宋体" w:hAnsi="宋体" w:cs="宋体" w:eastAsia="宋体" w:hint="default"/>
                            <w:sz w:val="18"/>
                            <w:szCs w:val="18"/>
                          </w:rPr>
                        </w:pPr>
                        <w:r>
                          <w:rPr>
                            <w:rFonts w:ascii="宋体" w:hAnsi="宋体" w:cs="宋体" w:eastAsia="宋体" w:hint="default"/>
                            <w:sz w:val="18"/>
                            <w:szCs w:val="18"/>
                          </w:rPr>
                          <w:t>技术更新及 改造等获得 的补助</w:t>
                        </w:r>
                      </w:p>
                    </w:tc>
                    <w:tc>
                      <w:tcPr>
                        <w:tcW w:w="1307" w:type="dxa"/>
                        <w:gridSpan w:val="2"/>
                        <w:tcBorders>
                          <w:top w:val="nil" w:sz="6" w:space="0" w:color="auto"/>
                          <w:left w:val="nil" w:sz="6" w:space="0" w:color="auto"/>
                          <w:bottom w:val="nil" w:sz="6" w:space="0" w:color="auto"/>
                          <w:right w:val="nil" w:sz="6" w:space="0" w:color="auto"/>
                        </w:tcBorders>
                      </w:tcPr>
                      <w:p>
                        <w:pPr/>
                      </w:p>
                    </w:tc>
                  </w:tr>
                  <w:tr>
                    <w:trPr>
                      <w:trHeight w:val="1013" w:hRule="exact"/>
                    </w:trPr>
                    <w:tc>
                      <w:tcPr>
                        <w:tcW w:w="1063" w:type="dxa"/>
                        <w:tcBorders>
                          <w:top w:val="nil" w:sz="6" w:space="0" w:color="auto"/>
                          <w:left w:val="nil" w:sz="6" w:space="0" w:color="auto"/>
                          <w:bottom w:val="nil" w:sz="6" w:space="0" w:color="auto"/>
                          <w:right w:val="nil" w:sz="6" w:space="0" w:color="auto"/>
                        </w:tcBorders>
                      </w:tcPr>
                      <w:p>
                        <w:pPr>
                          <w:pStyle w:val="TableParagraph"/>
                          <w:spacing w:line="316" w:lineRule="auto" w:before="53"/>
                          <w:ind w:left="28" w:right="132"/>
                          <w:jc w:val="both"/>
                          <w:rPr>
                            <w:rFonts w:ascii="宋体" w:hAnsi="宋体" w:cs="宋体" w:eastAsia="宋体" w:hint="default"/>
                            <w:sz w:val="18"/>
                            <w:szCs w:val="18"/>
                          </w:rPr>
                        </w:pPr>
                        <w:r>
                          <w:rPr>
                            <w:rFonts w:ascii="宋体" w:hAnsi="宋体" w:cs="宋体" w:eastAsia="宋体" w:hint="default"/>
                            <w:sz w:val="18"/>
                            <w:szCs w:val="18"/>
                          </w:rPr>
                          <w:t>深圳市经济 贸易和信息 化委员会</w:t>
                        </w:r>
                      </w:p>
                    </w:tc>
                    <w:tc>
                      <w:tcPr>
                        <w:tcW w:w="106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063" w:type="dxa"/>
                        <w:tcBorders>
                          <w:top w:val="nil" w:sz="6" w:space="0" w:color="auto"/>
                          <w:left w:val="nil" w:sz="6" w:space="0" w:color="auto"/>
                          <w:bottom w:val="nil" w:sz="6" w:space="0" w:color="auto"/>
                          <w:right w:val="nil" w:sz="6" w:space="0" w:color="auto"/>
                        </w:tcBorders>
                      </w:tcPr>
                      <w:p>
                        <w:pPr>
                          <w:pStyle w:val="TableParagraph"/>
                          <w:spacing w:line="316" w:lineRule="auto" w:before="53"/>
                          <w:ind w:left="28" w:right="132"/>
                          <w:jc w:val="both"/>
                          <w:rPr>
                            <w:rFonts w:ascii="宋体" w:hAnsi="宋体" w:cs="宋体" w:eastAsia="宋体" w:hint="default"/>
                            <w:sz w:val="18"/>
                            <w:szCs w:val="18"/>
                          </w:rPr>
                        </w:pPr>
                        <w:r>
                          <w:rPr>
                            <w:rFonts w:ascii="宋体" w:hAnsi="宋体" w:cs="宋体" w:eastAsia="宋体" w:hint="default"/>
                            <w:sz w:val="18"/>
                            <w:szCs w:val="18"/>
                          </w:rPr>
                          <w:t>奖励上市而 给予的政府 补助</w:t>
                        </w:r>
                      </w:p>
                    </w:tc>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24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t>研发技术创 新资金</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745" w:footer="980" w:top="1060" w:bottom="1160" w:left="980" w:right="980"/>
        </w:sectPr>
      </w:pPr>
    </w:p>
    <w:p>
      <w:pPr>
        <w:pStyle w:val="BodyText"/>
        <w:spacing w:line="316" w:lineRule="auto" w:before="44"/>
        <w:ind w:left="181" w:right="-20"/>
        <w:jc w:val="left"/>
      </w:pPr>
      <w:r>
        <w:rPr/>
        <w:t>提升国际化 奖励资金</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240" w:lineRule="auto"/>
        <w:ind w:left="181" w:right="0"/>
        <w:jc w:val="left"/>
      </w:pPr>
      <w:r>
        <w:rPr>
          <w:rFonts w:ascii="Times New Roman" w:hAnsi="Times New Roman" w:cs="Times New Roman" w:eastAsia="Times New Roman" w:hint="default"/>
        </w:rPr>
        <w:t>187,386.00</w:t>
      </w:r>
      <w:r>
        <w:rPr>
          <w:rFonts w:ascii="Times New Roman" w:hAnsi="Times New Roman" w:cs="Times New Roman" w:eastAsia="Times New Roman" w:hint="default"/>
          <w:spacing w:val="9"/>
        </w:rPr>
        <w:t> </w:t>
      </w:r>
      <w:r>
        <w:rPr/>
        <w:t>与收益相关</w:t>
      </w:r>
    </w:p>
    <w:p>
      <w:pPr>
        <w:spacing w:after="0" w:line="240" w:lineRule="auto"/>
        <w:jc w:val="left"/>
        <w:sectPr>
          <w:type w:val="continuous"/>
          <w:pgSz w:w="11910" w:h="16840"/>
          <w:pgMar w:top="1060" w:bottom="1160" w:left="980" w:right="980"/>
          <w:cols w:num="2" w:equalWidth="0">
            <w:col w:w="1082" w:space="6558"/>
            <w:col w:w="2310"/>
          </w:cols>
        </w:sectPr>
      </w:pP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160" w:left="980" w:right="980"/>
        </w:sectPr>
      </w:pPr>
    </w:p>
    <w:p>
      <w:pPr>
        <w:pStyle w:val="BodyText"/>
        <w:spacing w:line="316" w:lineRule="auto" w:before="44"/>
        <w:ind w:left="181" w:right="0"/>
        <w:jc w:val="both"/>
      </w:pPr>
      <w:r>
        <w:rPr/>
        <w:t>基于超级计 算的金融安 全云支付平 台研发与产 业化</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pStyle w:val="BodyText"/>
        <w:spacing w:line="196" w:lineRule="exact"/>
        <w:ind w:left="125" w:right="-19"/>
        <w:jc w:val="left"/>
      </w:pPr>
      <w:r>
        <w:rPr/>
        <w:t>深圳市财政</w:t>
      </w:r>
    </w:p>
    <w:p>
      <w:pPr>
        <w:pStyle w:val="BodyText"/>
        <w:spacing w:line="156" w:lineRule="exact"/>
        <w:ind w:left="0" w:right="0"/>
        <w:jc w:val="right"/>
      </w:pPr>
      <w:r>
        <w:rPr/>
        <w:t>补助</w:t>
      </w:r>
    </w:p>
    <w:p>
      <w:pPr>
        <w:pStyle w:val="BodyText"/>
        <w:spacing w:line="196" w:lineRule="exact"/>
        <w:ind w:left="125" w:right="-19"/>
        <w:jc w:val="left"/>
      </w:pPr>
      <w:r>
        <w:rPr/>
        <w:t>委员会</w:t>
      </w:r>
    </w:p>
    <w:p>
      <w:pPr>
        <w:pStyle w:val="BodyText"/>
        <w:spacing w:line="310" w:lineRule="atLeast" w:before="126"/>
        <w:ind w:left="181" w:right="5472"/>
        <w:jc w:val="left"/>
      </w:pPr>
      <w:r>
        <w:rPr/>
        <w:br w:type="column"/>
      </w:r>
      <w:r>
        <w:rPr/>
        <w:t>因研究开发、 技术更新及</w:t>
      </w:r>
    </w:p>
    <w:p>
      <w:pPr>
        <w:pStyle w:val="BodyText"/>
        <w:tabs>
          <w:tab w:pos="2308" w:val="left" w:leader="none"/>
          <w:tab w:pos="4629" w:val="left" w:leader="none"/>
        </w:tabs>
        <w:spacing w:line="123" w:lineRule="exact"/>
        <w:ind w:left="1244" w:right="0"/>
        <w:jc w:val="left"/>
      </w:pPr>
      <w:r>
        <w:rPr/>
        <w:t>否</w:t>
        <w:tab/>
        <w:t>否</w:t>
        <w:tab/>
      </w:r>
      <w:r>
        <w:rPr>
          <w:rFonts w:ascii="Times New Roman" w:hAnsi="Times New Roman" w:cs="Times New Roman" w:eastAsia="Times New Roman" w:hint="default"/>
        </w:rPr>
        <w:t>125,000.00</w:t>
      </w:r>
      <w:r>
        <w:rPr>
          <w:rFonts w:ascii="Times New Roman" w:hAnsi="Times New Roman" w:cs="Times New Roman" w:eastAsia="Times New Roman" w:hint="default"/>
          <w:spacing w:val="9"/>
        </w:rPr>
        <w:t> </w:t>
      </w:r>
      <w:r>
        <w:rPr/>
        <w:t>与资产相关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pStyle w:val="BodyText"/>
        <w:spacing w:line="316" w:lineRule="auto"/>
        <w:ind w:left="181" w:right="-20"/>
        <w:jc w:val="left"/>
      </w:pPr>
      <w:r>
        <w:rPr/>
        <w:t>企业展会自 助项目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4"/>
          <w:szCs w:val="14"/>
        </w:rPr>
      </w:pPr>
    </w:p>
    <w:p>
      <w:pPr>
        <w:pStyle w:val="BodyText"/>
        <w:spacing w:line="196" w:lineRule="exact"/>
        <w:ind w:left="125" w:right="-19"/>
        <w:jc w:val="left"/>
      </w:pPr>
      <w:r>
        <w:rPr/>
        <w:t>深圳市财政</w:t>
      </w:r>
    </w:p>
    <w:p>
      <w:pPr>
        <w:pStyle w:val="BodyText"/>
        <w:spacing w:line="156" w:lineRule="exact"/>
        <w:ind w:left="0" w:right="0"/>
        <w:jc w:val="right"/>
      </w:pPr>
      <w:r>
        <w:rPr/>
        <w:t>补助</w:t>
      </w:r>
    </w:p>
    <w:p>
      <w:pPr>
        <w:pStyle w:val="BodyText"/>
        <w:spacing w:line="196" w:lineRule="exact"/>
        <w:ind w:left="125" w:right="-19"/>
        <w:jc w:val="left"/>
      </w:pPr>
      <w:r>
        <w:rPr/>
        <w:t>委员会</w:t>
      </w:r>
    </w:p>
    <w:p>
      <w:pPr>
        <w:pStyle w:val="BodyText"/>
        <w:spacing w:line="310" w:lineRule="atLeast" w:before="35"/>
        <w:ind w:left="181" w:right="5472"/>
        <w:jc w:val="left"/>
      </w:pPr>
      <w:r>
        <w:rPr/>
        <w:br w:type="column"/>
      </w:r>
      <w:r>
        <w:rPr/>
        <w:t>因研究开发、 技术更新及</w:t>
      </w:r>
    </w:p>
    <w:p>
      <w:pPr>
        <w:pStyle w:val="BodyText"/>
        <w:tabs>
          <w:tab w:pos="2308" w:val="left" w:leader="none"/>
          <w:tab w:pos="4720" w:val="left" w:leader="none"/>
        </w:tabs>
        <w:spacing w:line="123" w:lineRule="exact"/>
        <w:ind w:left="1244" w:right="0"/>
        <w:jc w:val="left"/>
      </w:pPr>
      <w:r>
        <w:rPr/>
        <w:t>否</w:t>
        <w:tab/>
        <w:t>否</w:t>
        <w:tab/>
      </w:r>
      <w:r>
        <w:rPr>
          <w:rFonts w:ascii="Times New Roman" w:hAnsi="Times New Roman" w:cs="Times New Roman" w:eastAsia="Times New Roman" w:hint="default"/>
        </w:rPr>
        <w:t>46,100.00</w:t>
      </w:r>
      <w:r>
        <w:rPr>
          <w:rFonts w:ascii="Times New Roman" w:hAnsi="Times New Roman" w:cs="Times New Roman" w:eastAsia="Times New Roman" w:hint="default"/>
          <w:spacing w:val="7"/>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spacing w:line="240" w:lineRule="auto" w:before="4"/>
        <w:rPr>
          <w:rFonts w:ascii="宋体" w:hAnsi="宋体" w:cs="宋体" w:eastAsia="宋体" w:hint="default"/>
          <w:sz w:val="15"/>
          <w:szCs w:val="15"/>
        </w:rPr>
      </w:pPr>
    </w:p>
    <w:p>
      <w:pPr>
        <w:pStyle w:val="BodyText"/>
        <w:spacing w:line="316" w:lineRule="auto"/>
        <w:ind w:left="181" w:right="0"/>
        <w:jc w:val="both"/>
      </w:pPr>
      <w:r>
        <w:rPr/>
        <w:t>深圳市第三 批专利资助 补贴</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125" w:right="-19"/>
        <w:jc w:val="left"/>
      </w:pPr>
      <w:r>
        <w:rPr/>
        <w:t>深圳市市场 和质量监督</w:t>
      </w:r>
      <w:r>
        <w:rPr>
          <w:spacing w:val="73"/>
        </w:rPr>
        <w:t> </w:t>
      </w:r>
      <w:r>
        <w:rPr/>
        <w:t>补助</w:t>
      </w:r>
      <w:r>
        <w:rPr/>
        <w:t> 管理委员会</w:t>
      </w:r>
    </w:p>
    <w:p>
      <w:pPr>
        <w:pStyle w:val="BodyText"/>
        <w:spacing w:line="312" w:lineRule="exact" w:before="5"/>
        <w:ind w:left="181" w:right="5472"/>
        <w:jc w:val="left"/>
      </w:pPr>
      <w:r>
        <w:rPr/>
        <w:br w:type="column"/>
      </w:r>
      <w:r>
        <w:rPr/>
        <w:t>因研究开发、 技术更新及</w:t>
      </w:r>
    </w:p>
    <w:p>
      <w:pPr>
        <w:pStyle w:val="BodyText"/>
        <w:tabs>
          <w:tab w:pos="2308" w:val="left" w:leader="none"/>
          <w:tab w:pos="4720" w:val="left" w:leader="none"/>
        </w:tabs>
        <w:spacing w:line="86" w:lineRule="exact"/>
        <w:ind w:left="1244" w:right="0"/>
        <w:jc w:val="left"/>
      </w:pPr>
      <w:r>
        <w:rPr/>
        <w:t>否</w:t>
        <w:tab/>
        <w:t>否</w:t>
        <w:tab/>
      </w:r>
      <w:r>
        <w:rPr>
          <w:rFonts w:ascii="Times New Roman" w:hAnsi="Times New Roman" w:cs="Times New Roman" w:eastAsia="Times New Roman" w:hint="default"/>
        </w:rPr>
        <w:t>25,000.00</w:t>
      </w:r>
      <w:r>
        <w:rPr>
          <w:rFonts w:ascii="Times New Roman" w:hAnsi="Times New Roman" w:cs="Times New Roman" w:eastAsia="Times New Roman" w:hint="default"/>
          <w:spacing w:val="7"/>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spacing w:line="240" w:lineRule="auto" w:before="4"/>
        <w:rPr>
          <w:rFonts w:ascii="宋体" w:hAnsi="宋体" w:cs="宋体" w:eastAsia="宋体" w:hint="default"/>
          <w:sz w:val="15"/>
          <w:szCs w:val="15"/>
        </w:rPr>
      </w:pPr>
    </w:p>
    <w:p>
      <w:pPr>
        <w:pStyle w:val="BodyText"/>
        <w:spacing w:line="309" w:lineRule="auto"/>
        <w:ind w:left="181" w:right="0"/>
        <w:jc w:val="both"/>
      </w:pP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年第二 批计算机申 请资助</w:t>
      </w:r>
    </w:p>
    <w:p>
      <w:pPr>
        <w:spacing w:line="240" w:lineRule="auto" w:before="4"/>
        <w:rPr>
          <w:rFonts w:ascii="宋体" w:hAnsi="宋体" w:cs="宋体" w:eastAsia="宋体" w:hint="default"/>
          <w:sz w:val="15"/>
          <w:szCs w:val="15"/>
        </w:rPr>
      </w:pPr>
      <w:r>
        <w:rPr/>
        <w:br w:type="column"/>
      </w:r>
      <w:r>
        <w:rPr>
          <w:rFonts w:ascii="宋体"/>
          <w:sz w:val="15"/>
        </w:rPr>
      </w:r>
    </w:p>
    <w:p>
      <w:pPr>
        <w:pStyle w:val="BodyText"/>
        <w:spacing w:line="316" w:lineRule="auto"/>
        <w:ind w:left="77" w:right="-20"/>
        <w:jc w:val="left"/>
      </w:pPr>
      <w:r>
        <w:rPr/>
        <w:t>深圳市市场 和质量监督</w:t>
      </w:r>
      <w:r>
        <w:rPr>
          <w:spacing w:val="73"/>
        </w:rPr>
        <w:t> </w:t>
      </w:r>
      <w:r>
        <w:rPr/>
        <w:t>补助</w:t>
      </w:r>
      <w:r>
        <w:rPr/>
        <w:t> 管理委员会</w:t>
      </w:r>
    </w:p>
    <w:p>
      <w:pPr>
        <w:pStyle w:val="BodyText"/>
        <w:spacing w:line="312" w:lineRule="exact" w:before="5"/>
        <w:ind w:left="181" w:right="5472"/>
        <w:jc w:val="left"/>
      </w:pPr>
      <w:r>
        <w:rPr/>
        <w:br w:type="column"/>
      </w:r>
      <w:r>
        <w:rPr/>
        <w:t>因研究开发、 技术更新及</w:t>
      </w:r>
    </w:p>
    <w:p>
      <w:pPr>
        <w:pStyle w:val="BodyText"/>
        <w:tabs>
          <w:tab w:pos="2308" w:val="left" w:leader="none"/>
          <w:tab w:pos="4720" w:val="left" w:leader="none"/>
        </w:tabs>
        <w:spacing w:line="86" w:lineRule="exact"/>
        <w:ind w:left="1244" w:right="0"/>
        <w:jc w:val="left"/>
      </w:pPr>
      <w:r>
        <w:rPr/>
        <w:t>否</w:t>
        <w:tab/>
        <w:t>否</w:t>
        <w:tab/>
      </w:r>
      <w:r>
        <w:rPr>
          <w:rFonts w:ascii="Times New Roman" w:hAnsi="Times New Roman" w:cs="Times New Roman" w:eastAsia="Times New Roman" w:hint="default"/>
        </w:rPr>
        <w:t>20,600.00</w:t>
      </w:r>
      <w:r>
        <w:rPr>
          <w:rFonts w:ascii="Times New Roman" w:hAnsi="Times New Roman" w:cs="Times New Roman" w:eastAsia="Times New Roman" w:hint="default"/>
          <w:spacing w:val="7"/>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131" w:space="40"/>
            <w:col w:w="1501" w:space="522"/>
            <w:col w:w="675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pStyle w:val="BodyText"/>
        <w:spacing w:line="312" w:lineRule="auto" w:before="44"/>
        <w:ind w:left="181" w:right="0"/>
        <w:jc w:val="both"/>
      </w:pPr>
      <w:r>
        <w:rPr/>
        <w:t>高性能嵌入 式金融安全 </w:t>
      </w:r>
      <w:r>
        <w:rPr>
          <w:rFonts w:ascii="Times New Roman" w:hAnsi="Times New Roman" w:cs="Times New Roman" w:eastAsia="Times New Roman" w:hint="default"/>
        </w:rPr>
        <w:t>CPU</w:t>
      </w:r>
      <w:r>
        <w:rPr>
          <w:rFonts w:ascii="Times New Roman" w:hAnsi="Times New Roman" w:cs="Times New Roman" w:eastAsia="Times New Roman" w:hint="default"/>
          <w:spacing w:val="1"/>
        </w:rPr>
        <w:t> </w:t>
      </w:r>
      <w:r>
        <w:rPr/>
        <w:t>设计及 产业化</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87" w:right="0"/>
        <w:jc w:val="left"/>
      </w:pPr>
      <w:r>
        <w:rPr/>
        <w:t>深圳市财政</w:t>
      </w:r>
    </w:p>
    <w:p>
      <w:pPr>
        <w:pStyle w:val="BodyText"/>
        <w:spacing w:line="156" w:lineRule="exact"/>
        <w:ind w:left="0" w:right="0"/>
        <w:jc w:val="right"/>
      </w:pPr>
      <w:r>
        <w:rPr/>
        <w:t>补助</w:t>
      </w:r>
    </w:p>
    <w:p>
      <w:pPr>
        <w:pStyle w:val="BodyText"/>
        <w:spacing w:line="196" w:lineRule="exact"/>
        <w:ind w:left="87" w:right="0"/>
        <w:jc w:val="left"/>
      </w:pPr>
      <w:r>
        <w:rPr/>
        <w:t>委员会</w:t>
      </w:r>
    </w:p>
    <w:p>
      <w:pPr>
        <w:pStyle w:val="BodyText"/>
        <w:spacing w:line="312" w:lineRule="exact" w:before="5"/>
        <w:ind w:left="181" w:right="5472"/>
        <w:jc w:val="left"/>
      </w:pPr>
      <w:r>
        <w:rPr/>
        <w:br w:type="column"/>
      </w:r>
      <w:r>
        <w:rPr/>
        <w:t>因研究开发、 技术更新及</w:t>
      </w:r>
    </w:p>
    <w:p>
      <w:pPr>
        <w:pStyle w:val="BodyText"/>
        <w:tabs>
          <w:tab w:pos="2308" w:val="left" w:leader="none"/>
          <w:tab w:pos="4728" w:val="left" w:leader="none"/>
        </w:tabs>
        <w:spacing w:line="86" w:lineRule="exact"/>
        <w:ind w:left="1244" w:right="0"/>
        <w:jc w:val="left"/>
      </w:pPr>
      <w:r>
        <w:rPr/>
        <w:t>否</w:t>
        <w:tab/>
        <w:t>否</w:t>
        <w:tab/>
      </w:r>
      <w:r>
        <w:rPr>
          <w:rFonts w:ascii="Times New Roman" w:hAnsi="Times New Roman" w:cs="Times New Roman" w:eastAsia="Times New Roman" w:hint="default"/>
        </w:rPr>
        <w:t>11,666.66 </w:t>
      </w:r>
      <w:r>
        <w:rPr/>
        <w:t>与资产相关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121" w:space="40"/>
            <w:col w:w="1511" w:space="522"/>
            <w:col w:w="6756"/>
          </w:cols>
        </w:sect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BodyText"/>
        <w:spacing w:line="240" w:lineRule="auto"/>
        <w:ind w:left="181" w:right="-20"/>
        <w:jc w:val="left"/>
      </w:pPr>
      <w:r>
        <w:rPr/>
        <w:t>失业补贴</w:t>
      </w:r>
    </w:p>
    <w:p>
      <w:pPr>
        <w:pStyle w:val="BodyText"/>
        <w:spacing w:line="316" w:lineRule="auto" w:before="113"/>
        <w:ind w:left="181" w:right="-20"/>
        <w:jc w:val="left"/>
      </w:pPr>
      <w:r>
        <w:rPr/>
        <w:br w:type="column"/>
      </w:r>
      <w:r>
        <w:rPr/>
        <w:t>深圳市社会 保险基金管</w:t>
      </w:r>
      <w:r>
        <w:rPr>
          <w:spacing w:val="73"/>
        </w:rPr>
        <w:t> </w:t>
      </w:r>
      <w:r>
        <w:rPr/>
        <w:t>补助</w:t>
      </w:r>
      <w:r>
        <w:rPr/>
        <w:t> 理局</w:t>
      </w:r>
    </w:p>
    <w:p>
      <w:pPr>
        <w:pStyle w:val="BodyText"/>
        <w:spacing w:line="316" w:lineRule="auto" w:before="113"/>
        <w:ind w:left="181" w:right="0"/>
        <w:jc w:val="both"/>
      </w:pPr>
      <w:r>
        <w:rPr/>
        <w:br w:type="column"/>
      </w:r>
      <w:r>
        <w:rPr/>
        <w:t>奖励上市而 给予的政府 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7"/>
        <w:rPr>
          <w:rFonts w:ascii="宋体" w:hAnsi="宋体" w:cs="宋体" w:eastAsia="宋体" w:hint="default"/>
          <w:sz w:val="14"/>
          <w:szCs w:val="14"/>
        </w:rPr>
      </w:pPr>
    </w:p>
    <w:p>
      <w:pPr>
        <w:pStyle w:val="BodyText"/>
        <w:tabs>
          <w:tab w:pos="1186" w:val="left" w:leader="none"/>
          <w:tab w:pos="3688" w:val="left" w:leader="none"/>
        </w:tabs>
        <w:spacing w:line="240" w:lineRule="auto"/>
        <w:ind w:left="123" w:right="0"/>
        <w:jc w:val="left"/>
      </w:pPr>
      <w:r>
        <w:rPr/>
        <w:t>否</w:t>
        <w:tab/>
        <w:t>否</w:t>
        <w:tab/>
      </w:r>
      <w:r>
        <w:rPr>
          <w:rFonts w:ascii="Times New Roman" w:hAnsi="Times New Roman" w:cs="Times New Roman" w:eastAsia="Times New Roman" w:hint="default"/>
        </w:rPr>
        <w:t>7,432.70</w:t>
      </w:r>
      <w:r>
        <w:rPr>
          <w:rFonts w:ascii="Times New Roman" w:hAnsi="Times New Roman" w:cs="Times New Roman" w:eastAsia="Times New Roman" w:hint="default"/>
          <w:spacing w:val="9"/>
        </w:rPr>
        <w:t> </w:t>
      </w:r>
      <w:r>
        <w:rPr/>
        <w:t>与收益相关</w:t>
      </w:r>
    </w:p>
    <w:p>
      <w:pPr>
        <w:spacing w:after="0" w:line="240" w:lineRule="auto"/>
        <w:jc w:val="left"/>
        <w:sectPr>
          <w:type w:val="continuous"/>
          <w:pgSz w:w="11910" w:h="16840"/>
          <w:pgMar w:top="1060" w:bottom="1160" w:left="980" w:right="980"/>
          <w:cols w:num="4" w:equalWidth="0">
            <w:col w:w="902" w:space="164"/>
            <w:col w:w="1605" w:space="522"/>
            <w:col w:w="1082" w:space="40"/>
            <w:col w:w="5635"/>
          </w:cols>
        </w:sectPr>
      </w:pPr>
    </w:p>
    <w:p>
      <w:pPr>
        <w:spacing w:line="240" w:lineRule="auto" w:before="2"/>
        <w:rPr>
          <w:rFonts w:ascii="宋体" w:hAnsi="宋体" w:cs="宋体" w:eastAsia="宋体" w:hint="default"/>
          <w:sz w:val="20"/>
          <w:szCs w:val="20"/>
        </w:rPr>
      </w:pPr>
    </w:p>
    <w:p>
      <w:pPr>
        <w:pStyle w:val="BodyText"/>
        <w:spacing w:line="309" w:lineRule="auto"/>
        <w:ind w:left="181" w:right="-19"/>
        <w:jc w:val="left"/>
      </w:pPr>
      <w:r>
        <w:rPr/>
        <w:t>收</w:t>
      </w:r>
      <w:r>
        <w:rPr>
          <w:spacing w:val="-4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年第 二批专利申 请资助款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14"/>
          <w:szCs w:val="14"/>
        </w:rPr>
      </w:pPr>
    </w:p>
    <w:p>
      <w:pPr>
        <w:pStyle w:val="BodyText"/>
        <w:spacing w:line="196" w:lineRule="exact"/>
        <w:ind w:left="31" w:right="0"/>
        <w:jc w:val="left"/>
      </w:pPr>
      <w:r>
        <w:rPr/>
        <w:t>深圳市市场</w:t>
      </w:r>
    </w:p>
    <w:p>
      <w:pPr>
        <w:pStyle w:val="BodyText"/>
        <w:spacing w:line="156" w:lineRule="exact"/>
        <w:ind w:left="0" w:right="0"/>
        <w:jc w:val="right"/>
      </w:pPr>
      <w:r>
        <w:rPr/>
        <w:t>补助</w:t>
      </w:r>
    </w:p>
    <w:p>
      <w:pPr>
        <w:pStyle w:val="BodyText"/>
        <w:spacing w:line="196" w:lineRule="exact"/>
        <w:ind w:left="31" w:right="0"/>
        <w:jc w:val="left"/>
      </w:pPr>
      <w:r>
        <w:rPr/>
        <w:t>监督管理局</w:t>
      </w:r>
    </w:p>
    <w:p>
      <w:pPr>
        <w:pStyle w:val="BodyText"/>
        <w:spacing w:line="310" w:lineRule="atLeast" w:before="33"/>
        <w:ind w:left="181" w:right="5472"/>
        <w:jc w:val="left"/>
      </w:pPr>
      <w:r>
        <w:rPr/>
        <w:br w:type="column"/>
      </w:r>
      <w:r>
        <w:rPr/>
        <w:t>因研究开发、 技术更新及</w:t>
      </w:r>
    </w:p>
    <w:p>
      <w:pPr>
        <w:pStyle w:val="BodyText"/>
        <w:tabs>
          <w:tab w:pos="2308" w:val="left" w:leader="none"/>
          <w:tab w:pos="4809" w:val="left" w:leader="none"/>
        </w:tabs>
        <w:spacing w:line="123" w:lineRule="exact"/>
        <w:ind w:left="1244" w:right="0"/>
        <w:jc w:val="left"/>
      </w:pPr>
      <w:r>
        <w:rPr/>
        <w:t>否</w:t>
        <w:tab/>
        <w:t>否</w:t>
        <w:tab/>
      </w:r>
      <w:r>
        <w:rPr>
          <w:rFonts w:ascii="Times New Roman" w:hAnsi="Times New Roman" w:cs="Times New Roman" w:eastAsia="Times New Roman" w:hint="default"/>
        </w:rPr>
        <w:t>6,000.00</w:t>
      </w:r>
      <w:r>
        <w:rPr>
          <w:rFonts w:ascii="Times New Roman" w:hAnsi="Times New Roman" w:cs="Times New Roman" w:eastAsia="Times New Roman" w:hint="default"/>
          <w:spacing w:val="9"/>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176" w:space="40"/>
            <w:col w:w="1456" w:space="522"/>
            <w:col w:w="675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spacing w:line="240" w:lineRule="auto" w:before="0"/>
        <w:rPr>
          <w:rFonts w:ascii="宋体" w:hAnsi="宋体" w:cs="宋体" w:eastAsia="宋体" w:hint="default"/>
          <w:sz w:val="18"/>
          <w:szCs w:val="18"/>
        </w:rPr>
      </w:pPr>
    </w:p>
    <w:p>
      <w:pPr>
        <w:pStyle w:val="BodyText"/>
        <w:spacing w:line="316" w:lineRule="auto" w:before="121"/>
        <w:ind w:left="181" w:right="-20"/>
        <w:jc w:val="left"/>
      </w:pPr>
      <w:r>
        <w:rPr/>
        <w:t>专利申请资 助</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19"/>
        <w:jc w:val="left"/>
      </w:pPr>
      <w:r>
        <w:rPr/>
        <w:t>深圳市财政</w:t>
      </w:r>
    </w:p>
    <w:p>
      <w:pPr>
        <w:pStyle w:val="BodyText"/>
        <w:spacing w:line="156" w:lineRule="exact"/>
        <w:ind w:left="0" w:right="0"/>
        <w:jc w:val="right"/>
      </w:pPr>
      <w:r>
        <w:rPr/>
        <w:t>补助</w:t>
      </w:r>
    </w:p>
    <w:p>
      <w:pPr>
        <w:pStyle w:val="BodyText"/>
        <w:spacing w:line="196" w:lineRule="exact"/>
        <w:ind w:left="125" w:right="-19"/>
        <w:jc w:val="left"/>
      </w:pPr>
      <w:r>
        <w:rPr/>
        <w:t>委员会</w:t>
      </w:r>
    </w:p>
    <w:p>
      <w:pPr>
        <w:pStyle w:val="BodyText"/>
        <w:spacing w:line="312" w:lineRule="exact" w:before="5"/>
        <w:ind w:left="181" w:right="5472"/>
        <w:jc w:val="left"/>
      </w:pPr>
      <w:r>
        <w:rPr/>
        <w:br w:type="column"/>
      </w:r>
      <w:r>
        <w:rPr/>
        <w:t>因研究开发、 技术更新及</w:t>
      </w:r>
    </w:p>
    <w:p>
      <w:pPr>
        <w:pStyle w:val="BodyText"/>
        <w:tabs>
          <w:tab w:pos="2308" w:val="left" w:leader="none"/>
          <w:tab w:pos="4809" w:val="left" w:leader="none"/>
        </w:tabs>
        <w:spacing w:line="86" w:lineRule="exact"/>
        <w:ind w:left="1244" w:right="0"/>
        <w:jc w:val="left"/>
      </w:pPr>
      <w:r>
        <w:rPr/>
        <w:t>否</w:t>
        <w:tab/>
        <w:t>否</w:t>
        <w:tab/>
      </w:r>
      <w:r>
        <w:rPr>
          <w:rFonts w:ascii="Times New Roman" w:hAnsi="Times New Roman" w:cs="Times New Roman" w:eastAsia="Times New Roman" w:hint="default"/>
        </w:rPr>
        <w:t>4,000.00</w:t>
      </w:r>
      <w:r>
        <w:rPr>
          <w:rFonts w:ascii="Times New Roman" w:hAnsi="Times New Roman" w:cs="Times New Roman" w:eastAsia="Times New Roman" w:hint="default"/>
          <w:spacing w:val="9"/>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spacing w:line="240" w:lineRule="auto" w:before="11"/>
        <w:rPr>
          <w:rFonts w:ascii="宋体" w:hAnsi="宋体" w:cs="宋体" w:eastAsia="宋体" w:hint="default"/>
          <w:sz w:val="13"/>
          <w:szCs w:val="13"/>
        </w:rPr>
      </w:pPr>
    </w:p>
    <w:p>
      <w:pPr>
        <w:pStyle w:val="BodyText"/>
        <w:spacing w:line="212" w:lineRule="exact"/>
        <w:ind w:left="181" w:right="-20"/>
        <w:jc w:val="left"/>
      </w:pPr>
      <w:r>
        <w:rPr/>
        <w:t>收著作权资</w:t>
      </w:r>
    </w:p>
    <w:p>
      <w:pPr>
        <w:spacing w:line="240" w:lineRule="auto" w:before="11"/>
        <w:rPr>
          <w:rFonts w:ascii="宋体" w:hAnsi="宋体" w:cs="宋体" w:eastAsia="宋体" w:hint="default"/>
          <w:sz w:val="13"/>
          <w:szCs w:val="13"/>
        </w:rPr>
      </w:pPr>
      <w:r>
        <w:rPr/>
        <w:br w:type="column"/>
      </w:r>
      <w:r>
        <w:rPr>
          <w:rFonts w:ascii="宋体"/>
          <w:sz w:val="13"/>
        </w:rPr>
      </w:r>
    </w:p>
    <w:p>
      <w:pPr>
        <w:pStyle w:val="BodyText"/>
        <w:spacing w:line="212" w:lineRule="exact"/>
        <w:ind w:left="125" w:right="-19"/>
        <w:jc w:val="left"/>
      </w:pPr>
      <w:r>
        <w:rPr/>
        <w:t>深圳市市场</w:t>
      </w:r>
    </w:p>
    <w:p>
      <w:pPr>
        <w:pStyle w:val="BodyText"/>
        <w:spacing w:line="240" w:lineRule="auto" w:before="44"/>
        <w:ind w:left="181" w:right="0"/>
        <w:jc w:val="left"/>
      </w:pPr>
      <w:r>
        <w:rPr/>
        <w:br w:type="column"/>
      </w:r>
      <w:r>
        <w:rPr/>
        <w:t>因研究开发、</w:t>
      </w:r>
    </w:p>
    <w:p>
      <w:pPr>
        <w:spacing w:after="0" w:line="240" w:lineRule="auto"/>
        <w:jc w:val="left"/>
        <w:sectPr>
          <w:type w:val="continuous"/>
          <w:pgSz w:w="11910" w:h="16840"/>
          <w:pgMar w:top="1060" w:bottom="1160" w:left="980" w:right="980"/>
          <w:cols w:num="3" w:equalWidth="0">
            <w:col w:w="1082" w:space="40"/>
            <w:col w:w="1026" w:space="1045"/>
            <w:col w:w="6757"/>
          </w:cols>
        </w:sectPr>
      </w:pPr>
    </w:p>
    <w:p>
      <w:pPr>
        <w:pStyle w:val="BodyText"/>
        <w:spacing w:line="240" w:lineRule="auto" w:before="100"/>
        <w:ind w:left="181" w:right="-20"/>
        <w:jc w:val="left"/>
      </w:pPr>
      <w:r>
        <w:rPr/>
        <w:pict>
          <v:group style="position:absolute;margin-left:56.400002pt;margin-top:71.759979pt;width:479.05pt;height:686.15pt;mso-position-horizontal-relative:page;mso-position-vertical-relative:page;z-index:-1152280" coordorigin="1128,1435" coordsize="9581,13723">
            <v:group style="position:absolute;left:1138;top:1445;width:1057;height:2" coordorigin="1138,1445" coordsize="1057,2">
              <v:shape style="position:absolute;left:1138;top:1445;width:1057;height:2" coordorigin="1138,1445" coordsize="1057,0" path="m1138,1445l2194,1445e" filled="false" stroked="true" strokeweight=".48pt" strokecolor="#000000">
                <v:path arrowok="t"/>
              </v:shape>
            </v:group>
            <v:group style="position:absolute;left:2204;top:1445;width:1054;height:2" coordorigin="2204,1445" coordsize="1054,2">
              <v:shape style="position:absolute;left:2204;top:1445;width:1054;height:2" coordorigin="2204,1445" coordsize="1054,0" path="m2204,1445l3257,1445e" filled="false" stroked="true" strokeweight=".48pt" strokecolor="#000000">
                <v:path arrowok="t"/>
              </v:shape>
            </v:group>
            <v:group style="position:absolute;left:3267;top:1445;width:1055;height:2" coordorigin="3267,1445" coordsize="1055,2">
              <v:shape style="position:absolute;left:3267;top:1445;width:1055;height:2" coordorigin="3267,1445" coordsize="1055,0" path="m3267,1445l4321,1445e" filled="false" stroked="true" strokeweight=".48pt" strokecolor="#000000">
                <v:path arrowok="t"/>
              </v:shape>
            </v:group>
            <v:group style="position:absolute;left:4331;top:1445;width:1054;height:2" coordorigin="4331,1445" coordsize="1054,2">
              <v:shape style="position:absolute;left:4331;top:1445;width:1054;height:2" coordorigin="4331,1445" coordsize="1054,0" path="m4331,1445l5384,1445e" filled="false" stroked="true" strokeweight=".48pt" strokecolor="#000000">
                <v:path arrowok="t"/>
              </v:shape>
            </v:group>
            <v:group style="position:absolute;left:5394;top:1445;width:1052;height:2" coordorigin="5394,1445" coordsize="1052,2">
              <v:shape style="position:absolute;left:5394;top:1445;width:1052;height:2" coordorigin="5394,1445" coordsize="1052,0" path="m5394,1445l6445,1445e" filled="false" stroked="true" strokeweight=".48pt" strokecolor="#000000">
                <v:path arrowok="t"/>
              </v:shape>
            </v:group>
            <v:group style="position:absolute;left:6455;top:1445;width:1054;height:2" coordorigin="6455,1445" coordsize="1054,2">
              <v:shape style="position:absolute;left:6455;top:1445;width:1054;height:2" coordorigin="6455,1445" coordsize="1054,0" path="m6455,1445l7509,1445e" filled="false" stroked="true" strokeweight=".48pt" strokecolor="#000000">
                <v:path arrowok="t"/>
              </v:shape>
            </v:group>
            <v:group style="position:absolute;left:7518;top:1445;width:1054;height:2" coordorigin="7518,1445" coordsize="1054,2">
              <v:shape style="position:absolute;left:7518;top:1445;width:1054;height:2" coordorigin="7518,1445" coordsize="1054,0" path="m7518,1445l8572,1445e" filled="false" stroked="true" strokeweight=".48pt" strokecolor="#000000">
                <v:path arrowok="t"/>
              </v:shape>
            </v:group>
            <v:group style="position:absolute;left:8581;top:1445;width:1055;height:2" coordorigin="8581,1445" coordsize="1055,2">
              <v:shape style="position:absolute;left:8581;top:1445;width:1055;height:2" coordorigin="8581,1445" coordsize="1055,0" path="m8581,1445l9635,1445e" filled="false" stroked="true" strokeweight=".48pt" strokecolor="#000000">
                <v:path arrowok="t"/>
              </v:shape>
            </v:group>
            <v:group style="position:absolute;left:9645;top:1445;width:1054;height:2" coordorigin="9645,1445" coordsize="1054,2">
              <v:shape style="position:absolute;left:9645;top:1445;width:1054;height:2" coordorigin="9645,1445" coordsize="1054,0" path="m9645,1445l10699,1445e" filled="false" stroked="true" strokeweight=".48pt" strokecolor="#000000">
                <v:path arrowok="t"/>
              </v:shape>
            </v:group>
            <v:group style="position:absolute;left:1138;top:2432;width:1057;height:2" coordorigin="1138,2432" coordsize="1057,2">
              <v:shape style="position:absolute;left:1138;top:2432;width:1057;height:2" coordorigin="1138,2432" coordsize="1057,0" path="m1138,2432l2194,2432e" filled="false" stroked="true" strokeweight=".48pt" strokecolor="#000000">
                <v:path arrowok="t"/>
              </v:shape>
            </v:group>
            <v:group style="position:absolute;left:2204;top:2432;width:1054;height:2" coordorigin="2204,2432" coordsize="1054,2">
              <v:shape style="position:absolute;left:2204;top:2432;width:1054;height:2" coordorigin="2204,2432" coordsize="1054,0" path="m2204,2432l3257,2432e" filled="false" stroked="true" strokeweight=".48pt" strokecolor="#000000">
                <v:path arrowok="t"/>
              </v:shape>
            </v:group>
            <v:group style="position:absolute;left:3267;top:2432;width:1055;height:2" coordorigin="3267,2432" coordsize="1055,2">
              <v:shape style="position:absolute;left:3267;top:2432;width:1055;height:2" coordorigin="3267,2432" coordsize="1055,0" path="m3267,2432l4321,2432e" filled="false" stroked="true" strokeweight=".48pt" strokecolor="#000000">
                <v:path arrowok="t"/>
              </v:shape>
            </v:group>
            <v:group style="position:absolute;left:4331;top:2432;width:1054;height:2" coordorigin="4331,2432" coordsize="1054,2">
              <v:shape style="position:absolute;left:4331;top:2432;width:1054;height:2" coordorigin="4331,2432" coordsize="1054,0" path="m4331,2432l5384,2432e" filled="false" stroked="true" strokeweight=".48pt" strokecolor="#000000">
                <v:path arrowok="t"/>
              </v:shape>
            </v:group>
            <v:group style="position:absolute;left:5394;top:2432;width:1052;height:2" coordorigin="5394,2432" coordsize="1052,2">
              <v:shape style="position:absolute;left:5394;top:2432;width:1052;height:2" coordorigin="5394,2432" coordsize="1052,0" path="m5394,2432l6445,2432e" filled="false" stroked="true" strokeweight=".48pt" strokecolor="#000000">
                <v:path arrowok="t"/>
              </v:shape>
            </v:group>
            <v:group style="position:absolute;left:6455;top:2432;width:1054;height:2" coordorigin="6455,2432" coordsize="1054,2">
              <v:shape style="position:absolute;left:6455;top:2432;width:1054;height:2" coordorigin="6455,2432" coordsize="1054,0" path="m6455,2432l7509,2432e" filled="false" stroked="true" strokeweight=".48pt" strokecolor="#000000">
                <v:path arrowok="t"/>
              </v:shape>
            </v:group>
            <v:group style="position:absolute;left:7518;top:2432;width:1054;height:2" coordorigin="7518,2432" coordsize="1054,2">
              <v:shape style="position:absolute;left:7518;top:2432;width:1054;height:2" coordorigin="7518,2432" coordsize="1054,0" path="m7518,2432l8572,2432e" filled="false" stroked="true" strokeweight=".48pt" strokecolor="#000000">
                <v:path arrowok="t"/>
              </v:shape>
            </v:group>
            <v:group style="position:absolute;left:8581;top:2432;width:1055;height:2" coordorigin="8581,2432" coordsize="1055,2">
              <v:shape style="position:absolute;left:8581;top:2432;width:1055;height:2" coordorigin="8581,2432" coordsize="1055,0" path="m8581,2432l9635,2432e" filled="false" stroked="true" strokeweight=".48pt" strokecolor="#000000">
                <v:path arrowok="t"/>
              </v:shape>
            </v:group>
            <v:group style="position:absolute;left:9645;top:2432;width:1054;height:2" coordorigin="9645,2432" coordsize="1054,2">
              <v:shape style="position:absolute;left:9645;top:2432;width:1054;height:2" coordorigin="9645,2432" coordsize="1054,0" path="m9645,2432l10699,2432e" filled="false" stroked="true" strokeweight=".48pt" strokecolor="#000000">
                <v:path arrowok="t"/>
              </v:shape>
            </v:group>
            <v:group style="position:absolute;left:5394;top:3461;width:1055;height:624" coordorigin="5394,3461" coordsize="1055,624">
              <v:shape style="position:absolute;left:5394;top:3461;width:1055;height:624" coordorigin="5394,3461" coordsize="1055,624" path="m5394,4085l6448,4085,6448,3461,5394,3461,5394,4085xe" filled="true" fillcolor="#ffffff" stroked="false">
                <v:path arrowok="t"/>
                <v:fill type="solid"/>
              </v:shape>
            </v:group>
            <v:group style="position:absolute;left:1138;top:3456;width:1057;height:2" coordorigin="1138,3456" coordsize="1057,2">
              <v:shape style="position:absolute;left:1138;top:3456;width:1057;height:2" coordorigin="1138,3456" coordsize="1057,0" path="m1138,3456l2194,3456e" filled="false" stroked="true" strokeweight=".48pt" strokecolor="#000000">
                <v:path arrowok="t"/>
              </v:shape>
            </v:group>
            <v:group style="position:absolute;left:2204;top:3456;width:1054;height:2" coordorigin="2204,3456" coordsize="1054,2">
              <v:shape style="position:absolute;left:2204;top:3456;width:1054;height:2" coordorigin="2204,3456" coordsize="1054,0" path="m2204,3456l3257,3456e" filled="false" stroked="true" strokeweight=".48pt" strokecolor="#000000">
                <v:path arrowok="t"/>
              </v:shape>
            </v:group>
            <v:group style="position:absolute;left:3267;top:3456;width:1055;height:2" coordorigin="3267,3456" coordsize="1055,2">
              <v:shape style="position:absolute;left:3267;top:3456;width:1055;height:2" coordorigin="3267,3456" coordsize="1055,0" path="m3267,3456l4321,3456e" filled="false" stroked="true" strokeweight=".48pt" strokecolor="#000000">
                <v:path arrowok="t"/>
              </v:shape>
            </v:group>
            <v:group style="position:absolute;left:4331;top:3456;width:1054;height:2" coordorigin="4331,3456" coordsize="1054,2">
              <v:shape style="position:absolute;left:4331;top:3456;width:1054;height:2" coordorigin="4331,3456" coordsize="1054,0" path="m4331,3456l5384,3456e" filled="false" stroked="true" strokeweight=".48pt" strokecolor="#000000">
                <v:path arrowok="t"/>
              </v:shape>
            </v:group>
            <v:group style="position:absolute;left:5394;top:3456;width:1052;height:2" coordorigin="5394,3456" coordsize="1052,2">
              <v:shape style="position:absolute;left:5394;top:3456;width:1052;height:2" coordorigin="5394,3456" coordsize="1052,0" path="m5394,3456l6445,3456e" filled="false" stroked="true" strokeweight=".48pt" strokecolor="#000000">
                <v:path arrowok="t"/>
              </v:shape>
            </v:group>
            <v:group style="position:absolute;left:6455;top:3456;width:1054;height:2" coordorigin="6455,3456" coordsize="1054,2">
              <v:shape style="position:absolute;left:6455;top:3456;width:1054;height:2" coordorigin="6455,3456" coordsize="1054,0" path="m6455,3456l7509,3456e" filled="false" stroked="true" strokeweight=".48pt" strokecolor="#000000">
                <v:path arrowok="t"/>
              </v:shape>
            </v:group>
            <v:group style="position:absolute;left:7518;top:3456;width:1054;height:2" coordorigin="7518,3456" coordsize="1054,2">
              <v:shape style="position:absolute;left:7518;top:3456;width:1054;height:2" coordorigin="7518,3456" coordsize="1054,0" path="m7518,3456l8572,3456e" filled="false" stroked="true" strokeweight=".48pt" strokecolor="#000000">
                <v:path arrowok="t"/>
              </v:shape>
            </v:group>
            <v:group style="position:absolute;left:8581;top:3456;width:1055;height:2" coordorigin="8581,3456" coordsize="1055,2">
              <v:shape style="position:absolute;left:8581;top:3456;width:1055;height:2" coordorigin="8581,3456" coordsize="1055,0" path="m8581,3456l9635,3456e" filled="false" stroked="true" strokeweight=".48pt" strokecolor="#000000">
                <v:path arrowok="t"/>
              </v:shape>
            </v:group>
            <v:group style="position:absolute;left:9645;top:3456;width:1054;height:2" coordorigin="9645,3456" coordsize="1054,2">
              <v:shape style="position:absolute;left:9645;top:3456;width:1054;height:2" coordorigin="9645,3456" coordsize="1054,0" path="m9645,3456l10699,3456e" filled="false" stroked="true" strokeweight=".48pt" strokecolor="#000000">
                <v:path arrowok="t"/>
              </v:shape>
            </v:group>
            <v:group style="position:absolute;left:5394;top:5112;width:1055;height:468" coordorigin="5394,5112" coordsize="1055,468">
              <v:shape style="position:absolute;left:5394;top:5112;width:1055;height:468" coordorigin="5394,5112" coordsize="1055,468" path="m5394,5580l6448,5580,6448,5112,5394,5112,5394,5580xe" filled="true" fillcolor="#ffffff" stroked="false">
                <v:path arrowok="t"/>
                <v:fill type="solid"/>
              </v:shape>
            </v:group>
            <v:group style="position:absolute;left:1138;top:5108;width:1057;height:2" coordorigin="1138,5108" coordsize="1057,2">
              <v:shape style="position:absolute;left:1138;top:5108;width:1057;height:2" coordorigin="1138,5108" coordsize="1057,0" path="m1138,5108l2194,5108e" filled="false" stroked="true" strokeweight=".48001pt" strokecolor="#000000">
                <v:path arrowok="t"/>
              </v:shape>
            </v:group>
            <v:group style="position:absolute;left:2204;top:5108;width:1054;height:2" coordorigin="2204,5108" coordsize="1054,2">
              <v:shape style="position:absolute;left:2204;top:5108;width:1054;height:2" coordorigin="2204,5108" coordsize="1054,0" path="m2204,5108l3257,5108e" filled="false" stroked="true" strokeweight=".48001pt" strokecolor="#000000">
                <v:path arrowok="t"/>
              </v:shape>
            </v:group>
            <v:group style="position:absolute;left:3267;top:5108;width:1055;height:2" coordorigin="3267,5108" coordsize="1055,2">
              <v:shape style="position:absolute;left:3267;top:5108;width:1055;height:2" coordorigin="3267,5108" coordsize="1055,0" path="m3267,5108l4321,5108e" filled="false" stroked="true" strokeweight=".48001pt" strokecolor="#000000">
                <v:path arrowok="t"/>
              </v:shape>
            </v:group>
            <v:group style="position:absolute;left:4331;top:5108;width:1054;height:2" coordorigin="4331,5108" coordsize="1054,2">
              <v:shape style="position:absolute;left:4331;top:5108;width:1054;height:2" coordorigin="4331,5108" coordsize="1054,0" path="m4331,5108l5384,5108e" filled="false" stroked="true" strokeweight=".48001pt" strokecolor="#000000">
                <v:path arrowok="t"/>
              </v:shape>
            </v:group>
            <v:group style="position:absolute;left:5394;top:5108;width:1052;height:2" coordorigin="5394,5108" coordsize="1052,2">
              <v:shape style="position:absolute;left:5394;top:5108;width:1052;height:2" coordorigin="5394,5108" coordsize="1052,0" path="m5394,5108l6445,5108e" filled="false" stroked="true" strokeweight=".48001pt" strokecolor="#000000">
                <v:path arrowok="t"/>
              </v:shape>
            </v:group>
            <v:group style="position:absolute;left:6455;top:5108;width:1054;height:2" coordorigin="6455,5108" coordsize="1054,2">
              <v:shape style="position:absolute;left:6455;top:5108;width:1054;height:2" coordorigin="6455,5108" coordsize="1054,0" path="m6455,5108l7509,5108e" filled="false" stroked="true" strokeweight=".48001pt" strokecolor="#000000">
                <v:path arrowok="t"/>
              </v:shape>
            </v:group>
            <v:group style="position:absolute;left:7518;top:5108;width:1054;height:2" coordorigin="7518,5108" coordsize="1054,2">
              <v:shape style="position:absolute;left:7518;top:5108;width:1054;height:2" coordorigin="7518,5108" coordsize="1054,0" path="m7518,5108l8572,5108e" filled="false" stroked="true" strokeweight=".48001pt" strokecolor="#000000">
                <v:path arrowok="t"/>
              </v:shape>
            </v:group>
            <v:group style="position:absolute;left:8581;top:5108;width:1055;height:2" coordorigin="8581,5108" coordsize="1055,2">
              <v:shape style="position:absolute;left:8581;top:5108;width:1055;height:2" coordorigin="8581,5108" coordsize="1055,0" path="m8581,5108l9635,5108e" filled="false" stroked="true" strokeweight=".48001pt" strokecolor="#000000">
                <v:path arrowok="t"/>
              </v:shape>
            </v:group>
            <v:group style="position:absolute;left:9645;top:5108;width:1054;height:2" coordorigin="9645,5108" coordsize="1054,2">
              <v:shape style="position:absolute;left:9645;top:5108;width:1054;height:2" coordorigin="9645,5108" coordsize="1054,0" path="m9645,5108l10699,5108e" filled="false" stroked="true" strokeweight=".48001pt" strokecolor="#000000">
                <v:path arrowok="t"/>
              </v:shape>
            </v:group>
            <v:group style="position:absolute;left:5394;top:6450;width:1055;height:468" coordorigin="5394,6450" coordsize="1055,468">
              <v:shape style="position:absolute;left:5394;top:6450;width:1055;height:468" coordorigin="5394,6450" coordsize="1055,468" path="m5394,6918l6448,6918,6448,6450,5394,6450,5394,6918xe" filled="true" fillcolor="#ffffff" stroked="false">
                <v:path arrowok="t"/>
                <v:fill type="solid"/>
              </v:shape>
            </v:group>
            <v:group style="position:absolute;left:1138;top:6445;width:1057;height:2" coordorigin="1138,6445" coordsize="1057,2">
              <v:shape style="position:absolute;left:1138;top:6445;width:1057;height:2" coordorigin="1138,6445" coordsize="1057,0" path="m1138,6445l2194,6445e" filled="false" stroked="true" strokeweight=".48001pt" strokecolor="#000000">
                <v:path arrowok="t"/>
              </v:shape>
            </v:group>
            <v:group style="position:absolute;left:2204;top:6445;width:1054;height:2" coordorigin="2204,6445" coordsize="1054,2">
              <v:shape style="position:absolute;left:2204;top:6445;width:1054;height:2" coordorigin="2204,6445" coordsize="1054,0" path="m2204,6445l3257,6445e" filled="false" stroked="true" strokeweight=".48001pt" strokecolor="#000000">
                <v:path arrowok="t"/>
              </v:shape>
            </v:group>
            <v:group style="position:absolute;left:3267;top:6445;width:1055;height:2" coordorigin="3267,6445" coordsize="1055,2">
              <v:shape style="position:absolute;left:3267;top:6445;width:1055;height:2" coordorigin="3267,6445" coordsize="1055,0" path="m3267,6445l4321,6445e" filled="false" stroked="true" strokeweight=".48001pt" strokecolor="#000000">
                <v:path arrowok="t"/>
              </v:shape>
            </v:group>
            <v:group style="position:absolute;left:4331;top:6445;width:1054;height:2" coordorigin="4331,6445" coordsize="1054,2">
              <v:shape style="position:absolute;left:4331;top:6445;width:1054;height:2" coordorigin="4331,6445" coordsize="1054,0" path="m4331,6445l5384,6445e" filled="false" stroked="true" strokeweight=".48001pt" strokecolor="#000000">
                <v:path arrowok="t"/>
              </v:shape>
            </v:group>
            <v:group style="position:absolute;left:5394;top:6445;width:1052;height:2" coordorigin="5394,6445" coordsize="1052,2">
              <v:shape style="position:absolute;left:5394;top:6445;width:1052;height:2" coordorigin="5394,6445" coordsize="1052,0" path="m5394,6445l6445,6445e" filled="false" stroked="true" strokeweight=".48001pt" strokecolor="#000000">
                <v:path arrowok="t"/>
              </v:shape>
            </v:group>
            <v:group style="position:absolute;left:6455;top:6445;width:1054;height:2" coordorigin="6455,6445" coordsize="1054,2">
              <v:shape style="position:absolute;left:6455;top:6445;width:1054;height:2" coordorigin="6455,6445" coordsize="1054,0" path="m6455,6445l7509,6445e" filled="false" stroked="true" strokeweight=".48001pt" strokecolor="#000000">
                <v:path arrowok="t"/>
              </v:shape>
            </v:group>
            <v:group style="position:absolute;left:7518;top:6445;width:1054;height:2" coordorigin="7518,6445" coordsize="1054,2">
              <v:shape style="position:absolute;left:7518;top:6445;width:1054;height:2" coordorigin="7518,6445" coordsize="1054,0" path="m7518,6445l8572,6445e" filled="false" stroked="true" strokeweight=".48001pt" strokecolor="#000000">
                <v:path arrowok="t"/>
              </v:shape>
            </v:group>
            <v:group style="position:absolute;left:8581;top:6445;width:1055;height:2" coordorigin="8581,6445" coordsize="1055,2">
              <v:shape style="position:absolute;left:8581;top:6445;width:1055;height:2" coordorigin="8581,6445" coordsize="1055,0" path="m8581,6445l9635,6445e" filled="false" stroked="true" strokeweight=".48001pt" strokecolor="#000000">
                <v:path arrowok="t"/>
              </v:shape>
            </v:group>
            <v:group style="position:absolute;left:9645;top:6445;width:1054;height:2" coordorigin="9645,6445" coordsize="1054,2">
              <v:shape style="position:absolute;left:9645;top:6445;width:1054;height:2" coordorigin="9645,6445" coordsize="1054,0" path="m9645,6445l10699,6445e" filled="false" stroked="true" strokeweight=".48001pt" strokecolor="#000000">
                <v:path arrowok="t"/>
              </v:shape>
            </v:group>
            <v:group style="position:absolute;left:5394;top:7789;width:1055;height:468" coordorigin="5394,7789" coordsize="1055,468">
              <v:shape style="position:absolute;left:5394;top:7789;width:1055;height:468" coordorigin="5394,7789" coordsize="1055,468" path="m5394,8257l6448,8257,6448,7789,5394,7789,5394,8257xe" filled="true" fillcolor="#ffffff" stroked="false">
                <v:path arrowok="t"/>
                <v:fill type="solid"/>
              </v:shape>
            </v:group>
            <v:group style="position:absolute;left:1138;top:7784;width:1057;height:2" coordorigin="1138,7784" coordsize="1057,2">
              <v:shape style="position:absolute;left:1138;top:7784;width:1057;height:2" coordorigin="1138,7784" coordsize="1057,0" path="m1138,7784l2194,7784e" filled="false" stroked="true" strokeweight=".47998pt" strokecolor="#000000">
                <v:path arrowok="t"/>
              </v:shape>
            </v:group>
            <v:group style="position:absolute;left:2204;top:7784;width:1054;height:2" coordorigin="2204,7784" coordsize="1054,2">
              <v:shape style="position:absolute;left:2204;top:7784;width:1054;height:2" coordorigin="2204,7784" coordsize="1054,0" path="m2204,7784l3257,7784e" filled="false" stroked="true" strokeweight=".47998pt" strokecolor="#000000">
                <v:path arrowok="t"/>
              </v:shape>
            </v:group>
            <v:group style="position:absolute;left:3267;top:7784;width:1055;height:2" coordorigin="3267,7784" coordsize="1055,2">
              <v:shape style="position:absolute;left:3267;top:7784;width:1055;height:2" coordorigin="3267,7784" coordsize="1055,0" path="m3267,7784l4321,7784e" filled="false" stroked="true" strokeweight=".47998pt" strokecolor="#000000">
                <v:path arrowok="t"/>
              </v:shape>
            </v:group>
            <v:group style="position:absolute;left:4331;top:7784;width:1054;height:2" coordorigin="4331,7784" coordsize="1054,2">
              <v:shape style="position:absolute;left:4331;top:7784;width:1054;height:2" coordorigin="4331,7784" coordsize="1054,0" path="m4331,7784l5384,7784e" filled="false" stroked="true" strokeweight=".47998pt" strokecolor="#000000">
                <v:path arrowok="t"/>
              </v:shape>
            </v:group>
            <v:group style="position:absolute;left:5394;top:7784;width:1052;height:2" coordorigin="5394,7784" coordsize="1052,2">
              <v:shape style="position:absolute;left:5394;top:7784;width:1052;height:2" coordorigin="5394,7784" coordsize="1052,0" path="m5394,7784l6445,7784e" filled="false" stroked="true" strokeweight=".47998pt" strokecolor="#000000">
                <v:path arrowok="t"/>
              </v:shape>
            </v:group>
            <v:group style="position:absolute;left:6455;top:7784;width:1054;height:2" coordorigin="6455,7784" coordsize="1054,2">
              <v:shape style="position:absolute;left:6455;top:7784;width:1054;height:2" coordorigin="6455,7784" coordsize="1054,0" path="m6455,7784l7509,7784e" filled="false" stroked="true" strokeweight=".47998pt" strokecolor="#000000">
                <v:path arrowok="t"/>
              </v:shape>
            </v:group>
            <v:group style="position:absolute;left:7518;top:7784;width:1054;height:2" coordorigin="7518,7784" coordsize="1054,2">
              <v:shape style="position:absolute;left:7518;top:7784;width:1054;height:2" coordorigin="7518,7784" coordsize="1054,0" path="m7518,7784l8572,7784e" filled="false" stroked="true" strokeweight=".47998pt" strokecolor="#000000">
                <v:path arrowok="t"/>
              </v:shape>
            </v:group>
            <v:group style="position:absolute;left:8581;top:7784;width:1055;height:2" coordorigin="8581,7784" coordsize="1055,2">
              <v:shape style="position:absolute;left:8581;top:7784;width:1055;height:2" coordorigin="8581,7784" coordsize="1055,0" path="m8581,7784l9635,7784e" filled="false" stroked="true" strokeweight=".47998pt" strokecolor="#000000">
                <v:path arrowok="t"/>
              </v:shape>
            </v:group>
            <v:group style="position:absolute;left:9645;top:7784;width:1054;height:2" coordorigin="9645,7784" coordsize="1054,2">
              <v:shape style="position:absolute;left:9645;top:7784;width:1054;height:2" coordorigin="9645,7784" coordsize="1054,0" path="m9645,7784l10699,7784e" filled="false" stroked="true" strokeweight=".47998pt" strokecolor="#000000">
                <v:path arrowok="t"/>
              </v:shape>
            </v:group>
            <v:group style="position:absolute;left:5394;top:9126;width:1055;height:469" coordorigin="5394,9126" coordsize="1055,469">
              <v:shape style="position:absolute;left:5394;top:9126;width:1055;height:469" coordorigin="5394,9126" coordsize="1055,469" path="m5394,9594l6448,9594,6448,9126,5394,9126,5394,9594xe" filled="true" fillcolor="#ffffff" stroked="false">
                <v:path arrowok="t"/>
                <v:fill type="solid"/>
              </v:shape>
            </v:group>
            <v:group style="position:absolute;left:1138;top:9121;width:1057;height:2" coordorigin="1138,9121" coordsize="1057,2">
              <v:shape style="position:absolute;left:1138;top:9121;width:1057;height:2" coordorigin="1138,9121" coordsize="1057,0" path="m1138,9121l2194,9121e" filled="false" stroked="true" strokeweight=".47998pt" strokecolor="#000000">
                <v:path arrowok="t"/>
              </v:shape>
            </v:group>
            <v:group style="position:absolute;left:2204;top:9121;width:1054;height:2" coordorigin="2204,9121" coordsize="1054,2">
              <v:shape style="position:absolute;left:2204;top:9121;width:1054;height:2" coordorigin="2204,9121" coordsize="1054,0" path="m2204,9121l3257,9121e" filled="false" stroked="true" strokeweight=".47998pt" strokecolor="#000000">
                <v:path arrowok="t"/>
              </v:shape>
            </v:group>
            <v:group style="position:absolute;left:3267;top:9121;width:1055;height:2" coordorigin="3267,9121" coordsize="1055,2">
              <v:shape style="position:absolute;left:3267;top:9121;width:1055;height:2" coordorigin="3267,9121" coordsize="1055,0" path="m3267,9121l4321,9121e" filled="false" stroked="true" strokeweight=".47998pt" strokecolor="#000000">
                <v:path arrowok="t"/>
              </v:shape>
            </v:group>
            <v:group style="position:absolute;left:4331;top:9121;width:1054;height:2" coordorigin="4331,9121" coordsize="1054,2">
              <v:shape style="position:absolute;left:4331;top:9121;width:1054;height:2" coordorigin="4331,9121" coordsize="1054,0" path="m4331,9121l5384,9121e" filled="false" stroked="true" strokeweight=".47998pt" strokecolor="#000000">
                <v:path arrowok="t"/>
              </v:shape>
            </v:group>
            <v:group style="position:absolute;left:5394;top:9121;width:1052;height:2" coordorigin="5394,9121" coordsize="1052,2">
              <v:shape style="position:absolute;left:5394;top:9121;width:1052;height:2" coordorigin="5394,9121" coordsize="1052,0" path="m5394,9121l6445,9121e" filled="false" stroked="true" strokeweight=".47998pt" strokecolor="#000000">
                <v:path arrowok="t"/>
              </v:shape>
            </v:group>
            <v:group style="position:absolute;left:6455;top:9121;width:1054;height:2" coordorigin="6455,9121" coordsize="1054,2">
              <v:shape style="position:absolute;left:6455;top:9121;width:1054;height:2" coordorigin="6455,9121" coordsize="1054,0" path="m6455,9121l7509,9121e" filled="false" stroked="true" strokeweight=".47998pt" strokecolor="#000000">
                <v:path arrowok="t"/>
              </v:shape>
            </v:group>
            <v:group style="position:absolute;left:7518;top:9121;width:1054;height:2" coordorigin="7518,9121" coordsize="1054,2">
              <v:shape style="position:absolute;left:7518;top:9121;width:1054;height:2" coordorigin="7518,9121" coordsize="1054,0" path="m7518,9121l8572,9121e" filled="false" stroked="true" strokeweight=".47998pt" strokecolor="#000000">
                <v:path arrowok="t"/>
              </v:shape>
            </v:group>
            <v:group style="position:absolute;left:8581;top:9121;width:1055;height:2" coordorigin="8581,9121" coordsize="1055,2">
              <v:shape style="position:absolute;left:8581;top:9121;width:1055;height:2" coordorigin="8581,9121" coordsize="1055,0" path="m8581,9121l9635,9121e" filled="false" stroked="true" strokeweight=".47998pt" strokecolor="#000000">
                <v:path arrowok="t"/>
              </v:shape>
            </v:group>
            <v:group style="position:absolute;left:9645;top:9121;width:1054;height:2" coordorigin="9645,9121" coordsize="1054,2">
              <v:shape style="position:absolute;left:9645;top:9121;width:1054;height:2" coordorigin="9645,9121" coordsize="1054,0" path="m9645,9121l10699,9121e" filled="false" stroked="true" strokeweight=".47998pt" strokecolor="#000000">
                <v:path arrowok="t"/>
              </v:shape>
            </v:group>
            <v:group style="position:absolute;left:1138;top:10461;width:1057;height:2" coordorigin="1138,10461" coordsize="1057,2">
              <v:shape style="position:absolute;left:1138;top:10461;width:1057;height:2" coordorigin="1138,10461" coordsize="1057,0" path="m1138,10461l2194,10461e" filled="false" stroked="true" strokeweight=".48004pt" strokecolor="#000000">
                <v:path arrowok="t"/>
              </v:shape>
            </v:group>
            <v:group style="position:absolute;left:2204;top:10461;width:1054;height:2" coordorigin="2204,10461" coordsize="1054,2">
              <v:shape style="position:absolute;left:2204;top:10461;width:1054;height:2" coordorigin="2204,10461" coordsize="1054,0" path="m2204,10461l3257,10461e" filled="false" stroked="true" strokeweight=".48004pt" strokecolor="#000000">
                <v:path arrowok="t"/>
              </v:shape>
            </v:group>
            <v:group style="position:absolute;left:3267;top:10461;width:1055;height:2" coordorigin="3267,10461" coordsize="1055,2">
              <v:shape style="position:absolute;left:3267;top:10461;width:1055;height:2" coordorigin="3267,10461" coordsize="1055,0" path="m3267,10461l4321,10461e" filled="false" stroked="true" strokeweight=".48004pt" strokecolor="#000000">
                <v:path arrowok="t"/>
              </v:shape>
            </v:group>
            <v:group style="position:absolute;left:4331;top:10461;width:1054;height:2" coordorigin="4331,10461" coordsize="1054,2">
              <v:shape style="position:absolute;left:4331;top:10461;width:1054;height:2" coordorigin="4331,10461" coordsize="1054,0" path="m4331,10461l5384,10461e" filled="false" stroked="true" strokeweight=".48004pt" strokecolor="#000000">
                <v:path arrowok="t"/>
              </v:shape>
            </v:group>
            <v:group style="position:absolute;left:5394;top:10461;width:1052;height:2" coordorigin="5394,10461" coordsize="1052,2">
              <v:shape style="position:absolute;left:5394;top:10461;width:1052;height:2" coordorigin="5394,10461" coordsize="1052,0" path="m5394,10461l6445,10461e" filled="false" stroked="true" strokeweight=".48004pt" strokecolor="#000000">
                <v:path arrowok="t"/>
              </v:shape>
            </v:group>
            <v:group style="position:absolute;left:6455;top:10461;width:1054;height:2" coordorigin="6455,10461" coordsize="1054,2">
              <v:shape style="position:absolute;left:6455;top:10461;width:1054;height:2" coordorigin="6455,10461" coordsize="1054,0" path="m6455,10461l7509,10461e" filled="false" stroked="true" strokeweight=".48004pt" strokecolor="#000000">
                <v:path arrowok="t"/>
              </v:shape>
            </v:group>
            <v:group style="position:absolute;left:7518;top:10461;width:1054;height:2" coordorigin="7518,10461" coordsize="1054,2">
              <v:shape style="position:absolute;left:7518;top:10461;width:1054;height:2" coordorigin="7518,10461" coordsize="1054,0" path="m7518,10461l8572,10461e" filled="false" stroked="true" strokeweight=".48004pt" strokecolor="#000000">
                <v:path arrowok="t"/>
              </v:shape>
            </v:group>
            <v:group style="position:absolute;left:8581;top:10461;width:1055;height:2" coordorigin="8581,10461" coordsize="1055,2">
              <v:shape style="position:absolute;left:8581;top:10461;width:1055;height:2" coordorigin="8581,10461" coordsize="1055,0" path="m8581,10461l9635,10461e" filled="false" stroked="true" strokeweight=".48004pt" strokecolor="#000000">
                <v:path arrowok="t"/>
              </v:shape>
            </v:group>
            <v:group style="position:absolute;left:9645;top:10461;width:1054;height:2" coordorigin="9645,10461" coordsize="1054,2">
              <v:shape style="position:absolute;left:9645;top:10461;width:1054;height:2" coordorigin="9645,10461" coordsize="1054,0" path="m9645,10461l10699,10461e" filled="false" stroked="true" strokeweight=".48004pt" strokecolor="#000000">
                <v:path arrowok="t"/>
              </v:shape>
            </v:group>
            <v:group style="position:absolute;left:5394;top:11490;width:1055;height:468" coordorigin="5394,11490" coordsize="1055,468">
              <v:shape style="position:absolute;left:5394;top:11490;width:1055;height:468" coordorigin="5394,11490" coordsize="1055,468" path="m5394,11958l6448,11958,6448,11490,5394,11490,5394,11958xe" filled="true" fillcolor="#ffffff" stroked="false">
                <v:path arrowok="t"/>
                <v:fill type="solid"/>
              </v:shape>
            </v:group>
            <v:group style="position:absolute;left:1138;top:11485;width:1057;height:2" coordorigin="1138,11485" coordsize="1057,2">
              <v:shape style="position:absolute;left:1138;top:11485;width:1057;height:2" coordorigin="1138,11485" coordsize="1057,0" path="m1138,11485l2194,11485e" filled="false" stroked="true" strokeweight=".48004pt" strokecolor="#000000">
                <v:path arrowok="t"/>
              </v:shape>
            </v:group>
            <v:group style="position:absolute;left:2204;top:11485;width:1054;height:2" coordorigin="2204,11485" coordsize="1054,2">
              <v:shape style="position:absolute;left:2204;top:11485;width:1054;height:2" coordorigin="2204,11485" coordsize="1054,0" path="m2204,11485l3257,11485e" filled="false" stroked="true" strokeweight=".48004pt" strokecolor="#000000">
                <v:path arrowok="t"/>
              </v:shape>
            </v:group>
            <v:group style="position:absolute;left:3267;top:11485;width:1055;height:2" coordorigin="3267,11485" coordsize="1055,2">
              <v:shape style="position:absolute;left:3267;top:11485;width:1055;height:2" coordorigin="3267,11485" coordsize="1055,0" path="m3267,11485l4321,11485e" filled="false" stroked="true" strokeweight=".48004pt" strokecolor="#000000">
                <v:path arrowok="t"/>
              </v:shape>
            </v:group>
            <v:group style="position:absolute;left:4331;top:11485;width:1054;height:2" coordorigin="4331,11485" coordsize="1054,2">
              <v:shape style="position:absolute;left:4331;top:11485;width:1054;height:2" coordorigin="4331,11485" coordsize="1054,0" path="m4331,11485l5384,11485e" filled="false" stroked="true" strokeweight=".48004pt" strokecolor="#000000">
                <v:path arrowok="t"/>
              </v:shape>
            </v:group>
            <v:group style="position:absolute;left:5394;top:11485;width:1052;height:2" coordorigin="5394,11485" coordsize="1052,2">
              <v:shape style="position:absolute;left:5394;top:11485;width:1052;height:2" coordorigin="5394,11485" coordsize="1052,0" path="m5394,11485l6445,11485e" filled="false" stroked="true" strokeweight=".48004pt" strokecolor="#000000">
                <v:path arrowok="t"/>
              </v:shape>
            </v:group>
            <v:group style="position:absolute;left:6455;top:11485;width:1054;height:2" coordorigin="6455,11485" coordsize="1054,2">
              <v:shape style="position:absolute;left:6455;top:11485;width:1054;height:2" coordorigin="6455,11485" coordsize="1054,0" path="m6455,11485l7509,11485e" filled="false" stroked="true" strokeweight=".48004pt" strokecolor="#000000">
                <v:path arrowok="t"/>
              </v:shape>
            </v:group>
            <v:group style="position:absolute;left:7518;top:11485;width:1054;height:2" coordorigin="7518,11485" coordsize="1054,2">
              <v:shape style="position:absolute;left:7518;top:11485;width:1054;height:2" coordorigin="7518,11485" coordsize="1054,0" path="m7518,11485l8572,11485e" filled="false" stroked="true" strokeweight=".48004pt" strokecolor="#000000">
                <v:path arrowok="t"/>
              </v:shape>
            </v:group>
            <v:group style="position:absolute;left:8581;top:11485;width:1055;height:2" coordorigin="8581,11485" coordsize="1055,2">
              <v:shape style="position:absolute;left:8581;top:11485;width:1055;height:2" coordorigin="8581,11485" coordsize="1055,0" path="m8581,11485l9635,11485e" filled="false" stroked="true" strokeweight=".48004pt" strokecolor="#000000">
                <v:path arrowok="t"/>
              </v:shape>
            </v:group>
            <v:group style="position:absolute;left:9645;top:11485;width:1054;height:2" coordorigin="9645,11485" coordsize="1054,2">
              <v:shape style="position:absolute;left:9645;top:11485;width:1054;height:2" coordorigin="9645,11485" coordsize="1054,0" path="m9645,11485l10699,11485e" filled="false" stroked="true" strokeweight=".48004pt" strokecolor="#000000">
                <v:path arrowok="t"/>
              </v:shape>
            </v:group>
            <v:group style="position:absolute;left:5394;top:12830;width:1055;height:469" coordorigin="5394,12830" coordsize="1055,469">
              <v:shape style="position:absolute;left:5394;top:12830;width:1055;height:469" coordorigin="5394,12830" coordsize="1055,469" path="m5394,13298l6448,13298,6448,12830,5394,12830,5394,13298xe" filled="true" fillcolor="#ffffff" stroked="false">
                <v:path arrowok="t"/>
                <v:fill type="solid"/>
              </v:shape>
            </v:group>
            <v:group style="position:absolute;left:1138;top:12825;width:1057;height:2" coordorigin="1138,12825" coordsize="1057,2">
              <v:shape style="position:absolute;left:1138;top:12825;width:1057;height:2" coordorigin="1138,12825" coordsize="1057,0" path="m1138,12825l2194,12825e" filled="false" stroked="true" strokeweight=".47998pt" strokecolor="#000000">
                <v:path arrowok="t"/>
              </v:shape>
            </v:group>
            <v:group style="position:absolute;left:2204;top:12825;width:1054;height:2" coordorigin="2204,12825" coordsize="1054,2">
              <v:shape style="position:absolute;left:2204;top:12825;width:1054;height:2" coordorigin="2204,12825" coordsize="1054,0" path="m2204,12825l3257,12825e" filled="false" stroked="true" strokeweight=".47998pt" strokecolor="#000000">
                <v:path arrowok="t"/>
              </v:shape>
            </v:group>
            <v:group style="position:absolute;left:3267;top:12825;width:1055;height:2" coordorigin="3267,12825" coordsize="1055,2">
              <v:shape style="position:absolute;left:3267;top:12825;width:1055;height:2" coordorigin="3267,12825" coordsize="1055,0" path="m3267,12825l4321,12825e" filled="false" stroked="true" strokeweight=".47998pt" strokecolor="#000000">
                <v:path arrowok="t"/>
              </v:shape>
            </v:group>
            <v:group style="position:absolute;left:4331;top:12825;width:1054;height:2" coordorigin="4331,12825" coordsize="1054,2">
              <v:shape style="position:absolute;left:4331;top:12825;width:1054;height:2" coordorigin="4331,12825" coordsize="1054,0" path="m4331,12825l5384,12825e" filled="false" stroked="true" strokeweight=".47998pt" strokecolor="#000000">
                <v:path arrowok="t"/>
              </v:shape>
            </v:group>
            <v:group style="position:absolute;left:5394;top:12825;width:1052;height:2" coordorigin="5394,12825" coordsize="1052,2">
              <v:shape style="position:absolute;left:5394;top:12825;width:1052;height:2" coordorigin="5394,12825" coordsize="1052,0" path="m5394,12825l6445,12825e" filled="false" stroked="true" strokeweight=".47998pt" strokecolor="#000000">
                <v:path arrowok="t"/>
              </v:shape>
            </v:group>
            <v:group style="position:absolute;left:6455;top:12825;width:1054;height:2" coordorigin="6455,12825" coordsize="1054,2">
              <v:shape style="position:absolute;left:6455;top:12825;width:1054;height:2" coordorigin="6455,12825" coordsize="1054,0" path="m6455,12825l7509,12825e" filled="false" stroked="true" strokeweight=".47998pt" strokecolor="#000000">
                <v:path arrowok="t"/>
              </v:shape>
            </v:group>
            <v:group style="position:absolute;left:7518;top:12825;width:1054;height:2" coordorigin="7518,12825" coordsize="1054,2">
              <v:shape style="position:absolute;left:7518;top:12825;width:1054;height:2" coordorigin="7518,12825" coordsize="1054,0" path="m7518,12825l8572,12825e" filled="false" stroked="true" strokeweight=".47998pt" strokecolor="#000000">
                <v:path arrowok="t"/>
              </v:shape>
            </v:group>
            <v:group style="position:absolute;left:8581;top:12825;width:1055;height:2" coordorigin="8581,12825" coordsize="1055,2">
              <v:shape style="position:absolute;left:8581;top:12825;width:1055;height:2" coordorigin="8581,12825" coordsize="1055,0" path="m8581,12825l9635,12825e" filled="false" stroked="true" strokeweight=".47998pt" strokecolor="#000000">
                <v:path arrowok="t"/>
              </v:shape>
            </v:group>
            <v:group style="position:absolute;left:9645;top:12825;width:1054;height:2" coordorigin="9645,12825" coordsize="1054,2">
              <v:shape style="position:absolute;left:9645;top:12825;width:1054;height:2" coordorigin="9645,12825" coordsize="1054,0" path="m9645,12825l10699,12825e" filled="false" stroked="true" strokeweight=".47998pt" strokecolor="#000000">
                <v:path arrowok="t"/>
              </v:shape>
            </v:group>
            <v:group style="position:absolute;left:5394;top:14167;width:1055;height:293" coordorigin="5394,14167" coordsize="1055,293">
              <v:shape style="position:absolute;left:5394;top:14167;width:1055;height:293" coordorigin="5394,14167" coordsize="1055,293" path="m5394,14460l6448,14460,6448,14167,5394,14167,5394,14460xe" filled="true" fillcolor="#ffffff" stroked="false">
                <v:path arrowok="t"/>
                <v:fill type="solid"/>
              </v:shape>
            </v:group>
            <v:group style="position:absolute;left:1138;top:14162;width:1057;height:2" coordorigin="1138,14162" coordsize="1057,2">
              <v:shape style="position:absolute;left:1138;top:14162;width:1057;height:2" coordorigin="1138,14162" coordsize="1057,0" path="m1138,14162l2194,14162e" filled="false" stroked="true" strokeweight=".47998pt" strokecolor="#000000">
                <v:path arrowok="t"/>
              </v:shape>
            </v:group>
            <v:group style="position:absolute;left:2204;top:14162;width:1054;height:2" coordorigin="2204,14162" coordsize="1054,2">
              <v:shape style="position:absolute;left:2204;top:14162;width:1054;height:2" coordorigin="2204,14162" coordsize="1054,0" path="m2204,14162l3257,14162e" filled="false" stroked="true" strokeweight=".47998pt" strokecolor="#000000">
                <v:path arrowok="t"/>
              </v:shape>
            </v:group>
            <v:group style="position:absolute;left:3267;top:14162;width:1055;height:2" coordorigin="3267,14162" coordsize="1055,2">
              <v:shape style="position:absolute;left:3267;top:14162;width:1055;height:2" coordorigin="3267,14162" coordsize="1055,0" path="m3267,14162l4321,14162e" filled="false" stroked="true" strokeweight=".47998pt" strokecolor="#000000">
                <v:path arrowok="t"/>
              </v:shape>
            </v:group>
            <v:group style="position:absolute;left:4331;top:14162;width:1054;height:2" coordorigin="4331,14162" coordsize="1054,2">
              <v:shape style="position:absolute;left:4331;top:14162;width:1054;height:2" coordorigin="4331,14162" coordsize="1054,0" path="m4331,14162l5384,14162e" filled="false" stroked="true" strokeweight=".47998pt" strokecolor="#000000">
                <v:path arrowok="t"/>
              </v:shape>
            </v:group>
            <v:group style="position:absolute;left:5394;top:14162;width:1052;height:2" coordorigin="5394,14162" coordsize="1052,2">
              <v:shape style="position:absolute;left:5394;top:14162;width:1052;height:2" coordorigin="5394,14162" coordsize="1052,0" path="m5394,14162l6445,14162e" filled="false" stroked="true" strokeweight=".47998pt" strokecolor="#000000">
                <v:path arrowok="t"/>
              </v:shape>
            </v:group>
            <v:group style="position:absolute;left:6455;top:14162;width:1054;height:2" coordorigin="6455,14162" coordsize="1054,2">
              <v:shape style="position:absolute;left:6455;top:14162;width:1054;height:2" coordorigin="6455,14162" coordsize="1054,0" path="m6455,14162l7509,14162e" filled="false" stroked="true" strokeweight=".47998pt" strokecolor="#000000">
                <v:path arrowok="t"/>
              </v:shape>
            </v:group>
            <v:group style="position:absolute;left:7518;top:14162;width:1054;height:2" coordorigin="7518,14162" coordsize="1054,2">
              <v:shape style="position:absolute;left:7518;top:14162;width:1054;height:2" coordorigin="7518,14162" coordsize="1054,0" path="m7518,14162l8572,14162e" filled="false" stroked="true" strokeweight=".47998pt" strokecolor="#000000">
                <v:path arrowok="t"/>
              </v:shape>
            </v:group>
            <v:group style="position:absolute;left:8581;top:14162;width:1055;height:2" coordorigin="8581,14162" coordsize="1055,2">
              <v:shape style="position:absolute;left:8581;top:14162;width:1055;height:2" coordorigin="8581,14162" coordsize="1055,0" path="m8581,14162l9635,14162e" filled="false" stroked="true" strokeweight=".47998pt" strokecolor="#000000">
                <v:path arrowok="t"/>
              </v:shape>
            </v:group>
            <v:group style="position:absolute;left:9645;top:14162;width:1054;height:2" coordorigin="9645,14162" coordsize="1054,2">
              <v:shape style="position:absolute;left:9645;top:14162;width:1054;height:2" coordorigin="9645,14162" coordsize="1054,0" path="m9645,14162l10699,14162e" filled="false" stroked="true" strokeweight=".47998pt" strokecolor="#000000">
                <v:path arrowok="t"/>
              </v:shape>
            </v:group>
            <v:group style="position:absolute;left:1133;top:1440;width:2;height:13714" coordorigin="1133,1440" coordsize="2,13714">
              <v:shape style="position:absolute;left:1133;top:1440;width:2;height:13714" coordorigin="1133,1440" coordsize="0,13714" path="m1133,1440l1133,15153e" filled="false" stroked="true" strokeweight=".48pt" strokecolor="#000000">
                <v:path arrowok="t"/>
              </v:shape>
            </v:group>
            <v:group style="position:absolute;left:1138;top:15148;width:1057;height:2" coordorigin="1138,15148" coordsize="1057,2">
              <v:shape style="position:absolute;left:1138;top:15148;width:1057;height:2" coordorigin="1138,15148" coordsize="1057,0" path="m1138,15148l2194,15148e" filled="false" stroked="true" strokeweight=".47998pt" strokecolor="#000000">
                <v:path arrowok="t"/>
              </v:shape>
            </v:group>
            <v:group style="position:absolute;left:2199;top:1440;width:2;height:13714" coordorigin="2199,1440" coordsize="2,13714">
              <v:shape style="position:absolute;left:2199;top:1440;width:2;height:13714" coordorigin="2199,1440" coordsize="0,13714" path="m2199,1440l2199,15153e" filled="false" stroked="true" strokeweight=".48pt" strokecolor="#000000">
                <v:path arrowok="t"/>
              </v:shape>
            </v:group>
            <v:group style="position:absolute;left:2204;top:15148;width:1054;height:2" coordorigin="2204,15148" coordsize="1054,2">
              <v:shape style="position:absolute;left:2204;top:15148;width:1054;height:2" coordorigin="2204,15148" coordsize="1054,0" path="m2204,15148l3257,15148e" filled="false" stroked="true" strokeweight=".47998pt" strokecolor="#000000">
                <v:path arrowok="t"/>
              </v:shape>
            </v:group>
            <v:group style="position:absolute;left:3262;top:1440;width:2;height:13714" coordorigin="3262,1440" coordsize="2,13714">
              <v:shape style="position:absolute;left:3262;top:1440;width:2;height:13714" coordorigin="3262,1440" coordsize="0,13714" path="m3262,1440l3262,15153e" filled="false" stroked="true" strokeweight=".48pt" strokecolor="#000000">
                <v:path arrowok="t"/>
              </v:shape>
            </v:group>
            <v:group style="position:absolute;left:3267;top:15148;width:1055;height:2" coordorigin="3267,15148" coordsize="1055,2">
              <v:shape style="position:absolute;left:3267;top:15148;width:1055;height:2" coordorigin="3267,15148" coordsize="1055,0" path="m3267,15148l4321,15148e" filled="false" stroked="true" strokeweight=".47998pt" strokecolor="#000000">
                <v:path arrowok="t"/>
              </v:shape>
            </v:group>
            <v:group style="position:absolute;left:4326;top:1440;width:2;height:13714" coordorigin="4326,1440" coordsize="2,13714">
              <v:shape style="position:absolute;left:4326;top:1440;width:2;height:13714" coordorigin="4326,1440" coordsize="0,13714" path="m4326,1440l4326,15153e" filled="false" stroked="true" strokeweight=".48pt" strokecolor="#000000">
                <v:path arrowok="t"/>
              </v:shape>
            </v:group>
            <v:group style="position:absolute;left:4331;top:15148;width:1054;height:2" coordorigin="4331,15148" coordsize="1054,2">
              <v:shape style="position:absolute;left:4331;top:15148;width:1054;height:2" coordorigin="4331,15148" coordsize="1054,0" path="m4331,15148l5384,15148e" filled="false" stroked="true" strokeweight=".47998pt" strokecolor="#000000">
                <v:path arrowok="t"/>
              </v:shape>
            </v:group>
            <v:group style="position:absolute;left:5389;top:1440;width:2;height:13714" coordorigin="5389,1440" coordsize="2,13714">
              <v:shape style="position:absolute;left:5389;top:1440;width:2;height:13714" coordorigin="5389,1440" coordsize="0,13714" path="m5389,1440l5389,15153e" filled="false" stroked="true" strokeweight=".47998pt" strokecolor="#000000">
                <v:path arrowok="t"/>
              </v:shape>
            </v:group>
            <v:group style="position:absolute;left:5394;top:15148;width:1052;height:2" coordorigin="5394,15148" coordsize="1052,2">
              <v:shape style="position:absolute;left:5394;top:15148;width:1052;height:2" coordorigin="5394,15148" coordsize="1052,0" path="m5394,15148l6445,15148e" filled="false" stroked="true" strokeweight=".47998pt" strokecolor="#000000">
                <v:path arrowok="t"/>
              </v:shape>
            </v:group>
            <v:group style="position:absolute;left:6450;top:1440;width:2;height:13714" coordorigin="6450,1440" coordsize="2,13714">
              <v:shape style="position:absolute;left:6450;top:1440;width:2;height:13714" coordorigin="6450,1440" coordsize="0,13714" path="m6450,1440l6450,15153e" filled="false" stroked="true" strokeweight=".48001pt" strokecolor="#000000">
                <v:path arrowok="t"/>
              </v:shape>
            </v:group>
            <v:group style="position:absolute;left:6455;top:15148;width:1054;height:2" coordorigin="6455,15148" coordsize="1054,2">
              <v:shape style="position:absolute;left:6455;top:15148;width:1054;height:2" coordorigin="6455,15148" coordsize="1054,0" path="m6455,15148l7509,15148e" filled="false" stroked="true" strokeweight=".47998pt" strokecolor="#000000">
                <v:path arrowok="t"/>
              </v:shape>
            </v:group>
            <v:group style="position:absolute;left:7513;top:1440;width:2;height:13714" coordorigin="7513,1440" coordsize="2,13714">
              <v:shape style="position:absolute;left:7513;top:1440;width:2;height:13714" coordorigin="7513,1440" coordsize="0,13714" path="m7513,1440l7513,15153e" filled="false" stroked="true" strokeweight=".48001pt" strokecolor="#000000">
                <v:path arrowok="t"/>
              </v:shape>
            </v:group>
            <v:group style="position:absolute;left:7518;top:15148;width:1054;height:2" coordorigin="7518,15148" coordsize="1054,2">
              <v:shape style="position:absolute;left:7518;top:15148;width:1054;height:2" coordorigin="7518,15148" coordsize="1054,0" path="m7518,15148l8572,15148e" filled="false" stroked="true" strokeweight=".47998pt" strokecolor="#000000">
                <v:path arrowok="t"/>
              </v:shape>
            </v:group>
            <v:group style="position:absolute;left:8577;top:1440;width:2;height:13714" coordorigin="8577,1440" coordsize="2,13714">
              <v:shape style="position:absolute;left:8577;top:1440;width:2;height:13714" coordorigin="8577,1440" coordsize="0,13714" path="m8577,1440l8577,15153e" filled="false" stroked="true" strokeweight=".47998pt" strokecolor="#000000">
                <v:path arrowok="t"/>
              </v:shape>
            </v:group>
            <v:group style="position:absolute;left:8581;top:15148;width:1055;height:2" coordorigin="8581,15148" coordsize="1055,2">
              <v:shape style="position:absolute;left:8581;top:15148;width:1055;height:2" coordorigin="8581,15148" coordsize="1055,0" path="m8581,15148l9635,15148e" filled="false" stroked="true" strokeweight=".47998pt" strokecolor="#000000">
                <v:path arrowok="t"/>
              </v:shape>
            </v:group>
            <v:group style="position:absolute;left:9640;top:1440;width:2;height:13714" coordorigin="9640,1440" coordsize="2,13714">
              <v:shape style="position:absolute;left:9640;top:1440;width:2;height:13714" coordorigin="9640,1440" coordsize="0,13714" path="m9640,1440l9640,15153e" filled="false" stroked="true" strokeweight=".48001pt" strokecolor="#000000">
                <v:path arrowok="t"/>
              </v:shape>
            </v:group>
            <v:group style="position:absolute;left:9645;top:15148;width:1054;height:2" coordorigin="9645,15148" coordsize="1054,2">
              <v:shape style="position:absolute;left:9645;top:15148;width:1054;height:2" coordorigin="9645,15148" coordsize="1054,0" path="m9645,15148l10699,15148e" filled="false" stroked="true" strokeweight=".47998pt" strokecolor="#000000">
                <v:path arrowok="t"/>
              </v:shape>
            </v:group>
            <v:group style="position:absolute;left:10704;top:1440;width:2;height:13714" coordorigin="10704,1440" coordsize="2,13714">
              <v:shape style="position:absolute;left:10704;top:1440;width:2;height:13714" coordorigin="10704,1440" coordsize="0,13714" path="m10704,1440l10704,15153e" filled="false" stroked="true" strokeweight=".47998pt" strokecolor="#000000">
                <v:path arrowok="t"/>
              </v:shape>
            </v:group>
            <w10:wrap type="none"/>
          </v:group>
        </w:pict>
      </w:r>
      <w:r>
        <w:rPr/>
        <w:t>助补贴</w:t>
      </w:r>
    </w:p>
    <w:p>
      <w:pPr>
        <w:spacing w:line="140" w:lineRule="exact" w:before="0"/>
        <w:ind w:left="0"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补助</w:t>
      </w:r>
    </w:p>
    <w:p>
      <w:pPr>
        <w:pStyle w:val="BodyText"/>
        <w:spacing w:line="196" w:lineRule="exact"/>
        <w:ind w:left="181" w:right="-20"/>
        <w:jc w:val="left"/>
      </w:pPr>
      <w:r>
        <w:rPr/>
        <w:t>监督管理局</w:t>
      </w:r>
    </w:p>
    <w:p>
      <w:pPr>
        <w:pStyle w:val="BodyText"/>
        <w:spacing w:line="199" w:lineRule="exact"/>
        <w:ind w:left="181" w:right="-20"/>
        <w:jc w:val="left"/>
      </w:pPr>
      <w:r>
        <w:rPr/>
        <w:br w:type="column"/>
      </w:r>
      <w:r>
        <w:rPr/>
        <w:t>技术更新及</w:t>
      </w:r>
    </w:p>
    <w:p>
      <w:pPr>
        <w:pStyle w:val="BodyText"/>
        <w:spacing w:line="240" w:lineRule="auto" w:before="76"/>
        <w:ind w:left="181" w:right="-20"/>
        <w:jc w:val="left"/>
      </w:pPr>
      <w:r>
        <w:rPr/>
        <w:t>改造等获得</w:t>
      </w:r>
    </w:p>
    <w:p>
      <w:pPr>
        <w:pStyle w:val="BodyText"/>
        <w:tabs>
          <w:tab w:pos="1186" w:val="left" w:leader="none"/>
          <w:tab w:pos="3688" w:val="left" w:leader="none"/>
        </w:tabs>
        <w:spacing w:line="194" w:lineRule="exact"/>
        <w:ind w:left="123" w:right="0"/>
        <w:jc w:val="left"/>
      </w:pPr>
      <w:r>
        <w:rPr/>
        <w:br w:type="column"/>
      </w:r>
      <w:r>
        <w:rPr/>
        <w:t>否</w:t>
        <w:tab/>
        <w:t>否</w:t>
        <w:tab/>
      </w:r>
      <w:r>
        <w:rPr>
          <w:rFonts w:ascii="Times New Roman" w:hAnsi="Times New Roman" w:cs="Times New Roman" w:eastAsia="Times New Roman" w:hint="default"/>
        </w:rPr>
        <w:t>2,700.00</w:t>
      </w:r>
      <w:r>
        <w:rPr>
          <w:rFonts w:ascii="Times New Roman" w:hAnsi="Times New Roman" w:cs="Times New Roman" w:eastAsia="Times New Roman" w:hint="default"/>
          <w:spacing w:val="9"/>
        </w:rPr>
        <w:t> </w:t>
      </w:r>
      <w:r>
        <w:rPr/>
        <w:t>与收益相关</w:t>
      </w:r>
    </w:p>
    <w:p>
      <w:pPr>
        <w:spacing w:after="0" w:line="194" w:lineRule="exact"/>
        <w:jc w:val="left"/>
        <w:sectPr>
          <w:type w:val="continuous"/>
          <w:pgSz w:w="11910" w:h="16840"/>
          <w:pgMar w:top="1060" w:bottom="1160" w:left="980" w:right="980"/>
          <w:cols w:num="4" w:equalWidth="0">
            <w:col w:w="722" w:space="344"/>
            <w:col w:w="1605" w:space="522"/>
            <w:col w:w="1082" w:space="40"/>
            <w:col w:w="5635"/>
          </w:cols>
        </w:sectPr>
      </w:pPr>
    </w:p>
    <w:p>
      <w:pPr>
        <w:spacing w:line="240" w:lineRule="auto" w:before="6"/>
        <w:rPr>
          <w:rFonts w:ascii="宋体" w:hAnsi="宋体" w:cs="宋体" w:eastAsia="宋体" w:hint="default"/>
          <w:sz w:val="26"/>
          <w:szCs w:val="26"/>
        </w:rPr>
      </w:pPr>
    </w:p>
    <w:p>
      <w:pPr>
        <w:pStyle w:val="BodyText"/>
        <w:spacing w:line="240" w:lineRule="auto" w:before="44"/>
        <w:ind w:left="967" w:right="3622"/>
        <w:jc w:val="center"/>
      </w:pPr>
      <w:r>
        <w:rPr/>
        <w:t>的补助</w:t>
      </w:r>
    </w:p>
    <w:p>
      <w:pPr>
        <w:spacing w:line="240" w:lineRule="auto" w:before="6"/>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5" w:footer="980" w:top="1060" w:bottom="1160" w:left="980" w:right="980"/>
        </w:sectPr>
      </w:pPr>
    </w:p>
    <w:p>
      <w:pPr>
        <w:spacing w:line="240" w:lineRule="auto" w:before="4"/>
        <w:rPr>
          <w:rFonts w:ascii="宋体" w:hAnsi="宋体" w:cs="宋体" w:eastAsia="宋体" w:hint="default"/>
          <w:sz w:val="15"/>
          <w:szCs w:val="15"/>
        </w:rPr>
      </w:pPr>
    </w:p>
    <w:p>
      <w:pPr>
        <w:pStyle w:val="BodyText"/>
        <w:spacing w:line="316" w:lineRule="auto"/>
        <w:ind w:left="181" w:right="0"/>
        <w:jc w:val="both"/>
      </w:pPr>
      <w:r>
        <w:rPr/>
        <w:t>收国内外发 明专利资助 款</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19"/>
        <w:jc w:val="left"/>
      </w:pPr>
      <w:r>
        <w:rPr/>
        <w:t>深圳市财政</w:t>
      </w:r>
    </w:p>
    <w:p>
      <w:pPr>
        <w:pStyle w:val="BodyText"/>
        <w:spacing w:line="156" w:lineRule="exact"/>
        <w:ind w:left="0" w:right="0"/>
        <w:jc w:val="right"/>
      </w:pPr>
      <w:r>
        <w:rPr/>
        <w:t>补助</w:t>
      </w:r>
    </w:p>
    <w:p>
      <w:pPr>
        <w:pStyle w:val="BodyText"/>
        <w:spacing w:line="196" w:lineRule="exact"/>
        <w:ind w:left="125" w:right="-19"/>
        <w:jc w:val="left"/>
      </w:pPr>
      <w:r>
        <w:rPr/>
        <w:t>委员会</w:t>
      </w:r>
    </w:p>
    <w:p>
      <w:pPr>
        <w:pStyle w:val="BodyText"/>
        <w:spacing w:line="312" w:lineRule="exact" w:before="5"/>
        <w:ind w:left="181" w:right="5472"/>
        <w:jc w:val="left"/>
      </w:pPr>
      <w:r>
        <w:rPr/>
        <w:br w:type="column"/>
      </w:r>
      <w:r>
        <w:rPr/>
        <w:t>因研究开发、 技术更新及</w:t>
      </w:r>
    </w:p>
    <w:p>
      <w:pPr>
        <w:pStyle w:val="BodyText"/>
        <w:tabs>
          <w:tab w:pos="2308" w:val="left" w:leader="none"/>
          <w:tab w:pos="4809" w:val="left" w:leader="none"/>
        </w:tabs>
        <w:spacing w:line="86" w:lineRule="exact"/>
        <w:ind w:left="1244" w:right="0"/>
        <w:jc w:val="left"/>
      </w:pPr>
      <w:r>
        <w:rPr/>
        <w:t>否</w:t>
        <w:tab/>
        <w:t>否</w:t>
        <w:tab/>
      </w:r>
      <w:r>
        <w:rPr>
          <w:rFonts w:ascii="Times New Roman" w:hAnsi="Times New Roman" w:cs="Times New Roman" w:eastAsia="Times New Roman" w:hint="default"/>
        </w:rPr>
        <w:t>2,500.00</w:t>
      </w:r>
      <w:r>
        <w:rPr>
          <w:rFonts w:ascii="Times New Roman" w:hAnsi="Times New Roman" w:cs="Times New Roman" w:eastAsia="Times New Roman" w:hint="default"/>
          <w:spacing w:val="9"/>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spacing w:line="240" w:lineRule="auto" w:before="4"/>
        <w:rPr>
          <w:rFonts w:ascii="宋体" w:hAnsi="宋体" w:cs="宋体" w:eastAsia="宋体" w:hint="default"/>
          <w:sz w:val="15"/>
          <w:szCs w:val="15"/>
        </w:rPr>
      </w:pPr>
    </w:p>
    <w:p>
      <w:pPr>
        <w:pStyle w:val="BodyText"/>
        <w:spacing w:line="316" w:lineRule="auto"/>
        <w:ind w:left="181" w:right="0"/>
        <w:jc w:val="both"/>
      </w:pPr>
      <w:r>
        <w:rPr/>
        <w:t>计算机软件 著作权登记 资助</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19"/>
        <w:jc w:val="left"/>
      </w:pPr>
      <w:r>
        <w:rPr/>
        <w:t>深圳市市场</w:t>
      </w:r>
    </w:p>
    <w:p>
      <w:pPr>
        <w:pStyle w:val="BodyText"/>
        <w:spacing w:line="156" w:lineRule="exact"/>
        <w:ind w:left="0" w:right="0"/>
        <w:jc w:val="right"/>
      </w:pPr>
      <w:r>
        <w:rPr/>
        <w:t>补助</w:t>
      </w:r>
    </w:p>
    <w:p>
      <w:pPr>
        <w:pStyle w:val="BodyText"/>
        <w:spacing w:line="196" w:lineRule="exact"/>
        <w:ind w:left="125" w:right="-19"/>
        <w:jc w:val="left"/>
      </w:pPr>
      <w:r>
        <w:rPr/>
        <w:t>监督管理局</w:t>
      </w:r>
    </w:p>
    <w:p>
      <w:pPr>
        <w:pStyle w:val="BodyText"/>
        <w:spacing w:line="312" w:lineRule="exact" w:before="5"/>
        <w:ind w:left="181" w:right="5472"/>
        <w:jc w:val="left"/>
      </w:pPr>
      <w:r>
        <w:rPr/>
        <w:br w:type="column"/>
      </w:r>
      <w:r>
        <w:rPr/>
        <w:t>因研究开发、 技术更新及</w:t>
      </w:r>
    </w:p>
    <w:p>
      <w:pPr>
        <w:pStyle w:val="BodyText"/>
        <w:tabs>
          <w:tab w:pos="2308" w:val="left" w:leader="none"/>
          <w:tab w:pos="4809" w:val="left" w:leader="none"/>
        </w:tabs>
        <w:spacing w:line="86" w:lineRule="exact"/>
        <w:ind w:left="1244" w:right="0"/>
        <w:jc w:val="left"/>
      </w:pPr>
      <w:r>
        <w:rPr/>
        <w:t>否</w:t>
        <w:tab/>
        <w:t>否</w:t>
        <w:tab/>
      </w:r>
      <w:r>
        <w:rPr>
          <w:rFonts w:ascii="Times New Roman" w:hAnsi="Times New Roman" w:cs="Times New Roman" w:eastAsia="Times New Roman" w:hint="default"/>
        </w:rPr>
        <w:t>1,800.00</w:t>
      </w:r>
      <w:r>
        <w:rPr>
          <w:rFonts w:ascii="Times New Roman" w:hAnsi="Times New Roman" w:cs="Times New Roman" w:eastAsia="Times New Roman" w:hint="default"/>
          <w:spacing w:val="9"/>
        </w:rPr>
        <w:t> </w:t>
      </w:r>
      <w:r>
        <w:rPr/>
        <w:t>与收益相关</w:t>
      </w:r>
    </w:p>
    <w:p>
      <w:pPr>
        <w:pStyle w:val="BodyText"/>
        <w:spacing w:line="189" w:lineRule="exact"/>
        <w:ind w:left="181" w:right="5472"/>
        <w:jc w:val="left"/>
      </w:pPr>
      <w:r>
        <w:rPr/>
        <w:t>改造等获得</w:t>
      </w:r>
    </w:p>
    <w:p>
      <w:pPr>
        <w:pStyle w:val="BodyText"/>
        <w:spacing w:line="240" w:lineRule="auto" w:before="76"/>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5"/>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60" w:left="980" w:right="980"/>
        </w:sectPr>
      </w:pPr>
    </w:p>
    <w:p>
      <w:pPr>
        <w:pStyle w:val="BodyText"/>
        <w:spacing w:line="319" w:lineRule="auto" w:before="44"/>
        <w:ind w:left="181" w:right="0"/>
        <w:jc w:val="both"/>
      </w:pPr>
      <w:r>
        <w:rPr/>
        <w:t>深圳市第三 批计算机软 件著作权登 记资助补贴</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196" w:lineRule="exact" w:before="121"/>
        <w:ind w:left="125" w:right="-19"/>
        <w:jc w:val="left"/>
      </w:pPr>
      <w:r>
        <w:rPr/>
        <w:t>深圳市南山</w:t>
      </w:r>
    </w:p>
    <w:p>
      <w:pPr>
        <w:pStyle w:val="BodyText"/>
        <w:spacing w:line="156" w:lineRule="exact"/>
        <w:ind w:left="0" w:right="0"/>
        <w:jc w:val="right"/>
      </w:pPr>
      <w:r>
        <w:rPr/>
        <w:t>补助</w:t>
      </w:r>
    </w:p>
    <w:p>
      <w:pPr>
        <w:pStyle w:val="BodyText"/>
        <w:spacing w:line="196" w:lineRule="exact"/>
        <w:ind w:left="125" w:right="-19"/>
        <w:jc w:val="left"/>
      </w:pPr>
      <w:r>
        <w:rPr/>
        <w:t>区财政局</w:t>
      </w:r>
    </w:p>
    <w:p>
      <w:pPr>
        <w:pStyle w:val="BodyText"/>
        <w:spacing w:line="312" w:lineRule="exact" w:before="5"/>
        <w:ind w:left="181" w:right="5472"/>
        <w:jc w:val="left"/>
      </w:pPr>
      <w:r>
        <w:rPr/>
        <w:br w:type="column"/>
      </w:r>
      <w:r>
        <w:rPr/>
        <w:t>因研究开发、 技术更新及</w:t>
      </w:r>
    </w:p>
    <w:p>
      <w:pPr>
        <w:pStyle w:val="BodyText"/>
        <w:tabs>
          <w:tab w:pos="2308" w:val="left" w:leader="none"/>
          <w:tab w:pos="4809" w:val="left" w:leader="none"/>
        </w:tabs>
        <w:spacing w:line="86" w:lineRule="exact"/>
        <w:ind w:left="1244" w:right="0"/>
        <w:jc w:val="left"/>
      </w:pPr>
      <w:r>
        <w:rPr/>
        <w:t>否</w:t>
        <w:tab/>
        <w:t>否</w:t>
        <w:tab/>
      </w:r>
      <w:r>
        <w:rPr>
          <w:rFonts w:ascii="Times New Roman" w:hAnsi="Times New Roman" w:cs="Times New Roman" w:eastAsia="Times New Roman" w:hint="default"/>
        </w:rPr>
        <w:t>1,200.00</w:t>
      </w:r>
      <w:r>
        <w:rPr>
          <w:rFonts w:ascii="Times New Roman" w:hAnsi="Times New Roman" w:cs="Times New Roman" w:eastAsia="Times New Roman" w:hint="default"/>
          <w:spacing w:val="9"/>
        </w:rPr>
        <w:t> </w:t>
      </w:r>
      <w:r>
        <w:rPr/>
        <w:t>与收益相关</w:t>
      </w:r>
    </w:p>
    <w:p>
      <w:pPr>
        <w:pStyle w:val="BodyText"/>
        <w:spacing w:line="189" w:lineRule="exact"/>
        <w:ind w:left="181" w:right="5472"/>
        <w:jc w:val="left"/>
      </w:pPr>
      <w:r>
        <w:rPr/>
        <w:t>改造等获得</w:t>
      </w:r>
    </w:p>
    <w:p>
      <w:pPr>
        <w:pStyle w:val="BodyText"/>
        <w:spacing w:line="240" w:lineRule="auto" w:before="77"/>
        <w:ind w:left="181" w:right="5472"/>
        <w:jc w:val="left"/>
      </w:pPr>
      <w:r>
        <w:rPr/>
        <w:t>的补助</w:t>
      </w:r>
    </w:p>
    <w:p>
      <w:pPr>
        <w:spacing w:after="0" w:line="240" w:lineRule="auto"/>
        <w:jc w:val="left"/>
        <w:sectPr>
          <w:type w:val="continuous"/>
          <w:pgSz w:w="11910" w:h="16840"/>
          <w:pgMar w:top="1060" w:bottom="1160" w:left="980" w:right="980"/>
          <w:cols w:num="3" w:equalWidth="0">
            <w:col w:w="1082" w:space="40"/>
            <w:col w:w="1550" w:space="522"/>
            <w:col w:w="6756"/>
          </w:cols>
        </w:sect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BodyText"/>
        <w:spacing w:line="240" w:lineRule="auto"/>
        <w:ind w:left="181" w:right="-20"/>
        <w:jc w:val="left"/>
      </w:pPr>
      <w:r>
        <w:rPr/>
        <w:t>高新技术企</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2"/>
        <w:rPr>
          <w:rFonts w:ascii="宋体" w:hAnsi="宋体" w:cs="宋体" w:eastAsia="宋体" w:hint="default"/>
          <w:sz w:val="13"/>
          <w:szCs w:val="13"/>
        </w:rPr>
      </w:pPr>
    </w:p>
    <w:p>
      <w:pPr>
        <w:pStyle w:val="BodyText"/>
        <w:spacing w:line="196" w:lineRule="exact"/>
        <w:ind w:left="125" w:right="-19"/>
        <w:jc w:val="left"/>
      </w:pPr>
      <w:r>
        <w:rPr/>
        <w:t>广州市南沙</w:t>
      </w:r>
    </w:p>
    <w:p>
      <w:pPr>
        <w:pStyle w:val="BodyText"/>
        <w:spacing w:line="196" w:lineRule="exact"/>
        <w:ind w:left="0" w:right="0"/>
        <w:jc w:val="right"/>
      </w:pPr>
      <w:r>
        <w:rPr/>
        <w:t>补助</w:t>
      </w:r>
    </w:p>
    <w:p>
      <w:pPr>
        <w:pStyle w:val="BodyText"/>
        <w:spacing w:line="310" w:lineRule="atLeast" w:before="31"/>
        <w:ind w:left="181" w:right="5472"/>
        <w:jc w:val="left"/>
      </w:pPr>
      <w:r>
        <w:rPr/>
        <w:br w:type="column"/>
      </w:r>
      <w:r>
        <w:rPr/>
        <w:t>因研究开发、 技术更新及</w:t>
      </w:r>
    </w:p>
    <w:p>
      <w:pPr>
        <w:pStyle w:val="BodyText"/>
        <w:tabs>
          <w:tab w:pos="2308" w:val="left" w:leader="none"/>
          <w:tab w:pos="3565" w:val="left" w:leader="none"/>
          <w:tab w:pos="5496" w:val="left" w:leader="none"/>
        </w:tabs>
        <w:spacing w:line="170" w:lineRule="exact"/>
        <w:ind w:left="1244" w:right="0"/>
        <w:jc w:val="left"/>
      </w:pPr>
      <w:r>
        <w:rPr/>
        <w:pict>
          <v:shape style="position:absolute;margin-left:55.490002pt;margin-top:6.600008pt;width:479.7pt;height:392.05pt;mso-position-horizontal-relative:page;mso-position-vertical-relative:paragraph;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6"/>
                    <w:gridCol w:w="1033"/>
                    <w:gridCol w:w="793"/>
                    <w:gridCol w:w="1287"/>
                    <w:gridCol w:w="750"/>
                    <w:gridCol w:w="1161"/>
                    <w:gridCol w:w="1910"/>
                    <w:gridCol w:w="1494"/>
                    <w:gridCol w:w="99"/>
                  </w:tblGrid>
                  <w:tr>
                    <w:trPr>
                      <w:trHeight w:val="1339" w:hRule="exact"/>
                    </w:trPr>
                    <w:tc>
                      <w:tcPr>
                        <w:tcW w:w="1066" w:type="dxa"/>
                        <w:tcBorders>
                          <w:top w:val="nil" w:sz="6" w:space="0" w:color="auto"/>
                          <w:left w:val="nil" w:sz="6" w:space="0" w:color="auto"/>
                          <w:bottom w:val="nil" w:sz="6" w:space="0" w:color="auto"/>
                          <w:right w:val="nil" w:sz="6" w:space="0" w:color="auto"/>
                        </w:tcBorders>
                      </w:tcPr>
                      <w:p>
                        <w:pPr>
                          <w:pStyle w:val="TableParagraph"/>
                          <w:spacing w:line="180" w:lineRule="exact"/>
                          <w:ind w:left="51" w:right="0"/>
                          <w:jc w:val="left"/>
                          <w:rPr>
                            <w:rFonts w:ascii="宋体" w:hAnsi="宋体" w:cs="宋体" w:eastAsia="宋体" w:hint="default"/>
                            <w:sz w:val="18"/>
                            <w:szCs w:val="18"/>
                          </w:rPr>
                        </w:pPr>
                        <w:r>
                          <w:rPr>
                            <w:rFonts w:ascii="宋体" w:hAnsi="宋体" w:cs="宋体" w:eastAsia="宋体" w:hint="default"/>
                            <w:sz w:val="18"/>
                            <w:szCs w:val="18"/>
                          </w:rPr>
                          <w:t>业补贴</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310" w:lineRule="atLeast"/>
                          <w:ind w:left="51" w:right="112"/>
                          <w:jc w:val="left"/>
                          <w:rPr>
                            <w:rFonts w:ascii="宋体" w:hAnsi="宋体" w:cs="宋体" w:eastAsia="宋体" w:hint="default"/>
                            <w:sz w:val="18"/>
                            <w:szCs w:val="18"/>
                          </w:rPr>
                        </w:pPr>
                        <w:r>
                          <w:rPr>
                            <w:rFonts w:ascii="宋体" w:hAnsi="宋体" w:cs="宋体" w:eastAsia="宋体" w:hint="default"/>
                            <w:sz w:val="18"/>
                            <w:szCs w:val="18"/>
                          </w:rPr>
                          <w:t>望城经开区 建设开发公</w:t>
                        </w:r>
                      </w:p>
                    </w:tc>
                    <w:tc>
                      <w:tcPr>
                        <w:tcW w:w="1033" w:type="dxa"/>
                        <w:tcBorders>
                          <w:top w:val="nil" w:sz="6" w:space="0" w:color="auto"/>
                          <w:left w:val="nil" w:sz="6" w:space="0" w:color="auto"/>
                          <w:bottom w:val="nil" w:sz="6" w:space="0" w:color="auto"/>
                          <w:right w:val="nil" w:sz="6" w:space="0" w:color="auto"/>
                        </w:tcBorders>
                      </w:tcPr>
                      <w:p>
                        <w:pPr>
                          <w:pStyle w:val="TableParagraph"/>
                          <w:spacing w:line="180" w:lineRule="exact"/>
                          <w:ind w:left="51" w:right="0"/>
                          <w:jc w:val="left"/>
                          <w:rPr>
                            <w:rFonts w:ascii="宋体" w:hAnsi="宋体" w:cs="宋体" w:eastAsia="宋体" w:hint="default"/>
                            <w:sz w:val="18"/>
                            <w:szCs w:val="18"/>
                          </w:rPr>
                        </w:pPr>
                        <w:r>
                          <w:rPr>
                            <w:rFonts w:ascii="宋体" w:hAnsi="宋体" w:cs="宋体" w:eastAsia="宋体" w:hint="default"/>
                            <w:sz w:val="18"/>
                            <w:szCs w:val="18"/>
                          </w:rPr>
                          <w:t>区财政局</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望城经开区</w:t>
                        </w:r>
                      </w:p>
                    </w:tc>
                    <w:tc>
                      <w:tcPr>
                        <w:tcW w:w="7395" w:type="dxa"/>
                        <w:gridSpan w:val="6"/>
                        <w:tcBorders>
                          <w:top w:val="nil" w:sz="6" w:space="0" w:color="auto"/>
                          <w:left w:val="nil" w:sz="6" w:space="0" w:color="auto"/>
                          <w:bottom w:val="nil" w:sz="6" w:space="0" w:color="auto"/>
                          <w:right w:val="nil" w:sz="6" w:space="0" w:color="auto"/>
                        </w:tcBorders>
                      </w:tcPr>
                      <w:p>
                        <w:pPr>
                          <w:pStyle w:val="TableParagraph"/>
                          <w:spacing w:line="180" w:lineRule="exact"/>
                          <w:ind w:left="1145" w:right="0"/>
                          <w:jc w:val="left"/>
                          <w:rPr>
                            <w:rFonts w:ascii="宋体" w:hAnsi="宋体" w:cs="宋体" w:eastAsia="宋体" w:hint="default"/>
                            <w:sz w:val="18"/>
                            <w:szCs w:val="18"/>
                          </w:rPr>
                        </w:pPr>
                        <w:r>
                          <w:rPr>
                            <w:rFonts w:ascii="宋体" w:hAnsi="宋体" w:cs="宋体" w:eastAsia="宋体" w:hint="default"/>
                            <w:sz w:val="18"/>
                            <w:szCs w:val="18"/>
                          </w:rPr>
                          <w:t>改造等获得</w:t>
                        </w:r>
                      </w:p>
                      <w:p>
                        <w:pPr>
                          <w:pStyle w:val="TableParagraph"/>
                          <w:spacing w:line="240" w:lineRule="auto" w:before="76"/>
                          <w:ind w:left="1145" w:right="0"/>
                          <w:jc w:val="left"/>
                          <w:rPr>
                            <w:rFonts w:ascii="宋体" w:hAnsi="宋体" w:cs="宋体" w:eastAsia="宋体" w:hint="default"/>
                            <w:sz w:val="18"/>
                            <w:szCs w:val="18"/>
                          </w:rPr>
                        </w:pPr>
                        <w:r>
                          <w:rPr>
                            <w:rFonts w:ascii="宋体" w:hAnsi="宋体" w:cs="宋体" w:eastAsia="宋体" w:hint="default"/>
                            <w:sz w:val="18"/>
                            <w:szCs w:val="18"/>
                          </w:rPr>
                          <w:t>的补助</w:t>
                        </w:r>
                      </w:p>
                      <w:p>
                        <w:pPr>
                          <w:pStyle w:val="TableParagraph"/>
                          <w:spacing w:line="310" w:lineRule="atLeast" w:before="93"/>
                          <w:ind w:left="1145" w:right="5347"/>
                          <w:jc w:val="left"/>
                          <w:rPr>
                            <w:rFonts w:ascii="宋体" w:hAnsi="宋体" w:cs="宋体" w:eastAsia="宋体" w:hint="default"/>
                            <w:sz w:val="18"/>
                            <w:szCs w:val="18"/>
                          </w:rPr>
                        </w:pPr>
                        <w:r>
                          <w:rPr>
                            <w:rFonts w:ascii="宋体" w:hAnsi="宋体" w:cs="宋体" w:eastAsia="宋体" w:hint="default"/>
                            <w:sz w:val="18"/>
                            <w:szCs w:val="18"/>
                          </w:rPr>
                          <w:t>因符合地方 政府招商引</w:t>
                        </w:r>
                      </w:p>
                      <w:p>
                        <w:pPr>
                          <w:pStyle w:val="TableParagraph"/>
                          <w:spacing w:line="170" w:lineRule="exact"/>
                          <w:ind w:left="4395" w:right="0"/>
                          <w:jc w:val="left"/>
                          <w:rPr>
                            <w:rFonts w:ascii="Times New Roman" w:hAnsi="Times New Roman" w:cs="Times New Roman" w:eastAsia="Times New Roman" w:hint="default"/>
                            <w:sz w:val="18"/>
                            <w:szCs w:val="18"/>
                          </w:rPr>
                        </w:pPr>
                        <w:r>
                          <w:rPr>
                            <w:rFonts w:ascii="Times New Roman"/>
                            <w:sz w:val="18"/>
                          </w:rPr>
                          <w:t>13,820,000.0</w:t>
                        </w:r>
                      </w:p>
                    </w:tc>
                    <w:tc>
                      <w:tcPr>
                        <w:tcW w:w="99" w:type="dxa"/>
                        <w:vMerge w:val="restart"/>
                        <w:tcBorders>
                          <w:top w:val="nil" w:sz="6" w:space="0" w:color="auto"/>
                          <w:left w:val="nil" w:sz="6" w:space="0" w:color="auto"/>
                          <w:right w:val="nil" w:sz="6" w:space="0" w:color="auto"/>
                        </w:tcBorders>
                      </w:tcPr>
                      <w:p>
                        <w:pPr/>
                      </w:p>
                    </w:tc>
                  </w:tr>
                  <w:tr>
                    <w:trPr>
                      <w:trHeight w:val="915" w:hRule="exact"/>
                    </w:trPr>
                    <w:tc>
                      <w:tcPr>
                        <w:tcW w:w="2099" w:type="dxa"/>
                        <w:gridSpan w:val="2"/>
                        <w:tcBorders>
                          <w:top w:val="nil" w:sz="6" w:space="0" w:color="auto"/>
                          <w:left w:val="nil" w:sz="6" w:space="0" w:color="auto"/>
                          <w:bottom w:val="nil" w:sz="6" w:space="0" w:color="auto"/>
                          <w:right w:val="nil" w:sz="6" w:space="0" w:color="auto"/>
                        </w:tcBorders>
                      </w:tcPr>
                      <w:p>
                        <w:pPr>
                          <w:pStyle w:val="TableParagraph"/>
                          <w:spacing w:line="140" w:lineRule="exact"/>
                          <w:ind w:left="1117" w:right="0"/>
                          <w:jc w:val="left"/>
                          <w:rPr>
                            <w:rFonts w:ascii="宋体" w:hAnsi="宋体" w:cs="宋体" w:eastAsia="宋体" w:hint="default"/>
                            <w:sz w:val="18"/>
                            <w:szCs w:val="18"/>
                          </w:rPr>
                        </w:pPr>
                        <w:r>
                          <w:rPr>
                            <w:rFonts w:ascii="宋体" w:hAnsi="宋体" w:cs="宋体" w:eastAsia="宋体" w:hint="default"/>
                            <w:sz w:val="18"/>
                            <w:szCs w:val="18"/>
                          </w:rPr>
                          <w:t>建设开发公</w:t>
                        </w:r>
                      </w:p>
                      <w:p>
                        <w:pPr>
                          <w:pStyle w:val="TableParagraph"/>
                          <w:spacing w:line="163" w:lineRule="exact"/>
                          <w:ind w:left="51"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产业扶持</w:t>
                        </w:r>
                      </w:p>
                      <w:p>
                        <w:pPr>
                          <w:pStyle w:val="TableParagraph"/>
                          <w:spacing w:line="149" w:lineRule="exact"/>
                          <w:ind w:left="316" w:right="0"/>
                          <w:jc w:val="center"/>
                          <w:rPr>
                            <w:rFonts w:ascii="宋体" w:hAnsi="宋体" w:cs="宋体" w:eastAsia="宋体" w:hint="default"/>
                            <w:sz w:val="18"/>
                            <w:szCs w:val="18"/>
                          </w:rPr>
                        </w:pPr>
                        <w:r>
                          <w:rPr>
                            <w:rFonts w:ascii="宋体" w:hAnsi="宋体" w:cs="宋体" w:eastAsia="宋体" w:hint="default"/>
                            <w:sz w:val="18"/>
                            <w:szCs w:val="18"/>
                          </w:rPr>
                          <w:t>司</w:t>
                        </w:r>
                      </w:p>
                      <w:p>
                        <w:pPr>
                          <w:pStyle w:val="TableParagraph"/>
                          <w:spacing w:line="196" w:lineRule="exact"/>
                          <w:ind w:left="51"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793" w:type="dxa"/>
                        <w:tcBorders>
                          <w:top w:val="nil" w:sz="6" w:space="0" w:color="auto"/>
                          <w:left w:val="nil" w:sz="6" w:space="0" w:color="auto"/>
                          <w:bottom w:val="nil" w:sz="6" w:space="0" w:color="auto"/>
                          <w:right w:val="nil" w:sz="6" w:space="0" w:color="auto"/>
                        </w:tcBorders>
                      </w:tcPr>
                      <w:p>
                        <w:pPr>
                          <w:pStyle w:val="TableParagraph"/>
                          <w:spacing w:line="180" w:lineRule="exact"/>
                          <w:ind w:left="8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87" w:type="dxa"/>
                        <w:tcBorders>
                          <w:top w:val="nil" w:sz="6" w:space="0" w:color="auto"/>
                          <w:left w:val="nil" w:sz="6" w:space="0" w:color="auto"/>
                          <w:bottom w:val="nil" w:sz="6" w:space="0" w:color="auto"/>
                          <w:right w:val="nil" w:sz="6" w:space="0" w:color="auto"/>
                        </w:tcBorders>
                      </w:tcPr>
                      <w:p>
                        <w:pPr>
                          <w:pStyle w:val="TableParagraph"/>
                          <w:spacing w:line="180" w:lineRule="exact"/>
                          <w:ind w:left="351" w:right="0"/>
                          <w:jc w:val="left"/>
                          <w:rPr>
                            <w:rFonts w:ascii="宋体" w:hAnsi="宋体" w:cs="宋体" w:eastAsia="宋体" w:hint="default"/>
                            <w:sz w:val="18"/>
                            <w:szCs w:val="18"/>
                          </w:rPr>
                        </w:pPr>
                        <w:r>
                          <w:rPr>
                            <w:rFonts w:ascii="宋体" w:hAnsi="宋体" w:cs="宋体" w:eastAsia="宋体" w:hint="default"/>
                            <w:sz w:val="18"/>
                            <w:szCs w:val="18"/>
                          </w:rPr>
                          <w:t>资等地方性</w:t>
                        </w:r>
                      </w:p>
                      <w:p>
                        <w:pPr>
                          <w:pStyle w:val="TableParagraph"/>
                          <w:spacing w:line="316" w:lineRule="auto" w:before="76"/>
                          <w:ind w:left="351" w:right="33"/>
                          <w:jc w:val="left"/>
                          <w:rPr>
                            <w:rFonts w:ascii="宋体" w:hAnsi="宋体" w:cs="宋体" w:eastAsia="宋体" w:hint="default"/>
                            <w:sz w:val="18"/>
                            <w:szCs w:val="18"/>
                          </w:rPr>
                        </w:pPr>
                        <w:r>
                          <w:rPr>
                            <w:rFonts w:ascii="宋体" w:hAnsi="宋体" w:cs="宋体" w:eastAsia="宋体" w:hint="default"/>
                            <w:sz w:val="18"/>
                            <w:szCs w:val="18"/>
                          </w:rPr>
                          <w:t>扶持政策而 获得的补助</w:t>
                        </w:r>
                      </w:p>
                    </w:tc>
                    <w:tc>
                      <w:tcPr>
                        <w:tcW w:w="750" w:type="dxa"/>
                        <w:tcBorders>
                          <w:top w:val="nil" w:sz="6" w:space="0" w:color="auto"/>
                          <w:left w:val="nil" w:sz="6" w:space="0" w:color="auto"/>
                          <w:bottom w:val="nil" w:sz="6" w:space="0" w:color="auto"/>
                          <w:right w:val="nil" w:sz="6" w:space="0" w:color="auto"/>
                        </w:tcBorders>
                      </w:tcPr>
                      <w:p>
                        <w:pPr>
                          <w:pStyle w:val="TableParagraph"/>
                          <w:spacing w:line="180" w:lineRule="exact"/>
                          <w:ind w:left="1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1" w:type="dxa"/>
                        <w:tcBorders>
                          <w:top w:val="nil" w:sz="6" w:space="0" w:color="auto"/>
                          <w:left w:val="nil" w:sz="6" w:space="0" w:color="auto"/>
                          <w:bottom w:val="nil" w:sz="6" w:space="0" w:color="auto"/>
                          <w:right w:val="nil" w:sz="6" w:space="0" w:color="auto"/>
                        </w:tcBorders>
                      </w:tcPr>
                      <w:p>
                        <w:pPr>
                          <w:pStyle w:val="TableParagraph"/>
                          <w:spacing w:line="180" w:lineRule="exact"/>
                          <w:ind w:left="44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3404" w:type="dxa"/>
                        <w:gridSpan w:val="2"/>
                        <w:tcBorders>
                          <w:top w:val="nil" w:sz="6" w:space="0" w:color="auto"/>
                          <w:left w:val="nil" w:sz="6" w:space="0" w:color="auto"/>
                          <w:bottom w:val="nil" w:sz="6" w:space="0" w:color="auto"/>
                          <w:right w:val="nil" w:sz="6" w:space="0" w:color="auto"/>
                        </w:tcBorders>
                      </w:tcPr>
                      <w:p>
                        <w:pPr>
                          <w:pStyle w:val="TableParagraph"/>
                          <w:spacing w:line="161" w:lineRule="exact"/>
                          <w:ind w:left="2468" w:right="0"/>
                          <w:jc w:val="left"/>
                          <w:rPr>
                            <w:rFonts w:ascii="宋体" w:hAnsi="宋体" w:cs="宋体" w:eastAsia="宋体" w:hint="default"/>
                            <w:sz w:val="18"/>
                            <w:szCs w:val="18"/>
                          </w:rPr>
                        </w:pPr>
                        <w:r>
                          <w:rPr>
                            <w:rFonts w:ascii="宋体" w:hAnsi="宋体" w:cs="宋体" w:eastAsia="宋体" w:hint="default"/>
                            <w:sz w:val="18"/>
                            <w:szCs w:val="18"/>
                          </w:rPr>
                          <w:t>与资产相关</w:t>
                        </w:r>
                      </w:p>
                      <w:p>
                        <w:pPr>
                          <w:pStyle w:val="TableParagraph"/>
                          <w:spacing w:line="188" w:lineRule="exact"/>
                          <w:ind w:right="794"/>
                          <w:jc w:val="center"/>
                          <w:rPr>
                            <w:rFonts w:ascii="Times New Roman" w:hAnsi="Times New Roman" w:cs="Times New Roman" w:eastAsia="Times New Roman" w:hint="default"/>
                            <w:sz w:val="18"/>
                            <w:szCs w:val="18"/>
                          </w:rPr>
                        </w:pPr>
                        <w:r>
                          <w:rPr>
                            <w:rFonts w:ascii="Times New Roman"/>
                            <w:sz w:val="18"/>
                          </w:rPr>
                          <w:t>0</w:t>
                        </w:r>
                      </w:p>
                    </w:tc>
                    <w:tc>
                      <w:tcPr>
                        <w:tcW w:w="99" w:type="dxa"/>
                        <w:vMerge/>
                        <w:tcBorders>
                          <w:left w:val="nil" w:sz="6" w:space="0" w:color="auto"/>
                          <w:right w:val="nil" w:sz="6" w:space="0" w:color="auto"/>
                        </w:tcBorders>
                      </w:tcPr>
                      <w:p>
                        <w:pPr/>
                      </w:p>
                    </w:tc>
                  </w:tr>
                  <w:tr>
                    <w:trPr>
                      <w:trHeight w:val="2276" w:hRule="exact"/>
                    </w:trPr>
                    <w:tc>
                      <w:tcPr>
                        <w:tcW w:w="209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3"/>
                          <w:ind w:left="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年成都</w:t>
                        </w:r>
                      </w:p>
                      <w:p>
                        <w:pPr>
                          <w:pStyle w:val="TableParagraph"/>
                          <w:spacing w:line="312" w:lineRule="auto" w:before="63"/>
                          <w:ind w:left="51" w:right="79"/>
                          <w:jc w:val="left"/>
                          <w:rPr>
                            <w:rFonts w:ascii="宋体" w:hAnsi="宋体" w:cs="宋体" w:eastAsia="宋体" w:hint="default"/>
                            <w:sz w:val="18"/>
                            <w:szCs w:val="18"/>
                          </w:rPr>
                        </w:pPr>
                        <w:r>
                          <w:rPr>
                            <w:rFonts w:ascii="宋体" w:hAnsi="宋体" w:cs="宋体" w:eastAsia="宋体" w:hint="default"/>
                            <w:sz w:val="18"/>
                            <w:szCs w:val="18"/>
                          </w:rPr>
                          <w:t>高新区推进</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成都高新技 三次创业</w:t>
                        </w:r>
                        <w:r>
                          <w:rPr>
                            <w:rFonts w:ascii="Times New Roman" w:hAnsi="Times New Roman" w:cs="Times New Roman" w:eastAsia="Times New Roman" w:hint="default"/>
                            <w:sz w:val="18"/>
                            <w:szCs w:val="18"/>
                          </w:rPr>
                          <w:t>"</w:t>
                        </w:r>
                        <w:r>
                          <w:rPr>
                            <w:rFonts w:ascii="宋体" w:hAnsi="宋体" w:cs="宋体" w:eastAsia="宋体" w:hint="default"/>
                            <w:sz w:val="18"/>
                            <w:szCs w:val="18"/>
                          </w:rPr>
                          <w:t>加</w:t>
                        </w:r>
                        <w:r>
                          <w:rPr>
                            <w:rFonts w:ascii="宋体" w:hAnsi="宋体" w:cs="宋体" w:eastAsia="宋体" w:hint="default"/>
                            <w:spacing w:val="1"/>
                            <w:sz w:val="18"/>
                            <w:szCs w:val="18"/>
                          </w:rPr>
                          <w:t> </w:t>
                        </w:r>
                        <w:r>
                          <w:rPr>
                            <w:rFonts w:ascii="宋体" w:hAnsi="宋体" w:cs="宋体" w:eastAsia="宋体" w:hint="default"/>
                            <w:sz w:val="18"/>
                            <w:szCs w:val="18"/>
                          </w:rPr>
                          <w:t>术产业开发</w:t>
                        </w:r>
                        <w:r>
                          <w:rPr>
                            <w:rFonts w:ascii="宋体" w:hAnsi="宋体" w:cs="宋体" w:eastAsia="宋体" w:hint="default"/>
                            <w:sz w:val="18"/>
                            <w:szCs w:val="18"/>
                          </w:rPr>
                          <w:t> 快商务服务</w:t>
                        </w:r>
                        <w:r>
                          <w:rPr>
                            <w:rFonts w:ascii="宋体" w:hAnsi="宋体" w:cs="宋体" w:eastAsia="宋体" w:hint="default"/>
                            <w:spacing w:val="76"/>
                            <w:sz w:val="18"/>
                            <w:szCs w:val="18"/>
                          </w:rPr>
                          <w:t> </w:t>
                        </w:r>
                        <w:r>
                          <w:rPr>
                            <w:rFonts w:ascii="宋体" w:hAnsi="宋体" w:cs="宋体" w:eastAsia="宋体" w:hint="default"/>
                            <w:sz w:val="18"/>
                            <w:szCs w:val="18"/>
                          </w:rPr>
                          <w:t>区经济运行</w:t>
                        </w:r>
                        <w:r>
                          <w:rPr>
                            <w:rFonts w:ascii="宋体" w:hAnsi="宋体" w:cs="宋体" w:eastAsia="宋体" w:hint="default"/>
                            <w:sz w:val="18"/>
                            <w:szCs w:val="18"/>
                          </w:rPr>
                          <w:t> 业发展的若</w:t>
                        </w:r>
                        <w:r>
                          <w:rPr>
                            <w:rFonts w:ascii="宋体" w:hAnsi="宋体" w:cs="宋体" w:eastAsia="宋体" w:hint="default"/>
                            <w:spacing w:val="76"/>
                            <w:sz w:val="18"/>
                            <w:szCs w:val="18"/>
                          </w:rPr>
                          <w:t> </w:t>
                        </w:r>
                        <w:r>
                          <w:rPr>
                            <w:rFonts w:ascii="宋体" w:hAnsi="宋体" w:cs="宋体" w:eastAsia="宋体" w:hint="default"/>
                            <w:sz w:val="18"/>
                            <w:szCs w:val="18"/>
                          </w:rPr>
                          <w:t>与安全生产</w:t>
                        </w:r>
                        <w:r>
                          <w:rPr>
                            <w:rFonts w:ascii="宋体" w:hAnsi="宋体" w:cs="宋体" w:eastAsia="宋体" w:hint="default"/>
                            <w:sz w:val="18"/>
                            <w:szCs w:val="18"/>
                          </w:rPr>
                          <w:t> </w:t>
                        </w:r>
                        <w:r>
                          <w:rPr>
                            <w:rFonts w:ascii="宋体" w:hAnsi="宋体" w:cs="宋体" w:eastAsia="宋体" w:hint="default"/>
                            <w:spacing w:val="-12"/>
                            <w:sz w:val="18"/>
                            <w:szCs w:val="18"/>
                          </w:rPr>
                          <w:t>干政策（第二</w:t>
                        </w:r>
                        <w:r>
                          <w:rPr>
                            <w:rFonts w:ascii="宋体" w:hAnsi="宋体" w:cs="宋体" w:eastAsia="宋体" w:hint="default"/>
                            <w:spacing w:val="-32"/>
                            <w:sz w:val="18"/>
                            <w:szCs w:val="18"/>
                          </w:rPr>
                          <w:t> </w:t>
                        </w:r>
                        <w:r>
                          <w:rPr>
                            <w:rFonts w:ascii="宋体" w:hAnsi="宋体" w:cs="宋体" w:eastAsia="宋体" w:hint="default"/>
                            <w:sz w:val="18"/>
                            <w:szCs w:val="18"/>
                          </w:rPr>
                          <w:t>监管局</w:t>
                        </w:r>
                        <w:r>
                          <w:rPr>
                            <w:rFonts w:ascii="宋体" w:hAnsi="宋体" w:cs="宋体" w:eastAsia="宋体" w:hint="default"/>
                            <w:sz w:val="18"/>
                            <w:szCs w:val="18"/>
                          </w:rPr>
                          <w:t> 批）项目</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8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30"/>
                          <w:ind w:left="351" w:right="33"/>
                          <w:jc w:val="both"/>
                          <w:rPr>
                            <w:rFonts w:ascii="宋体" w:hAnsi="宋体" w:cs="宋体" w:eastAsia="宋体" w:hint="default"/>
                            <w:sz w:val="18"/>
                            <w:szCs w:val="18"/>
                          </w:rPr>
                        </w:pPr>
                        <w:r>
                          <w:rPr>
                            <w:rFonts w:ascii="宋体" w:hAnsi="宋体" w:cs="宋体" w:eastAsia="宋体" w:hint="default"/>
                            <w:sz w:val="18"/>
                            <w:szCs w:val="18"/>
                          </w:rPr>
                          <w:t>因符合地方 政府招商引 资等地方性 扶持政策而 获得的补助</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44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3404"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tabs>
                            <w:tab w:pos="2468" w:val="left" w:leader="none"/>
                          </w:tabs>
                          <w:spacing w:line="240" w:lineRule="auto"/>
                          <w:ind w:left="538"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600,000.00</w:t>
                          <w:tab/>
                        </w:r>
                        <w:r>
                          <w:rPr>
                            <w:rFonts w:ascii="宋体" w:hAnsi="宋体" w:cs="宋体" w:eastAsia="宋体" w:hint="default"/>
                            <w:sz w:val="18"/>
                            <w:szCs w:val="18"/>
                          </w:rPr>
                          <w:t>与收益相关</w:t>
                        </w:r>
                      </w:p>
                    </w:tc>
                    <w:tc>
                      <w:tcPr>
                        <w:tcW w:w="99" w:type="dxa"/>
                        <w:vMerge/>
                        <w:tcBorders>
                          <w:left w:val="nil" w:sz="6" w:space="0" w:color="auto"/>
                          <w:right w:val="nil" w:sz="6" w:space="0" w:color="auto"/>
                        </w:tcBorders>
                      </w:tcPr>
                      <w:p>
                        <w:pPr/>
                      </w:p>
                    </w:tc>
                  </w:tr>
                  <w:tr>
                    <w:trPr>
                      <w:trHeight w:val="984" w:hRule="exact"/>
                    </w:trPr>
                    <w:tc>
                      <w:tcPr>
                        <w:tcW w:w="9494" w:type="dxa"/>
                        <w:gridSpan w:val="8"/>
                        <w:tcBorders>
                          <w:top w:val="nil" w:sz="6" w:space="0" w:color="auto"/>
                          <w:left w:val="nil" w:sz="6" w:space="0" w:color="auto"/>
                          <w:bottom w:val="nil" w:sz="6" w:space="0" w:color="auto"/>
                          <w:right w:val="nil" w:sz="6" w:space="0" w:color="auto"/>
                        </w:tcBorders>
                      </w:tcPr>
                      <w:p>
                        <w:pPr>
                          <w:pStyle w:val="TableParagraph"/>
                          <w:spacing w:line="240" w:lineRule="auto" w:before="53"/>
                          <w:ind w:left="51" w:right="0"/>
                          <w:jc w:val="left"/>
                          <w:rPr>
                            <w:rFonts w:ascii="宋体" w:hAnsi="宋体" w:cs="宋体" w:eastAsia="宋体" w:hint="default"/>
                            <w:sz w:val="18"/>
                            <w:szCs w:val="18"/>
                          </w:rPr>
                        </w:pPr>
                        <w:r>
                          <w:rPr>
                            <w:rFonts w:ascii="宋体" w:hAnsi="宋体" w:cs="宋体" w:eastAsia="宋体" w:hint="default"/>
                            <w:sz w:val="18"/>
                            <w:szCs w:val="18"/>
                          </w:rPr>
                          <w:t>国家小微企</w:t>
                        </w:r>
                      </w:p>
                      <w:p>
                        <w:pPr>
                          <w:pStyle w:val="TableParagraph"/>
                          <w:tabs>
                            <w:tab w:pos="3244" w:val="left" w:leader="none"/>
                          </w:tabs>
                          <w:spacing w:line="240" w:lineRule="auto" w:before="76"/>
                          <w:ind w:left="51" w:right="0"/>
                          <w:jc w:val="left"/>
                          <w:rPr>
                            <w:rFonts w:ascii="宋体" w:hAnsi="宋体" w:cs="宋体" w:eastAsia="宋体" w:hint="default"/>
                            <w:sz w:val="18"/>
                            <w:szCs w:val="18"/>
                          </w:rPr>
                        </w:pPr>
                        <w:r>
                          <w:rPr>
                            <w:rFonts w:ascii="宋体" w:hAnsi="宋体" w:cs="宋体" w:eastAsia="宋体" w:hint="default"/>
                            <w:sz w:val="18"/>
                            <w:szCs w:val="18"/>
                          </w:rPr>
                          <w:t>业</w:t>
                        </w:r>
                        <w:r>
                          <w:rPr>
                            <w:rFonts w:ascii="Times New Roman" w:hAnsi="Times New Roman" w:cs="Times New Roman" w:eastAsia="Times New Roman" w:hint="default"/>
                            <w:sz w:val="18"/>
                            <w:szCs w:val="18"/>
                          </w:rPr>
                          <w:t>"</w:t>
                        </w:r>
                        <w:r>
                          <w:rPr>
                            <w:rFonts w:ascii="宋体" w:hAnsi="宋体" w:cs="宋体" w:eastAsia="宋体" w:hint="default"/>
                            <w:sz w:val="18"/>
                            <w:szCs w:val="18"/>
                          </w:rPr>
                          <w:t>两创示范 成都高新技</w:t>
                          <w:tab/>
                          <w:t>因符合地方</w:t>
                        </w:r>
                      </w:p>
                      <w:p>
                        <w:pPr>
                          <w:pStyle w:val="TableParagraph"/>
                          <w:tabs>
                            <w:tab w:pos="3244" w:val="left" w:leader="none"/>
                          </w:tabs>
                          <w:spacing w:line="240" w:lineRule="auto" w:before="63"/>
                          <w:ind w:left="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成都市</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术产业开发</w:t>
                          <w:tab/>
                          <w:t>政府招商引</w:t>
                        </w:r>
                      </w:p>
                    </w:tc>
                    <w:tc>
                      <w:tcPr>
                        <w:tcW w:w="99" w:type="dxa"/>
                        <w:vMerge/>
                        <w:tcBorders>
                          <w:left w:val="nil" w:sz="6" w:space="0" w:color="auto"/>
                          <w:bottom w:val="nil" w:sz="6" w:space="0" w:color="auto"/>
                          <w:right w:val="nil" w:sz="6" w:space="0" w:color="auto"/>
                        </w:tcBorders>
                      </w:tcPr>
                      <w:p>
                        <w:pPr/>
                      </w:p>
                    </w:tc>
                  </w:tr>
                  <w:tr>
                    <w:trPr>
                      <w:trHeight w:val="619" w:hRule="exact"/>
                    </w:trPr>
                    <w:tc>
                      <w:tcPr>
                        <w:tcW w:w="2099" w:type="dxa"/>
                        <w:gridSpan w:val="2"/>
                        <w:tcBorders>
                          <w:top w:val="nil" w:sz="6" w:space="0" w:color="auto"/>
                          <w:left w:val="nil" w:sz="6" w:space="0" w:color="auto"/>
                          <w:bottom w:val="nil" w:sz="6" w:space="0" w:color="auto"/>
                          <w:right w:val="nil" w:sz="6" w:space="0" w:color="auto"/>
                        </w:tcBorders>
                      </w:tcPr>
                      <w:p>
                        <w:pPr>
                          <w:pStyle w:val="TableParagraph"/>
                          <w:spacing w:line="316" w:lineRule="auto" w:before="5"/>
                          <w:ind w:left="51" w:right="79"/>
                          <w:jc w:val="left"/>
                          <w:rPr>
                            <w:rFonts w:ascii="宋体" w:hAnsi="宋体" w:cs="宋体" w:eastAsia="宋体" w:hint="default"/>
                            <w:sz w:val="18"/>
                            <w:szCs w:val="18"/>
                          </w:rPr>
                        </w:pPr>
                        <w:r>
                          <w:rPr>
                            <w:rFonts w:ascii="宋体" w:hAnsi="宋体" w:cs="宋体" w:eastAsia="宋体" w:hint="default"/>
                            <w:sz w:val="18"/>
                            <w:szCs w:val="18"/>
                          </w:rPr>
                          <w:t>年度中央支</w:t>
                        </w:r>
                        <w:r>
                          <w:rPr>
                            <w:rFonts w:ascii="宋体" w:hAnsi="宋体" w:cs="宋体" w:eastAsia="宋体" w:hint="default"/>
                            <w:spacing w:val="76"/>
                            <w:sz w:val="18"/>
                            <w:szCs w:val="18"/>
                          </w:rPr>
                          <w:t> </w:t>
                        </w:r>
                        <w:r>
                          <w:rPr>
                            <w:rFonts w:ascii="宋体" w:hAnsi="宋体" w:cs="宋体" w:eastAsia="宋体" w:hint="default"/>
                            <w:sz w:val="18"/>
                            <w:szCs w:val="18"/>
                          </w:rPr>
                          <w:t>区经济运行</w:t>
                        </w:r>
                        <w:r>
                          <w:rPr>
                            <w:rFonts w:ascii="宋体" w:hAnsi="宋体" w:cs="宋体" w:eastAsia="宋体" w:hint="default"/>
                            <w:sz w:val="18"/>
                            <w:szCs w:val="18"/>
                          </w:rPr>
                          <w:t> 持小微企业</w:t>
                        </w:r>
                        <w:r>
                          <w:rPr>
                            <w:rFonts w:ascii="宋体" w:hAnsi="宋体" w:cs="宋体" w:eastAsia="宋体" w:hint="default"/>
                            <w:spacing w:val="76"/>
                            <w:sz w:val="18"/>
                            <w:szCs w:val="18"/>
                          </w:rPr>
                          <w:t> </w:t>
                        </w:r>
                        <w:r>
                          <w:rPr>
                            <w:rFonts w:ascii="宋体" w:hAnsi="宋体" w:cs="宋体" w:eastAsia="宋体" w:hint="default"/>
                            <w:sz w:val="18"/>
                            <w:szCs w:val="18"/>
                          </w:rPr>
                          <w:t>与安全生产</w:t>
                        </w:r>
                      </w:p>
                    </w:tc>
                    <w:tc>
                      <w:tcPr>
                        <w:tcW w:w="793" w:type="dxa"/>
                        <w:tcBorders>
                          <w:top w:val="nil" w:sz="6" w:space="0" w:color="auto"/>
                          <w:left w:val="nil" w:sz="6" w:space="0" w:color="auto"/>
                          <w:bottom w:val="nil" w:sz="6" w:space="0" w:color="auto"/>
                          <w:right w:val="nil" w:sz="6" w:space="0" w:color="auto"/>
                        </w:tcBorders>
                      </w:tcPr>
                      <w:p>
                        <w:pPr>
                          <w:pStyle w:val="TableParagraph"/>
                          <w:spacing w:line="240" w:lineRule="auto" w:before="5"/>
                          <w:ind w:left="8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87" w:type="dxa"/>
                        <w:tcBorders>
                          <w:top w:val="nil" w:sz="6" w:space="0" w:color="auto"/>
                          <w:left w:val="nil" w:sz="6" w:space="0" w:color="auto"/>
                          <w:bottom w:val="nil" w:sz="6" w:space="0" w:color="auto"/>
                          <w:right w:val="nil" w:sz="6" w:space="0" w:color="auto"/>
                        </w:tcBorders>
                      </w:tcPr>
                      <w:p>
                        <w:pPr>
                          <w:pStyle w:val="TableParagraph"/>
                          <w:spacing w:line="316" w:lineRule="auto" w:before="5"/>
                          <w:ind w:left="351" w:right="33"/>
                          <w:jc w:val="left"/>
                          <w:rPr>
                            <w:rFonts w:ascii="宋体" w:hAnsi="宋体" w:cs="宋体" w:eastAsia="宋体" w:hint="default"/>
                            <w:sz w:val="18"/>
                            <w:szCs w:val="18"/>
                          </w:rPr>
                        </w:pPr>
                        <w:r>
                          <w:rPr>
                            <w:rFonts w:ascii="宋体" w:hAnsi="宋体" w:cs="宋体" w:eastAsia="宋体" w:hint="default"/>
                            <w:sz w:val="18"/>
                            <w:szCs w:val="18"/>
                          </w:rPr>
                          <w:t>资等地方性 扶持政策而</w:t>
                        </w:r>
                      </w:p>
                    </w:tc>
                    <w:tc>
                      <w:tcPr>
                        <w:tcW w:w="750" w:type="dxa"/>
                        <w:tcBorders>
                          <w:top w:val="nil" w:sz="6" w:space="0" w:color="auto"/>
                          <w:left w:val="nil" w:sz="6" w:space="0" w:color="auto"/>
                          <w:bottom w:val="nil" w:sz="6" w:space="0" w:color="auto"/>
                          <w:right w:val="nil" w:sz="6" w:space="0" w:color="auto"/>
                        </w:tcBorders>
                      </w:tcPr>
                      <w:p>
                        <w:pPr>
                          <w:pStyle w:val="TableParagraph"/>
                          <w:spacing w:line="240" w:lineRule="auto" w:before="5"/>
                          <w:ind w:left="1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1" w:type="dxa"/>
                        <w:tcBorders>
                          <w:top w:val="nil" w:sz="6" w:space="0" w:color="auto"/>
                          <w:left w:val="nil" w:sz="6" w:space="0" w:color="auto"/>
                          <w:bottom w:val="nil" w:sz="6" w:space="0" w:color="auto"/>
                          <w:right w:val="nil" w:sz="6" w:space="0" w:color="auto"/>
                        </w:tcBorders>
                      </w:tcPr>
                      <w:p>
                        <w:pPr>
                          <w:pStyle w:val="TableParagraph"/>
                          <w:spacing w:line="240" w:lineRule="auto" w:before="5"/>
                          <w:ind w:left="44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8"/>
                          <w:jc w:val="center"/>
                          <w:rPr>
                            <w:rFonts w:ascii="Times New Roman" w:hAnsi="Times New Roman" w:cs="Times New Roman" w:eastAsia="Times New Roman" w:hint="default"/>
                            <w:sz w:val="18"/>
                            <w:szCs w:val="18"/>
                          </w:rPr>
                        </w:pPr>
                        <w:r>
                          <w:rPr>
                            <w:rFonts w:ascii="Times New Roman"/>
                            <w:sz w:val="18"/>
                          </w:rPr>
                          <w:t>150,000.00</w:t>
                        </w:r>
                      </w:p>
                    </w:tc>
                    <w:tc>
                      <w:tcPr>
                        <w:tcW w:w="159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
                          <w:ind w:left="559"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670" w:hRule="exact"/>
                    </w:trPr>
                    <w:tc>
                      <w:tcPr>
                        <w:tcW w:w="2099" w:type="dxa"/>
                        <w:gridSpan w:val="2"/>
                        <w:tcBorders>
                          <w:top w:val="nil" w:sz="6" w:space="0" w:color="auto"/>
                          <w:left w:val="nil" w:sz="6" w:space="0" w:color="auto"/>
                          <w:bottom w:val="single" w:sz="4" w:space="0" w:color="000000"/>
                          <w:right w:val="nil" w:sz="6" w:space="0" w:color="auto"/>
                        </w:tcBorders>
                      </w:tcPr>
                      <w:p>
                        <w:pPr>
                          <w:pStyle w:val="TableParagraph"/>
                          <w:spacing w:line="319" w:lineRule="auto" w:before="10"/>
                          <w:ind w:left="51" w:right="439"/>
                          <w:jc w:val="left"/>
                          <w:rPr>
                            <w:rFonts w:ascii="宋体" w:hAnsi="宋体" w:cs="宋体" w:eastAsia="宋体" w:hint="default"/>
                            <w:sz w:val="18"/>
                            <w:szCs w:val="18"/>
                          </w:rPr>
                        </w:pPr>
                        <w:r>
                          <w:rPr>
                            <w:rFonts w:ascii="宋体" w:hAnsi="宋体" w:cs="宋体" w:eastAsia="宋体" w:hint="default"/>
                            <w:sz w:val="18"/>
                            <w:szCs w:val="18"/>
                          </w:rPr>
                          <w:t>服务业发展</w:t>
                        </w:r>
                        <w:r>
                          <w:rPr>
                            <w:rFonts w:ascii="宋体" w:hAnsi="宋体" w:cs="宋体" w:eastAsia="宋体" w:hint="default"/>
                            <w:spacing w:val="76"/>
                            <w:sz w:val="18"/>
                            <w:szCs w:val="18"/>
                          </w:rPr>
                          <w:t> </w:t>
                        </w:r>
                        <w:r>
                          <w:rPr>
                            <w:rFonts w:ascii="宋体" w:hAnsi="宋体" w:cs="宋体" w:eastAsia="宋体" w:hint="default"/>
                            <w:sz w:val="18"/>
                            <w:szCs w:val="18"/>
                          </w:rPr>
                          <w:t>监管局</w:t>
                        </w:r>
                        <w:r>
                          <w:rPr>
                            <w:rFonts w:ascii="宋体" w:hAnsi="宋体" w:cs="宋体" w:eastAsia="宋体" w:hint="default"/>
                            <w:sz w:val="18"/>
                            <w:szCs w:val="18"/>
                          </w:rPr>
                          <w:t> 资金项目</w:t>
                        </w:r>
                      </w:p>
                    </w:tc>
                    <w:tc>
                      <w:tcPr>
                        <w:tcW w:w="793" w:type="dxa"/>
                        <w:tcBorders>
                          <w:top w:val="nil" w:sz="6" w:space="0" w:color="auto"/>
                          <w:left w:val="nil" w:sz="6" w:space="0" w:color="auto"/>
                          <w:bottom w:val="single" w:sz="4" w:space="0" w:color="000000"/>
                          <w:right w:val="nil" w:sz="6" w:space="0" w:color="auto"/>
                        </w:tcBorders>
                      </w:tcPr>
                      <w:p>
                        <w:pPr/>
                      </w:p>
                    </w:tc>
                    <w:tc>
                      <w:tcPr>
                        <w:tcW w:w="1287"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right="33"/>
                          <w:jc w:val="right"/>
                          <w:rPr>
                            <w:rFonts w:ascii="宋体" w:hAnsi="宋体" w:cs="宋体" w:eastAsia="宋体" w:hint="default"/>
                            <w:sz w:val="18"/>
                            <w:szCs w:val="18"/>
                          </w:rPr>
                        </w:pPr>
                        <w:r>
                          <w:rPr>
                            <w:rFonts w:ascii="宋体" w:hAnsi="宋体" w:cs="宋体" w:eastAsia="宋体" w:hint="default"/>
                            <w:sz w:val="18"/>
                            <w:szCs w:val="18"/>
                          </w:rPr>
                          <w:t>获得的补助</w:t>
                        </w:r>
                      </w:p>
                    </w:tc>
                    <w:tc>
                      <w:tcPr>
                        <w:tcW w:w="750" w:type="dxa"/>
                        <w:tcBorders>
                          <w:top w:val="nil" w:sz="6" w:space="0" w:color="auto"/>
                          <w:left w:val="nil" w:sz="6" w:space="0" w:color="auto"/>
                          <w:bottom w:val="single" w:sz="4" w:space="0" w:color="000000"/>
                          <w:right w:val="nil" w:sz="6" w:space="0" w:color="auto"/>
                        </w:tcBorders>
                      </w:tcPr>
                      <w:p>
                        <w:pPr/>
                      </w:p>
                    </w:tc>
                    <w:tc>
                      <w:tcPr>
                        <w:tcW w:w="1161" w:type="dxa"/>
                        <w:tcBorders>
                          <w:top w:val="nil" w:sz="6" w:space="0" w:color="auto"/>
                          <w:left w:val="nil" w:sz="6" w:space="0" w:color="auto"/>
                          <w:bottom w:val="single" w:sz="4" w:space="0" w:color="000000"/>
                          <w:right w:val="nil" w:sz="6" w:space="0" w:color="auto"/>
                        </w:tcBorders>
                      </w:tcPr>
                      <w:p>
                        <w:pPr/>
                      </w:p>
                    </w:tc>
                    <w:tc>
                      <w:tcPr>
                        <w:tcW w:w="1910" w:type="dxa"/>
                        <w:tcBorders>
                          <w:top w:val="nil" w:sz="6" w:space="0" w:color="auto"/>
                          <w:left w:val="nil" w:sz="6" w:space="0" w:color="auto"/>
                          <w:bottom w:val="single" w:sz="4" w:space="0" w:color="000000"/>
                          <w:right w:val="nil" w:sz="6" w:space="0" w:color="auto"/>
                        </w:tcBorders>
                      </w:tcPr>
                      <w:p>
                        <w:pPr/>
                      </w:p>
                    </w:tc>
                    <w:tc>
                      <w:tcPr>
                        <w:tcW w:w="1594" w:type="dxa"/>
                        <w:gridSpan w:val="2"/>
                        <w:tcBorders>
                          <w:top w:val="nil" w:sz="6" w:space="0" w:color="auto"/>
                          <w:left w:val="nil" w:sz="6" w:space="0" w:color="auto"/>
                          <w:bottom w:val="single" w:sz="4" w:space="0" w:color="000000"/>
                          <w:right w:val="nil" w:sz="6" w:space="0" w:color="auto"/>
                        </w:tcBorders>
                      </w:tcPr>
                      <w:p>
                        <w:pPr/>
                      </w:p>
                    </w:tc>
                  </w:tr>
                  <w:tr>
                    <w:trPr>
                      <w:trHeight w:val="355" w:hRule="exact"/>
                    </w:trPr>
                    <w:tc>
                      <w:tcPr>
                        <w:tcW w:w="2099" w:type="dxa"/>
                        <w:gridSpan w:val="2"/>
                        <w:tcBorders>
                          <w:top w:val="single" w:sz="4" w:space="0" w:color="000000"/>
                          <w:left w:val="nil" w:sz="6" w:space="0" w:color="auto"/>
                          <w:bottom w:val="nil" w:sz="6" w:space="0" w:color="auto"/>
                          <w:right w:val="nil" w:sz="6" w:space="0" w:color="auto"/>
                        </w:tcBorders>
                      </w:tcPr>
                      <w:p>
                        <w:pPr>
                          <w:pStyle w:val="TableParagraph"/>
                          <w:spacing w:line="240" w:lineRule="auto" w:before="49"/>
                          <w:ind w:left="1117" w:right="0"/>
                          <w:jc w:val="left"/>
                          <w:rPr>
                            <w:rFonts w:ascii="宋体" w:hAnsi="宋体" w:cs="宋体" w:eastAsia="宋体" w:hint="default"/>
                            <w:sz w:val="18"/>
                            <w:szCs w:val="18"/>
                          </w:rPr>
                        </w:pPr>
                        <w:r>
                          <w:rPr>
                            <w:rFonts w:ascii="宋体" w:hAnsi="宋体" w:cs="宋体" w:eastAsia="宋体" w:hint="default"/>
                            <w:sz w:val="18"/>
                            <w:szCs w:val="18"/>
                          </w:rPr>
                          <w:t>望城经济技</w:t>
                        </w:r>
                      </w:p>
                    </w:tc>
                    <w:tc>
                      <w:tcPr>
                        <w:tcW w:w="793" w:type="dxa"/>
                        <w:tcBorders>
                          <w:top w:val="single" w:sz="4" w:space="0" w:color="000000"/>
                          <w:left w:val="nil" w:sz="6" w:space="0" w:color="auto"/>
                          <w:bottom w:val="nil" w:sz="6" w:space="0" w:color="auto"/>
                          <w:right w:val="nil" w:sz="6" w:space="0" w:color="auto"/>
                        </w:tcBorders>
                      </w:tcPr>
                      <w:p>
                        <w:pPr/>
                      </w:p>
                    </w:tc>
                    <w:tc>
                      <w:tcPr>
                        <w:tcW w:w="1287"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33"/>
                          <w:jc w:val="right"/>
                          <w:rPr>
                            <w:rFonts w:ascii="宋体" w:hAnsi="宋体" w:cs="宋体" w:eastAsia="宋体" w:hint="default"/>
                            <w:sz w:val="18"/>
                            <w:szCs w:val="18"/>
                          </w:rPr>
                        </w:pPr>
                        <w:r>
                          <w:rPr>
                            <w:rFonts w:ascii="宋体" w:hAnsi="宋体" w:cs="宋体" w:eastAsia="宋体" w:hint="default"/>
                            <w:sz w:val="18"/>
                            <w:szCs w:val="18"/>
                          </w:rPr>
                          <w:t>奖励上市而</w:t>
                        </w:r>
                      </w:p>
                    </w:tc>
                    <w:tc>
                      <w:tcPr>
                        <w:tcW w:w="750" w:type="dxa"/>
                        <w:tcBorders>
                          <w:top w:val="single" w:sz="4" w:space="0" w:color="000000"/>
                          <w:left w:val="nil" w:sz="6" w:space="0" w:color="auto"/>
                          <w:bottom w:val="nil" w:sz="6" w:space="0" w:color="auto"/>
                          <w:right w:val="nil" w:sz="6" w:space="0" w:color="auto"/>
                        </w:tcBorders>
                      </w:tcPr>
                      <w:p>
                        <w:pPr/>
                      </w:p>
                    </w:tc>
                    <w:tc>
                      <w:tcPr>
                        <w:tcW w:w="1161" w:type="dxa"/>
                        <w:tcBorders>
                          <w:top w:val="single" w:sz="4" w:space="0" w:color="000000"/>
                          <w:left w:val="nil" w:sz="6" w:space="0" w:color="auto"/>
                          <w:bottom w:val="nil" w:sz="6" w:space="0" w:color="auto"/>
                          <w:right w:val="nil" w:sz="6" w:space="0" w:color="auto"/>
                        </w:tcBorders>
                      </w:tcPr>
                      <w:p>
                        <w:pPr/>
                      </w:p>
                    </w:tc>
                    <w:tc>
                      <w:tcPr>
                        <w:tcW w:w="1910" w:type="dxa"/>
                        <w:tcBorders>
                          <w:top w:val="single" w:sz="4" w:space="0" w:color="000000"/>
                          <w:left w:val="nil" w:sz="6" w:space="0" w:color="auto"/>
                          <w:bottom w:val="nil" w:sz="6" w:space="0" w:color="auto"/>
                          <w:right w:val="nil" w:sz="6" w:space="0" w:color="auto"/>
                        </w:tcBorders>
                      </w:tcPr>
                      <w:p>
                        <w:pPr/>
                      </w:p>
                    </w:tc>
                    <w:tc>
                      <w:tcPr>
                        <w:tcW w:w="1594" w:type="dxa"/>
                        <w:gridSpan w:val="2"/>
                        <w:tcBorders>
                          <w:top w:val="single" w:sz="4" w:space="0" w:color="000000"/>
                          <w:left w:val="nil" w:sz="6" w:space="0" w:color="auto"/>
                          <w:bottom w:val="nil" w:sz="6" w:space="0" w:color="auto"/>
                          <w:right w:val="nil" w:sz="6" w:space="0" w:color="auto"/>
                        </w:tcBorders>
                      </w:tcPr>
                      <w:p>
                        <w:pPr/>
                      </w:p>
                    </w:tc>
                  </w:tr>
                  <w:tr>
                    <w:trPr>
                      <w:trHeight w:val="672" w:hRule="exact"/>
                    </w:trPr>
                    <w:tc>
                      <w:tcPr>
                        <w:tcW w:w="2099" w:type="dxa"/>
                        <w:gridSpan w:val="2"/>
                        <w:tcBorders>
                          <w:top w:val="nil" w:sz="6" w:space="0" w:color="auto"/>
                          <w:left w:val="nil" w:sz="6" w:space="0" w:color="auto"/>
                          <w:bottom w:val="single" w:sz="4" w:space="0" w:color="000000"/>
                          <w:right w:val="nil" w:sz="6" w:space="0" w:color="auto"/>
                        </w:tcBorders>
                      </w:tcPr>
                      <w:p>
                        <w:pPr>
                          <w:pStyle w:val="TableParagraph"/>
                          <w:spacing w:line="196" w:lineRule="exact" w:before="10"/>
                          <w:ind w:left="1117" w:right="0"/>
                          <w:jc w:val="left"/>
                          <w:rPr>
                            <w:rFonts w:ascii="宋体" w:hAnsi="宋体" w:cs="宋体" w:eastAsia="宋体" w:hint="default"/>
                            <w:sz w:val="18"/>
                            <w:szCs w:val="18"/>
                          </w:rPr>
                        </w:pPr>
                        <w:r>
                          <w:rPr>
                            <w:rFonts w:ascii="宋体" w:hAnsi="宋体" w:cs="宋体" w:eastAsia="宋体" w:hint="default"/>
                            <w:sz w:val="18"/>
                            <w:szCs w:val="18"/>
                          </w:rPr>
                          <w:t>术开发区管</w:t>
                        </w:r>
                      </w:p>
                      <w:p>
                        <w:pPr>
                          <w:pStyle w:val="TableParagraph"/>
                          <w:spacing w:line="156" w:lineRule="exact"/>
                          <w:ind w:left="51" w:right="0"/>
                          <w:jc w:val="left"/>
                          <w:rPr>
                            <w:rFonts w:ascii="宋体" w:hAnsi="宋体" w:cs="宋体" w:eastAsia="宋体" w:hint="default"/>
                            <w:sz w:val="18"/>
                            <w:szCs w:val="18"/>
                          </w:rPr>
                        </w:pPr>
                        <w:r>
                          <w:rPr>
                            <w:rFonts w:ascii="宋体" w:hAnsi="宋体" w:cs="宋体" w:eastAsia="宋体" w:hint="default"/>
                            <w:sz w:val="18"/>
                            <w:szCs w:val="18"/>
                          </w:rPr>
                          <w:t>助</w:t>
                        </w:r>
                      </w:p>
                      <w:p>
                        <w:pPr>
                          <w:pStyle w:val="TableParagraph"/>
                          <w:spacing w:line="196" w:lineRule="exact"/>
                          <w:ind w:left="1117" w:right="0"/>
                          <w:jc w:val="left"/>
                          <w:rPr>
                            <w:rFonts w:ascii="宋体" w:hAnsi="宋体" w:cs="宋体" w:eastAsia="宋体" w:hint="default"/>
                            <w:sz w:val="18"/>
                            <w:szCs w:val="18"/>
                          </w:rPr>
                        </w:pPr>
                        <w:r>
                          <w:rPr>
                            <w:rFonts w:ascii="宋体" w:hAnsi="宋体" w:cs="宋体" w:eastAsia="宋体" w:hint="default"/>
                            <w:sz w:val="18"/>
                            <w:szCs w:val="18"/>
                          </w:rPr>
                          <w:t>理委员会</w:t>
                        </w:r>
                      </w:p>
                    </w:tc>
                    <w:tc>
                      <w:tcPr>
                        <w:tcW w:w="793"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81" w:right="0"/>
                          <w:jc w:val="left"/>
                          <w:rPr>
                            <w:rFonts w:ascii="宋体" w:hAnsi="宋体" w:cs="宋体" w:eastAsia="宋体" w:hint="default"/>
                            <w:sz w:val="18"/>
                            <w:szCs w:val="18"/>
                          </w:rPr>
                        </w:pPr>
                        <w:r>
                          <w:rPr>
                            <w:rFonts w:ascii="宋体" w:hAnsi="宋体" w:cs="宋体" w:eastAsia="宋体" w:hint="default"/>
                            <w:sz w:val="18"/>
                            <w:szCs w:val="18"/>
                          </w:rPr>
                          <w:t>补助</w:t>
                        </w:r>
                      </w:p>
                    </w:tc>
                    <w:tc>
                      <w:tcPr>
                        <w:tcW w:w="1287" w:type="dxa"/>
                        <w:tcBorders>
                          <w:top w:val="nil" w:sz="6" w:space="0" w:color="auto"/>
                          <w:left w:val="nil" w:sz="6" w:space="0" w:color="auto"/>
                          <w:bottom w:val="single" w:sz="4" w:space="0" w:color="000000"/>
                          <w:right w:val="nil" w:sz="6" w:space="0" w:color="auto"/>
                        </w:tcBorders>
                      </w:tcPr>
                      <w:p>
                        <w:pPr>
                          <w:pStyle w:val="TableParagraph"/>
                          <w:spacing w:line="316" w:lineRule="auto" w:before="10"/>
                          <w:ind w:left="351" w:right="33"/>
                          <w:jc w:val="left"/>
                          <w:rPr>
                            <w:rFonts w:ascii="宋体" w:hAnsi="宋体" w:cs="宋体" w:eastAsia="宋体" w:hint="default"/>
                            <w:sz w:val="18"/>
                            <w:szCs w:val="18"/>
                          </w:rPr>
                        </w:pPr>
                        <w:r>
                          <w:rPr>
                            <w:rFonts w:ascii="宋体" w:hAnsi="宋体" w:cs="宋体" w:eastAsia="宋体" w:hint="default"/>
                            <w:sz w:val="18"/>
                            <w:szCs w:val="18"/>
                          </w:rPr>
                          <w:t>给予的政府 补助</w:t>
                        </w:r>
                      </w:p>
                    </w:tc>
                    <w:tc>
                      <w:tcPr>
                        <w:tcW w:w="750"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128"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1" w:type="dxa"/>
                        <w:tcBorders>
                          <w:top w:val="nil" w:sz="6" w:space="0" w:color="auto"/>
                          <w:left w:val="nil" w:sz="6" w:space="0" w:color="auto"/>
                          <w:bottom w:val="single" w:sz="4" w:space="0" w:color="000000"/>
                          <w:right w:val="nil" w:sz="6" w:space="0" w:color="auto"/>
                        </w:tcBorders>
                      </w:tcPr>
                      <w:p>
                        <w:pPr>
                          <w:pStyle w:val="TableParagraph"/>
                          <w:spacing w:line="240" w:lineRule="auto" w:before="10"/>
                          <w:ind w:left="441"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91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8"/>
                          <w:jc w:val="center"/>
                          <w:rPr>
                            <w:rFonts w:ascii="Times New Roman" w:hAnsi="Times New Roman" w:cs="Times New Roman" w:eastAsia="Times New Roman" w:hint="default"/>
                            <w:sz w:val="18"/>
                            <w:szCs w:val="18"/>
                          </w:rPr>
                        </w:pPr>
                        <w:r>
                          <w:rPr>
                            <w:rFonts w:ascii="Times New Roman"/>
                            <w:sz w:val="18"/>
                          </w:rPr>
                          <w:t>300,000.00</w:t>
                        </w:r>
                      </w:p>
                    </w:tc>
                    <w:tc>
                      <w:tcPr>
                        <w:tcW w:w="1594"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10"/>
                          <w:ind w:left="559"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p>
              </w:txbxContent>
            </v:textbox>
            <w10:wrap type="none"/>
          </v:shape>
        </w:pict>
      </w:r>
      <w:r>
        <w:rPr/>
        <w:t>否</w:t>
        <w:tab/>
        <w:t>否</w:t>
        <w:tab/>
      </w:r>
      <w:r>
        <w:rPr>
          <w:rFonts w:ascii="Times New Roman" w:hAnsi="Times New Roman" w:cs="Times New Roman" w:eastAsia="Times New Roman" w:hint="default"/>
          <w:spacing w:val="-1"/>
        </w:rPr>
        <w:t>700,000.00</w:t>
        <w:tab/>
      </w:r>
      <w:r>
        <w:rPr/>
        <w:t>与收益相关</w:t>
      </w:r>
    </w:p>
    <w:p>
      <w:pPr>
        <w:spacing w:after="0" w:line="170" w:lineRule="exact"/>
        <w:jc w:val="left"/>
        <w:sectPr>
          <w:type w:val="continuous"/>
          <w:pgSz w:w="11910" w:h="16840"/>
          <w:pgMar w:top="1060" w:bottom="1160" w:left="980" w:right="980"/>
          <w:cols w:num="3" w:equalWidth="0">
            <w:col w:w="1082" w:space="40"/>
            <w:col w:w="1550" w:space="522"/>
            <w:col w:w="6756"/>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before="44"/>
        <w:ind w:left="181" w:right="0"/>
        <w:jc w:val="left"/>
      </w:pPr>
      <w:r>
        <w:rPr/>
        <w:t>先进单位补</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type w:val="continuous"/>
          <w:pgSz w:w="11910" w:h="16840"/>
          <w:pgMar w:top="1060" w:bottom="1160" w:left="980" w:right="980"/>
        </w:sectPr>
      </w:pPr>
    </w:p>
    <w:p>
      <w:pPr>
        <w:spacing w:line="240" w:lineRule="auto" w:before="11"/>
        <w:rPr>
          <w:rFonts w:ascii="宋体" w:hAnsi="宋体" w:cs="宋体" w:eastAsia="宋体" w:hint="default"/>
          <w:sz w:val="13"/>
          <w:szCs w:val="13"/>
        </w:rPr>
      </w:pPr>
      <w:r>
        <w:rPr/>
        <w:pict>
          <v:group style="position:absolute;margin-left:56.400002pt;margin-top:71.759979pt;width:479.05pt;height:697.3pt;mso-position-horizontal-relative:page;mso-position-vertical-relative:page;z-index:-1152232" coordorigin="1128,1435" coordsize="9581,13946">
            <v:group style="position:absolute;left:1138;top:1445;width:1057;height:2" coordorigin="1138,1445" coordsize="1057,2">
              <v:shape style="position:absolute;left:1138;top:1445;width:1057;height:2" coordorigin="1138,1445" coordsize="1057,0" path="m1138,1445l2194,1445e" filled="false" stroked="true" strokeweight=".48pt" strokecolor="#000000">
                <v:path arrowok="t"/>
              </v:shape>
            </v:group>
            <v:group style="position:absolute;left:2204;top:1445;width:1054;height:2" coordorigin="2204,1445" coordsize="1054,2">
              <v:shape style="position:absolute;left:2204;top:1445;width:1054;height:2" coordorigin="2204,1445" coordsize="1054,0" path="m2204,1445l3257,1445e" filled="false" stroked="true" strokeweight=".48pt" strokecolor="#000000">
                <v:path arrowok="t"/>
              </v:shape>
            </v:group>
            <v:group style="position:absolute;left:3267;top:1445;width:1055;height:2" coordorigin="3267,1445" coordsize="1055,2">
              <v:shape style="position:absolute;left:3267;top:1445;width:1055;height:2" coordorigin="3267,1445" coordsize="1055,0" path="m3267,1445l4321,1445e" filled="false" stroked="true" strokeweight=".48pt" strokecolor="#000000">
                <v:path arrowok="t"/>
              </v:shape>
            </v:group>
            <v:group style="position:absolute;left:4331;top:1445;width:1054;height:2" coordorigin="4331,1445" coordsize="1054,2">
              <v:shape style="position:absolute;left:4331;top:1445;width:1054;height:2" coordorigin="4331,1445" coordsize="1054,0" path="m4331,1445l5384,1445e" filled="false" stroked="true" strokeweight=".48pt" strokecolor="#000000">
                <v:path arrowok="t"/>
              </v:shape>
            </v:group>
            <v:group style="position:absolute;left:5394;top:1445;width:1052;height:2" coordorigin="5394,1445" coordsize="1052,2">
              <v:shape style="position:absolute;left:5394;top:1445;width:1052;height:2" coordorigin="5394,1445" coordsize="1052,0" path="m5394,1445l6445,1445e" filled="false" stroked="true" strokeweight=".48pt" strokecolor="#000000">
                <v:path arrowok="t"/>
              </v:shape>
            </v:group>
            <v:group style="position:absolute;left:6455;top:1445;width:1054;height:2" coordorigin="6455,1445" coordsize="1054,2">
              <v:shape style="position:absolute;left:6455;top:1445;width:1054;height:2" coordorigin="6455,1445" coordsize="1054,0" path="m6455,1445l7509,1445e" filled="false" stroked="true" strokeweight=".48pt" strokecolor="#000000">
                <v:path arrowok="t"/>
              </v:shape>
            </v:group>
            <v:group style="position:absolute;left:7518;top:1445;width:1054;height:2" coordorigin="7518,1445" coordsize="1054,2">
              <v:shape style="position:absolute;left:7518;top:1445;width:1054;height:2" coordorigin="7518,1445" coordsize="1054,0" path="m7518,1445l8572,1445e" filled="false" stroked="true" strokeweight=".48pt" strokecolor="#000000">
                <v:path arrowok="t"/>
              </v:shape>
            </v:group>
            <v:group style="position:absolute;left:8581;top:1445;width:1055;height:2" coordorigin="8581,1445" coordsize="1055,2">
              <v:shape style="position:absolute;left:8581;top:1445;width:1055;height:2" coordorigin="8581,1445" coordsize="1055,0" path="m8581,1445l9635,1445e" filled="false" stroked="true" strokeweight=".48pt" strokecolor="#000000">
                <v:path arrowok="t"/>
              </v:shape>
            </v:group>
            <v:group style="position:absolute;left:9645;top:1445;width:1054;height:2" coordorigin="9645,1445" coordsize="1054,2">
              <v:shape style="position:absolute;left:9645;top:1445;width:1054;height:2" coordorigin="9645,1445" coordsize="1054,0" path="m9645,1445l10699,1445e" filled="false" stroked="true" strokeweight=".48pt" strokecolor="#000000">
                <v:path arrowok="t"/>
              </v:shape>
            </v:group>
            <v:group style="position:absolute;left:5394;top:1812;width:1055;height:469" coordorigin="5394,1812" coordsize="1055,469">
              <v:shape style="position:absolute;left:5394;top:1812;width:1055;height:469" coordorigin="5394,1812" coordsize="1055,469" path="m5394,2280l6448,2280,6448,1812,5394,1812,5394,2280xe" filled="true" fillcolor="#ffffff" stroked="false">
                <v:path arrowok="t"/>
                <v:fill type="solid"/>
              </v:shape>
            </v:group>
            <v:group style="position:absolute;left:1138;top:1807;width:1057;height:2" coordorigin="1138,1807" coordsize="1057,2">
              <v:shape style="position:absolute;left:1138;top:1807;width:1057;height:2" coordorigin="1138,1807" coordsize="1057,0" path="m1138,1807l2194,1807e" filled="false" stroked="true" strokeweight=".48pt" strokecolor="#000000">
                <v:path arrowok="t"/>
              </v:shape>
            </v:group>
            <v:group style="position:absolute;left:2204;top:1807;width:1054;height:2" coordorigin="2204,1807" coordsize="1054,2">
              <v:shape style="position:absolute;left:2204;top:1807;width:1054;height:2" coordorigin="2204,1807" coordsize="1054,0" path="m2204,1807l3257,1807e" filled="false" stroked="true" strokeweight=".48pt" strokecolor="#000000">
                <v:path arrowok="t"/>
              </v:shape>
            </v:group>
            <v:group style="position:absolute;left:3267;top:1807;width:1055;height:2" coordorigin="3267,1807" coordsize="1055,2">
              <v:shape style="position:absolute;left:3267;top:1807;width:1055;height:2" coordorigin="3267,1807" coordsize="1055,0" path="m3267,1807l4321,1807e" filled="false" stroked="true" strokeweight=".48pt" strokecolor="#000000">
                <v:path arrowok="t"/>
              </v:shape>
            </v:group>
            <v:group style="position:absolute;left:4331;top:1807;width:1054;height:2" coordorigin="4331,1807" coordsize="1054,2">
              <v:shape style="position:absolute;left:4331;top:1807;width:1054;height:2" coordorigin="4331,1807" coordsize="1054,0" path="m4331,1807l5384,1807e" filled="false" stroked="true" strokeweight=".48pt" strokecolor="#000000">
                <v:path arrowok="t"/>
              </v:shape>
            </v:group>
            <v:group style="position:absolute;left:5394;top:1807;width:1052;height:2" coordorigin="5394,1807" coordsize="1052,2">
              <v:shape style="position:absolute;left:5394;top:1807;width:1052;height:2" coordorigin="5394,1807" coordsize="1052,0" path="m5394,1807l6445,1807e" filled="false" stroked="true" strokeweight=".48pt" strokecolor="#000000">
                <v:path arrowok="t"/>
              </v:shape>
            </v:group>
            <v:group style="position:absolute;left:6455;top:1807;width:1054;height:2" coordorigin="6455,1807" coordsize="1054,2">
              <v:shape style="position:absolute;left:6455;top:1807;width:1054;height:2" coordorigin="6455,1807" coordsize="1054,0" path="m6455,1807l7509,1807e" filled="false" stroked="true" strokeweight=".48pt" strokecolor="#000000">
                <v:path arrowok="t"/>
              </v:shape>
            </v:group>
            <v:group style="position:absolute;left:7518;top:1807;width:1054;height:2" coordorigin="7518,1807" coordsize="1054,2">
              <v:shape style="position:absolute;left:7518;top:1807;width:1054;height:2" coordorigin="7518,1807" coordsize="1054,0" path="m7518,1807l8572,1807e" filled="false" stroked="true" strokeweight=".48pt" strokecolor="#000000">
                <v:path arrowok="t"/>
              </v:shape>
            </v:group>
            <v:group style="position:absolute;left:8581;top:1807;width:1055;height:2" coordorigin="8581,1807" coordsize="1055,2">
              <v:shape style="position:absolute;left:8581;top:1807;width:1055;height:2" coordorigin="8581,1807" coordsize="1055,0" path="m8581,1807l9635,1807e" filled="false" stroked="true" strokeweight=".48pt" strokecolor="#000000">
                <v:path arrowok="t"/>
              </v:shape>
            </v:group>
            <v:group style="position:absolute;left:9645;top:1807;width:1054;height:2" coordorigin="9645,1807" coordsize="1054,2">
              <v:shape style="position:absolute;left:9645;top:1807;width:1054;height:2" coordorigin="9645,1807" coordsize="1054,0" path="m9645,1807l10699,1807e" filled="false" stroked="true" strokeweight=".48pt" strokecolor="#000000">
                <v:path arrowok="t"/>
              </v:shape>
            </v:group>
            <v:group style="position:absolute;left:5394;top:3149;width:1055;height:468" coordorigin="5394,3149" coordsize="1055,468">
              <v:shape style="position:absolute;left:5394;top:3149;width:1055;height:468" coordorigin="5394,3149" coordsize="1055,468" path="m5394,3617l6448,3617,6448,3149,5394,3149,5394,3617xe" filled="true" fillcolor="#ffffff" stroked="false">
                <v:path arrowok="t"/>
                <v:fill type="solid"/>
              </v:shape>
            </v:group>
            <v:group style="position:absolute;left:1138;top:3144;width:1057;height:2" coordorigin="1138,3144" coordsize="1057,2">
              <v:shape style="position:absolute;left:1138;top:3144;width:1057;height:2" coordorigin="1138,3144" coordsize="1057,0" path="m1138,3144l2194,3144e" filled="false" stroked="true" strokeweight=".48pt" strokecolor="#000000">
                <v:path arrowok="t"/>
              </v:shape>
            </v:group>
            <v:group style="position:absolute;left:2204;top:3144;width:1054;height:2" coordorigin="2204,3144" coordsize="1054,2">
              <v:shape style="position:absolute;left:2204;top:3144;width:1054;height:2" coordorigin="2204,3144" coordsize="1054,0" path="m2204,3144l3257,3144e" filled="false" stroked="true" strokeweight=".48pt" strokecolor="#000000">
                <v:path arrowok="t"/>
              </v:shape>
            </v:group>
            <v:group style="position:absolute;left:3267;top:3144;width:1055;height:2" coordorigin="3267,3144" coordsize="1055,2">
              <v:shape style="position:absolute;left:3267;top:3144;width:1055;height:2" coordorigin="3267,3144" coordsize="1055,0" path="m3267,3144l4321,3144e" filled="false" stroked="true" strokeweight=".48pt" strokecolor="#000000">
                <v:path arrowok="t"/>
              </v:shape>
            </v:group>
            <v:group style="position:absolute;left:4331;top:3144;width:1054;height:2" coordorigin="4331,3144" coordsize="1054,2">
              <v:shape style="position:absolute;left:4331;top:3144;width:1054;height:2" coordorigin="4331,3144" coordsize="1054,0" path="m4331,3144l5384,3144e" filled="false" stroked="true" strokeweight=".48pt" strokecolor="#000000">
                <v:path arrowok="t"/>
              </v:shape>
            </v:group>
            <v:group style="position:absolute;left:5394;top:3144;width:1052;height:2" coordorigin="5394,3144" coordsize="1052,2">
              <v:shape style="position:absolute;left:5394;top:3144;width:1052;height:2" coordorigin="5394,3144" coordsize="1052,0" path="m5394,3144l6445,3144e" filled="false" stroked="true" strokeweight=".48pt" strokecolor="#000000">
                <v:path arrowok="t"/>
              </v:shape>
            </v:group>
            <v:group style="position:absolute;left:6455;top:3144;width:1054;height:2" coordorigin="6455,3144" coordsize="1054,2">
              <v:shape style="position:absolute;left:6455;top:3144;width:1054;height:2" coordorigin="6455,3144" coordsize="1054,0" path="m6455,3144l7509,3144e" filled="false" stroked="true" strokeweight=".48pt" strokecolor="#000000">
                <v:path arrowok="t"/>
              </v:shape>
            </v:group>
            <v:group style="position:absolute;left:7518;top:3144;width:1054;height:2" coordorigin="7518,3144" coordsize="1054,2">
              <v:shape style="position:absolute;left:7518;top:3144;width:1054;height:2" coordorigin="7518,3144" coordsize="1054,0" path="m7518,3144l8572,3144e" filled="false" stroked="true" strokeweight=".48pt" strokecolor="#000000">
                <v:path arrowok="t"/>
              </v:shape>
            </v:group>
            <v:group style="position:absolute;left:8581;top:3144;width:1055;height:2" coordorigin="8581,3144" coordsize="1055,2">
              <v:shape style="position:absolute;left:8581;top:3144;width:1055;height:2" coordorigin="8581,3144" coordsize="1055,0" path="m8581,3144l9635,3144e" filled="false" stroked="true" strokeweight=".48pt" strokecolor="#000000">
                <v:path arrowok="t"/>
              </v:shape>
            </v:group>
            <v:group style="position:absolute;left:9645;top:3144;width:1054;height:2" coordorigin="9645,3144" coordsize="1054,2">
              <v:shape style="position:absolute;left:9645;top:3144;width:1054;height:2" coordorigin="9645,3144" coordsize="1054,0" path="m9645,3144l10699,3144e" filled="false" stroked="true" strokeweight=".48pt" strokecolor="#000000">
                <v:path arrowok="t"/>
              </v:shape>
            </v:group>
            <v:group style="position:absolute;left:5394;top:4488;width:1055;height:468" coordorigin="5394,4488" coordsize="1055,468">
              <v:shape style="position:absolute;left:5394;top:4488;width:1055;height:468" coordorigin="5394,4488" coordsize="1055,468" path="m5394,4956l6448,4956,6448,4488,5394,4488,5394,4956xe" filled="true" fillcolor="#ffffff" stroked="false">
                <v:path arrowok="t"/>
                <v:fill type="solid"/>
              </v:shape>
            </v:group>
            <v:group style="position:absolute;left:1138;top:4484;width:1057;height:2" coordorigin="1138,4484" coordsize="1057,2">
              <v:shape style="position:absolute;left:1138;top:4484;width:1057;height:2" coordorigin="1138,4484" coordsize="1057,0" path="m1138,4484l2194,4484e" filled="false" stroked="true" strokeweight=".48pt" strokecolor="#000000">
                <v:path arrowok="t"/>
              </v:shape>
            </v:group>
            <v:group style="position:absolute;left:2204;top:4484;width:1054;height:2" coordorigin="2204,4484" coordsize="1054,2">
              <v:shape style="position:absolute;left:2204;top:4484;width:1054;height:2" coordorigin="2204,4484" coordsize="1054,0" path="m2204,4484l3257,4484e" filled="false" stroked="true" strokeweight=".48pt" strokecolor="#000000">
                <v:path arrowok="t"/>
              </v:shape>
            </v:group>
            <v:group style="position:absolute;left:3267;top:4484;width:1055;height:2" coordorigin="3267,4484" coordsize="1055,2">
              <v:shape style="position:absolute;left:3267;top:4484;width:1055;height:2" coordorigin="3267,4484" coordsize="1055,0" path="m3267,4484l4321,4484e" filled="false" stroked="true" strokeweight=".48pt" strokecolor="#000000">
                <v:path arrowok="t"/>
              </v:shape>
            </v:group>
            <v:group style="position:absolute;left:4331;top:4484;width:1054;height:2" coordorigin="4331,4484" coordsize="1054,2">
              <v:shape style="position:absolute;left:4331;top:4484;width:1054;height:2" coordorigin="4331,4484" coordsize="1054,0" path="m4331,4484l5384,4484e" filled="false" stroked="true" strokeweight=".48pt" strokecolor="#000000">
                <v:path arrowok="t"/>
              </v:shape>
            </v:group>
            <v:group style="position:absolute;left:5394;top:4484;width:1052;height:2" coordorigin="5394,4484" coordsize="1052,2">
              <v:shape style="position:absolute;left:5394;top:4484;width:1052;height:2" coordorigin="5394,4484" coordsize="1052,0" path="m5394,4484l6445,4484e" filled="false" stroked="true" strokeweight=".48pt" strokecolor="#000000">
                <v:path arrowok="t"/>
              </v:shape>
            </v:group>
            <v:group style="position:absolute;left:6455;top:4484;width:1054;height:2" coordorigin="6455,4484" coordsize="1054,2">
              <v:shape style="position:absolute;left:6455;top:4484;width:1054;height:2" coordorigin="6455,4484" coordsize="1054,0" path="m6455,4484l7509,4484e" filled="false" stroked="true" strokeweight=".48pt" strokecolor="#000000">
                <v:path arrowok="t"/>
              </v:shape>
            </v:group>
            <v:group style="position:absolute;left:7518;top:4484;width:1054;height:2" coordorigin="7518,4484" coordsize="1054,2">
              <v:shape style="position:absolute;left:7518;top:4484;width:1054;height:2" coordorigin="7518,4484" coordsize="1054,0" path="m7518,4484l8572,4484e" filled="false" stroked="true" strokeweight=".48pt" strokecolor="#000000">
                <v:path arrowok="t"/>
              </v:shape>
            </v:group>
            <v:group style="position:absolute;left:8581;top:4484;width:1055;height:2" coordorigin="8581,4484" coordsize="1055,2">
              <v:shape style="position:absolute;left:8581;top:4484;width:1055;height:2" coordorigin="8581,4484" coordsize="1055,0" path="m8581,4484l9635,4484e" filled="false" stroked="true" strokeweight=".48pt" strokecolor="#000000">
                <v:path arrowok="t"/>
              </v:shape>
            </v:group>
            <v:group style="position:absolute;left:9645;top:4484;width:1054;height:2" coordorigin="9645,4484" coordsize="1054,2">
              <v:shape style="position:absolute;left:9645;top:4484;width:1054;height:2" coordorigin="9645,4484" coordsize="1054,0" path="m9645,4484l10699,4484e" filled="false" stroked="true" strokeweight=".48pt" strokecolor="#000000">
                <v:path arrowok="t"/>
              </v:shape>
            </v:group>
            <v:group style="position:absolute;left:5394;top:5826;width:1055;height:468" coordorigin="5394,5826" coordsize="1055,468">
              <v:shape style="position:absolute;left:5394;top:5826;width:1055;height:468" coordorigin="5394,5826" coordsize="1055,468" path="m5394,6294l6448,6294,6448,5826,5394,5826,5394,6294xe" filled="true" fillcolor="#ffffff" stroked="false">
                <v:path arrowok="t"/>
                <v:fill type="solid"/>
              </v:shape>
            </v:group>
            <v:group style="position:absolute;left:1138;top:5821;width:1057;height:2" coordorigin="1138,5821" coordsize="1057,2">
              <v:shape style="position:absolute;left:1138;top:5821;width:1057;height:2" coordorigin="1138,5821" coordsize="1057,0" path="m1138,5821l2194,5821e" filled="false" stroked="true" strokeweight=".47998pt" strokecolor="#000000">
                <v:path arrowok="t"/>
              </v:shape>
            </v:group>
            <v:group style="position:absolute;left:2204;top:5821;width:1054;height:2" coordorigin="2204,5821" coordsize="1054,2">
              <v:shape style="position:absolute;left:2204;top:5821;width:1054;height:2" coordorigin="2204,5821" coordsize="1054,0" path="m2204,5821l3257,5821e" filled="false" stroked="true" strokeweight=".47998pt" strokecolor="#000000">
                <v:path arrowok="t"/>
              </v:shape>
            </v:group>
            <v:group style="position:absolute;left:3267;top:5821;width:1055;height:2" coordorigin="3267,5821" coordsize="1055,2">
              <v:shape style="position:absolute;left:3267;top:5821;width:1055;height:2" coordorigin="3267,5821" coordsize="1055,0" path="m3267,5821l4321,5821e" filled="false" stroked="true" strokeweight=".47998pt" strokecolor="#000000">
                <v:path arrowok="t"/>
              </v:shape>
            </v:group>
            <v:group style="position:absolute;left:4331;top:5821;width:1054;height:2" coordorigin="4331,5821" coordsize="1054,2">
              <v:shape style="position:absolute;left:4331;top:5821;width:1054;height:2" coordorigin="4331,5821" coordsize="1054,0" path="m4331,5821l5384,5821e" filled="false" stroked="true" strokeweight=".47998pt" strokecolor="#000000">
                <v:path arrowok="t"/>
              </v:shape>
            </v:group>
            <v:group style="position:absolute;left:5394;top:5821;width:1052;height:2" coordorigin="5394,5821" coordsize="1052,2">
              <v:shape style="position:absolute;left:5394;top:5821;width:1052;height:2" coordorigin="5394,5821" coordsize="1052,0" path="m5394,5821l6445,5821e" filled="false" stroked="true" strokeweight=".47998pt" strokecolor="#000000">
                <v:path arrowok="t"/>
              </v:shape>
            </v:group>
            <v:group style="position:absolute;left:6455;top:5821;width:1054;height:2" coordorigin="6455,5821" coordsize="1054,2">
              <v:shape style="position:absolute;left:6455;top:5821;width:1054;height:2" coordorigin="6455,5821" coordsize="1054,0" path="m6455,5821l7509,5821e" filled="false" stroked="true" strokeweight=".47998pt" strokecolor="#000000">
                <v:path arrowok="t"/>
              </v:shape>
            </v:group>
            <v:group style="position:absolute;left:7518;top:5821;width:1054;height:2" coordorigin="7518,5821" coordsize="1054,2">
              <v:shape style="position:absolute;left:7518;top:5821;width:1054;height:2" coordorigin="7518,5821" coordsize="1054,0" path="m7518,5821l8572,5821e" filled="false" stroked="true" strokeweight=".47998pt" strokecolor="#000000">
                <v:path arrowok="t"/>
              </v:shape>
            </v:group>
            <v:group style="position:absolute;left:8581;top:5821;width:1055;height:2" coordorigin="8581,5821" coordsize="1055,2">
              <v:shape style="position:absolute;left:8581;top:5821;width:1055;height:2" coordorigin="8581,5821" coordsize="1055,0" path="m8581,5821l9635,5821e" filled="false" stroked="true" strokeweight=".47998pt" strokecolor="#000000">
                <v:path arrowok="t"/>
              </v:shape>
            </v:group>
            <v:group style="position:absolute;left:9645;top:5821;width:1054;height:2" coordorigin="9645,5821" coordsize="1054,2">
              <v:shape style="position:absolute;left:9645;top:5821;width:1054;height:2" coordorigin="9645,5821" coordsize="1054,0" path="m9645,5821l10699,5821e" filled="false" stroked="true" strokeweight=".47998pt" strokecolor="#000000">
                <v:path arrowok="t"/>
              </v:shape>
            </v:group>
            <v:group style="position:absolute;left:1138;top:7160;width:1057;height:2" coordorigin="1138,7160" coordsize="1057,2">
              <v:shape style="position:absolute;left:1138;top:7160;width:1057;height:2" coordorigin="1138,7160" coordsize="1057,0" path="m1138,7160l2194,7160e" filled="false" stroked="true" strokeweight=".48001pt" strokecolor="#000000">
                <v:path arrowok="t"/>
              </v:shape>
            </v:group>
            <v:group style="position:absolute;left:2204;top:7160;width:1054;height:2" coordorigin="2204,7160" coordsize="1054,2">
              <v:shape style="position:absolute;left:2204;top:7160;width:1054;height:2" coordorigin="2204,7160" coordsize="1054,0" path="m2204,7160l3257,7160e" filled="false" stroked="true" strokeweight=".48001pt" strokecolor="#000000">
                <v:path arrowok="t"/>
              </v:shape>
            </v:group>
            <v:group style="position:absolute;left:3267;top:7160;width:1055;height:2" coordorigin="3267,7160" coordsize="1055,2">
              <v:shape style="position:absolute;left:3267;top:7160;width:1055;height:2" coordorigin="3267,7160" coordsize="1055,0" path="m3267,7160l4321,7160e" filled="false" stroked="true" strokeweight=".48001pt" strokecolor="#000000">
                <v:path arrowok="t"/>
              </v:shape>
            </v:group>
            <v:group style="position:absolute;left:4331;top:7160;width:1054;height:2" coordorigin="4331,7160" coordsize="1054,2">
              <v:shape style="position:absolute;left:4331;top:7160;width:1054;height:2" coordorigin="4331,7160" coordsize="1054,0" path="m4331,7160l5384,7160e" filled="false" stroked="true" strokeweight=".48001pt" strokecolor="#000000">
                <v:path arrowok="t"/>
              </v:shape>
            </v:group>
            <v:group style="position:absolute;left:5394;top:7160;width:1052;height:2" coordorigin="5394,7160" coordsize="1052,2">
              <v:shape style="position:absolute;left:5394;top:7160;width:1052;height:2" coordorigin="5394,7160" coordsize="1052,0" path="m5394,7160l6445,7160e" filled="false" stroked="true" strokeweight=".48001pt" strokecolor="#000000">
                <v:path arrowok="t"/>
              </v:shape>
            </v:group>
            <v:group style="position:absolute;left:6455;top:7160;width:1054;height:2" coordorigin="6455,7160" coordsize="1054,2">
              <v:shape style="position:absolute;left:6455;top:7160;width:1054;height:2" coordorigin="6455,7160" coordsize="1054,0" path="m6455,7160l7509,7160e" filled="false" stroked="true" strokeweight=".48001pt" strokecolor="#000000">
                <v:path arrowok="t"/>
              </v:shape>
            </v:group>
            <v:group style="position:absolute;left:7518;top:7160;width:1054;height:2" coordorigin="7518,7160" coordsize="1054,2">
              <v:shape style="position:absolute;left:7518;top:7160;width:1054;height:2" coordorigin="7518,7160" coordsize="1054,0" path="m7518,7160l8572,7160e" filled="false" stroked="true" strokeweight=".48001pt" strokecolor="#000000">
                <v:path arrowok="t"/>
              </v:shape>
            </v:group>
            <v:group style="position:absolute;left:8581;top:7160;width:1055;height:2" coordorigin="8581,7160" coordsize="1055,2">
              <v:shape style="position:absolute;left:8581;top:7160;width:1055;height:2" coordorigin="8581,7160" coordsize="1055,0" path="m8581,7160l9635,7160e" filled="false" stroked="true" strokeweight=".48001pt" strokecolor="#000000">
                <v:path arrowok="t"/>
              </v:shape>
            </v:group>
            <v:group style="position:absolute;left:9645;top:7160;width:1054;height:2" coordorigin="9645,7160" coordsize="1054,2">
              <v:shape style="position:absolute;left:9645;top:7160;width:1054;height:2" coordorigin="9645,7160" coordsize="1054,0" path="m9645,7160l10699,7160e" filled="false" stroked="true" strokeweight=".48001pt" strokecolor="#000000">
                <v:path arrowok="t"/>
              </v:shape>
            </v:group>
            <v:group style="position:absolute;left:1138;top:8809;width:1057;height:2" coordorigin="1138,8809" coordsize="1057,2">
              <v:shape style="position:absolute;left:1138;top:8809;width:1057;height:2" coordorigin="1138,8809" coordsize="1057,0" path="m1138,8809l2194,8809e" filled="false" stroked="true" strokeweight=".48001pt" strokecolor="#000000">
                <v:path arrowok="t"/>
              </v:shape>
            </v:group>
            <v:group style="position:absolute;left:2204;top:8809;width:1054;height:2" coordorigin="2204,8809" coordsize="1054,2">
              <v:shape style="position:absolute;left:2204;top:8809;width:1054;height:2" coordorigin="2204,8809" coordsize="1054,0" path="m2204,8809l3257,8809e" filled="false" stroked="true" strokeweight=".48001pt" strokecolor="#000000">
                <v:path arrowok="t"/>
              </v:shape>
            </v:group>
            <v:group style="position:absolute;left:3267;top:8809;width:1055;height:2" coordorigin="3267,8809" coordsize="1055,2">
              <v:shape style="position:absolute;left:3267;top:8809;width:1055;height:2" coordorigin="3267,8809" coordsize="1055,0" path="m3267,8809l4321,8809e" filled="false" stroked="true" strokeweight=".48001pt" strokecolor="#000000">
                <v:path arrowok="t"/>
              </v:shape>
            </v:group>
            <v:group style="position:absolute;left:4331;top:8809;width:1054;height:2" coordorigin="4331,8809" coordsize="1054,2">
              <v:shape style="position:absolute;left:4331;top:8809;width:1054;height:2" coordorigin="4331,8809" coordsize="1054,0" path="m4331,8809l5384,8809e" filled="false" stroked="true" strokeweight=".48001pt" strokecolor="#000000">
                <v:path arrowok="t"/>
              </v:shape>
            </v:group>
            <v:group style="position:absolute;left:5394;top:8809;width:1052;height:2" coordorigin="5394,8809" coordsize="1052,2">
              <v:shape style="position:absolute;left:5394;top:8809;width:1052;height:2" coordorigin="5394,8809" coordsize="1052,0" path="m5394,8809l6445,8809e" filled="false" stroked="true" strokeweight=".48001pt" strokecolor="#000000">
                <v:path arrowok="t"/>
              </v:shape>
            </v:group>
            <v:group style="position:absolute;left:6455;top:8809;width:1054;height:2" coordorigin="6455,8809" coordsize="1054,2">
              <v:shape style="position:absolute;left:6455;top:8809;width:1054;height:2" coordorigin="6455,8809" coordsize="1054,0" path="m6455,8809l7509,8809e" filled="false" stroked="true" strokeweight=".48001pt" strokecolor="#000000">
                <v:path arrowok="t"/>
              </v:shape>
            </v:group>
            <v:group style="position:absolute;left:7518;top:8809;width:1054;height:2" coordorigin="7518,8809" coordsize="1054,2">
              <v:shape style="position:absolute;left:7518;top:8809;width:1054;height:2" coordorigin="7518,8809" coordsize="1054,0" path="m7518,8809l8572,8809e" filled="false" stroked="true" strokeweight=".48001pt" strokecolor="#000000">
                <v:path arrowok="t"/>
              </v:shape>
            </v:group>
            <v:group style="position:absolute;left:8581;top:8809;width:1055;height:2" coordorigin="8581,8809" coordsize="1055,2">
              <v:shape style="position:absolute;left:8581;top:8809;width:1055;height:2" coordorigin="8581,8809" coordsize="1055,0" path="m8581,8809l9635,8809e" filled="false" stroked="true" strokeweight=".48001pt" strokecolor="#000000">
                <v:path arrowok="t"/>
              </v:shape>
            </v:group>
            <v:group style="position:absolute;left:9645;top:8809;width:1054;height:2" coordorigin="9645,8809" coordsize="1054,2">
              <v:shape style="position:absolute;left:9645;top:8809;width:1054;height:2" coordorigin="9645,8809" coordsize="1054,0" path="m9645,8809l10699,8809e" filled="false" stroked="true" strokeweight=".48001pt" strokecolor="#000000">
                <v:path arrowok="t"/>
              </v:shape>
            </v:group>
            <v:group style="position:absolute;left:1138;top:11085;width:1057;height:2" coordorigin="1138,11085" coordsize="1057,2">
              <v:shape style="position:absolute;left:1138;top:11085;width:1057;height:2" coordorigin="1138,11085" coordsize="1057,0" path="m1138,11085l2194,11085e" filled="false" stroked="true" strokeweight=".47998pt" strokecolor="#000000">
                <v:path arrowok="t"/>
              </v:shape>
            </v:group>
            <v:group style="position:absolute;left:2204;top:11085;width:1054;height:2" coordorigin="2204,11085" coordsize="1054,2">
              <v:shape style="position:absolute;left:2204;top:11085;width:1054;height:2" coordorigin="2204,11085" coordsize="1054,0" path="m2204,11085l3257,11085e" filled="false" stroked="true" strokeweight=".47998pt" strokecolor="#000000">
                <v:path arrowok="t"/>
              </v:shape>
            </v:group>
            <v:group style="position:absolute;left:3267;top:11085;width:1055;height:2" coordorigin="3267,11085" coordsize="1055,2">
              <v:shape style="position:absolute;left:3267;top:11085;width:1055;height:2" coordorigin="3267,11085" coordsize="1055,0" path="m3267,11085l4321,11085e" filled="false" stroked="true" strokeweight=".47998pt" strokecolor="#000000">
                <v:path arrowok="t"/>
              </v:shape>
            </v:group>
            <v:group style="position:absolute;left:4331;top:11085;width:1054;height:2" coordorigin="4331,11085" coordsize="1054,2">
              <v:shape style="position:absolute;left:4331;top:11085;width:1054;height:2" coordorigin="4331,11085" coordsize="1054,0" path="m4331,11085l5384,11085e" filled="false" stroked="true" strokeweight=".47998pt" strokecolor="#000000">
                <v:path arrowok="t"/>
              </v:shape>
            </v:group>
            <v:group style="position:absolute;left:5394;top:11085;width:1052;height:2" coordorigin="5394,11085" coordsize="1052,2">
              <v:shape style="position:absolute;left:5394;top:11085;width:1052;height:2" coordorigin="5394,11085" coordsize="1052,0" path="m5394,11085l6445,11085e" filled="false" stroked="true" strokeweight=".47998pt" strokecolor="#000000">
                <v:path arrowok="t"/>
              </v:shape>
            </v:group>
            <v:group style="position:absolute;left:6455;top:11085;width:1054;height:2" coordorigin="6455,11085" coordsize="1054,2">
              <v:shape style="position:absolute;left:6455;top:11085;width:1054;height:2" coordorigin="6455,11085" coordsize="1054,0" path="m6455,11085l7509,11085e" filled="false" stroked="true" strokeweight=".47998pt" strokecolor="#000000">
                <v:path arrowok="t"/>
              </v:shape>
            </v:group>
            <v:group style="position:absolute;left:7518;top:11085;width:1054;height:2" coordorigin="7518,11085" coordsize="1054,2">
              <v:shape style="position:absolute;left:7518;top:11085;width:1054;height:2" coordorigin="7518,11085" coordsize="1054,0" path="m7518,11085l8572,11085e" filled="false" stroked="true" strokeweight=".47998pt" strokecolor="#000000">
                <v:path arrowok="t"/>
              </v:shape>
            </v:group>
            <v:group style="position:absolute;left:8581;top:11085;width:1055;height:2" coordorigin="8581,11085" coordsize="1055,2">
              <v:shape style="position:absolute;left:8581;top:11085;width:1055;height:2" coordorigin="8581,11085" coordsize="1055,0" path="m8581,11085l9635,11085e" filled="false" stroked="true" strokeweight=".47998pt" strokecolor="#000000">
                <v:path arrowok="t"/>
              </v:shape>
            </v:group>
            <v:group style="position:absolute;left:9645;top:11085;width:1054;height:2" coordorigin="9645,11085" coordsize="1054,2">
              <v:shape style="position:absolute;left:9645;top:11085;width:1054;height:2" coordorigin="9645,11085" coordsize="1054,0" path="m9645,11085l10699,11085e" filled="false" stroked="true" strokeweight=".47998pt" strokecolor="#000000">
                <v:path arrowok="t"/>
              </v:shape>
            </v:group>
            <v:group style="position:absolute;left:1133;top:1440;width:2;height:13937" coordorigin="1133,1440" coordsize="2,13937">
              <v:shape style="position:absolute;left:1133;top:1440;width:2;height:13937" coordorigin="1133,1440" coordsize="0,13937" path="m1133,1440l1133,15376e" filled="false" stroked="true" strokeweight=".48pt" strokecolor="#000000">
                <v:path arrowok="t"/>
              </v:shape>
            </v:group>
            <v:group style="position:absolute;left:1138;top:15372;width:1057;height:2" coordorigin="1138,15372" coordsize="1057,2">
              <v:shape style="position:absolute;left:1138;top:15372;width:1057;height:2" coordorigin="1138,15372" coordsize="1057,0" path="m1138,15372l2194,15372e" filled="false" stroked="true" strokeweight=".47998pt" strokecolor="#000000">
                <v:path arrowok="t"/>
              </v:shape>
            </v:group>
            <v:group style="position:absolute;left:2199;top:1440;width:2;height:13937" coordorigin="2199,1440" coordsize="2,13937">
              <v:shape style="position:absolute;left:2199;top:1440;width:2;height:13937" coordorigin="2199,1440" coordsize="0,13937" path="m2199,1440l2199,15376e" filled="false" stroked="true" strokeweight=".48pt" strokecolor="#000000">
                <v:path arrowok="t"/>
              </v:shape>
            </v:group>
            <v:group style="position:absolute;left:2204;top:15372;width:1054;height:2" coordorigin="2204,15372" coordsize="1054,2">
              <v:shape style="position:absolute;left:2204;top:15372;width:1054;height:2" coordorigin="2204,15372" coordsize="1054,0" path="m2204,15372l3257,15372e" filled="false" stroked="true" strokeweight=".47998pt" strokecolor="#000000">
                <v:path arrowok="t"/>
              </v:shape>
            </v:group>
            <v:group style="position:absolute;left:3262;top:1440;width:2;height:13937" coordorigin="3262,1440" coordsize="2,13937">
              <v:shape style="position:absolute;left:3262;top:1440;width:2;height:13937" coordorigin="3262,1440" coordsize="0,13937" path="m3262,1440l3262,15376e" filled="false" stroked="true" strokeweight=".48pt" strokecolor="#000000">
                <v:path arrowok="t"/>
              </v:shape>
            </v:group>
            <v:group style="position:absolute;left:3267;top:15372;width:1055;height:2" coordorigin="3267,15372" coordsize="1055,2">
              <v:shape style="position:absolute;left:3267;top:15372;width:1055;height:2" coordorigin="3267,15372" coordsize="1055,0" path="m3267,15372l4321,15372e" filled="false" stroked="true" strokeweight=".47998pt" strokecolor="#000000">
                <v:path arrowok="t"/>
              </v:shape>
            </v:group>
            <v:group style="position:absolute;left:4326;top:1440;width:2;height:13937" coordorigin="4326,1440" coordsize="2,13937">
              <v:shape style="position:absolute;left:4326;top:1440;width:2;height:13937" coordorigin="4326,1440" coordsize="0,13937" path="m4326,1440l4326,15376e" filled="false" stroked="true" strokeweight=".48pt" strokecolor="#000000">
                <v:path arrowok="t"/>
              </v:shape>
            </v:group>
            <v:group style="position:absolute;left:4331;top:15372;width:1054;height:2" coordorigin="4331,15372" coordsize="1054,2">
              <v:shape style="position:absolute;left:4331;top:15372;width:1054;height:2" coordorigin="4331,15372" coordsize="1054,0" path="m4331,15372l5384,15372e" filled="false" stroked="true" strokeweight=".47998pt" strokecolor="#000000">
                <v:path arrowok="t"/>
              </v:shape>
            </v:group>
            <v:group style="position:absolute;left:5389;top:1440;width:2;height:13937" coordorigin="5389,1440" coordsize="2,13937">
              <v:shape style="position:absolute;left:5389;top:1440;width:2;height:13937" coordorigin="5389,1440" coordsize="0,13937" path="m5389,1440l5389,15376e" filled="false" stroked="true" strokeweight=".47998pt" strokecolor="#000000">
                <v:path arrowok="t"/>
              </v:shape>
            </v:group>
            <v:group style="position:absolute;left:5394;top:15372;width:1052;height:2" coordorigin="5394,15372" coordsize="1052,2">
              <v:shape style="position:absolute;left:5394;top:15372;width:1052;height:2" coordorigin="5394,15372" coordsize="1052,0" path="m5394,15372l6445,15372e" filled="false" stroked="true" strokeweight=".47998pt" strokecolor="#000000">
                <v:path arrowok="t"/>
              </v:shape>
            </v:group>
            <v:group style="position:absolute;left:6450;top:1440;width:2;height:13937" coordorigin="6450,1440" coordsize="2,13937">
              <v:shape style="position:absolute;left:6450;top:1440;width:2;height:13937" coordorigin="6450,1440" coordsize="0,13937" path="m6450,1440l6450,15376e" filled="false" stroked="true" strokeweight=".48001pt" strokecolor="#000000">
                <v:path arrowok="t"/>
              </v:shape>
            </v:group>
            <v:group style="position:absolute;left:6455;top:15372;width:1054;height:2" coordorigin="6455,15372" coordsize="1054,2">
              <v:shape style="position:absolute;left:6455;top:15372;width:1054;height:2" coordorigin="6455,15372" coordsize="1054,0" path="m6455,15372l7509,15372e" filled="false" stroked="true" strokeweight=".47998pt" strokecolor="#000000">
                <v:path arrowok="t"/>
              </v:shape>
            </v:group>
            <v:group style="position:absolute;left:7513;top:1440;width:2;height:13937" coordorigin="7513,1440" coordsize="2,13937">
              <v:shape style="position:absolute;left:7513;top:1440;width:2;height:13937" coordorigin="7513,1440" coordsize="0,13937" path="m7513,1440l7513,15376e" filled="false" stroked="true" strokeweight=".48001pt" strokecolor="#000000">
                <v:path arrowok="t"/>
              </v:shape>
            </v:group>
            <v:group style="position:absolute;left:7518;top:15372;width:1054;height:2" coordorigin="7518,15372" coordsize="1054,2">
              <v:shape style="position:absolute;left:7518;top:15372;width:1054;height:2" coordorigin="7518,15372" coordsize="1054,0" path="m7518,15372l8572,15372e" filled="false" stroked="true" strokeweight=".47998pt" strokecolor="#000000">
                <v:path arrowok="t"/>
              </v:shape>
            </v:group>
            <v:group style="position:absolute;left:8577;top:1440;width:2;height:13937" coordorigin="8577,1440" coordsize="2,13937">
              <v:shape style="position:absolute;left:8577;top:1440;width:2;height:13937" coordorigin="8577,1440" coordsize="0,13937" path="m8577,1440l8577,15376e" filled="false" stroked="true" strokeweight=".47998pt" strokecolor="#000000">
                <v:path arrowok="t"/>
              </v:shape>
            </v:group>
            <v:group style="position:absolute;left:8581;top:15372;width:1055;height:2" coordorigin="8581,15372" coordsize="1055,2">
              <v:shape style="position:absolute;left:8581;top:15372;width:1055;height:2" coordorigin="8581,15372" coordsize="1055,0" path="m8581,15372l9635,15372e" filled="false" stroked="true" strokeweight=".47998pt" strokecolor="#000000">
                <v:path arrowok="t"/>
              </v:shape>
            </v:group>
            <v:group style="position:absolute;left:9640;top:1440;width:2;height:13937" coordorigin="9640,1440" coordsize="2,13937">
              <v:shape style="position:absolute;left:9640;top:1440;width:2;height:13937" coordorigin="9640,1440" coordsize="0,13937" path="m9640,1440l9640,15376e" filled="false" stroked="true" strokeweight=".48001pt" strokecolor="#000000">
                <v:path arrowok="t"/>
              </v:shape>
            </v:group>
            <v:group style="position:absolute;left:9645;top:15372;width:1054;height:2" coordorigin="9645,15372" coordsize="1054,2">
              <v:shape style="position:absolute;left:9645;top:15372;width:1054;height:2" coordorigin="9645,15372" coordsize="1054,0" path="m9645,15372l10699,15372e" filled="false" stroked="true" strokeweight=".47998pt" strokecolor="#000000">
                <v:path arrowok="t"/>
              </v:shape>
            </v:group>
            <v:group style="position:absolute;left:10704;top:1440;width:2;height:13937" coordorigin="10704,1440" coordsize="2,13937">
              <v:shape style="position:absolute;left:10704;top:1440;width:2;height:13937" coordorigin="10704,1440" coordsize="0,13937" path="m10704,1440l10704,15376e" filled="false" stroked="true" strokeweight=".47998pt" strokecolor="#000000">
                <v:path arrowok="t"/>
              </v:shape>
            </v:group>
            <w10:wrap type="none"/>
          </v:group>
        </w:pict>
      </w:r>
    </w:p>
    <w:p>
      <w:pPr>
        <w:pStyle w:val="BodyText"/>
        <w:spacing w:line="314" w:lineRule="auto"/>
        <w:ind w:left="181" w:right="-20"/>
        <w:jc w:val="left"/>
      </w:pPr>
      <w:r>
        <w:rPr/>
        <w:t>个税手续费 返还</w:t>
      </w:r>
    </w:p>
    <w:p>
      <w:pPr>
        <w:spacing w:line="240" w:lineRule="auto" w:before="11"/>
        <w:rPr>
          <w:rFonts w:ascii="宋体" w:hAnsi="宋体" w:cs="宋体" w:eastAsia="宋体" w:hint="default"/>
          <w:sz w:val="13"/>
          <w:szCs w:val="13"/>
        </w:rPr>
      </w:pPr>
      <w:r>
        <w:rPr/>
        <w:br w:type="column"/>
      </w:r>
      <w:r>
        <w:rPr>
          <w:rFonts w:ascii="宋体"/>
          <w:sz w:val="13"/>
        </w:rPr>
      </w:r>
    </w:p>
    <w:p>
      <w:pPr>
        <w:pStyle w:val="BodyText"/>
        <w:spacing w:line="196" w:lineRule="exact"/>
        <w:ind w:left="125" w:right="-19"/>
        <w:jc w:val="left"/>
      </w:pPr>
      <w:r>
        <w:rPr/>
        <w:t>深圳市蛇口</w:t>
      </w:r>
    </w:p>
    <w:p>
      <w:pPr>
        <w:pStyle w:val="BodyText"/>
        <w:spacing w:line="155" w:lineRule="exact"/>
        <w:ind w:left="0" w:right="0"/>
        <w:jc w:val="right"/>
      </w:pPr>
      <w:r>
        <w:rPr/>
        <w:t>补助</w:t>
      </w:r>
    </w:p>
    <w:p>
      <w:pPr>
        <w:pStyle w:val="BodyText"/>
        <w:spacing w:line="195" w:lineRule="exact"/>
        <w:ind w:left="125" w:right="-19"/>
        <w:jc w:val="left"/>
      </w:pPr>
      <w:r>
        <w:rPr/>
        <w:t>地方税务局</w:t>
      </w:r>
    </w:p>
    <w:p>
      <w:pPr>
        <w:pStyle w:val="BodyText"/>
        <w:spacing w:line="316" w:lineRule="auto" w:before="44"/>
        <w:ind w:left="181" w:right="0"/>
        <w:jc w:val="both"/>
      </w:pPr>
      <w:r>
        <w:rPr/>
        <w:br w:type="column"/>
      </w:r>
      <w:r>
        <w:rPr/>
        <w:t>因从事国家 鼓励和扶持 </w:t>
      </w:r>
      <w:r>
        <w:rPr>
          <w:spacing w:val="-12"/>
        </w:rPr>
        <w:t>特定行业、产</w:t>
      </w:r>
    </w:p>
    <w:p>
      <w:pPr>
        <w:spacing w:line="240" w:lineRule="auto" w:before="10"/>
        <w:rPr>
          <w:rFonts w:ascii="宋体" w:hAnsi="宋体" w:cs="宋体" w:eastAsia="宋体" w:hint="default"/>
          <w:sz w:val="25"/>
          <w:szCs w:val="25"/>
        </w:rPr>
      </w:pPr>
      <w:r>
        <w:rPr/>
        <w:br w:type="column"/>
      </w:r>
      <w:r>
        <w:rPr>
          <w:rFonts w:ascii="宋体"/>
          <w:sz w:val="25"/>
        </w:rPr>
      </w:r>
    </w:p>
    <w:p>
      <w:pPr>
        <w:pStyle w:val="BodyText"/>
        <w:tabs>
          <w:tab w:pos="1078" w:val="left" w:leader="none"/>
          <w:tab w:pos="2336" w:val="left" w:leader="none"/>
          <w:tab w:pos="4266" w:val="left" w:leader="none"/>
        </w:tabs>
        <w:spacing w:line="240" w:lineRule="auto"/>
        <w:ind w:left="15" w:right="0"/>
        <w:jc w:val="left"/>
      </w:pPr>
      <w:r>
        <w:rPr/>
        <w:t>否</w:t>
        <w:tab/>
        <w:t>否</w:t>
        <w:tab/>
      </w:r>
      <w:r>
        <w:rPr>
          <w:rFonts w:ascii="Times New Roman" w:hAnsi="Times New Roman" w:cs="Times New Roman" w:eastAsia="Times New Roman" w:hint="default"/>
          <w:spacing w:val="-1"/>
        </w:rPr>
        <w:t>403,767.40</w:t>
        <w:tab/>
      </w:r>
      <w:r>
        <w:rPr/>
        <w:t>与收益相关</w:t>
      </w:r>
    </w:p>
    <w:p>
      <w:pPr>
        <w:spacing w:after="0" w:line="240" w:lineRule="auto"/>
        <w:jc w:val="left"/>
        <w:sectPr>
          <w:type w:val="continuous"/>
          <w:pgSz w:w="11910" w:h="16840"/>
          <w:pgMar w:top="1060" w:bottom="1160" w:left="980" w:right="980"/>
          <w:cols w:num="4" w:equalWidth="0">
            <w:col w:w="1082" w:space="40"/>
            <w:col w:w="1550" w:space="522"/>
            <w:col w:w="1190" w:space="40"/>
            <w:col w:w="5526"/>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1299" w:hRule="exact"/>
        </w:trPr>
        <w:tc>
          <w:tcPr>
            <w:tcW w:w="106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业而获得的 </w:t>
            </w:r>
            <w:r>
              <w:rPr>
                <w:rFonts w:ascii="宋体" w:hAnsi="宋体" w:cs="宋体" w:eastAsia="宋体" w:hint="default"/>
                <w:spacing w:val="-12"/>
                <w:sz w:val="18"/>
                <w:szCs w:val="18"/>
              </w:rPr>
              <w:t>补助（按国家</w:t>
            </w:r>
            <w:r>
              <w:rPr>
                <w:rFonts w:ascii="宋体" w:hAnsi="宋体" w:cs="宋体" w:eastAsia="宋体" w:hint="default"/>
                <w:sz w:val="18"/>
                <w:szCs w:val="18"/>
              </w:rPr>
              <w:t> 级政策规定 依法取得）</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15,973,767.4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12,437,525.8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52</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2" w:hRule="exact"/>
        </w:trPr>
        <w:tc>
          <w:tcPr>
            <w:tcW w:w="238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0"/>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318,061.54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318,061.54</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22,795.91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95,728.20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22,795.91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行政罚款支出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644,946.92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1,088,380.87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644,946.92</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违约支出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11,199,900.51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3,874,752.25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11,199,900.51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617,330.59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142,967.80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617,330.59</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12,803,035.47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5,706,829.12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12,803,035.47</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53</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5"/>
        <w:gridCol w:w="3203"/>
        <w:gridCol w:w="3190"/>
      </w:tblGrid>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16,768,745.80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19,804,178.36</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-9,339,171.59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-8,219,132.78</w:t>
            </w:r>
          </w:p>
        </w:tc>
      </w:tr>
      <w:tr>
        <w:trPr>
          <w:trHeight w:val="403" w:hRule="exact"/>
        </w:trPr>
        <w:tc>
          <w:tcPr>
            <w:tcW w:w="3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7,429,574.21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11,585,045.58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2"/>
      </w:tblGrid>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36,847,167.71</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6,934,483.24</w:t>
            </w:r>
          </w:p>
        </w:tc>
      </w:tr>
      <w:tr>
        <w:trPr>
          <w:trHeight w:val="403"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-1,727,670.25</w:t>
            </w:r>
          </w:p>
        </w:tc>
      </w:tr>
      <w:tr>
        <w:trPr>
          <w:trHeight w:val="401"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617,680.82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-610,121.78</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513,857.61</w:t>
            </w:r>
          </w:p>
        </w:tc>
      </w:tr>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-283,374.50</w:t>
            </w:r>
          </w:p>
        </w:tc>
      </w:tr>
      <w:tr>
        <w:trPr>
          <w:trHeight w:val="714"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7,233,710.72</w:t>
            </w:r>
          </w:p>
        </w:tc>
      </w:tr>
      <w:tr>
        <w:trPr>
          <w:trHeight w:val="401"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118,833.02</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-5,367,824.67</w:t>
            </w:r>
          </w:p>
        </w:tc>
      </w:tr>
      <w:tr>
        <w:trPr>
          <w:trHeight w:val="403"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7,429,574.21</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spacing w:line="547" w:lineRule="auto" w:before="118"/>
        <w:ind w:left="152" w:right="7877"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54</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pacing w:val="-16"/>
          <w:sz w:val="18"/>
          <w:szCs w:val="18"/>
        </w:rPr>
        <w:t>详见附注七、</w:t>
      </w:r>
      <w:r>
        <w:rPr>
          <w:rFonts w:ascii="Times New Roman" w:hAnsi="Times New Roman" w:cs="Times New Roman" w:eastAsia="Times New Roman" w:hint="default"/>
          <w:spacing w:val="-16"/>
          <w:sz w:val="18"/>
          <w:szCs w:val="18"/>
        </w:rPr>
        <w:t>(39)</w:t>
      </w:r>
      <w:r>
        <w:rPr>
          <w:rFonts w:ascii="宋体" w:hAnsi="宋体" w:cs="宋体" w:eastAsia="宋体" w:hint="default"/>
          <w:spacing w:val="-16"/>
          <w:sz w:val="18"/>
          <w:szCs w:val="18"/>
        </w:rPr>
        <w:t>。。</w:t>
      </w:r>
      <w:r>
        <w:rPr>
          <w:rFonts w:ascii="宋体" w:hAnsi="宋体" w:cs="宋体" w:eastAsia="宋体" w:hint="default"/>
          <w:spacing w:val="-80"/>
          <w:sz w:val="18"/>
          <w:szCs w:val="18"/>
        </w:rPr>
        <w:t> </w:t>
      </w:r>
      <w:r>
        <w:rPr>
          <w:rFonts w:ascii="Times New Roman" w:hAnsi="Times New Roman" w:cs="Times New Roman" w:eastAsia="Times New Roman" w:hint="default"/>
          <w:b/>
          <w:bCs/>
          <w:sz w:val="21"/>
          <w:szCs w:val="21"/>
        </w:rPr>
        <w:t>55</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3"/>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40,820,064.64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28,022,560.01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5,282,003.26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7,499,185.85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收现往来款净额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591,802.48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372,529.81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916,591.95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47,066,400.19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36,438,337.81</w:t>
            </w:r>
          </w:p>
        </w:tc>
      </w:tr>
    </w:tbl>
    <w:p>
      <w:pPr>
        <w:pStyle w:val="BodyText"/>
        <w:spacing w:line="240" w:lineRule="auto" w:before="49"/>
        <w:ind w:right="0"/>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付现销售费用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68,803,812.71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77,917,712.58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付现管理费用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56,160,730.99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47,341,376.12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金融机构手续费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2,029,571.12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1,982,205.47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滞纳金等营业外支出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3,280,339.05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1,736,348.67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付现往来款净额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137,100,179.29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51,280,044.19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267,374,633.16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180,257,687.03</w:t>
            </w:r>
          </w:p>
        </w:tc>
      </w:tr>
    </w:tbl>
    <w:p>
      <w:pPr>
        <w:pStyle w:val="BodyText"/>
        <w:spacing w:line="240" w:lineRule="auto" w:before="49"/>
        <w:ind w:right="0"/>
        <w:jc w:val="left"/>
      </w:pPr>
      <w:r>
        <w:rPr/>
        <w:t>支付的其他与经营活动有关的现金说明：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收到与资产相关的政府补贴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21,790,000.00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21,790,000.00</w:t>
            </w:r>
          </w:p>
        </w:tc>
      </w:tr>
    </w:tbl>
    <w:p>
      <w:pPr>
        <w:pStyle w:val="BodyText"/>
        <w:spacing w:line="240" w:lineRule="auto" w:before="49"/>
        <w:ind w:right="0"/>
        <w:jc w:val="left"/>
      </w:pPr>
      <w:r>
        <w:rPr/>
        <w:t>收到的其他与投资活动有关的现金说明：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归还政府补助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384,500,000.00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收回银行承兑汇票及履约保函保证金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130,535,685.74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售后回购收到的现金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110,696,879.93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130,535,685.74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110,696,879.93</w:t>
            </w:r>
          </w:p>
        </w:tc>
      </w:tr>
    </w:tbl>
    <w:p>
      <w:pPr>
        <w:pStyle w:val="BodyText"/>
        <w:spacing w:line="240" w:lineRule="auto" w:before="49"/>
        <w:ind w:right="0"/>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票据贴现费用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5,937,750.00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13,645,052.10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银行承兑汇票及履约保函保证金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115,733,294.50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售后回购所支付的租金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39,365,206.55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19,682,538.12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债券担保费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47,622,956.55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151,380,884.72</w:t>
            </w:r>
          </w:p>
        </w:tc>
      </w:tr>
    </w:tbl>
    <w:p>
      <w:pPr>
        <w:pStyle w:val="BodyText"/>
        <w:spacing w:line="240" w:lineRule="auto" w:before="49"/>
        <w:ind w:right="0"/>
        <w:jc w:val="left"/>
      </w:pPr>
      <w:r>
        <w:rPr/>
        <w:t>支付的其他与筹资活动有关的现金说明：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r>
        <w:rPr/>
        <w:pict>
          <v:group style="position:absolute;margin-left:223.369995pt;margin-top:403.189972pt;width:151.25pt;height:40.8pt;mso-position-horizontal-relative:page;mso-position-vertical-relative:page;z-index:-1152184" coordorigin="4467,8064" coordsize="3025,816">
            <v:group style="position:absolute;left:4478;top:8075;width:2;height:394" coordorigin="4478,8075" coordsize="2,394">
              <v:shape style="position:absolute;left:4478;top:8075;width:2;height:394" coordorigin="4478,8075" coordsize="0,394" path="m4478,8075l4478,8468e" filled="false" stroked="true" strokeweight="1.08pt" strokecolor="#ffffff">
                <v:path arrowok="t"/>
              </v:shape>
            </v:group>
            <v:group style="position:absolute;left:4489;top:8075;width:3003;height:394" coordorigin="4489,8075" coordsize="3003,394">
              <v:shape style="position:absolute;left:4489;top:8075;width:3003;height:394" coordorigin="4489,8075" coordsize="3003,394" path="m4489,8468l7492,8468,7492,8075,4489,8075,4489,8468xe" filled="true" fillcolor="#ffffff" stroked="false">
                <v:path arrowok="t"/>
                <v:fill type="solid"/>
              </v:shape>
            </v:group>
            <v:group style="position:absolute;left:4478;top:8478;width:2;height:392" coordorigin="4478,8478" coordsize="2,392">
              <v:shape style="position:absolute;left:4478;top:8478;width:2;height:392" coordorigin="4478,8478" coordsize="0,392" path="m4478,8478l4478,8869e" filled="false" stroked="true" strokeweight="1.08pt" strokecolor="#ffffff">
                <v:path arrowok="t"/>
              </v:shape>
            </v:group>
            <v:group style="position:absolute;left:4489;top:8478;width:3003;height:392" coordorigin="4489,8478" coordsize="3003,392">
              <v:shape style="position:absolute;left:4489;top:8478;width:3003;height:392" coordorigin="4489,8478" coordsize="3003,392" path="m4489,8869l7492,8869,7492,8478,4489,8478,4489,8869xe" filled="true" fillcolor="#ffffff" stroked="false">
                <v:path arrowok="t"/>
                <v:fill type="solid"/>
              </v:shape>
            </v:group>
            <w10:wrap type="none"/>
          </v:group>
        </w:pict>
      </w:r>
    </w:p>
    <w:p>
      <w:pPr>
        <w:pStyle w:val="Heading3"/>
        <w:spacing w:line="240" w:lineRule="auto" w:before="36"/>
        <w:ind w:right="0"/>
        <w:jc w:val="left"/>
        <w:rPr>
          <w:b w:val="0"/>
          <w:bCs w:val="0"/>
        </w:rPr>
      </w:pPr>
      <w:r>
        <w:rPr>
          <w:rFonts w:ascii="Times New Roman" w:hAnsi="Times New Roman" w:cs="Times New Roman" w:eastAsia="Times New Roman" w:hint="default"/>
        </w:rPr>
        <w:t>56</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54"/>
        <w:gridCol w:w="2015"/>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29,417,593.50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50,308,658.00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68,496,363.50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47,585,591.84</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3" w:right="0"/>
              <w:jc w:val="left"/>
              <w:rPr>
                <w:rFonts w:ascii="Times New Roman" w:hAnsi="Times New Roman" w:cs="Times New Roman" w:eastAsia="Times New Roman" w:hint="default"/>
                <w:sz w:val="18"/>
                <w:szCs w:val="18"/>
              </w:rPr>
            </w:pPr>
            <w:r>
              <w:rPr>
                <w:rFonts w:ascii="Times New Roman"/>
                <w:sz w:val="18"/>
              </w:rPr>
              <w:t>76,260,273.26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58,199,164.90</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16,977,250.17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14,012,778.12</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3,532,321.14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111,170.25</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27,007.84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22,795.91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-1,521.80</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93" w:right="0"/>
              <w:jc w:val="left"/>
              <w:rPr>
                <w:rFonts w:ascii="Times New Roman" w:hAnsi="Times New Roman" w:cs="Times New Roman" w:eastAsia="Times New Roman" w:hint="default"/>
                <w:sz w:val="18"/>
                <w:szCs w:val="18"/>
              </w:rPr>
            </w:pPr>
            <w:r>
              <w:rPr>
                <w:rFonts w:ascii="Times New Roman"/>
                <w:sz w:val="18"/>
              </w:rPr>
              <w:t>77,219,629.56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69,952,377.26</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-315,296.77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550,360.22</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-6,779,090.27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-7,525,561.65</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4" w:type="dxa"/>
            <w:tcBorders>
              <w:top w:val="single" w:sz="4" w:space="0" w:color="000000"/>
              <w:left w:val="single" w:sz="10" w:space="0" w:color="D2D2D2"/>
              <w:bottom w:val="single" w:sz="4" w:space="0" w:color="000000"/>
              <w:right w:val="nil" w:sz="6" w:space="0" w:color="auto"/>
            </w:tcBorders>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w:t>
            </w:r>
          </w:p>
        </w:tc>
        <w:tc>
          <w:tcPr>
            <w:tcW w:w="201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-2,560,081.32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-693,571.13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-26,941,633.86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-1,319,919.92</w:t>
            </w:r>
          </w:p>
        </w:tc>
      </w:tr>
      <w:tr>
        <w:trPr>
          <w:trHeight w:val="71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-816,045,559.53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-459,201,923.16</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2" w:right="0"/>
              <w:jc w:val="left"/>
              <w:rPr>
                <w:rFonts w:ascii="Times New Roman" w:hAnsi="Times New Roman" w:cs="Times New Roman" w:eastAsia="Times New Roman" w:hint="default"/>
                <w:sz w:val="18"/>
                <w:szCs w:val="18"/>
              </w:rPr>
            </w:pPr>
            <w:r>
              <w:rPr>
                <w:rFonts w:ascii="Times New Roman"/>
                <w:sz w:val="18"/>
              </w:rPr>
              <w:t>-127,857,297.93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376,816,204.39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33" w:right="0"/>
              <w:jc w:val="left"/>
              <w:rPr>
                <w:rFonts w:ascii="Times New Roman" w:hAnsi="Times New Roman" w:cs="Times New Roman" w:eastAsia="Times New Roman" w:hint="default"/>
                <w:sz w:val="18"/>
                <w:szCs w:val="18"/>
              </w:rPr>
            </w:pPr>
            <w:r>
              <w:rPr>
                <w:rFonts w:ascii="Times New Roman"/>
                <w:sz w:val="18"/>
              </w:rPr>
              <w:t>-16,127,666.67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-1,986,666.67</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42" w:right="0"/>
              <w:jc w:val="left"/>
              <w:rPr>
                <w:rFonts w:ascii="Times New Roman" w:hAnsi="Times New Roman" w:cs="Times New Roman" w:eastAsia="Times New Roman" w:hint="default"/>
                <w:sz w:val="18"/>
                <w:szCs w:val="18"/>
              </w:rPr>
            </w:pPr>
            <w:r>
              <w:rPr>
                <w:rFonts w:ascii="Times New Roman"/>
                <w:sz w:val="18"/>
              </w:rPr>
              <w:t>-724,673,391.47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146,807,140.65</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49"/>
              <w:ind w:left="12" w:right="1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902" w:right="0"/>
              <w:jc w:val="left"/>
              <w:rPr>
                <w:rFonts w:ascii="Times New Roman" w:hAnsi="Times New Roman" w:cs="Times New Roman" w:eastAsia="Times New Roman" w:hint="default"/>
                <w:sz w:val="18"/>
                <w:szCs w:val="18"/>
              </w:rPr>
            </w:pPr>
            <w:r>
              <w:rPr>
                <w:rFonts w:ascii="Times New Roman"/>
                <w:sz w:val="18"/>
              </w:rPr>
              <w:t>409,022,972.53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1,265,263,705.59</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767" w:right="0"/>
              <w:jc w:val="left"/>
              <w:rPr>
                <w:rFonts w:ascii="Times New Roman" w:hAnsi="Times New Roman" w:cs="Times New Roman" w:eastAsia="Times New Roman" w:hint="default"/>
                <w:sz w:val="18"/>
                <w:szCs w:val="18"/>
              </w:rPr>
            </w:pPr>
            <w:r>
              <w:rPr>
                <w:rFonts w:ascii="Times New Roman"/>
                <w:sz w:val="18"/>
              </w:rPr>
              <w:t>1,265,263,705.59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477,806,519.40</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842" w:right="0"/>
              <w:jc w:val="left"/>
              <w:rPr>
                <w:rFonts w:ascii="Times New Roman" w:hAnsi="Times New Roman" w:cs="Times New Roman" w:eastAsia="Times New Roman" w:hint="default"/>
                <w:sz w:val="18"/>
                <w:szCs w:val="18"/>
              </w:rPr>
            </w:pPr>
            <w:r>
              <w:rPr>
                <w:rFonts w:ascii="Times New Roman"/>
                <w:sz w:val="18"/>
              </w:rPr>
              <w:t>-856,240,733.06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787,457,186.19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5"/>
      </w:tblGrid>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409,022,972.53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1,265,263,705.59</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289,584.77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169,020.23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408,731,324.01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1,264,554,499.11</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2,063.75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540,186.25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409,022,972.53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1,265,263,705.59</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57</w:t>
      </w:r>
      <w:r>
        <w:rPr/>
        <w:t>、所有权或使用权受到限制的资产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11,924,314.26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123,450,887.46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售后回购</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其他流动性资产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369,500,000.00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结构性存款</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504,875,201.72</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58</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3"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96,152,856.87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13,849,060.83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90,492,533.28</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33,686.11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262,829.14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1,571.85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1,313.91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南非兰特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10,225,849.04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0.5277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5,396,180.54</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108,275,781.15</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16,445,779.78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107,460,014.24</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欧元</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11,669.05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7.8023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91,045.43</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港币</w:t>
            </w:r>
          </w:p>
        </w:tc>
        <w:tc>
          <w:tcPr>
            <w:tcW w:w="22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202,208.69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0.8359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169,028.27</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南非兰特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1,053,047.58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0.5277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555,693.21</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78,488,810.40</w:t>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12,012,000.00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78,488,810.40</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6"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8,002,073.68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496"/>
        <w:gridCol w:w="2293"/>
        <w:gridCol w:w="2391"/>
        <w:gridCol w:w="2391"/>
      </w:tblGrid>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477,704.64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6.5342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3,121,417.66</w:t>
            </w:r>
          </w:p>
        </w:tc>
      </w:tr>
      <w:tr>
        <w:trPr>
          <w:trHeight w:val="404"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center"/>
              <w:rPr>
                <w:rFonts w:ascii="宋体" w:hAnsi="宋体" w:cs="宋体" w:eastAsia="宋体" w:hint="default"/>
                <w:sz w:val="18"/>
                <w:szCs w:val="18"/>
              </w:rPr>
            </w:pPr>
            <w:r>
              <w:rPr>
                <w:rFonts w:ascii="宋体" w:hAnsi="宋体" w:cs="宋体" w:eastAsia="宋体" w:hint="default"/>
                <w:sz w:val="18"/>
                <w:szCs w:val="18"/>
              </w:rPr>
              <w:t>南非兰特</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9,248,921.77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0.5277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4,880,656.02</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59" w:lineRule="auto" w:before="118"/>
        <w:ind w:right="0"/>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340" w:lineRule="auto"/>
        <w:ind w:left="513" w:right="0"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2"/>
        </w:rPr>
        <w:t>证通国际有限公司，主要经营地在香港，记账本位币为企业根据公司业务主要结算货币确定的人民币，当地政府规定记</w:t>
      </w:r>
    </w:p>
    <w:p>
      <w:pPr>
        <w:pStyle w:val="BodyText"/>
        <w:spacing w:line="240" w:lineRule="auto" w:before="1"/>
        <w:ind w:right="0"/>
        <w:jc w:val="left"/>
        <w:rPr>
          <w:rFonts w:ascii="宋体" w:hAnsi="宋体" w:cs="宋体" w:eastAsia="宋体" w:hint="default"/>
        </w:rPr>
      </w:pPr>
      <w:r>
        <w:rPr/>
        <w:t>账本位币由企业自行选择，选定后不得随意变更。</w:t>
      </w:r>
      <w:r>
        <w:rPr>
          <w:rFonts w:ascii="宋体" w:hAnsi="宋体" w:cs="宋体" w:eastAsia="宋体" w:hint="default"/>
        </w:rPr>
        <w:t> </w:t>
      </w:r>
    </w:p>
    <w:p>
      <w:pPr>
        <w:pStyle w:val="BodyText"/>
        <w:spacing w:line="316" w:lineRule="auto" w:before="76"/>
        <w:ind w:right="153" w:firstLine="360"/>
        <w:jc w:val="left"/>
        <w:rPr>
          <w:rFonts w:ascii="宋体" w:hAnsi="宋体" w:cs="宋体" w:eastAsia="宋体" w:hint="default"/>
        </w:rPr>
      </w:pPr>
      <w:r>
        <w:rPr>
          <w:rFonts w:ascii="宋体" w:hAnsi="宋体" w:cs="宋体" w:eastAsia="宋体" w:hint="default"/>
        </w:rPr>
        <w:t>SZZT SOUTH</w:t>
      </w:r>
      <w:r>
        <w:rPr>
          <w:rFonts w:ascii="宋体" w:hAnsi="宋体" w:cs="宋体" w:eastAsia="宋体" w:hint="default"/>
          <w:spacing w:val="-9"/>
        </w:rPr>
        <w:t> </w:t>
      </w:r>
      <w:r>
        <w:rPr>
          <w:rFonts w:ascii="宋体" w:hAnsi="宋体" w:cs="宋体" w:eastAsia="宋体" w:hint="default"/>
        </w:rPr>
        <w:t>Africa(PTY).,Ltd</w:t>
      </w:r>
      <w:r>
        <w:rPr/>
        <w:t>，主要经营地在南非，记账本位币为企业根据公司业务主要结算货币确定的南非兰特， 当地政府规定记账本位币由企业自行选择，选定后不得随意变更。</w:t>
      </w:r>
      <w:r>
        <w:rPr>
          <w:rFonts w:ascii="宋体" w:hAnsi="宋体" w:cs="宋体" w:eastAsia="宋体" w:hint="default"/>
        </w:rPr>
        <w:t> </w:t>
      </w:r>
    </w:p>
    <w:p>
      <w:pPr>
        <w:spacing w:line="240" w:lineRule="auto" w:before="12"/>
        <w:rPr>
          <w:rFonts w:ascii="宋体" w:hAnsi="宋体" w:cs="宋体" w:eastAsia="宋体" w:hint="default"/>
          <w:sz w:val="20"/>
          <w:szCs w:val="20"/>
        </w:rPr>
      </w:pPr>
    </w:p>
    <w:p>
      <w:pPr>
        <w:pStyle w:val="Heading2"/>
        <w:spacing w:line="240" w:lineRule="auto"/>
        <w:ind w:right="0"/>
        <w:jc w:val="left"/>
        <w:rPr>
          <w:b w:val="0"/>
          <w:bCs w:val="0"/>
        </w:rPr>
      </w:pP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2934"/>
        <w:jc w:val="left"/>
      </w:pPr>
      <w:r>
        <w:rPr/>
        <w:t>说明其他原因导致的合并范围变动（如，新设子公司、清算子公司等）及其相关情况： 本期通过设立或投资等方式取得的子公司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before="44"/>
        <w:ind w:left="0" w:right="370"/>
        <w:jc w:val="right"/>
      </w:pPr>
      <w:r>
        <w:rPr/>
        <w:pict>
          <v:shape style="position:absolute;margin-left:56.279999pt;margin-top:-159.028275pt;width:468.1pt;height:255.65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80"/>
                    <w:gridCol w:w="998"/>
                    <w:gridCol w:w="569"/>
                    <w:gridCol w:w="850"/>
                    <w:gridCol w:w="1270"/>
                    <w:gridCol w:w="4374"/>
                  </w:tblGrid>
                  <w:tr>
                    <w:trPr>
                      <w:trHeight w:val="348" w:hRule="exact"/>
                    </w:trPr>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82" w:right="0"/>
                          <w:jc w:val="left"/>
                          <w:rPr>
                            <w:rFonts w:ascii="宋体" w:hAnsi="宋体" w:cs="宋体" w:eastAsia="宋体" w:hint="default"/>
                            <w:sz w:val="18"/>
                            <w:szCs w:val="18"/>
                          </w:rPr>
                        </w:pPr>
                        <w:r>
                          <w:rPr>
                            <w:rFonts w:ascii="宋体" w:hAnsi="宋体" w:cs="宋体" w:eastAsia="宋体" w:hint="default"/>
                            <w:b/>
                            <w:bCs/>
                            <w:sz w:val="18"/>
                            <w:szCs w:val="18"/>
                          </w:rPr>
                          <w:t>子公司全称</w:t>
                        </w:r>
                        <w:r>
                          <w:rPr>
                            <w:rFonts w:ascii="宋体" w:hAnsi="宋体" w:cs="宋体" w:eastAsia="宋体" w:hint="default"/>
                            <w:sz w:val="18"/>
                            <w:szCs w:val="18"/>
                          </w:rPr>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b/>
                            <w:bCs/>
                            <w:sz w:val="18"/>
                            <w:szCs w:val="18"/>
                          </w:rPr>
                          <w:t>子公司类型</w:t>
                        </w:r>
                        <w:r>
                          <w:rPr>
                            <w:rFonts w:ascii="宋体" w:hAnsi="宋体" w:cs="宋体" w:eastAsia="宋体" w:hint="default"/>
                            <w:sz w:val="18"/>
                            <w:szCs w:val="18"/>
                          </w:rPr>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注册地</w:t>
                        </w:r>
                        <w:r>
                          <w:rPr>
                            <w:rFonts w:ascii="宋体" w:hAnsi="宋体" w:cs="宋体" w:eastAsia="宋体" w:hint="default"/>
                            <w:sz w:val="18"/>
                            <w:szCs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7" w:right="0"/>
                          <w:jc w:val="left"/>
                          <w:rPr>
                            <w:rFonts w:ascii="宋体" w:hAnsi="宋体" w:cs="宋体" w:eastAsia="宋体" w:hint="default"/>
                            <w:sz w:val="18"/>
                            <w:szCs w:val="18"/>
                          </w:rPr>
                        </w:pPr>
                        <w:r>
                          <w:rPr>
                            <w:rFonts w:ascii="宋体" w:hAnsi="宋体" w:cs="宋体" w:eastAsia="宋体" w:hint="default"/>
                            <w:b/>
                            <w:bCs/>
                            <w:sz w:val="18"/>
                            <w:szCs w:val="18"/>
                          </w:rPr>
                          <w:t>业务性质</w:t>
                        </w:r>
                        <w:r>
                          <w:rPr>
                            <w:rFonts w:ascii="宋体" w:hAnsi="宋体" w:cs="宋体" w:eastAsia="宋体" w:hint="default"/>
                            <w:sz w:val="18"/>
                            <w:szCs w:val="18"/>
                          </w:rPr>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17"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注册资本</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元</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4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b/>
                            <w:bCs/>
                            <w:sz w:val="18"/>
                            <w:szCs w:val="18"/>
                          </w:rPr>
                          <w:t>经营范围</w:t>
                        </w:r>
                        <w:r>
                          <w:rPr>
                            <w:rFonts w:ascii="宋体" w:hAnsi="宋体" w:cs="宋体" w:eastAsia="宋体" w:hint="default"/>
                            <w:sz w:val="18"/>
                            <w:szCs w:val="18"/>
                          </w:rPr>
                        </w:r>
                      </w:p>
                    </w:tc>
                  </w:tr>
                  <w:tr>
                    <w:trPr>
                      <w:trHeight w:val="2218" w:hRule="exact"/>
                    </w:trPr>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贵州证通光电有 限公司</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center"/>
                          <w:rPr>
                            <w:rFonts w:ascii="宋体" w:hAnsi="宋体" w:cs="宋体" w:eastAsia="宋体" w:hint="default"/>
                            <w:sz w:val="18"/>
                            <w:szCs w:val="18"/>
                          </w:rPr>
                        </w:pPr>
                        <w:r>
                          <w:rPr>
                            <w:rFonts w:ascii="宋体" w:hAnsi="宋体" w:cs="宋体" w:eastAsia="宋体" w:hint="default"/>
                            <w:sz w:val="18"/>
                            <w:szCs w:val="18"/>
                          </w:rPr>
                          <w:t>全资子公司</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贵州省</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148" w:right="53" w:hanging="89"/>
                          <w:jc w:val="left"/>
                          <w:rPr>
                            <w:rFonts w:ascii="宋体" w:hAnsi="宋体" w:cs="宋体" w:eastAsia="宋体" w:hint="default"/>
                            <w:sz w:val="18"/>
                            <w:szCs w:val="18"/>
                          </w:rPr>
                        </w:pPr>
                        <w:r>
                          <w:rPr>
                            <w:rFonts w:ascii="宋体" w:hAnsi="宋体" w:cs="宋体" w:eastAsia="宋体" w:hint="default"/>
                            <w:sz w:val="18"/>
                            <w:szCs w:val="18"/>
                          </w:rPr>
                          <w:t>土木工程 建筑业</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100,000.00</w:t>
                        </w:r>
                      </w:p>
                    </w:tc>
                    <w:tc>
                      <w:tcPr>
                        <w:tcW w:w="4374"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7"/>
                          <w:ind w:left="4" w:right="-5" w:firstLine="360"/>
                          <w:jc w:val="both"/>
                          <w:rPr>
                            <w:rFonts w:ascii="宋体" w:hAnsi="宋体" w:cs="宋体" w:eastAsia="宋体" w:hint="default"/>
                            <w:sz w:val="18"/>
                            <w:szCs w:val="18"/>
                          </w:rPr>
                        </w:pPr>
                        <w:r>
                          <w:rPr>
                            <w:rFonts w:ascii="宋体" w:hAnsi="宋体" w:cs="宋体" w:eastAsia="宋体" w:hint="default"/>
                            <w:sz w:val="18"/>
                            <w:szCs w:val="18"/>
                          </w:rPr>
                          <w:t>道路照明工程、城市景观照明工程、节能环保工程 的建设、施工和维护；照明工程设计、景观亮化设计、</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施工及相关技术服务；电子产品，</w:t>
                        </w:r>
                        <w:r>
                          <w:rPr>
                            <w:rFonts w:ascii="Times New Roman" w:hAnsi="Times New Roman" w:cs="Times New Roman" w:eastAsia="Times New Roman" w:hint="default"/>
                            <w:sz w:val="18"/>
                            <w:szCs w:val="18"/>
                          </w:rPr>
                          <w:t>LED</w:t>
                        </w:r>
                        <w:r>
                          <w:rPr>
                            <w:rFonts w:ascii="宋体" w:hAnsi="宋体" w:cs="宋体" w:eastAsia="宋体" w:hint="default"/>
                            <w:sz w:val="18"/>
                            <w:szCs w:val="18"/>
                          </w:rPr>
                          <w:t>照明、风光发电</w:t>
                        </w:r>
                        <w:r>
                          <w:rPr>
                            <w:rFonts w:ascii="宋体" w:hAnsi="宋体" w:cs="宋体" w:eastAsia="宋体" w:hint="default"/>
                            <w:spacing w:val="-50"/>
                            <w:sz w:val="18"/>
                            <w:szCs w:val="18"/>
                          </w:rPr>
                          <w:t> </w:t>
                        </w:r>
                        <w:r>
                          <w:rPr>
                            <w:rFonts w:ascii="宋体" w:hAnsi="宋体" w:cs="宋体" w:eastAsia="宋体" w:hint="default"/>
                            <w:sz w:val="18"/>
                            <w:szCs w:val="18"/>
                          </w:rPr>
                          <w:t>设备、太阳能应用系统及相关应用工程产品的开发、生</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产、销售；能源管理方案的设计和实施及运营；节能方</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案咨询；节能服务、监测、管理、设备维护及</w:t>
                        </w:r>
                        <w:r>
                          <w:rPr>
                            <w:rFonts w:ascii="Times New Roman" w:hAnsi="Times New Roman" w:cs="Times New Roman" w:eastAsia="Times New Roman" w:hint="default"/>
                            <w:sz w:val="18"/>
                            <w:szCs w:val="18"/>
                          </w:rPr>
                          <w:t>EMC</w:t>
                        </w:r>
                        <w:r>
                          <w:rPr>
                            <w:rFonts w:ascii="宋体" w:hAnsi="宋体" w:cs="宋体" w:eastAsia="宋体" w:hint="default"/>
                            <w:sz w:val="18"/>
                            <w:szCs w:val="18"/>
                          </w:rPr>
                          <w:t>合同</w:t>
                        </w:r>
                        <w:r>
                          <w:rPr>
                            <w:rFonts w:ascii="宋体" w:hAnsi="宋体" w:cs="宋体" w:eastAsia="宋体" w:hint="default"/>
                            <w:spacing w:val="-87"/>
                            <w:sz w:val="18"/>
                            <w:szCs w:val="18"/>
                          </w:rPr>
                          <w:t> </w:t>
                        </w:r>
                        <w:r>
                          <w:rPr>
                            <w:rFonts w:ascii="宋体" w:hAnsi="宋体" w:cs="宋体" w:eastAsia="宋体" w:hint="default"/>
                            <w:sz w:val="18"/>
                            <w:szCs w:val="18"/>
                          </w:rPr>
                          <w:t>能源管理服务。</w:t>
                        </w:r>
                      </w:p>
                    </w:tc>
                  </w:tr>
                  <w:tr>
                    <w:trPr>
                      <w:trHeight w:val="2532" w:hRule="exact"/>
                    </w:trPr>
                    <w:tc>
                      <w:tcPr>
                        <w:tcW w:w="1280"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证通邦客</w:t>
                        </w:r>
                        <w:r>
                          <w:rPr>
                            <w:rFonts w:ascii="Times New Roman" w:hAnsi="Times New Roman" w:cs="Times New Roman" w:eastAsia="Times New Roman" w:hint="default"/>
                            <w:sz w:val="18"/>
                            <w:szCs w:val="18"/>
                          </w:rPr>
                          <w:t>(</w:t>
                        </w:r>
                        <w:r>
                          <w:rPr>
                            <w:rFonts w:ascii="宋体" w:hAnsi="宋体" w:cs="宋体" w:eastAsia="宋体" w:hint="default"/>
                            <w:sz w:val="18"/>
                            <w:szCs w:val="18"/>
                          </w:rPr>
                          <w:t>广州</w:t>
                        </w:r>
                        <w:r>
                          <w:rPr>
                            <w:rFonts w:ascii="Times New Roman" w:hAnsi="Times New Roman" w:cs="Times New Roman" w:eastAsia="Times New Roman" w:hint="default"/>
                            <w:sz w:val="18"/>
                            <w:szCs w:val="18"/>
                          </w:rPr>
                          <w:t>) </w:t>
                        </w:r>
                        <w:r>
                          <w:rPr>
                            <w:rFonts w:ascii="宋体" w:hAnsi="宋体" w:cs="宋体" w:eastAsia="宋体" w:hint="default"/>
                            <w:sz w:val="18"/>
                            <w:szCs w:val="18"/>
                          </w:rPr>
                          <w:t>信息科技有限公 司</w:t>
                        </w:r>
                      </w:p>
                    </w:tc>
                    <w:tc>
                      <w:tcPr>
                        <w:tcW w:w="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5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广州市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60" w:right="53"/>
                          <w:jc w:val="center"/>
                          <w:rPr>
                            <w:rFonts w:ascii="宋体" w:hAnsi="宋体" w:cs="宋体" w:eastAsia="宋体" w:hint="default"/>
                            <w:sz w:val="18"/>
                            <w:szCs w:val="18"/>
                          </w:rPr>
                        </w:pPr>
                        <w:r>
                          <w:rPr>
                            <w:rFonts w:ascii="宋体" w:hAnsi="宋体" w:cs="宋体" w:eastAsia="宋体" w:hint="default"/>
                            <w:sz w:val="18"/>
                            <w:szCs w:val="18"/>
                          </w:rPr>
                          <w:t>科技推广 和应用服 务业</w:t>
                        </w:r>
                      </w:p>
                    </w:tc>
                    <w:tc>
                      <w:tcPr>
                        <w:tcW w:w="12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15,000,000.00</w:t>
                        </w:r>
                      </w:p>
                    </w:tc>
                    <w:tc>
                      <w:tcPr>
                        <w:tcW w:w="4374"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 w:firstLine="360"/>
                          <w:jc w:val="left"/>
                          <w:rPr>
                            <w:rFonts w:ascii="宋体" w:hAnsi="宋体" w:cs="宋体" w:eastAsia="宋体" w:hint="default"/>
                            <w:sz w:val="18"/>
                            <w:szCs w:val="18"/>
                          </w:rPr>
                        </w:pPr>
                        <w:r>
                          <w:rPr>
                            <w:rFonts w:ascii="宋体" w:hAnsi="宋体" w:cs="宋体" w:eastAsia="宋体" w:hint="default"/>
                            <w:sz w:val="18"/>
                            <w:szCs w:val="18"/>
                          </w:rPr>
                          <w:t>信息系统集成服务；信息技术咨询服务；商品信息 咨询服务；信息电子技术服务；科技信息咨询服务；软</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3"/>
                            <w:sz w:val="18"/>
                            <w:szCs w:val="18"/>
                          </w:rPr>
                          <w:t>件开发；软件服务；软件测试服务；软件技术推广服务</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机器人系统生产；机器人修理；机器人销售；机器人系</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统销售；机器人的技术研究、技术开发；机器人系统技</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术服务；数据处理和存储服务；数据交易服务；数据处</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理和存储产品设计；市场营销策划服务；企业管理咨询</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服务；物联网技术研究开发。</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Heading2"/>
        <w:spacing w:line="240" w:lineRule="auto" w:before="26"/>
        <w:ind w:right="0"/>
        <w:jc w:val="left"/>
        <w:rPr>
          <w:b w:val="0"/>
          <w:bCs w:val="0"/>
        </w:rPr>
      </w:pPr>
      <w:r>
        <w:rPr/>
        <w:t>九、在其他主体中的权益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0"/>
        <w:gridCol w:w="1370"/>
        <w:gridCol w:w="1364"/>
        <w:gridCol w:w="1368"/>
        <w:gridCol w:w="2734"/>
        <w:gridCol w:w="1366"/>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深圳市证通普润 电子有限公司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深圳市证通数码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深圳市证通金信 科技有限公司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深圳市证通佳明 光电有限公司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定州市中标节能 技术服务有限公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证通国际投资有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商贸业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广州证通网络科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广州云硕科技发 展有限公司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广东宏达通信有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东莞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55.78%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SZZT</w:t>
            </w:r>
            <w:r>
              <w:rPr>
                <w:rFonts w:ascii="Times New Roman"/>
                <w:spacing w:val="-8"/>
                <w:sz w:val="18"/>
              </w:rPr>
              <w:t> </w:t>
            </w:r>
            <w:r>
              <w:rPr>
                <w:rFonts w:ascii="Times New Roman"/>
                <w:sz w:val="18"/>
              </w:rPr>
              <w:t>SOUTH</w:t>
            </w:r>
          </w:p>
          <w:p>
            <w:pPr>
              <w:pStyle w:val="TableParagraph"/>
              <w:spacing w:line="240" w:lineRule="auto" w:before="105"/>
              <w:ind w:left="24" w:right="0"/>
              <w:jc w:val="left"/>
              <w:rPr>
                <w:rFonts w:ascii="Times New Roman" w:hAnsi="Times New Roman" w:cs="Times New Roman" w:eastAsia="Times New Roman" w:hint="default"/>
                <w:sz w:val="18"/>
                <w:szCs w:val="18"/>
              </w:rPr>
            </w:pPr>
            <w:r>
              <w:rPr>
                <w:rFonts w:ascii="Times New Roman"/>
                <w:sz w:val="18"/>
              </w:rPr>
              <w:t>Africa(PTY).,Ltd</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南非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纽卡斯尔区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商贸业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长沙证通云计算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四川蜀信易电子 商务有限公司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互联网行业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深圳市证通云计 算有限公司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贵州证通光电有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贵州省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贵州省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土木工程建筑业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证通邦客</w:t>
            </w:r>
            <w:r>
              <w:rPr>
                <w:rFonts w:ascii="Times New Roman" w:hAnsi="Times New Roman" w:cs="Times New Roman" w:eastAsia="Times New Roman" w:hint="default"/>
                <w:sz w:val="18"/>
                <w:szCs w:val="18"/>
              </w:rPr>
              <w:t>(</w:t>
            </w:r>
            <w:r>
              <w:rPr>
                <w:rFonts w:ascii="宋体" w:hAnsi="宋体" w:cs="宋体" w:eastAsia="宋体" w:hint="default"/>
                <w:sz w:val="18"/>
                <w:szCs w:val="18"/>
              </w:rPr>
              <w:t>广州</w:t>
            </w:r>
            <w:r>
              <w:rPr>
                <w:rFonts w:ascii="Times New Roman" w:hAnsi="Times New Roman" w:cs="Times New Roman" w:eastAsia="Times New Roman" w:hint="default"/>
                <w:sz w:val="18"/>
                <w:szCs w:val="18"/>
              </w:rPr>
              <w:t>) </w:t>
            </w:r>
            <w:r>
              <w:rPr>
                <w:rFonts w:ascii="宋体" w:hAnsi="宋体" w:cs="宋体" w:eastAsia="宋体" w:hint="default"/>
                <w:sz w:val="18"/>
                <w:szCs w:val="18"/>
              </w:rPr>
              <w:t>信息科技有限公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科技推广和应用 服务业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pStyle w:val="BodyText"/>
        <w:spacing w:line="357" w:lineRule="auto" w:before="49"/>
        <w:ind w:right="1854"/>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57" w:lineRule="auto" w:before="29"/>
        <w:ind w:right="6714"/>
        <w:jc w:val="left"/>
      </w:pPr>
      <w:r>
        <w:rPr/>
        <w:t>确定公司是代理人还是委托人的依据： 其他说明：</w:t>
      </w:r>
    </w:p>
    <w:p>
      <w:pPr>
        <w:spacing w:after="0" w:line="357"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6"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50"/>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广州云硕科技发展有限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-6,986,513.06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19,040,999.95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57"/>
              <w:jc w:val="center"/>
              <w:rPr>
                <w:rFonts w:ascii="宋体" w:hAnsi="宋体" w:cs="宋体" w:eastAsia="宋体" w:hint="default"/>
                <w:sz w:val="18"/>
                <w:szCs w:val="18"/>
              </w:rPr>
            </w:pPr>
            <w:r>
              <w:rPr>
                <w:rFonts w:ascii="宋体" w:hAnsi="宋体" w:cs="宋体" w:eastAsia="宋体" w:hint="default"/>
                <w:sz w:val="18"/>
                <w:szCs w:val="18"/>
              </w:rPr>
              <w:t>广东宏达通信有限公司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-4,149,039.04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11,703,861.37</w:t>
            </w:r>
          </w:p>
        </w:tc>
      </w:tr>
    </w:tbl>
    <w:p>
      <w:pPr>
        <w:pStyle w:val="BodyText"/>
        <w:spacing w:line="357" w:lineRule="auto" w:before="49"/>
        <w:ind w:right="5454"/>
        <w:jc w:val="left"/>
      </w:pPr>
      <w:r>
        <w:rPr/>
        <w:t>子公司少数股东的持股比例不同于表决权比例的说明： 其他说明：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4"/>
        <w:gridCol w:w="735"/>
        <w:gridCol w:w="734"/>
        <w:gridCol w:w="737"/>
        <w:gridCol w:w="737"/>
        <w:gridCol w:w="734"/>
        <w:gridCol w:w="737"/>
      </w:tblGrid>
      <w:tr>
        <w:trPr>
          <w:trHeight w:val="403"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2" w:right="92"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9"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广州云 硕科技 发展有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230,179,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633.80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562,704,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320.08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792,883,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953.88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593,485,</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945.96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135,928,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008.09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729,413,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954.05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105,678,</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342.62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581,448,</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309.29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687,126,</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651.91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485,048,</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902.86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115,319,</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372.35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600,368,</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275.21</w:t>
            </w:r>
          </w:p>
        </w:tc>
      </w:tr>
      <w:tr>
        <w:trPr>
          <w:trHeight w:val="1337"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61"/>
              <w:jc w:val="both"/>
              <w:rPr>
                <w:rFonts w:ascii="宋体" w:hAnsi="宋体" w:cs="宋体" w:eastAsia="宋体" w:hint="default"/>
                <w:sz w:val="18"/>
                <w:szCs w:val="18"/>
              </w:rPr>
            </w:pPr>
            <w:r>
              <w:rPr>
                <w:rFonts w:ascii="宋体" w:hAnsi="宋体" w:cs="宋体" w:eastAsia="宋体" w:hint="default"/>
                <w:sz w:val="18"/>
                <w:szCs w:val="18"/>
              </w:rPr>
              <w:t>广东宏 达通信 有限公 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26,441,7</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37.20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198,203,</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207.15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224,644,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944.35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198,177,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596.15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198,177,</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596.15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23,703,3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27.82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163,561,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149.96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187,264,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477.78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Times New Roman" w:hAnsi="Times New Roman" w:cs="Times New Roman" w:eastAsia="Times New Roman" w:hint="default"/>
                <w:sz w:val="18"/>
                <w:szCs w:val="18"/>
              </w:rPr>
            </w:pPr>
            <w:r>
              <w:rPr>
                <w:rFonts w:ascii="Times New Roman"/>
                <w:sz w:val="18"/>
              </w:rPr>
              <w:t>151,414,</w:t>
            </w:r>
          </w:p>
          <w:p>
            <w:pPr>
              <w:pStyle w:val="TableParagraph"/>
              <w:spacing w:line="240" w:lineRule="auto" w:before="105"/>
              <w:ind w:left="189" w:right="0"/>
              <w:jc w:val="center"/>
              <w:rPr>
                <w:rFonts w:ascii="Times New Roman" w:hAnsi="Times New Roman" w:cs="Times New Roman" w:eastAsia="Times New Roman" w:hint="default"/>
                <w:sz w:val="18"/>
                <w:szCs w:val="18"/>
              </w:rPr>
            </w:pPr>
            <w:r>
              <w:rPr>
                <w:rFonts w:ascii="Times New Roman"/>
                <w:sz w:val="18"/>
              </w:rPr>
              <w:t>409.01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151,414,</w:t>
            </w:r>
          </w:p>
          <w:p>
            <w:pPr>
              <w:pStyle w:val="TableParagraph"/>
              <w:spacing w:line="240" w:lineRule="auto" w:before="105"/>
              <w:ind w:left="185" w:right="0"/>
              <w:jc w:val="center"/>
              <w:rPr>
                <w:rFonts w:ascii="Times New Roman" w:hAnsi="Times New Roman" w:cs="Times New Roman" w:eastAsia="Times New Roman" w:hint="default"/>
                <w:sz w:val="18"/>
                <w:szCs w:val="18"/>
              </w:rPr>
            </w:pPr>
            <w:r>
              <w:rPr>
                <w:rFonts w:ascii="Times New Roman"/>
                <w:sz w:val="18"/>
              </w:rPr>
              <w:t>409.01</w:t>
            </w:r>
          </w:p>
        </w:tc>
      </w:tr>
    </w:tbl>
    <w:p>
      <w:pPr>
        <w:pStyle w:val="BodyText"/>
        <w:spacing w:line="240" w:lineRule="auto" w:before="49"/>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both"/>
              <w:rPr>
                <w:rFonts w:ascii="宋体" w:hAnsi="宋体" w:cs="宋体" w:eastAsia="宋体" w:hint="default"/>
                <w:sz w:val="18"/>
                <w:szCs w:val="18"/>
              </w:rPr>
            </w:pPr>
            <w:r>
              <w:rPr>
                <w:rFonts w:ascii="宋体" w:hAnsi="宋体" w:cs="宋体" w:eastAsia="宋体" w:hint="default"/>
                <w:sz w:val="18"/>
                <w:szCs w:val="18"/>
              </w:rPr>
              <w:t>广州云硕科 技发展有限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253,775,928.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-23,288,376.8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-23,288,376.8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-80,600,905.6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116,605,666.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-1,745,609.22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-1,745,609.22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-20,564,365.5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71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5"/>
              <w:jc w:val="left"/>
              <w:rPr>
                <w:rFonts w:ascii="宋体" w:hAnsi="宋体" w:cs="宋体" w:eastAsia="宋体" w:hint="default"/>
                <w:sz w:val="18"/>
                <w:szCs w:val="18"/>
              </w:rPr>
            </w:pPr>
            <w:r>
              <w:rPr>
                <w:rFonts w:ascii="宋体" w:hAnsi="宋体" w:cs="宋体" w:eastAsia="宋体" w:hint="default"/>
                <w:sz w:val="18"/>
                <w:szCs w:val="18"/>
              </w:rPr>
              <w:t>广东宏达通 信有限公司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44,177,261.4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-9,382,720.57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-9,382,720.57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3" w:right="0"/>
              <w:jc w:val="left"/>
              <w:rPr>
                <w:rFonts w:ascii="Times New Roman" w:hAnsi="Times New Roman" w:cs="Times New Roman" w:eastAsia="Times New Roman" w:hint="default"/>
                <w:sz w:val="18"/>
                <w:szCs w:val="18"/>
              </w:rPr>
            </w:pPr>
            <w:r>
              <w:rPr>
                <w:rFonts w:ascii="Times New Roman"/>
                <w:sz w:val="18"/>
              </w:rPr>
              <w:t>697,259.92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142,965,898.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-4,143,055.12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-4,143,055.12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174,948,222.</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23</w:t>
            </w:r>
          </w:p>
        </w:tc>
      </w:tr>
    </w:tbl>
    <w:p>
      <w:pPr>
        <w:pStyle w:val="BodyText"/>
        <w:spacing w:line="240" w:lineRule="auto" w:before="49"/>
        <w:ind w:right="0"/>
        <w:jc w:val="left"/>
      </w:pPr>
      <w:r>
        <w:rPr/>
        <w:t>其他说明：</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178"/>
        <w:jc w:val="left"/>
        <w:rPr>
          <w:b w:val="0"/>
          <w:bCs w:val="0"/>
        </w:rPr>
      </w:pPr>
      <w:r>
        <w:rPr>
          <w:rFonts w:ascii="Times New Roman" w:hAnsi="Times New Roman" w:cs="Times New Roman" w:eastAsia="Times New Roman" w:hint="default"/>
        </w:rPr>
        <w:t>2</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78"/>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3"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5"/>
              <w:jc w:val="left"/>
              <w:rPr>
                <w:rFonts w:ascii="宋体" w:hAnsi="宋体" w:cs="宋体" w:eastAsia="宋体" w:hint="default"/>
                <w:sz w:val="18"/>
                <w:szCs w:val="18"/>
              </w:rPr>
            </w:pPr>
            <w:r>
              <w:rPr>
                <w:rFonts w:ascii="宋体" w:hAnsi="宋体" w:cs="宋体" w:eastAsia="宋体" w:hint="default"/>
                <w:sz w:val="18"/>
                <w:szCs w:val="18"/>
              </w:rPr>
              <w:t>深圳市通新源物 业管理有限公司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有限责任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779" w:right="0"/>
              <w:jc w:val="left"/>
              <w:rPr>
                <w:rFonts w:ascii="Times New Roman" w:hAnsi="Times New Roman" w:cs="Times New Roman" w:eastAsia="Times New Roman" w:hint="default"/>
                <w:sz w:val="18"/>
                <w:szCs w:val="18"/>
              </w:rPr>
            </w:pPr>
            <w:r>
              <w:rPr>
                <w:rFonts w:ascii="Times New Roman"/>
                <w:sz w:val="18"/>
              </w:rPr>
              <w:t>32.29%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240" w:lineRule="auto" w:before="49"/>
        <w:ind w:right="178"/>
        <w:jc w:val="left"/>
      </w:pPr>
      <w:r>
        <w:rPr/>
        <w:t>在合营企业或联营企业的持股比例不同于表决权比例的说明：</w:t>
      </w:r>
    </w:p>
    <w:p>
      <w:pPr>
        <w:pStyle w:val="BodyText"/>
        <w:spacing w:line="240" w:lineRule="auto" w:before="117"/>
        <w:ind w:right="178"/>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13"/>
        <w:rPr>
          <w:rFonts w:ascii="宋体" w:hAnsi="宋体" w:cs="宋体" w:eastAsia="宋体" w:hint="default"/>
          <w:sz w:val="25"/>
          <w:szCs w:val="25"/>
        </w:rPr>
      </w:pPr>
    </w:p>
    <w:p>
      <w:pPr>
        <w:pStyle w:val="Heading3"/>
        <w:spacing w:line="240" w:lineRule="auto"/>
        <w:ind w:right="178"/>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192" w:right="19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8"/>
        <w:gridCol w:w="3201"/>
        <w:gridCol w:w="3193"/>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1" w:type="dxa"/>
            <w:tcBorders>
              <w:top w:val="single" w:sz="4" w:space="0" w:color="000000"/>
              <w:left w:val="single" w:sz="10" w:space="0" w:color="D2D2D2"/>
              <w:bottom w:val="single" w:sz="4" w:space="0" w:color="000000"/>
              <w:right w:val="single" w:sz="4" w:space="0" w:color="000000"/>
            </w:tcBorders>
            <w:shd w:val="clear" w:color="auto" w:fill="E0FFFF"/>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深圳市通新源物业管理有限公司</w:t>
            </w:r>
          </w:p>
        </w:tc>
        <w:tc>
          <w:tcPr>
            <w:tcW w:w="3193" w:type="dxa"/>
            <w:tcBorders>
              <w:top w:val="single" w:sz="4" w:space="0" w:color="000000"/>
              <w:left w:val="single" w:sz="4" w:space="0" w:color="000000"/>
              <w:bottom w:val="single" w:sz="4" w:space="0" w:color="000000"/>
              <w:right w:val="single" w:sz="4" w:space="0" w:color="000000"/>
            </w:tcBorders>
            <w:shd w:val="clear" w:color="auto" w:fill="E0FFFF"/>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深圳市通新源物业管理公司</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1,960,170.36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999,533.85</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76,690,359.78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79,330,945.75</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78,650,530.14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80,330,479.60</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337,094.79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318,719.51</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337,094.79</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318,719.51</w:t>
            </w:r>
          </w:p>
        </w:tc>
      </w:tr>
      <w:tr>
        <w:trPr>
          <w:trHeight w:val="404"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78,313,435.35</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80,011,760.09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25,287,408.27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25,835,797.33</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25,287,408.27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25,835,797.33</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2,846,224.37</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2,732,643.29</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-1,698,324.74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-1,704,429.29</w:t>
            </w: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-1,698,324.74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-1,704,429.29</w:t>
            </w:r>
          </w:p>
        </w:tc>
      </w:tr>
    </w:tbl>
    <w:p>
      <w:pPr>
        <w:pStyle w:val="BodyText"/>
        <w:spacing w:line="240" w:lineRule="auto" w:before="49"/>
        <w:ind w:right="6754"/>
        <w:jc w:val="left"/>
      </w:pPr>
      <w:r>
        <w:rPr/>
        <w:t>其他说明</w:t>
      </w:r>
    </w:p>
    <w:p>
      <w:pPr>
        <w:spacing w:line="240" w:lineRule="auto" w:before="3"/>
        <w:rPr>
          <w:rFonts w:ascii="宋体" w:hAnsi="宋体" w:cs="宋体" w:eastAsia="宋体" w:hint="default"/>
          <w:sz w:val="25"/>
          <w:szCs w:val="25"/>
        </w:rPr>
      </w:pPr>
    </w:p>
    <w:p>
      <w:pPr>
        <w:pStyle w:val="Heading2"/>
        <w:spacing w:line="240" w:lineRule="auto"/>
        <w:ind w:right="6754"/>
        <w:jc w:val="left"/>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92" w:firstLine="360"/>
        <w:jc w:val="both"/>
      </w:pPr>
      <w:r>
        <w:rPr>
          <w:spacing w:val="-2"/>
        </w:rPr>
        <w:t>本公司在经营过程中面临各种金融风险：信用风险、市场风险和流动性风险。公司董事会全面负责风险管理目标和政策</w:t>
      </w:r>
      <w:r>
        <w:rPr/>
        <w:t> </w:t>
      </w:r>
      <w:r>
        <w:rPr>
          <w:spacing w:val="-2"/>
        </w:rPr>
        <w:t>的确定，并对风险管理目标和政策承担最终责任，但是董事会已授权本公司内审部门设计和实施能确保风险管理目标和政策</w:t>
      </w:r>
      <w:r>
        <w:rPr>
          <w:spacing w:val="-64"/>
        </w:rPr>
        <w:t> </w:t>
      </w:r>
      <w:r>
        <w:rPr>
          <w:spacing w:val="-64"/>
        </w:rPr>
      </w:r>
      <w:r>
        <w:rPr>
          <w:spacing w:val="-2"/>
        </w:rPr>
        <w:t>得以有效执行的程序。董事会通过内审部门主管递交的月度报告来审查已执行程序的有效性以及风险管理目标和政策的合理</w:t>
      </w:r>
      <w:r>
        <w:rPr>
          <w:spacing w:val="-64"/>
        </w:rPr>
        <w:t> </w:t>
      </w:r>
      <w:r>
        <w:rPr>
          <w:spacing w:val="-64"/>
        </w:rPr>
      </w:r>
      <w:r>
        <w:rPr/>
        <w:t>性。本公司的内部审计师也会审计风险管理的政策和程序，并且将有关发现汇报给审计委员会。</w:t>
      </w:r>
    </w:p>
    <w:p>
      <w:pPr>
        <w:pStyle w:val="BodyText"/>
        <w:spacing w:line="309" w:lineRule="auto" w:before="17"/>
        <w:ind w:left="513" w:right="93"/>
        <w:jc w:val="left"/>
      </w:pPr>
      <w:r>
        <w:rPr/>
        <w:t>本公司风险管理的总体目标是在不过度影响公司竞争力和应变力的情况下，制定尽可能降低风险的风险管理政策。 </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信用风险 </w:t>
      </w:r>
      <w:r>
        <w:rPr>
          <w:spacing w:val="-4"/>
        </w:rPr>
        <w:t>信用风险是指金融工具的一方不履行义务，造成另一方发生财务损失的风险。本公司主要面临赊销导致的客户信用风险。</w:t>
      </w:r>
    </w:p>
    <w:p>
      <w:pPr>
        <w:pStyle w:val="BodyText"/>
        <w:spacing w:line="240" w:lineRule="auto" w:before="24"/>
        <w:ind w:right="178"/>
        <w:jc w:val="left"/>
      </w:pPr>
      <w:r>
        <w:rPr/>
        <w:t>在签订新合同之前，本公司会对新客户的信用风险进行评估，包括外部信用评级和在某些情况下的银行资信证明</w:t>
      </w:r>
      <w:r>
        <w:rPr>
          <w:rFonts w:ascii="Times New Roman" w:hAnsi="Times New Roman" w:cs="Times New Roman" w:eastAsia="Times New Roman" w:hint="default"/>
        </w:rPr>
        <w:t>(</w:t>
      </w:r>
      <w:r>
        <w:rPr/>
        <w:t>当此信息</w:t>
      </w:r>
    </w:p>
    <w:p>
      <w:pPr>
        <w:spacing w:after="0" w:line="240" w:lineRule="auto"/>
        <w:jc w:val="left"/>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pStyle w:val="BodyText"/>
        <w:spacing w:line="300" w:lineRule="auto" w:before="44"/>
        <w:ind w:left="513" w:right="233" w:hanging="361"/>
        <w:jc w:val="left"/>
      </w:pPr>
      <w:r>
        <w:rPr/>
        <w:t>可获取时</w:t>
      </w:r>
      <w:r>
        <w:rPr>
          <w:rFonts w:ascii="Times New Roman" w:hAnsi="Times New Roman" w:cs="Times New Roman" w:eastAsia="Times New Roman" w:hint="default"/>
        </w:rPr>
        <w:t>)</w:t>
      </w:r>
      <w:r>
        <w:rPr/>
        <w:t>。公司对每一客户均设置了赊销限额，该限额为无需获得额外批准的最大额度。 公司通过对已有客户信用评级的季度监控以及应收账款账龄分析的月度审核来确保公司的整体信用风险在可控的范围</w:t>
      </w:r>
    </w:p>
    <w:p>
      <w:pPr>
        <w:pStyle w:val="BodyText"/>
        <w:spacing w:line="300" w:lineRule="auto" w:before="31"/>
        <w:ind w:right="148"/>
        <w:jc w:val="both"/>
      </w:pPr>
      <w:r>
        <w:rPr>
          <w:spacing w:val="-2"/>
        </w:rPr>
        <w:t>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w:t>
      </w:r>
      <w:r>
        <w:rPr>
          <w:spacing w:val="-41"/>
        </w:rPr>
        <w:t> </w:t>
      </w:r>
      <w:r>
        <w:rPr>
          <w:spacing w:val="-41"/>
        </w:rPr>
      </w:r>
      <w:r>
        <w:rPr/>
        <w:t>只有在额外批准的前提下，公司才可在未来期间内对其赊销，否则必须要求其提前支付相应款项。</w:t>
      </w:r>
    </w:p>
    <w:p>
      <w:pPr>
        <w:pStyle w:val="BodyText"/>
        <w:spacing w:line="300" w:lineRule="auto" w:before="31"/>
        <w:ind w:left="513"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t>市场风险</w:t>
      </w:r>
      <w:r>
        <w:rPr>
          <w:w w:val="99"/>
        </w:rPr>
        <w:t> </w:t>
      </w:r>
      <w:r>
        <w:rPr>
          <w:spacing w:val="-2"/>
        </w:rPr>
        <w:t>金融工具的市场风险，是指金融工具的公允价值或未来现金流量因市场价格变动而发生波动的风险，包括汇率风险、利</w:t>
      </w:r>
    </w:p>
    <w:p>
      <w:pPr>
        <w:pStyle w:val="BodyText"/>
        <w:spacing w:line="240" w:lineRule="auto" w:before="31"/>
        <w:ind w:right="0"/>
        <w:jc w:val="left"/>
      </w:pPr>
      <w:r>
        <w:rPr/>
        <w:t>率风险和其他价格风险。</w:t>
      </w:r>
    </w:p>
    <w:p>
      <w:pPr>
        <w:pStyle w:val="BodyText"/>
        <w:spacing w:line="300" w:lineRule="auto" w:before="76"/>
        <w:ind w:left="513" w:right="0"/>
        <w:jc w:val="left"/>
      </w:pPr>
      <w:r>
        <w:rPr>
          <w:rFonts w:ascii="Times New Roman" w:hAnsi="Times New Roman" w:cs="Times New Roman" w:eastAsia="Times New Roman" w:hint="default"/>
        </w:rPr>
        <w:t>(1)</w:t>
      </w:r>
      <w:r>
        <w:rPr/>
        <w:t>利率风险</w:t>
      </w:r>
      <w:r>
        <w:rPr>
          <w:w w:val="99"/>
        </w:rPr>
        <w:t> </w:t>
      </w:r>
      <w:r>
        <w:rPr>
          <w:spacing w:val="-2"/>
        </w:rPr>
        <w:t>利率风险，是指金融工具的公允价值或未来现金流量因市场利率变动而发生波动的风险。本公司面临的利率风险主要来</w:t>
      </w:r>
    </w:p>
    <w:p>
      <w:pPr>
        <w:pStyle w:val="BodyText"/>
        <w:spacing w:line="316" w:lineRule="auto" w:before="31"/>
        <w:ind w:left="513" w:right="0" w:hanging="361"/>
        <w:jc w:val="left"/>
      </w:pPr>
      <w:r>
        <w:rPr/>
        <w:t>源于银行借款。 </w:t>
      </w:r>
      <w:r>
        <w:rPr>
          <w:spacing w:val="-2"/>
        </w:rPr>
        <w:t>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日，本公司以浮动利率计算的借款人民币</w:t>
      </w:r>
      <w:r>
        <w:rPr>
          <w:rFonts w:ascii="Times New Roman" w:hAnsi="Times New Roman" w:cs="Times New Roman" w:eastAsia="Times New Roman" w:hint="default"/>
          <w:spacing w:val="-2"/>
        </w:rPr>
        <w:t>1,126,677,997.19</w:t>
      </w:r>
      <w:r>
        <w:rPr>
          <w:spacing w:val="-2"/>
        </w:rPr>
        <w:t>元，在其他变量保持不变的情况下，假定借款</w:t>
      </w:r>
    </w:p>
    <w:p>
      <w:pPr>
        <w:pStyle w:val="BodyText"/>
        <w:spacing w:line="300" w:lineRule="auto"/>
        <w:ind w:right="204"/>
        <w:jc w:val="both"/>
      </w:pPr>
      <w:r>
        <w:rPr/>
        <w:t>利率变动</w:t>
      </w:r>
      <w:r>
        <w:rPr>
          <w:rFonts w:ascii="Times New Roman" w:hAnsi="Times New Roman" w:cs="Times New Roman" w:eastAsia="Times New Roman" w:hint="default"/>
        </w:rPr>
        <w:t>50</w:t>
      </w:r>
      <w:r>
        <w:rPr/>
        <w:t>个基点，则本公司的净利润将减少或增加</w:t>
      </w:r>
      <w:r>
        <w:rPr>
          <w:rFonts w:ascii="Times New Roman" w:hAnsi="Times New Roman" w:cs="Times New Roman" w:eastAsia="Times New Roman" w:hint="default"/>
        </w:rPr>
        <w:t>5,633,389.99</w:t>
      </w:r>
      <w:r>
        <w:rPr/>
        <w:t>元。管理层认为</w:t>
      </w:r>
      <w:r>
        <w:rPr>
          <w:rFonts w:ascii="Times New Roman" w:hAnsi="Times New Roman" w:cs="Times New Roman" w:eastAsia="Times New Roman" w:hint="default"/>
        </w:rPr>
        <w:t>50</w:t>
      </w:r>
      <w:r>
        <w:rPr/>
        <w:t>个基点合理反映了下一年度利率可能发 生变动的合理范围。</w:t>
      </w:r>
    </w:p>
    <w:p>
      <w:pPr>
        <w:pStyle w:val="BodyText"/>
        <w:spacing w:line="300" w:lineRule="auto" w:before="32"/>
        <w:ind w:left="513" w:right="0"/>
        <w:jc w:val="left"/>
      </w:pPr>
      <w:r>
        <w:rPr>
          <w:rFonts w:ascii="Times New Roman" w:hAnsi="Times New Roman" w:cs="Times New Roman" w:eastAsia="Times New Roman" w:hint="default"/>
        </w:rPr>
        <w:t>(2)</w:t>
      </w:r>
      <w:r>
        <w:rPr/>
        <w:t>汇率风险</w:t>
      </w:r>
      <w:r>
        <w:rPr>
          <w:w w:val="99"/>
        </w:rPr>
        <w:t> </w:t>
      </w:r>
      <w:r>
        <w:rPr>
          <w:spacing w:val="-2"/>
        </w:rPr>
        <w:t>汇率风险，是指金融工具的公允价值或未来现金流量因外汇汇率变动而发生波动的风险。本公司尽可能将外币收入与外</w:t>
      </w:r>
    </w:p>
    <w:p>
      <w:pPr>
        <w:pStyle w:val="BodyText"/>
        <w:spacing w:line="316" w:lineRule="auto" w:before="31"/>
        <w:ind w:right="150"/>
        <w:jc w:val="both"/>
      </w:pPr>
      <w:r>
        <w:rPr>
          <w:spacing w:val="-2"/>
        </w:rPr>
        <w:t>币支出相匹配以降低汇率风险。境内公司以外币计价的金融资产金额很小，无以外币计价的金融负债。本公司面临的汇率风</w:t>
      </w:r>
      <w:r>
        <w:rPr>
          <w:spacing w:val="-63"/>
        </w:rPr>
        <w:t> </w:t>
      </w:r>
      <w:r>
        <w:rPr>
          <w:spacing w:val="-63"/>
        </w:rPr>
      </w:r>
      <w:r>
        <w:rPr>
          <w:spacing w:val="-2"/>
        </w:rPr>
        <w:t>险主要来源于境外公司以美元、欧元、港币计价的金融资产和金融负债。整个集团公司外币金融资产和外币金融负债折算成</w:t>
      </w:r>
      <w:r>
        <w:rPr>
          <w:spacing w:val="-66"/>
        </w:rPr>
        <w:t> </w:t>
      </w:r>
      <w:r>
        <w:rPr>
          <w:spacing w:val="-66"/>
        </w:rPr>
      </w:r>
      <w:r>
        <w:rPr/>
        <w:t>人民币的金额列示如下：</w:t>
      </w:r>
    </w:p>
    <w:tbl>
      <w:tblPr>
        <w:tblW w:w="0" w:type="auto"/>
        <w:jc w:val="left"/>
        <w:tblInd w:w="145" w:type="dxa"/>
        <w:tblLayout w:type="fixed"/>
        <w:tblCellMar>
          <w:top w:w="0" w:type="dxa"/>
          <w:left w:w="0" w:type="dxa"/>
          <w:bottom w:w="0" w:type="dxa"/>
          <w:right w:w="0" w:type="dxa"/>
        </w:tblCellMar>
        <w:tblLook w:val="01E0"/>
      </w:tblPr>
      <w:tblGrid>
        <w:gridCol w:w="1277"/>
        <w:gridCol w:w="1558"/>
        <w:gridCol w:w="1702"/>
        <w:gridCol w:w="1419"/>
        <w:gridCol w:w="1702"/>
        <w:gridCol w:w="1983"/>
      </w:tblGrid>
      <w:tr>
        <w:trPr>
          <w:trHeight w:val="427" w:hRule="exact"/>
        </w:trPr>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63"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27" w:hRule="exact"/>
        </w:trPr>
        <w:tc>
          <w:tcPr>
            <w:tcW w:w="1277" w:type="dxa"/>
            <w:vMerge/>
            <w:tcBorders>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美元</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南非兰特</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金融资产：</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90,492,533.28</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262,829.14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1,313.91</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5,396,180.54</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96,152,856.87</w:t>
            </w:r>
          </w:p>
        </w:tc>
      </w:tr>
      <w:tr>
        <w:trPr>
          <w:trHeight w:val="42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107,460,014.24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91,045.43</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169,026.24</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555,693.21</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108,275,779.12</w:t>
            </w:r>
          </w:p>
        </w:tc>
      </w:tr>
      <w:tr>
        <w:trPr>
          <w:trHeight w:val="425"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其他应收款</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245,522.65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245,522.65</w:t>
            </w:r>
          </w:p>
        </w:tc>
      </w:tr>
      <w:tr>
        <w:trPr>
          <w:trHeight w:val="42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197,952,547.52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353,874.57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170,340.15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6,197,396.40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204,674,158.64</w:t>
            </w:r>
          </w:p>
        </w:tc>
      </w:tr>
      <w:tr>
        <w:trPr>
          <w:trHeight w:val="42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金融负债：</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78,488,810.40</w:t>
            </w:r>
          </w:p>
        </w:tc>
        <w:tc>
          <w:tcPr>
            <w:tcW w:w="1702"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center"/>
              <w:rPr>
                <w:rFonts w:ascii="Times New Roman" w:hAnsi="Times New Roman" w:cs="Times New Roman" w:eastAsia="Times New Roman" w:hint="default"/>
                <w:sz w:val="18"/>
                <w:szCs w:val="18"/>
              </w:rPr>
            </w:pPr>
            <w:r>
              <w:rPr>
                <w:rFonts w:ascii="Times New Roman"/>
                <w:sz w:val="18"/>
              </w:rPr>
              <w:t>78,488,810.40</w:t>
            </w:r>
          </w:p>
        </w:tc>
      </w:tr>
      <w:tr>
        <w:trPr>
          <w:trHeight w:val="42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3,121,417.66</w:t>
            </w:r>
          </w:p>
        </w:tc>
        <w:tc>
          <w:tcPr>
            <w:tcW w:w="1702"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3,121,417.66</w:t>
            </w:r>
          </w:p>
        </w:tc>
      </w:tr>
      <w:tr>
        <w:trPr>
          <w:trHeight w:val="42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预收账款</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3,213,757.00</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263,689.07</w:t>
            </w:r>
          </w:p>
        </w:tc>
        <w:tc>
          <w:tcPr>
            <w:tcW w:w="141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3,477,446.07</w:t>
            </w:r>
          </w:p>
        </w:tc>
      </w:tr>
      <w:tr>
        <w:trPr>
          <w:trHeight w:val="42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84,823,985.06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263,689.07</w:t>
            </w:r>
          </w:p>
        </w:tc>
        <w:tc>
          <w:tcPr>
            <w:tcW w:w="141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85,087,674.13</w:t>
            </w:r>
          </w:p>
        </w:tc>
      </w:tr>
      <w:tr>
        <w:trPr>
          <w:trHeight w:val="42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净额</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113,128,562.46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90,185.50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170,340.15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6,197,396.40</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119,586,484.51</w:t>
            </w:r>
          </w:p>
        </w:tc>
      </w:tr>
    </w:tbl>
    <w:p>
      <w:pPr>
        <w:pStyle w:val="Heading4"/>
        <w:spacing w:line="289" w:lineRule="exact"/>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277"/>
        <w:gridCol w:w="1558"/>
        <w:gridCol w:w="1702"/>
        <w:gridCol w:w="1419"/>
        <w:gridCol w:w="1702"/>
        <w:gridCol w:w="1983"/>
      </w:tblGrid>
      <w:tr>
        <w:trPr>
          <w:trHeight w:val="428" w:hRule="exact"/>
        </w:trPr>
        <w:tc>
          <w:tcPr>
            <w:tcW w:w="1277" w:type="dxa"/>
            <w:vMerge w:val="restart"/>
            <w:tcBorders>
              <w:top w:val="single" w:sz="6" w:space="0" w:color="000000"/>
              <w:left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63"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7" w:hRule="exact"/>
        </w:trPr>
        <w:tc>
          <w:tcPr>
            <w:tcW w:w="1277" w:type="dxa"/>
            <w:vMerge/>
            <w:tcBorders>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美元</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港币</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南非兰特</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金融资产：</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48,895,986.83</w:t>
            </w:r>
          </w:p>
        </w:tc>
        <w:tc>
          <w:tcPr>
            <w:tcW w:w="1702"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24,662.33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11,529,986.25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60,450,635.41</w:t>
            </w:r>
          </w:p>
        </w:tc>
      </w:tr>
      <w:tr>
        <w:trPr>
          <w:trHeight w:val="42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68,402,702.43</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210,017.92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17,109.89</w:t>
            </w:r>
          </w:p>
        </w:tc>
        <w:tc>
          <w:tcPr>
            <w:tcW w:w="170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center"/>
              <w:rPr>
                <w:rFonts w:ascii="Times New Roman" w:hAnsi="Times New Roman" w:cs="Times New Roman" w:eastAsia="Times New Roman" w:hint="default"/>
                <w:sz w:val="18"/>
                <w:szCs w:val="18"/>
              </w:rPr>
            </w:pPr>
            <w:r>
              <w:rPr>
                <w:rFonts w:ascii="Times New Roman"/>
                <w:sz w:val="18"/>
              </w:rPr>
              <w:t>68,629,830.24</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277"/>
        <w:gridCol w:w="1558"/>
        <w:gridCol w:w="1702"/>
        <w:gridCol w:w="1419"/>
        <w:gridCol w:w="1702"/>
        <w:gridCol w:w="1983"/>
      </w:tblGrid>
      <w:tr>
        <w:trPr>
          <w:trHeight w:val="42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08" w:right="0"/>
              <w:jc w:val="left"/>
              <w:rPr>
                <w:rFonts w:ascii="Times New Roman" w:hAnsi="Times New Roman" w:cs="Times New Roman" w:eastAsia="Times New Roman" w:hint="default"/>
                <w:sz w:val="18"/>
                <w:szCs w:val="18"/>
              </w:rPr>
            </w:pPr>
            <w:r>
              <w:rPr>
                <w:rFonts w:ascii="Times New Roman"/>
                <w:sz w:val="18"/>
              </w:rPr>
              <w:t>117,298,689.26</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39" w:right="0"/>
              <w:jc w:val="left"/>
              <w:rPr>
                <w:rFonts w:ascii="Times New Roman" w:hAnsi="Times New Roman" w:cs="Times New Roman" w:eastAsia="Times New Roman" w:hint="default"/>
                <w:sz w:val="18"/>
                <w:szCs w:val="18"/>
              </w:rPr>
            </w:pPr>
            <w:r>
              <w:rPr>
                <w:rFonts w:ascii="Times New Roman"/>
                <w:sz w:val="18"/>
              </w:rPr>
              <w:t>210,017.92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43" w:right="0"/>
              <w:jc w:val="left"/>
              <w:rPr>
                <w:rFonts w:ascii="Times New Roman" w:hAnsi="Times New Roman" w:cs="Times New Roman" w:eastAsia="Times New Roman" w:hint="default"/>
                <w:sz w:val="18"/>
                <w:szCs w:val="18"/>
              </w:rPr>
            </w:pPr>
            <w:r>
              <w:rPr>
                <w:rFonts w:ascii="Times New Roman"/>
                <w:sz w:val="18"/>
              </w:rPr>
              <w:t>41,772.22</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11,529,986.25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20"/>
              <w:jc w:val="right"/>
              <w:rPr>
                <w:rFonts w:ascii="Times New Roman" w:hAnsi="Times New Roman" w:cs="Times New Roman" w:eastAsia="Times New Roman" w:hint="default"/>
                <w:sz w:val="18"/>
                <w:szCs w:val="18"/>
              </w:rPr>
            </w:pPr>
            <w:r>
              <w:rPr>
                <w:rFonts w:ascii="Times New Roman"/>
                <w:spacing w:val="-1"/>
                <w:sz w:val="18"/>
              </w:rPr>
              <w:t>129,080,465.65</w:t>
            </w:r>
          </w:p>
        </w:tc>
      </w:tr>
      <w:tr>
        <w:trPr>
          <w:trHeight w:val="428"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金融负债：</w:t>
            </w:r>
          </w:p>
        </w:tc>
        <w:tc>
          <w:tcPr>
            <w:tcW w:w="1558"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
        </w:tc>
      </w:tr>
      <w:tr>
        <w:trPr>
          <w:trHeight w:val="42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54" w:right="0"/>
              <w:jc w:val="left"/>
              <w:rPr>
                <w:rFonts w:ascii="Times New Roman" w:hAnsi="Times New Roman" w:cs="Times New Roman" w:eastAsia="Times New Roman" w:hint="default"/>
                <w:sz w:val="18"/>
                <w:szCs w:val="18"/>
              </w:rPr>
            </w:pPr>
            <w:r>
              <w:rPr>
                <w:rFonts w:ascii="Times New Roman"/>
                <w:sz w:val="18"/>
              </w:rPr>
              <w:t>83,327,244.00</w:t>
            </w:r>
          </w:p>
        </w:tc>
        <w:tc>
          <w:tcPr>
            <w:tcW w:w="1702" w:type="dxa"/>
            <w:tcBorders>
              <w:top w:val="single" w:sz="6" w:space="0" w:color="000000"/>
              <w:left w:val="single" w:sz="6" w:space="0" w:color="000000"/>
              <w:bottom w:val="single" w:sz="6" w:space="0" w:color="000000"/>
              <w:right w:val="single" w:sz="6" w:space="0" w:color="000000"/>
            </w:tcBorders>
          </w:tcPr>
          <w:p>
            <w:pPr/>
          </w:p>
        </w:tc>
        <w:tc>
          <w:tcPr>
            <w:tcW w:w="1419" w:type="dxa"/>
            <w:tcBorders>
              <w:top w:val="single" w:sz="6" w:space="0" w:color="000000"/>
              <w:left w:val="single" w:sz="6" w:space="0" w:color="000000"/>
              <w:bottom w:val="single" w:sz="6" w:space="0" w:color="000000"/>
              <w:right w:val="single" w:sz="6" w:space="0" w:color="000000"/>
            </w:tcBorders>
          </w:tcPr>
          <w:p>
            <w:pPr/>
          </w:p>
        </w:tc>
        <w:tc>
          <w:tcPr>
            <w:tcW w:w="170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66"/>
              <w:jc w:val="right"/>
              <w:rPr>
                <w:rFonts w:ascii="Times New Roman" w:hAnsi="Times New Roman" w:cs="Times New Roman" w:eastAsia="Times New Roman" w:hint="default"/>
                <w:sz w:val="18"/>
                <w:szCs w:val="18"/>
              </w:rPr>
            </w:pPr>
            <w:r>
              <w:rPr>
                <w:rFonts w:ascii="Times New Roman"/>
                <w:spacing w:val="-1"/>
                <w:sz w:val="18"/>
              </w:rPr>
              <w:t>83,327,244.00</w:t>
            </w:r>
          </w:p>
        </w:tc>
      </w:tr>
      <w:tr>
        <w:trPr>
          <w:trHeight w:val="42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预收账款</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97" w:right="0"/>
              <w:jc w:val="left"/>
              <w:rPr>
                <w:rFonts w:ascii="Times New Roman" w:hAnsi="Times New Roman" w:cs="Times New Roman" w:eastAsia="Times New Roman" w:hint="default"/>
                <w:sz w:val="18"/>
                <w:szCs w:val="18"/>
              </w:rPr>
            </w:pPr>
            <w:r>
              <w:rPr>
                <w:rFonts w:ascii="Times New Roman"/>
                <w:sz w:val="18"/>
              </w:rPr>
              <w:t>4,051,754.37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84" w:right="0"/>
              <w:jc w:val="left"/>
              <w:rPr>
                <w:rFonts w:ascii="Times New Roman" w:hAnsi="Times New Roman" w:cs="Times New Roman" w:eastAsia="Times New Roman" w:hint="default"/>
                <w:sz w:val="18"/>
                <w:szCs w:val="18"/>
              </w:rPr>
            </w:pPr>
            <w:r>
              <w:rPr>
                <w:rFonts w:ascii="Times New Roman"/>
                <w:sz w:val="18"/>
              </w:rPr>
              <w:t>45,877.21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76" w:right="0"/>
              <w:jc w:val="left"/>
              <w:rPr>
                <w:rFonts w:ascii="Times New Roman" w:hAnsi="Times New Roman" w:cs="Times New Roman" w:eastAsia="Times New Roman" w:hint="default"/>
                <w:sz w:val="18"/>
                <w:szCs w:val="18"/>
              </w:rPr>
            </w:pPr>
            <w:r>
              <w:rPr>
                <w:rFonts w:ascii="Times New Roman"/>
                <w:sz w:val="18"/>
              </w:rPr>
              <w:t>50,255.87</w:t>
            </w:r>
          </w:p>
        </w:tc>
        <w:tc>
          <w:tcPr>
            <w:tcW w:w="170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511" w:right="0"/>
              <w:jc w:val="left"/>
              <w:rPr>
                <w:rFonts w:ascii="Times New Roman" w:hAnsi="Times New Roman" w:cs="Times New Roman" w:eastAsia="Times New Roman" w:hint="default"/>
                <w:sz w:val="18"/>
                <w:szCs w:val="18"/>
              </w:rPr>
            </w:pPr>
            <w:r>
              <w:rPr>
                <w:rFonts w:ascii="Times New Roman"/>
                <w:sz w:val="18"/>
              </w:rPr>
              <w:t>4,147,887.45</w:t>
            </w:r>
          </w:p>
        </w:tc>
      </w:tr>
      <w:tr>
        <w:trPr>
          <w:trHeight w:val="42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54" w:right="0"/>
              <w:jc w:val="left"/>
              <w:rPr>
                <w:rFonts w:ascii="Times New Roman" w:hAnsi="Times New Roman" w:cs="Times New Roman" w:eastAsia="Times New Roman" w:hint="default"/>
                <w:sz w:val="18"/>
                <w:szCs w:val="18"/>
              </w:rPr>
            </w:pPr>
            <w:r>
              <w:rPr>
                <w:rFonts w:ascii="Times New Roman"/>
                <w:sz w:val="18"/>
              </w:rPr>
              <w:t>87,378,998.37</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84" w:right="0"/>
              <w:jc w:val="left"/>
              <w:rPr>
                <w:rFonts w:ascii="Times New Roman" w:hAnsi="Times New Roman" w:cs="Times New Roman" w:eastAsia="Times New Roman" w:hint="default"/>
                <w:sz w:val="18"/>
                <w:szCs w:val="18"/>
              </w:rPr>
            </w:pPr>
            <w:r>
              <w:rPr>
                <w:rFonts w:ascii="Times New Roman"/>
                <w:sz w:val="18"/>
              </w:rPr>
              <w:t>45,877.21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76" w:right="0"/>
              <w:jc w:val="left"/>
              <w:rPr>
                <w:rFonts w:ascii="Times New Roman" w:hAnsi="Times New Roman" w:cs="Times New Roman" w:eastAsia="Times New Roman" w:hint="default"/>
                <w:sz w:val="18"/>
                <w:szCs w:val="18"/>
              </w:rPr>
            </w:pPr>
            <w:r>
              <w:rPr>
                <w:rFonts w:ascii="Times New Roman"/>
                <w:sz w:val="18"/>
              </w:rPr>
              <w:t>50,255.87</w:t>
            </w:r>
          </w:p>
        </w:tc>
        <w:tc>
          <w:tcPr>
            <w:tcW w:w="1702" w:type="dxa"/>
            <w:tcBorders>
              <w:top w:val="single" w:sz="6" w:space="0" w:color="000000"/>
              <w:left w:val="single" w:sz="6" w:space="0" w:color="000000"/>
              <w:bottom w:val="single" w:sz="6" w:space="0" w:color="000000"/>
              <w:right w:val="single" w:sz="6" w:space="0" w:color="000000"/>
            </w:tcBorders>
          </w:tcPr>
          <w:p>
            <w:pP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66"/>
              <w:jc w:val="right"/>
              <w:rPr>
                <w:rFonts w:ascii="Times New Roman" w:hAnsi="Times New Roman" w:cs="Times New Roman" w:eastAsia="Times New Roman" w:hint="default"/>
                <w:sz w:val="18"/>
                <w:szCs w:val="18"/>
              </w:rPr>
            </w:pPr>
            <w:r>
              <w:rPr>
                <w:rFonts w:ascii="Times New Roman"/>
                <w:spacing w:val="-1"/>
                <w:sz w:val="18"/>
              </w:rPr>
              <w:t>87,475,131.45</w:t>
            </w:r>
          </w:p>
        </w:tc>
      </w:tr>
      <w:tr>
        <w:trPr>
          <w:trHeight w:val="427" w:hRule="exact"/>
        </w:trPr>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净额</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54" w:right="0"/>
              <w:jc w:val="left"/>
              <w:rPr>
                <w:rFonts w:ascii="Times New Roman" w:hAnsi="Times New Roman" w:cs="Times New Roman" w:eastAsia="Times New Roman" w:hint="default"/>
                <w:sz w:val="18"/>
                <w:szCs w:val="18"/>
              </w:rPr>
            </w:pPr>
            <w:r>
              <w:rPr>
                <w:rFonts w:ascii="Times New Roman"/>
                <w:sz w:val="18"/>
              </w:rPr>
              <w:t>29,919,690.89</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436" w:right="0"/>
              <w:jc w:val="left"/>
              <w:rPr>
                <w:rFonts w:ascii="Times New Roman" w:hAnsi="Times New Roman" w:cs="Times New Roman" w:eastAsia="Times New Roman" w:hint="default"/>
                <w:sz w:val="18"/>
                <w:szCs w:val="18"/>
              </w:rPr>
            </w:pPr>
            <w:r>
              <w:rPr>
                <w:rFonts w:ascii="Times New Roman"/>
                <w:sz w:val="18"/>
              </w:rPr>
              <w:t>164,140.71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357" w:right="0"/>
              <w:jc w:val="left"/>
              <w:rPr>
                <w:rFonts w:ascii="Times New Roman" w:hAnsi="Times New Roman" w:cs="Times New Roman" w:eastAsia="Times New Roman" w:hint="default"/>
                <w:sz w:val="18"/>
                <w:szCs w:val="18"/>
              </w:rPr>
            </w:pPr>
            <w:r>
              <w:rPr>
                <w:rFonts w:ascii="Times New Roman"/>
                <w:sz w:val="18"/>
              </w:rPr>
              <w:t>-8,483.65</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center"/>
              <w:rPr>
                <w:rFonts w:ascii="Times New Roman" w:hAnsi="Times New Roman" w:cs="Times New Roman" w:eastAsia="Times New Roman" w:hint="default"/>
                <w:sz w:val="18"/>
                <w:szCs w:val="18"/>
              </w:rPr>
            </w:pPr>
            <w:r>
              <w:rPr>
                <w:rFonts w:ascii="Times New Roman"/>
                <w:sz w:val="18"/>
              </w:rPr>
              <w:t>11,529,986.25</w:t>
            </w:r>
          </w:p>
        </w:tc>
        <w:tc>
          <w:tcPr>
            <w:tcW w:w="19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466"/>
              <w:jc w:val="right"/>
              <w:rPr>
                <w:rFonts w:ascii="Times New Roman" w:hAnsi="Times New Roman" w:cs="Times New Roman" w:eastAsia="Times New Roman" w:hint="default"/>
                <w:sz w:val="18"/>
                <w:szCs w:val="18"/>
              </w:rPr>
            </w:pPr>
            <w:r>
              <w:rPr>
                <w:rFonts w:ascii="Times New Roman"/>
                <w:spacing w:val="-1"/>
                <w:sz w:val="18"/>
              </w:rPr>
              <w:t>41,605,334.20</w:t>
            </w:r>
          </w:p>
        </w:tc>
      </w:tr>
    </w:tbl>
    <w:p>
      <w:pPr>
        <w:spacing w:line="240" w:lineRule="auto" w:before="11"/>
        <w:rPr>
          <w:rFonts w:ascii="Times New Roman" w:hAnsi="Times New Roman" w:cs="Times New Roman" w:eastAsia="Times New Roman" w:hint="default"/>
          <w:sz w:val="23"/>
          <w:szCs w:val="23"/>
        </w:rPr>
      </w:pPr>
    </w:p>
    <w:p>
      <w:pPr>
        <w:pStyle w:val="BodyText"/>
        <w:spacing w:line="300" w:lineRule="auto" w:before="44"/>
        <w:ind w:right="189" w:firstLine="360"/>
        <w:jc w:val="both"/>
      </w:pP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日，在所有其他变量保持不变的情况下，如果人民币对美元、欧元、港币升值或贬值</w:t>
      </w:r>
      <w:r>
        <w:rPr>
          <w:rFonts w:ascii="Times New Roman" w:hAnsi="Times New Roman" w:cs="Times New Roman" w:eastAsia="Times New Roman" w:hint="default"/>
        </w:rPr>
        <w:t>2%</w:t>
      </w:r>
      <w:r>
        <w:rPr/>
        <w:t>，则公司将增 加或减少净利润</w:t>
      </w:r>
      <w:r>
        <w:rPr>
          <w:rFonts w:ascii="Times New Roman" w:hAnsi="Times New Roman" w:cs="Times New Roman" w:eastAsia="Times New Roman" w:hint="default"/>
        </w:rPr>
        <w:t>2,032,970.24</w:t>
      </w:r>
      <w:r>
        <w:rPr/>
        <w:t>元。管理层认为</w:t>
      </w:r>
      <w:r>
        <w:rPr>
          <w:rFonts w:ascii="Times New Roman" w:hAnsi="Times New Roman" w:cs="Times New Roman" w:eastAsia="Times New Roman" w:hint="default"/>
        </w:rPr>
        <w:t>2%</w:t>
      </w:r>
      <w:r>
        <w:rPr/>
        <w:t>合理反映了下一年度人民币对美元可能发生变动的合理范围。</w:t>
      </w:r>
    </w:p>
    <w:p>
      <w:pPr>
        <w:pStyle w:val="BodyText"/>
        <w:spacing w:line="300" w:lineRule="auto" w:before="13"/>
        <w:ind w:left="513" w:right="4703"/>
        <w:jc w:val="left"/>
      </w:pPr>
      <w:r>
        <w:rPr>
          <w:rFonts w:ascii="Times New Roman" w:hAnsi="Times New Roman" w:cs="Times New Roman" w:eastAsia="Times New Roman" w:hint="default"/>
        </w:rPr>
        <w:t>(3)</w:t>
      </w:r>
      <w:r>
        <w:rPr/>
        <w:t>其他价格风险：本公司未持有其他上市公司的权益投资。</w:t>
      </w:r>
      <w:r>
        <w:rPr>
          <w:w w:val="99"/>
        </w:rPr>
        <w:t> </w:t>
      </w: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t>流动性风险</w:t>
      </w:r>
    </w:p>
    <w:p>
      <w:pPr>
        <w:pStyle w:val="BodyText"/>
        <w:spacing w:line="316" w:lineRule="auto" w:before="13"/>
        <w:ind w:right="150" w:firstLine="360"/>
        <w:jc w:val="both"/>
      </w:pPr>
      <w:r>
        <w:rPr>
          <w:spacing w:val="-2"/>
        </w:rPr>
        <w:t>流动风险，是指企业在履行以交付现金或其他金融资产的方式结算的义务时发生资金短缺的风险。本公司的政策是确保</w:t>
      </w:r>
      <w:r>
        <w:rPr/>
        <w:t> </w:t>
      </w:r>
      <w:r>
        <w:rPr>
          <w:spacing w:val="-2"/>
        </w:rPr>
        <w:t>拥有充足的现金以偿还到期债务。流动性风险由本公司的财务部门集中控制。财务部门通过监控现金余额、可随时变现的有</w:t>
      </w:r>
      <w:r>
        <w:rPr>
          <w:spacing w:val="-63"/>
        </w:rPr>
        <w:t> </w:t>
      </w:r>
      <w:r>
        <w:rPr>
          <w:spacing w:val="-63"/>
        </w:rPr>
      </w:r>
      <w:r>
        <w:rPr/>
        <w:t>价证券以及对未来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pStyle w:val="BodyText"/>
        <w:spacing w:line="235" w:lineRule="exact"/>
        <w:ind w:left="513" w:right="0"/>
        <w:jc w:val="left"/>
      </w:pPr>
      <w:r>
        <w:rPr/>
        <w:t>本公司各项金融负债以未折现的合同现金流量按到期日列示如下：</w:t>
      </w:r>
    </w:p>
    <w:p>
      <w:pPr>
        <w:spacing w:line="240" w:lineRule="auto" w:before="3"/>
        <w:rPr>
          <w:rFonts w:ascii="宋体" w:hAnsi="宋体" w:cs="宋体" w:eastAsia="宋体" w:hint="default"/>
          <w:sz w:val="5"/>
          <w:szCs w:val="5"/>
        </w:rPr>
      </w:pPr>
    </w:p>
    <w:tbl>
      <w:tblPr>
        <w:tblW w:w="0" w:type="auto"/>
        <w:jc w:val="left"/>
        <w:tblInd w:w="145" w:type="dxa"/>
        <w:tblLayout w:type="fixed"/>
        <w:tblCellMar>
          <w:top w:w="0" w:type="dxa"/>
          <w:left w:w="0" w:type="dxa"/>
          <w:bottom w:w="0" w:type="dxa"/>
          <w:right w:w="0" w:type="dxa"/>
        </w:tblCellMar>
        <w:tblLook w:val="01E0"/>
      </w:tblPr>
      <w:tblGrid>
        <w:gridCol w:w="1136"/>
        <w:gridCol w:w="1416"/>
        <w:gridCol w:w="1419"/>
        <w:gridCol w:w="1419"/>
        <w:gridCol w:w="1416"/>
        <w:gridCol w:w="1277"/>
        <w:gridCol w:w="1558"/>
      </w:tblGrid>
      <w:tr>
        <w:trPr>
          <w:trHeight w:val="427" w:hRule="exact"/>
        </w:trPr>
        <w:tc>
          <w:tcPr>
            <w:tcW w:w="1136" w:type="dxa"/>
            <w:vMerge w:val="restart"/>
            <w:tcBorders>
              <w:top w:val="single" w:sz="6" w:space="0" w:color="000000"/>
              <w:left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505"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r>
      <w:tr>
        <w:trPr>
          <w:trHeight w:val="427" w:hRule="exact"/>
        </w:trPr>
        <w:tc>
          <w:tcPr>
            <w:tcW w:w="1136" w:type="dxa"/>
            <w:vMerge/>
            <w:tcBorders>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71"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5"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短期借款</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961,233,510.40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987,607,646.40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987,607,646.40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987,607,646.40</w:t>
            </w:r>
          </w:p>
        </w:tc>
      </w:tr>
      <w:tr>
        <w:trPr>
          <w:trHeight w:val="427"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应付票据</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169,907,364.06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169,907,364.06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169,907,364.06</w:t>
            </w: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169,907,364.06</w:t>
            </w:r>
          </w:p>
        </w:tc>
      </w:tr>
      <w:tr>
        <w:trPr>
          <w:trHeight w:val="427"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应付账款</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511,159,828.90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511,159,828.90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511,159,828.90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511,159,828.90</w:t>
            </w:r>
          </w:p>
        </w:tc>
      </w:tr>
      <w:tr>
        <w:trPr>
          <w:trHeight w:val="427"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应付利息</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11,705,361.97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11,705,361.97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11,705,361.97</w:t>
            </w: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11,705,361.97</w:t>
            </w:r>
          </w:p>
        </w:tc>
      </w:tr>
      <w:tr>
        <w:trPr>
          <w:trHeight w:val="42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11,873,874.04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11,873,874.04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11,873,874.04</w:t>
            </w: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11,873,874.04</w:t>
            </w:r>
          </w:p>
        </w:tc>
      </w:tr>
      <w:tr>
        <w:trPr>
          <w:trHeight w:val="739"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1"/>
              <w:ind w:left="21" w:right="17"/>
              <w:jc w:val="left"/>
              <w:rPr>
                <w:rFonts w:ascii="宋体" w:hAnsi="宋体" w:cs="宋体" w:eastAsia="宋体" w:hint="default"/>
                <w:sz w:val="18"/>
                <w:szCs w:val="18"/>
              </w:rPr>
            </w:pPr>
            <w:r>
              <w:rPr>
                <w:rFonts w:ascii="宋体" w:hAnsi="宋体" w:cs="宋体" w:eastAsia="宋体" w:hint="default"/>
                <w:sz w:val="18"/>
                <w:szCs w:val="18"/>
              </w:rPr>
              <w:t>一年以内到期 的非流动负债</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38,400,000.00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39,535,524.00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39,535,524.00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39,535,524.00</w:t>
            </w:r>
          </w:p>
        </w:tc>
      </w:tr>
      <w:tr>
        <w:trPr>
          <w:trHeight w:val="427"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长期借款</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165,444,486.79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179,117,417.18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8,875,948.94</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170,241,468.23</w:t>
            </w: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179,117,417.18</w:t>
            </w:r>
          </w:p>
        </w:tc>
      </w:tr>
      <w:tr>
        <w:trPr>
          <w:trHeight w:val="427"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应付债券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397,985,675.62</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469,030,120.06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25,280,000.00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443,750,120.06</w:t>
            </w: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469,030,120.06</w:t>
            </w:r>
          </w:p>
        </w:tc>
      </w:tr>
      <w:tr>
        <w:trPr>
          <w:trHeight w:val="427"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2,267,710,101.78</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2,379,937,136.61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1,765,945,548.32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613,991,588.29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z w:val="18"/>
              </w:rPr>
              <w:t>0</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2,379,937,136.61</w:t>
            </w:r>
          </w:p>
        </w:tc>
      </w:tr>
    </w:tbl>
    <w:p>
      <w:pPr>
        <w:pStyle w:val="BodyText"/>
        <w:spacing w:line="240" w:lineRule="auto" w:before="49"/>
        <w:ind w:left="3355" w:right="3355"/>
        <w:jc w:val="center"/>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1"/>
        <w:rPr>
          <w:rFonts w:ascii="Times New Roman" w:hAnsi="Times New Roman" w:cs="Times New Roman" w:eastAsia="Times New Roman"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136"/>
        <w:gridCol w:w="1416"/>
        <w:gridCol w:w="1419"/>
        <w:gridCol w:w="1419"/>
        <w:gridCol w:w="1416"/>
        <w:gridCol w:w="1277"/>
        <w:gridCol w:w="1558"/>
      </w:tblGrid>
      <w:tr>
        <w:trPr>
          <w:trHeight w:val="427" w:hRule="exact"/>
        </w:trPr>
        <w:tc>
          <w:tcPr>
            <w:tcW w:w="1136" w:type="dxa"/>
            <w:vMerge w:val="restart"/>
            <w:tcBorders>
              <w:top w:val="single" w:sz="6" w:space="0" w:color="000000"/>
              <w:left w:val="single" w:sz="6" w:space="0" w:color="000000"/>
              <w:right w:val="single" w:sz="6" w:space="0" w:color="000000"/>
            </w:tcBorders>
          </w:tcPr>
          <w:p>
            <w:pPr>
              <w:pStyle w:val="TableParagraph"/>
              <w:spacing w:line="240" w:lineRule="auto" w:before="6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505"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427" w:hRule="exact"/>
        </w:trPr>
        <w:tc>
          <w:tcPr>
            <w:tcW w:w="1136" w:type="dxa"/>
            <w:vMerge/>
            <w:tcBorders>
              <w:left w:val="single" w:sz="6" w:space="0" w:color="000000"/>
              <w:bottom w:val="single" w:sz="6" w:space="0" w:color="000000"/>
              <w:right w:val="single" w:sz="6" w:space="0" w:color="000000"/>
            </w:tcBorders>
          </w:tcPr>
          <w:p>
            <w:pP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71"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2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7"/>
              <w:jc w:val="right"/>
              <w:rPr>
                <w:rFonts w:ascii="宋体" w:hAnsi="宋体" w:cs="宋体" w:eastAsia="宋体" w:hint="default"/>
                <w:sz w:val="18"/>
                <w:szCs w:val="18"/>
              </w:rPr>
            </w:pPr>
            <w:r>
              <w:rPr>
                <w:rFonts w:ascii="宋体" w:hAnsi="宋体" w:cs="宋体" w:eastAsia="宋体" w:hint="default"/>
                <w:sz w:val="18"/>
                <w:szCs w:val="18"/>
              </w:rPr>
              <w:t>短期借款</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354,327,244.00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354,327,244.00</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354,327,244.00</w:t>
            </w: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354,327,244.00</w:t>
            </w:r>
          </w:p>
        </w:tc>
      </w:tr>
      <w:tr>
        <w:trPr>
          <w:trHeight w:val="427"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97"/>
              <w:jc w:val="right"/>
              <w:rPr>
                <w:rFonts w:ascii="宋体" w:hAnsi="宋体" w:cs="宋体" w:eastAsia="宋体" w:hint="default"/>
                <w:sz w:val="18"/>
                <w:szCs w:val="18"/>
              </w:rPr>
            </w:pPr>
            <w:r>
              <w:rPr>
                <w:rFonts w:ascii="宋体" w:hAnsi="宋体" w:cs="宋体" w:eastAsia="宋体" w:hint="default"/>
                <w:sz w:val="18"/>
                <w:szCs w:val="18"/>
              </w:rPr>
              <w:t>应付票据</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194,764,738.94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194,764,738.94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194,764,738.94</w:t>
            </w: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194,764,738.94</w:t>
            </w:r>
          </w:p>
        </w:tc>
      </w:tr>
      <w:tr>
        <w:trPr>
          <w:trHeight w:val="427"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97"/>
              <w:jc w:val="right"/>
              <w:rPr>
                <w:rFonts w:ascii="宋体" w:hAnsi="宋体" w:cs="宋体" w:eastAsia="宋体" w:hint="default"/>
                <w:sz w:val="18"/>
                <w:szCs w:val="18"/>
              </w:rPr>
            </w:pPr>
            <w:r>
              <w:rPr>
                <w:rFonts w:ascii="宋体" w:hAnsi="宋体" w:cs="宋体" w:eastAsia="宋体" w:hint="default"/>
                <w:sz w:val="18"/>
                <w:szCs w:val="18"/>
              </w:rPr>
              <w:t>应付账款</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655,335,148.44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655,335,148.44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655,335,148.44</w:t>
            </w: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655,335,148.44</w:t>
            </w:r>
          </w:p>
        </w:tc>
      </w:tr>
      <w:tr>
        <w:trPr>
          <w:trHeight w:val="427"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97"/>
              <w:jc w:val="right"/>
              <w:rPr>
                <w:rFonts w:ascii="宋体" w:hAnsi="宋体" w:cs="宋体" w:eastAsia="宋体" w:hint="default"/>
                <w:sz w:val="18"/>
                <w:szCs w:val="18"/>
              </w:rPr>
            </w:pPr>
            <w:r>
              <w:rPr>
                <w:rFonts w:ascii="宋体" w:hAnsi="宋体" w:cs="宋体" w:eastAsia="宋体" w:hint="default"/>
                <w:sz w:val="18"/>
                <w:szCs w:val="18"/>
              </w:rPr>
              <w:t>应付利息</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10,581,633.57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10,581,633.57</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10,581,633.57</w:t>
            </w: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10,581,633.57</w:t>
            </w:r>
          </w:p>
        </w:tc>
      </w:tr>
      <w:tr>
        <w:trPr>
          <w:trHeight w:val="427"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197"/>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317,036.41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317,036.41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317,036.41</w:t>
            </w: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317,036.41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136"/>
        <w:gridCol w:w="1416"/>
        <w:gridCol w:w="1419"/>
        <w:gridCol w:w="1419"/>
        <w:gridCol w:w="1416"/>
        <w:gridCol w:w="1277"/>
        <w:gridCol w:w="1558"/>
      </w:tblGrid>
      <w:tr>
        <w:trPr>
          <w:trHeight w:val="427"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其他应付款</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34,298,269.89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34,298,269.89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34,298,269.89</w:t>
            </w:r>
          </w:p>
        </w:tc>
        <w:tc>
          <w:tcPr>
            <w:tcW w:w="1416"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34,298,269.89</w:t>
            </w:r>
          </w:p>
        </w:tc>
      </w:tr>
      <w:tr>
        <w:trPr>
          <w:trHeight w:val="42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 w:right="0"/>
              <w:jc w:val="center"/>
              <w:rPr>
                <w:rFonts w:ascii="宋体" w:hAnsi="宋体" w:cs="宋体" w:eastAsia="宋体" w:hint="default"/>
                <w:sz w:val="18"/>
                <w:szCs w:val="18"/>
              </w:rPr>
            </w:pPr>
            <w:r>
              <w:rPr>
                <w:rFonts w:ascii="宋体" w:hAnsi="宋体" w:cs="宋体" w:eastAsia="宋体" w:hint="default"/>
                <w:sz w:val="18"/>
                <w:szCs w:val="18"/>
              </w:rPr>
              <w:t>应付债券</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397,327,323.81</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496,324,444.44</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3"/>
              <w:jc w:val="right"/>
              <w:rPr>
                <w:rFonts w:ascii="Times New Roman" w:hAnsi="Times New Roman" w:cs="Times New Roman" w:eastAsia="Times New Roman" w:hint="default"/>
                <w:sz w:val="18"/>
                <w:szCs w:val="18"/>
              </w:rPr>
            </w:pPr>
            <w:r>
              <w:rPr>
                <w:rFonts w:ascii="Times New Roman"/>
                <w:spacing w:val="-1"/>
                <w:sz w:val="18"/>
              </w:rPr>
              <w:t>25,280,000.00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50,560,000.00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
              <w:jc w:val="right"/>
              <w:rPr>
                <w:rFonts w:ascii="Times New Roman" w:hAnsi="Times New Roman" w:cs="Times New Roman" w:eastAsia="Times New Roman" w:hint="default"/>
                <w:sz w:val="18"/>
                <w:szCs w:val="18"/>
              </w:rPr>
            </w:pPr>
            <w:r>
              <w:rPr>
                <w:rFonts w:ascii="Times New Roman"/>
                <w:spacing w:val="-1"/>
                <w:sz w:val="18"/>
              </w:rPr>
              <w:t>420,484,444.44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0"/>
              <w:jc w:val="right"/>
              <w:rPr>
                <w:rFonts w:ascii="Times New Roman" w:hAnsi="Times New Roman" w:cs="Times New Roman" w:eastAsia="Times New Roman" w:hint="default"/>
                <w:sz w:val="18"/>
                <w:szCs w:val="18"/>
              </w:rPr>
            </w:pPr>
            <w:r>
              <w:rPr>
                <w:rFonts w:ascii="Times New Roman"/>
                <w:spacing w:val="-1"/>
                <w:sz w:val="18"/>
              </w:rPr>
              <w:t>496,324,444.44</w:t>
            </w:r>
          </w:p>
        </w:tc>
      </w:tr>
      <w:tr>
        <w:trPr>
          <w:trHeight w:val="427"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1,646,951,395.06</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1,745,948,515.69</w:t>
            </w:r>
          </w:p>
        </w:tc>
        <w:tc>
          <w:tcPr>
            <w:tcW w:w="14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1,274,904,071.25</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2"/>
              <w:jc w:val="right"/>
              <w:rPr>
                <w:rFonts w:ascii="Times New Roman" w:hAnsi="Times New Roman" w:cs="Times New Roman" w:eastAsia="Times New Roman" w:hint="default"/>
                <w:sz w:val="18"/>
                <w:szCs w:val="18"/>
              </w:rPr>
            </w:pPr>
            <w:r>
              <w:rPr>
                <w:rFonts w:ascii="Times New Roman"/>
                <w:spacing w:val="-1"/>
                <w:sz w:val="18"/>
              </w:rPr>
              <w:t>50,560,000.00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420,484,444.44</w:t>
            </w:r>
          </w:p>
        </w:tc>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1,745,948,515.69</w:t>
            </w:r>
          </w:p>
        </w:tc>
      </w:tr>
    </w:tbl>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7"/>
          <w:szCs w:val="27"/>
        </w:rPr>
      </w:pPr>
    </w:p>
    <w:p>
      <w:pPr>
        <w:pStyle w:val="Heading2"/>
        <w:spacing w:line="240" w:lineRule="auto" w:before="26"/>
        <w:ind w:right="0"/>
        <w:jc w:val="left"/>
        <w:rPr>
          <w:b w:val="0"/>
          <w:bCs w:val="0"/>
        </w:rPr>
      </w:pPr>
      <w:r>
        <w:rPr/>
        <w:t>十一、关联方及关联交易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4"/>
        <w:gridCol w:w="1595"/>
        <w:gridCol w:w="1595"/>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2" w:right="72" w:hanging="272"/>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pStyle w:val="BodyText"/>
        <w:spacing w:line="357" w:lineRule="auto" w:before="49"/>
        <w:ind w:right="6354"/>
        <w:jc w:val="left"/>
      </w:pPr>
      <w:r>
        <w:rPr/>
        <w:t>本企业的母公司情况的说明 本企业最终控制方是曾胜强、许忠桂夫妇。 其他说明：</w:t>
      </w:r>
    </w:p>
    <w:p>
      <w:pPr>
        <w:spacing w:line="240" w:lineRule="auto" w:before="3"/>
        <w:rPr>
          <w:rFonts w:ascii="宋体" w:hAnsi="宋体" w:cs="宋体" w:eastAsia="宋体" w:hint="default"/>
          <w:sz w:val="20"/>
          <w:szCs w:val="20"/>
        </w:rPr>
      </w:pPr>
    </w:p>
    <w:p>
      <w:pPr>
        <w:spacing w:line="547" w:lineRule="auto" w:before="0"/>
        <w:ind w:left="152" w:right="549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pacing w:val="-10"/>
          <w:sz w:val="18"/>
          <w:szCs w:val="18"/>
        </w:rPr>
        <w:t>本企业子公司的情况详见附注九、</w:t>
      </w:r>
      <w:r>
        <w:rPr>
          <w:rFonts w:ascii="Times New Roman" w:hAnsi="Times New Roman" w:cs="Times New Roman" w:eastAsia="Times New Roman" w:hint="default"/>
          <w:spacing w:val="-10"/>
          <w:sz w:val="18"/>
          <w:szCs w:val="18"/>
        </w:rPr>
        <w:t>(1)</w:t>
      </w:r>
      <w:r>
        <w:rPr>
          <w:rFonts w:ascii="宋体" w:hAnsi="宋体" w:cs="宋体" w:eastAsia="宋体" w:hint="default"/>
          <w:spacing w:val="-10"/>
          <w:sz w:val="18"/>
          <w:szCs w:val="18"/>
        </w:rPr>
        <w:t>。。</w:t>
      </w:r>
      <w:r>
        <w:rPr>
          <w:rFonts w:ascii="宋体" w:hAnsi="宋体" w:cs="宋体" w:eastAsia="宋体" w:hint="default"/>
          <w:spacing w:val="-72"/>
          <w:sz w:val="18"/>
          <w:szCs w:val="18"/>
        </w:rPr>
        <w:t>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、其他关联方情况</w:t>
      </w:r>
      <w:r>
        <w:rPr>
          <w:rFonts w:ascii="宋体" w:hAnsi="宋体" w:cs="宋体" w:eastAsia="宋体" w:hint="default"/>
          <w:sz w:val="21"/>
          <w:szCs w:val="21"/>
        </w:rPr>
      </w:r>
    </w:p>
    <w:p>
      <w:pPr>
        <w:spacing w:line="240" w:lineRule="auto" w:before="12"/>
        <w:rPr>
          <w:rFonts w:ascii="宋体" w:hAnsi="宋体" w:cs="宋体" w:eastAsia="宋体" w:hint="default"/>
          <w:b/>
          <w:bCs/>
          <w:sz w:val="2"/>
          <w:szCs w:val="2"/>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杭州益趣科技有限公司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本公司参股公司</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深圳盛灿科技股份有限公司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本公司参股公司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深圳市国溢工程服务有限公司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本公司原高管亲属控制的公司</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4</w:t>
      </w:r>
      <w:r>
        <w:rPr/>
        <w:t>、关联交易情况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1"/>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3"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深圳盛灿科技股份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软件开发服务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3,009,433.96</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杭州益趣科技有限 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3,159.49</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5"/>
              <w:jc w:val="left"/>
              <w:rPr>
                <w:rFonts w:ascii="宋体" w:hAnsi="宋体" w:cs="宋体" w:eastAsia="宋体" w:hint="default"/>
                <w:sz w:val="18"/>
                <w:szCs w:val="18"/>
              </w:rPr>
            </w:pPr>
            <w:r>
              <w:rPr>
                <w:rFonts w:ascii="宋体" w:hAnsi="宋体" w:cs="宋体" w:eastAsia="宋体" w:hint="default"/>
                <w:sz w:val="18"/>
                <w:szCs w:val="18"/>
              </w:rPr>
              <w:t>深圳市国溢工程服 务有限公司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施工费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295,308.20</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2,200,000.00</w:t>
            </w:r>
          </w:p>
        </w:tc>
        <w:tc>
          <w:tcPr>
            <w:tcW w:w="1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6" w:right="0"/>
              <w:jc w:val="left"/>
              <w:rPr>
                <w:rFonts w:ascii="Times New Roman" w:hAnsi="Times New Roman" w:cs="Times New Roman" w:eastAsia="Times New Roman" w:hint="default"/>
                <w:sz w:val="18"/>
                <w:szCs w:val="18"/>
              </w:rPr>
            </w:pPr>
            <w:r>
              <w:rPr>
                <w:rFonts w:ascii="Times New Roman"/>
                <w:sz w:val="18"/>
              </w:rPr>
              <w:t>3,382,116.39</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3"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杭州益趣科技有限公司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软件、技术服务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176,603.77</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416,981.14</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深圳盛灿科技股份有限公司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商品销售、技术服务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11,008.55</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37,915.09</w:t>
            </w: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深圳市国溢工程服务有限公司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材料</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2,176.07</w:t>
            </w:r>
          </w:p>
        </w:tc>
      </w:tr>
    </w:tbl>
    <w:p>
      <w:pPr>
        <w:pStyle w:val="BodyText"/>
        <w:spacing w:line="240" w:lineRule="auto" w:before="49"/>
        <w:ind w:right="0"/>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2</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434.25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杭州益趣科技有限 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342,000.00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深圳市国溢工程服 务有限公司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2,546.00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）预付账款</w:t>
      </w:r>
      <w:r>
        <w:rPr>
          <w:b w:val="0"/>
          <w:bCs w:val="0"/>
        </w:rPr>
      </w:r>
    </w:p>
    <w:p>
      <w:pPr>
        <w:spacing w:line="240" w:lineRule="auto" w:before="9"/>
        <w:rPr>
          <w:rFonts w:ascii="宋体" w:hAnsi="宋体" w:cs="宋体" w:eastAsia="宋体" w:hint="default"/>
          <w:b/>
          <w:bCs/>
          <w:sz w:val="25"/>
          <w:szCs w:val="25"/>
        </w:rPr>
      </w:pPr>
    </w:p>
    <w:tbl>
      <w:tblPr>
        <w:tblW w:w="0" w:type="auto"/>
        <w:jc w:val="left"/>
        <w:tblInd w:w="116" w:type="dxa"/>
        <w:tblLayout w:type="fixed"/>
        <w:tblCellMar>
          <w:top w:w="0" w:type="dxa"/>
          <w:left w:w="0" w:type="dxa"/>
          <w:bottom w:w="0" w:type="dxa"/>
          <w:right w:w="0" w:type="dxa"/>
        </w:tblCellMar>
        <w:tblLook w:val="01E0"/>
      </w:tblPr>
      <w:tblGrid>
        <w:gridCol w:w="1500"/>
        <w:gridCol w:w="3464"/>
        <w:gridCol w:w="2316"/>
        <w:gridCol w:w="2420"/>
      </w:tblGrid>
      <w:tr>
        <w:trPr>
          <w:trHeight w:val="401"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45"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预付账款</w:t>
            </w:r>
          </w:p>
        </w:tc>
        <w:tc>
          <w:tcPr>
            <w:tcW w:w="3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杭州益趣科技有限公司</w:t>
            </w:r>
          </w:p>
        </w:tc>
        <w:tc>
          <w:tcPr>
            <w:tcW w:w="2316" w:type="dxa"/>
            <w:tcBorders>
              <w:top w:val="single" w:sz="4" w:space="0" w:color="000000"/>
              <w:left w:val="single" w:sz="4" w:space="0" w:color="000000"/>
              <w:bottom w:val="single" w:sz="4" w:space="0" w:color="000000"/>
              <w:right w:val="single" w:sz="4" w:space="0" w:color="000000"/>
            </w:tcBorders>
          </w:tcPr>
          <w:p>
            <w:pPr/>
          </w:p>
        </w:tc>
        <w:tc>
          <w:tcPr>
            <w:tcW w:w="2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91" w:right="0"/>
              <w:jc w:val="left"/>
              <w:rPr>
                <w:rFonts w:ascii="Times New Roman" w:hAnsi="Times New Roman" w:cs="Times New Roman" w:eastAsia="Times New Roman" w:hint="default"/>
                <w:sz w:val="18"/>
                <w:szCs w:val="18"/>
              </w:rPr>
            </w:pPr>
            <w:r>
              <w:rPr>
                <w:rFonts w:ascii="Times New Roman"/>
                <w:sz w:val="18"/>
              </w:rPr>
              <w:t>3,696.60</w:t>
            </w: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深圳市国溢工程服务有限公 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8" w:right="0"/>
              <w:jc w:val="left"/>
              <w:rPr>
                <w:rFonts w:ascii="Times New Roman" w:hAnsi="Times New Roman" w:cs="Times New Roman" w:eastAsia="Times New Roman" w:hint="default"/>
                <w:sz w:val="18"/>
                <w:szCs w:val="18"/>
              </w:rPr>
            </w:pPr>
            <w:r>
              <w:rPr>
                <w:rFonts w:ascii="Times New Roman"/>
                <w:sz w:val="18"/>
              </w:rPr>
              <w:t>163,419.85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4" w:right="0"/>
              <w:jc w:val="left"/>
              <w:rPr>
                <w:rFonts w:ascii="Times New Roman" w:hAnsi="Times New Roman" w:cs="Times New Roman" w:eastAsia="Times New Roman" w:hint="default"/>
                <w:sz w:val="18"/>
                <w:szCs w:val="18"/>
              </w:rPr>
            </w:pPr>
            <w:r>
              <w:rPr>
                <w:rFonts w:ascii="Times New Roman"/>
                <w:sz w:val="18"/>
              </w:rPr>
              <w:t>1,498,084.75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911"/>
        <w:gridCol w:w="718"/>
        <w:gridCol w:w="1484"/>
        <w:gridCol w:w="1560"/>
        <w:gridCol w:w="994"/>
        <w:gridCol w:w="994"/>
        <w:gridCol w:w="1841"/>
      </w:tblGrid>
      <w:tr>
        <w:trPr>
          <w:trHeight w:val="737" w:hRule="exact"/>
        </w:trPr>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58"/>
              <w:ind w:left="263" w:right="77" w:hanging="180"/>
              <w:jc w:val="left"/>
              <w:rPr>
                <w:rFonts w:ascii="宋体" w:hAnsi="宋体" w:cs="宋体" w:eastAsia="宋体" w:hint="default"/>
                <w:sz w:val="18"/>
                <w:szCs w:val="18"/>
              </w:rPr>
            </w:pPr>
            <w:r>
              <w:rPr>
                <w:rFonts w:ascii="宋体" w:hAnsi="宋体" w:cs="宋体" w:eastAsia="宋体" w:hint="default"/>
                <w:sz w:val="18"/>
                <w:szCs w:val="18"/>
              </w:rPr>
              <w:t>被担保 方</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377" w:right="0"/>
              <w:jc w:val="left"/>
              <w:rPr>
                <w:rFonts w:ascii="宋体" w:hAnsi="宋体" w:cs="宋体" w:eastAsia="宋体" w:hint="default"/>
                <w:sz w:val="18"/>
                <w:szCs w:val="18"/>
              </w:rPr>
            </w:pPr>
            <w:r>
              <w:rPr>
                <w:rFonts w:ascii="宋体" w:hAnsi="宋体" w:cs="宋体" w:eastAsia="宋体" w:hint="default"/>
                <w:sz w:val="18"/>
                <w:szCs w:val="18"/>
              </w:rPr>
              <w:t>授信金额</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12" w:right="0"/>
              <w:jc w:val="left"/>
              <w:rPr>
                <w:rFonts w:ascii="宋体" w:hAnsi="宋体" w:cs="宋体" w:eastAsia="宋体" w:hint="default"/>
                <w:sz w:val="18"/>
                <w:szCs w:val="18"/>
              </w:rPr>
            </w:pPr>
            <w:r>
              <w:rPr>
                <w:rFonts w:ascii="宋体" w:hAnsi="宋体" w:cs="宋体" w:eastAsia="宋体" w:hint="default"/>
                <w:sz w:val="18"/>
                <w:szCs w:val="18"/>
              </w:rPr>
              <w:t>提款金额</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27" w:hRule="exact"/>
        </w:trPr>
        <w:tc>
          <w:tcPr>
            <w:tcW w:w="1911" w:type="dxa"/>
            <w:vMerge w:val="restart"/>
            <w:tcBorders>
              <w:top w:val="single" w:sz="6" w:space="0" w:color="000000"/>
              <w:left w:val="single" w:sz="6" w:space="0" w:color="000000"/>
              <w:right w:val="single" w:sz="6" w:space="0" w:color="000000"/>
            </w:tcBorders>
          </w:tcPr>
          <w:p>
            <w:pPr>
              <w:pStyle w:val="TableParagraph"/>
              <w:spacing w:line="316" w:lineRule="auto" w:before="61"/>
              <w:ind w:left="230" w:right="45" w:hanging="181"/>
              <w:jc w:val="left"/>
              <w:rPr>
                <w:rFonts w:ascii="宋体" w:hAnsi="宋体" w:cs="宋体" w:eastAsia="宋体" w:hint="default"/>
                <w:sz w:val="18"/>
                <w:szCs w:val="18"/>
              </w:rPr>
            </w:pPr>
            <w:r>
              <w:rPr>
                <w:rFonts w:ascii="宋体" w:hAnsi="宋体" w:cs="宋体" w:eastAsia="宋体" w:hint="default"/>
                <w:sz w:val="18"/>
                <w:szCs w:val="18"/>
              </w:rPr>
              <w:t>曾胜强、许忠桂连带担 保，证通金信担保</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484" w:type="dxa"/>
            <w:vMerge w:val="restart"/>
            <w:tcBorders>
              <w:top w:val="single" w:sz="6" w:space="0" w:color="000000"/>
              <w:left w:val="single" w:sz="6" w:space="0" w:color="000000"/>
              <w:right w:val="single" w:sz="6" w:space="0" w:color="000000"/>
            </w:tcBorders>
          </w:tcPr>
          <w:p>
            <w:pPr>
              <w:pStyle w:val="TableParagraph"/>
              <w:spacing w:line="240" w:lineRule="auto" w:before="103"/>
              <w:ind w:left="173" w:right="0"/>
              <w:jc w:val="left"/>
              <w:rPr>
                <w:rFonts w:ascii="Times New Roman" w:hAnsi="Times New Roman" w:cs="Times New Roman" w:eastAsia="Times New Roman" w:hint="default"/>
                <w:sz w:val="18"/>
                <w:szCs w:val="18"/>
              </w:rPr>
            </w:pPr>
            <w:r>
              <w:rPr>
                <w:rFonts w:ascii="Times New Roman"/>
                <w:sz w:val="18"/>
              </w:rPr>
              <w:t>150,000,000.00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54" w:right="0"/>
              <w:jc w:val="left"/>
              <w:rPr>
                <w:rFonts w:ascii="Times New Roman" w:hAnsi="Times New Roman" w:cs="Times New Roman" w:eastAsia="Times New Roman" w:hint="default"/>
                <w:sz w:val="18"/>
                <w:szCs w:val="18"/>
              </w:rPr>
            </w:pPr>
            <w:r>
              <w:rPr>
                <w:rFonts w:ascii="Times New Roman"/>
                <w:sz w:val="18"/>
              </w:rPr>
              <w:t>30,000,000.00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2017.08.01</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2018.08.01</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911" w:type="dxa"/>
            <w:vMerge/>
            <w:tcBorders>
              <w:left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484"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54" w:right="0"/>
              <w:jc w:val="left"/>
              <w:rPr>
                <w:rFonts w:ascii="Times New Roman" w:hAnsi="Times New Roman" w:cs="Times New Roman" w:eastAsia="Times New Roman" w:hint="default"/>
                <w:sz w:val="18"/>
                <w:szCs w:val="18"/>
              </w:rPr>
            </w:pPr>
            <w:r>
              <w:rPr>
                <w:rFonts w:ascii="Times New Roman"/>
                <w:sz w:val="18"/>
              </w:rPr>
              <w:t>47,000,000.00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2017.03.02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2018.03.02</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911" w:type="dxa"/>
            <w:vMerge/>
            <w:tcBorders>
              <w:left w:val="single" w:sz="6" w:space="0" w:color="000000"/>
              <w:right w:val="single" w:sz="6" w:space="0" w:color="000000"/>
            </w:tcBorders>
          </w:tcPr>
          <w:p>
            <w:pP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73" w:right="0"/>
              <w:jc w:val="left"/>
              <w:rPr>
                <w:rFonts w:ascii="Times New Roman" w:hAnsi="Times New Roman" w:cs="Times New Roman" w:eastAsia="Times New Roman" w:hint="default"/>
                <w:sz w:val="18"/>
                <w:szCs w:val="18"/>
              </w:rPr>
            </w:pPr>
            <w:r>
              <w:rPr>
                <w:rFonts w:ascii="Times New Roman"/>
                <w:sz w:val="18"/>
              </w:rPr>
              <w:t>100,000,000.00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300" w:right="0"/>
              <w:jc w:val="left"/>
              <w:rPr>
                <w:rFonts w:ascii="Times New Roman" w:hAnsi="Times New Roman" w:cs="Times New Roman" w:eastAsia="Times New Roman" w:hint="default"/>
                <w:sz w:val="18"/>
                <w:szCs w:val="18"/>
              </w:rPr>
            </w:pPr>
            <w:r>
              <w:rPr>
                <w:rFonts w:ascii="Times New Roman"/>
                <w:sz w:val="18"/>
              </w:rPr>
              <w:t>5,000,000.00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center"/>
              <w:rPr>
                <w:rFonts w:ascii="Times New Roman" w:hAnsi="Times New Roman" w:cs="Times New Roman" w:eastAsia="Times New Roman" w:hint="default"/>
                <w:sz w:val="18"/>
                <w:szCs w:val="18"/>
              </w:rPr>
            </w:pPr>
            <w:r>
              <w:rPr>
                <w:rFonts w:ascii="Times New Roman"/>
                <w:sz w:val="18"/>
              </w:rPr>
              <w:t>2017.02.22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2018.01.10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911" w:type="dxa"/>
            <w:vMerge/>
            <w:tcBorders>
              <w:left w:val="single" w:sz="6" w:space="0" w:color="000000"/>
              <w:right w:val="single" w:sz="6" w:space="0" w:color="000000"/>
            </w:tcBorders>
          </w:tcPr>
          <w:p>
            <w:pPr/>
          </w:p>
        </w:tc>
        <w:tc>
          <w:tcPr>
            <w:tcW w:w="718" w:type="dxa"/>
            <w:vMerge w:val="restart"/>
            <w:tcBorders>
              <w:top w:val="single" w:sz="6" w:space="0" w:color="000000"/>
              <w:left w:val="single" w:sz="6" w:space="0" w:color="000000"/>
              <w:right w:val="single" w:sz="6" w:space="0" w:color="000000"/>
            </w:tcBorders>
          </w:tcPr>
          <w:p>
            <w:pPr>
              <w:pStyle w:val="TableParagraph"/>
              <w:spacing w:line="240" w:lineRule="auto" w:before="61"/>
              <w:ind w:left="8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484" w:type="dxa"/>
            <w:vMerge w:val="restart"/>
            <w:tcBorders>
              <w:top w:val="single" w:sz="6" w:space="0" w:color="000000"/>
              <w:left w:val="single" w:sz="6" w:space="0" w:color="000000"/>
              <w:right w:val="single" w:sz="6" w:space="0" w:color="000000"/>
            </w:tcBorders>
          </w:tcPr>
          <w:p>
            <w:pPr>
              <w:pStyle w:val="TableParagraph"/>
              <w:spacing w:line="240" w:lineRule="auto" w:before="103"/>
              <w:ind w:left="173" w:right="0"/>
              <w:jc w:val="left"/>
              <w:rPr>
                <w:rFonts w:ascii="Times New Roman" w:hAnsi="Times New Roman" w:cs="Times New Roman" w:eastAsia="Times New Roman" w:hint="default"/>
                <w:sz w:val="18"/>
                <w:szCs w:val="18"/>
              </w:rPr>
            </w:pPr>
            <w:r>
              <w:rPr>
                <w:rFonts w:ascii="Times New Roman"/>
                <w:sz w:val="18"/>
              </w:rPr>
              <w:t>100,000,000.00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54" w:right="0"/>
              <w:jc w:val="left"/>
              <w:rPr>
                <w:rFonts w:ascii="Times New Roman" w:hAnsi="Times New Roman" w:cs="Times New Roman" w:eastAsia="Times New Roman" w:hint="default"/>
                <w:sz w:val="18"/>
                <w:szCs w:val="18"/>
              </w:rPr>
            </w:pPr>
            <w:r>
              <w:rPr>
                <w:rFonts w:ascii="Times New Roman"/>
                <w:sz w:val="18"/>
              </w:rPr>
              <w:t>90,000,000.00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center"/>
              <w:rPr>
                <w:rFonts w:ascii="Times New Roman" w:hAnsi="Times New Roman" w:cs="Times New Roman" w:eastAsia="Times New Roman" w:hint="default"/>
                <w:sz w:val="18"/>
                <w:szCs w:val="18"/>
              </w:rPr>
            </w:pPr>
            <w:r>
              <w:rPr>
                <w:rFonts w:ascii="Times New Roman"/>
                <w:sz w:val="18"/>
              </w:rPr>
              <w:t>2017.06.15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2018.06.12</w:t>
            </w:r>
          </w:p>
        </w:tc>
        <w:tc>
          <w:tcPr>
            <w:tcW w:w="1841" w:type="dxa"/>
            <w:vMerge w:val="restart"/>
            <w:tcBorders>
              <w:top w:val="single" w:sz="6" w:space="0" w:color="000000"/>
              <w:left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911" w:type="dxa"/>
            <w:vMerge/>
            <w:tcBorders>
              <w:left w:val="single" w:sz="6" w:space="0" w:color="000000"/>
              <w:bottom w:val="single" w:sz="6" w:space="0" w:color="000000"/>
              <w:right w:val="single" w:sz="6" w:space="0" w:color="000000"/>
            </w:tcBorders>
          </w:tcPr>
          <w:p>
            <w:pPr/>
          </w:p>
        </w:tc>
        <w:tc>
          <w:tcPr>
            <w:tcW w:w="718" w:type="dxa"/>
            <w:vMerge/>
            <w:tcBorders>
              <w:left w:val="single" w:sz="6" w:space="0" w:color="000000"/>
              <w:bottom w:val="single" w:sz="6" w:space="0" w:color="000000"/>
              <w:right w:val="single" w:sz="6" w:space="0" w:color="000000"/>
            </w:tcBorders>
          </w:tcPr>
          <w:p>
            <w:pPr/>
          </w:p>
        </w:tc>
        <w:tc>
          <w:tcPr>
            <w:tcW w:w="1484" w:type="dxa"/>
            <w:vMerge/>
            <w:tcBorders>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56" w:right="0"/>
              <w:jc w:val="left"/>
              <w:rPr>
                <w:rFonts w:ascii="Times New Roman" w:hAnsi="Times New Roman" w:cs="Times New Roman" w:eastAsia="Times New Roman" w:hint="default"/>
                <w:sz w:val="18"/>
                <w:szCs w:val="18"/>
              </w:rPr>
            </w:pPr>
            <w:r>
              <w:rPr>
                <w:rFonts w:ascii="Times New Roman"/>
                <w:sz w:val="18"/>
              </w:rPr>
              <w:t>10,000,000.00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2017.07.13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2018.07.12</w:t>
            </w:r>
          </w:p>
        </w:tc>
        <w:tc>
          <w:tcPr>
            <w:tcW w:w="1841" w:type="dxa"/>
            <w:vMerge/>
            <w:tcBorders>
              <w:left w:val="single" w:sz="6" w:space="0" w:color="000000"/>
              <w:bottom w:val="single" w:sz="6" w:space="0" w:color="000000"/>
              <w:right w:val="single" w:sz="6" w:space="0" w:color="000000"/>
            </w:tcBorders>
          </w:tcPr>
          <w:p>
            <w:pPr/>
          </w:p>
        </w:tc>
      </w:tr>
      <w:tr>
        <w:trPr>
          <w:trHeight w:val="427" w:hRule="exact"/>
        </w:trPr>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曾胜强</w:t>
            </w:r>
            <w:r>
              <w:rPr>
                <w:rFonts w:ascii="宋体" w:hAnsi="宋体" w:cs="宋体" w:eastAsia="宋体" w:hint="default"/>
                <w:spacing w:val="-89"/>
                <w:sz w:val="18"/>
                <w:szCs w:val="18"/>
              </w:rPr>
              <w:t>、</w:t>
            </w:r>
            <w:r>
              <w:rPr>
                <w:rFonts w:ascii="宋体" w:hAnsi="宋体" w:cs="宋体" w:eastAsia="宋体" w:hint="default"/>
                <w:sz w:val="18"/>
                <w:szCs w:val="18"/>
              </w:rPr>
              <w:t>许忠桂连带担保</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73" w:right="0"/>
              <w:jc w:val="left"/>
              <w:rPr>
                <w:rFonts w:ascii="Times New Roman" w:hAnsi="Times New Roman" w:cs="Times New Roman" w:eastAsia="Times New Roman" w:hint="default"/>
                <w:sz w:val="18"/>
                <w:szCs w:val="18"/>
              </w:rPr>
            </w:pPr>
            <w:r>
              <w:rPr>
                <w:rFonts w:ascii="Times New Roman"/>
                <w:sz w:val="18"/>
              </w:rPr>
              <w:t>100,000,000.00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80" w:right="0"/>
              <w:jc w:val="left"/>
              <w:rPr>
                <w:rFonts w:ascii="Times New Roman" w:hAnsi="Times New Roman" w:cs="Times New Roman" w:eastAsia="Times New Roman" w:hint="default"/>
                <w:sz w:val="18"/>
                <w:szCs w:val="18"/>
              </w:rPr>
            </w:pPr>
            <w:r>
              <w:rPr>
                <w:rFonts w:ascii="Times New Roman"/>
                <w:sz w:val="18"/>
              </w:rPr>
              <w:t>100,000,000.00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2017.06.28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2018.06.28</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40" w:hRule="exact"/>
        </w:trPr>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58"/>
              <w:ind w:left="230" w:right="45" w:hanging="181"/>
              <w:jc w:val="left"/>
              <w:rPr>
                <w:rFonts w:ascii="宋体" w:hAnsi="宋体" w:cs="宋体" w:eastAsia="宋体" w:hint="default"/>
                <w:sz w:val="18"/>
                <w:szCs w:val="18"/>
              </w:rPr>
            </w:pPr>
            <w:r>
              <w:rPr>
                <w:rFonts w:ascii="宋体" w:hAnsi="宋体" w:cs="宋体" w:eastAsia="宋体" w:hint="default"/>
                <w:sz w:val="18"/>
                <w:szCs w:val="18"/>
              </w:rPr>
              <w:t>曾胜强、许忠桂连带担 保，证通金信担保</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73" w:right="0"/>
              <w:jc w:val="left"/>
              <w:rPr>
                <w:rFonts w:ascii="Times New Roman" w:hAnsi="Times New Roman" w:cs="Times New Roman" w:eastAsia="Times New Roman" w:hint="default"/>
                <w:sz w:val="18"/>
                <w:szCs w:val="18"/>
              </w:rPr>
            </w:pPr>
            <w:r>
              <w:rPr>
                <w:rFonts w:ascii="Times New Roman"/>
                <w:sz w:val="18"/>
              </w:rPr>
              <w:t>600,000,000.00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11" w:right="0"/>
              <w:jc w:val="left"/>
              <w:rPr>
                <w:rFonts w:ascii="Times New Roman" w:hAnsi="Times New Roman" w:cs="Times New Roman" w:eastAsia="Times New Roman" w:hint="default"/>
                <w:sz w:val="18"/>
                <w:szCs w:val="18"/>
              </w:rPr>
            </w:pPr>
            <w:r>
              <w:rPr>
                <w:rFonts w:ascii="Times New Roman"/>
                <w:sz w:val="18"/>
              </w:rPr>
              <w:t>247,744,700.00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2017.07.20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2018.07.19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曾胜强</w:t>
            </w:r>
            <w:r>
              <w:rPr>
                <w:rFonts w:ascii="宋体" w:hAnsi="宋体" w:cs="宋体" w:eastAsia="宋体" w:hint="default"/>
                <w:spacing w:val="-89"/>
                <w:sz w:val="18"/>
                <w:szCs w:val="18"/>
              </w:rPr>
              <w:t>、</w:t>
            </w:r>
            <w:r>
              <w:rPr>
                <w:rFonts w:ascii="宋体" w:hAnsi="宋体" w:cs="宋体" w:eastAsia="宋体" w:hint="default"/>
                <w:sz w:val="18"/>
                <w:szCs w:val="18"/>
              </w:rPr>
              <w:t>许忠桂连带担保</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73" w:right="0"/>
              <w:jc w:val="left"/>
              <w:rPr>
                <w:rFonts w:ascii="Times New Roman" w:hAnsi="Times New Roman" w:cs="Times New Roman" w:eastAsia="Times New Roman" w:hint="default"/>
                <w:sz w:val="18"/>
                <w:szCs w:val="18"/>
              </w:rPr>
            </w:pPr>
            <w:r>
              <w:rPr>
                <w:rFonts w:ascii="Times New Roman"/>
                <w:sz w:val="18"/>
              </w:rPr>
              <w:t>150,000,000.00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54" w:right="0"/>
              <w:jc w:val="left"/>
              <w:rPr>
                <w:rFonts w:ascii="Times New Roman" w:hAnsi="Times New Roman" w:cs="Times New Roman" w:eastAsia="Times New Roman" w:hint="default"/>
                <w:sz w:val="18"/>
                <w:szCs w:val="18"/>
              </w:rPr>
            </w:pPr>
            <w:r>
              <w:rPr>
                <w:rFonts w:ascii="Times New Roman"/>
                <w:sz w:val="18"/>
              </w:rPr>
              <w:t>50,000,000.00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2017.07.28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2018.07.28</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曾胜强</w:t>
            </w:r>
            <w:r>
              <w:rPr>
                <w:rFonts w:ascii="宋体" w:hAnsi="宋体" w:cs="宋体" w:eastAsia="宋体" w:hint="default"/>
                <w:spacing w:val="-89"/>
                <w:sz w:val="18"/>
                <w:szCs w:val="18"/>
              </w:rPr>
              <w:t>、</w:t>
            </w:r>
            <w:r>
              <w:rPr>
                <w:rFonts w:ascii="宋体" w:hAnsi="宋体" w:cs="宋体" w:eastAsia="宋体" w:hint="default"/>
                <w:sz w:val="18"/>
                <w:szCs w:val="18"/>
              </w:rPr>
              <w:t>许忠桂连带担保</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73" w:right="0"/>
              <w:jc w:val="left"/>
              <w:rPr>
                <w:rFonts w:ascii="Times New Roman" w:hAnsi="Times New Roman" w:cs="Times New Roman" w:eastAsia="Times New Roman" w:hint="default"/>
                <w:sz w:val="18"/>
                <w:szCs w:val="18"/>
              </w:rPr>
            </w:pPr>
            <w:r>
              <w:rPr>
                <w:rFonts w:ascii="Times New Roman"/>
                <w:sz w:val="18"/>
              </w:rPr>
              <w:t>150,000,000.00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08" w:right="0"/>
              <w:jc w:val="left"/>
              <w:rPr>
                <w:rFonts w:ascii="Times New Roman" w:hAnsi="Times New Roman" w:cs="Times New Roman" w:eastAsia="Times New Roman" w:hint="default"/>
                <w:sz w:val="18"/>
                <w:szCs w:val="18"/>
              </w:rPr>
            </w:pPr>
            <w:r>
              <w:rPr>
                <w:rFonts w:ascii="Times New Roman"/>
                <w:sz w:val="18"/>
              </w:rPr>
              <w:t>150,000,000.00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2017.08.02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2018.08.02</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曾胜强</w:t>
            </w:r>
            <w:r>
              <w:rPr>
                <w:rFonts w:ascii="宋体" w:hAnsi="宋体" w:cs="宋体" w:eastAsia="宋体" w:hint="default"/>
                <w:spacing w:val="-89"/>
                <w:sz w:val="18"/>
                <w:szCs w:val="18"/>
              </w:rPr>
              <w:t>、</w:t>
            </w:r>
            <w:r>
              <w:rPr>
                <w:rFonts w:ascii="宋体" w:hAnsi="宋体" w:cs="宋体" w:eastAsia="宋体" w:hint="default"/>
                <w:sz w:val="18"/>
                <w:szCs w:val="18"/>
              </w:rPr>
              <w:t>许忠桂连带担保</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73" w:right="0"/>
              <w:jc w:val="left"/>
              <w:rPr>
                <w:rFonts w:ascii="Times New Roman" w:hAnsi="Times New Roman" w:cs="Times New Roman" w:eastAsia="Times New Roman" w:hint="default"/>
                <w:sz w:val="18"/>
                <w:szCs w:val="18"/>
              </w:rPr>
            </w:pPr>
            <w:r>
              <w:rPr>
                <w:rFonts w:ascii="Times New Roman"/>
                <w:sz w:val="18"/>
              </w:rPr>
              <w:t>100,000,000.00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90" w:right="0"/>
              <w:jc w:val="left"/>
              <w:rPr>
                <w:rFonts w:ascii="Times New Roman" w:hAnsi="Times New Roman" w:cs="Times New Roman" w:eastAsia="Times New Roman" w:hint="default"/>
                <w:sz w:val="18"/>
                <w:szCs w:val="18"/>
              </w:rPr>
            </w:pPr>
            <w:r>
              <w:rPr>
                <w:rFonts w:ascii="Times New Roman"/>
                <w:sz w:val="18"/>
              </w:rPr>
              <w:t>30,000,000.00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2017.08.18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2018.08.19</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曾胜强</w:t>
            </w:r>
            <w:r>
              <w:rPr>
                <w:rFonts w:ascii="宋体" w:hAnsi="宋体" w:cs="宋体" w:eastAsia="宋体" w:hint="default"/>
                <w:spacing w:val="-89"/>
                <w:sz w:val="18"/>
                <w:szCs w:val="18"/>
              </w:rPr>
              <w:t>、</w:t>
            </w:r>
            <w:r>
              <w:rPr>
                <w:rFonts w:ascii="宋体" w:hAnsi="宋体" w:cs="宋体" w:eastAsia="宋体" w:hint="default"/>
                <w:sz w:val="18"/>
                <w:szCs w:val="18"/>
              </w:rPr>
              <w:t>许忠桂连带担保</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18" w:right="0"/>
              <w:jc w:val="left"/>
              <w:rPr>
                <w:rFonts w:ascii="Times New Roman" w:hAnsi="Times New Roman" w:cs="Times New Roman" w:eastAsia="Times New Roman" w:hint="default"/>
                <w:sz w:val="18"/>
                <w:szCs w:val="18"/>
              </w:rPr>
            </w:pPr>
            <w:r>
              <w:rPr>
                <w:rFonts w:ascii="Times New Roman"/>
                <w:sz w:val="18"/>
              </w:rPr>
              <w:t>65,000,000.00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54" w:right="0"/>
              <w:jc w:val="left"/>
              <w:rPr>
                <w:rFonts w:ascii="Times New Roman" w:hAnsi="Times New Roman" w:cs="Times New Roman" w:eastAsia="Times New Roman" w:hint="default"/>
                <w:sz w:val="18"/>
                <w:szCs w:val="18"/>
              </w:rPr>
            </w:pPr>
            <w:r>
              <w:rPr>
                <w:rFonts w:ascii="Times New Roman"/>
                <w:sz w:val="18"/>
              </w:rPr>
              <w:t>50,000,000.00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2017.08.23</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2018.08.23</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5" w:hRule="exact"/>
        </w:trPr>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曾胜强</w:t>
            </w:r>
            <w:r>
              <w:rPr>
                <w:rFonts w:ascii="宋体" w:hAnsi="宋体" w:cs="宋体" w:eastAsia="宋体" w:hint="default"/>
                <w:spacing w:val="-89"/>
                <w:sz w:val="18"/>
                <w:szCs w:val="18"/>
              </w:rPr>
              <w:t>、</w:t>
            </w:r>
            <w:r>
              <w:rPr>
                <w:rFonts w:ascii="宋体" w:hAnsi="宋体" w:cs="宋体" w:eastAsia="宋体" w:hint="default"/>
                <w:sz w:val="18"/>
                <w:szCs w:val="18"/>
              </w:rPr>
              <w:t>许忠桂连带担保</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173" w:right="0"/>
              <w:jc w:val="left"/>
              <w:rPr>
                <w:rFonts w:ascii="Times New Roman" w:hAnsi="Times New Roman" w:cs="Times New Roman" w:eastAsia="Times New Roman" w:hint="default"/>
                <w:sz w:val="18"/>
                <w:szCs w:val="18"/>
              </w:rPr>
            </w:pPr>
            <w:r>
              <w:rPr>
                <w:rFonts w:ascii="Times New Roman"/>
                <w:sz w:val="18"/>
              </w:rPr>
              <w:t>250,000,000.00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208" w:right="0"/>
              <w:jc w:val="left"/>
              <w:rPr>
                <w:rFonts w:ascii="Times New Roman" w:hAnsi="Times New Roman" w:cs="Times New Roman" w:eastAsia="Times New Roman" w:hint="default"/>
                <w:sz w:val="18"/>
                <w:szCs w:val="18"/>
              </w:rPr>
            </w:pPr>
            <w:r>
              <w:rPr>
                <w:rFonts w:ascii="Times New Roman"/>
                <w:sz w:val="18"/>
              </w:rPr>
              <w:t>150,000,000.00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2017.08.30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2018.08.30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27" w:hRule="exact"/>
        </w:trPr>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曾胜强</w:t>
            </w:r>
            <w:r>
              <w:rPr>
                <w:rFonts w:ascii="宋体" w:hAnsi="宋体" w:cs="宋体" w:eastAsia="宋体" w:hint="default"/>
                <w:spacing w:val="-89"/>
                <w:sz w:val="18"/>
                <w:szCs w:val="18"/>
              </w:rPr>
              <w:t>、</w:t>
            </w:r>
            <w:r>
              <w:rPr>
                <w:rFonts w:ascii="宋体" w:hAnsi="宋体" w:cs="宋体" w:eastAsia="宋体" w:hint="default"/>
                <w:sz w:val="18"/>
                <w:szCs w:val="18"/>
              </w:rPr>
              <w:t>许忠桂连带担保</w:t>
            </w:r>
          </w:p>
        </w:tc>
        <w:tc>
          <w:tcPr>
            <w:tcW w:w="7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本公司</w:t>
            </w: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73" w:right="0"/>
              <w:jc w:val="left"/>
              <w:rPr>
                <w:rFonts w:ascii="Times New Roman" w:hAnsi="Times New Roman" w:cs="Times New Roman" w:eastAsia="Times New Roman" w:hint="default"/>
                <w:sz w:val="18"/>
                <w:szCs w:val="18"/>
              </w:rPr>
            </w:pPr>
            <w:r>
              <w:rPr>
                <w:rFonts w:ascii="Times New Roman"/>
                <w:sz w:val="18"/>
              </w:rPr>
              <w:t>200,000,000.00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08" w:right="0"/>
              <w:jc w:val="left"/>
              <w:rPr>
                <w:rFonts w:ascii="Times New Roman" w:hAnsi="Times New Roman" w:cs="Times New Roman" w:eastAsia="Times New Roman" w:hint="default"/>
                <w:sz w:val="18"/>
                <w:szCs w:val="18"/>
              </w:rPr>
            </w:pPr>
            <w:r>
              <w:rPr>
                <w:rFonts w:ascii="Times New Roman"/>
                <w:sz w:val="18"/>
              </w:rPr>
              <w:t>150,000,000.00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center"/>
              <w:rPr>
                <w:rFonts w:ascii="Times New Roman" w:hAnsi="Times New Roman" w:cs="Times New Roman" w:eastAsia="Times New Roman" w:hint="default"/>
                <w:sz w:val="18"/>
                <w:szCs w:val="18"/>
              </w:rPr>
            </w:pPr>
            <w:r>
              <w:rPr>
                <w:rFonts w:ascii="Times New Roman"/>
                <w:sz w:val="18"/>
              </w:rPr>
              <w:t>2017.08.30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2018.08.30</w:t>
            </w:r>
          </w:p>
        </w:tc>
        <w:tc>
          <w:tcPr>
            <w:tcW w:w="18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30" w:hRule="exact"/>
        </w:trPr>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18" w:type="dxa"/>
            <w:tcBorders>
              <w:top w:val="single" w:sz="6" w:space="0" w:color="000000"/>
              <w:left w:val="single" w:sz="6" w:space="0" w:color="000000"/>
              <w:bottom w:val="single" w:sz="6" w:space="0" w:color="000000"/>
              <w:right w:val="single" w:sz="6" w:space="0" w:color="000000"/>
            </w:tcBorders>
          </w:tcPr>
          <w:p>
            <w:pPr/>
          </w:p>
        </w:tc>
        <w:tc>
          <w:tcPr>
            <w:tcW w:w="14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09" w:right="0"/>
              <w:jc w:val="left"/>
              <w:rPr>
                <w:rFonts w:ascii="Times New Roman" w:hAnsi="Times New Roman" w:cs="Times New Roman" w:eastAsia="Times New Roman" w:hint="default"/>
                <w:sz w:val="18"/>
                <w:szCs w:val="18"/>
              </w:rPr>
            </w:pPr>
            <w:r>
              <w:rPr>
                <w:rFonts w:ascii="Times New Roman"/>
                <w:sz w:val="18"/>
              </w:rPr>
              <w:t>1,965,000,000.00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80" w:right="0"/>
              <w:jc w:val="left"/>
              <w:rPr>
                <w:rFonts w:ascii="Times New Roman" w:hAnsi="Times New Roman" w:cs="Times New Roman" w:eastAsia="Times New Roman" w:hint="default"/>
                <w:sz w:val="18"/>
                <w:szCs w:val="18"/>
              </w:rPr>
            </w:pPr>
            <w:r>
              <w:rPr>
                <w:rFonts w:ascii="Times New Roman"/>
                <w:sz w:val="18"/>
              </w:rPr>
              <w:t>1,109,744,700.00</w:t>
            </w:r>
          </w:p>
        </w:tc>
        <w:tc>
          <w:tcPr>
            <w:tcW w:w="994" w:type="dxa"/>
            <w:tcBorders>
              <w:top w:val="single" w:sz="6" w:space="0" w:color="000000"/>
              <w:left w:val="single" w:sz="6" w:space="0" w:color="000000"/>
              <w:bottom w:val="single" w:sz="6" w:space="0" w:color="000000"/>
              <w:right w:val="single" w:sz="6" w:space="0" w:color="000000"/>
            </w:tcBorders>
          </w:tcPr>
          <w:p>
            <w:pPr/>
          </w:p>
        </w:tc>
        <w:tc>
          <w:tcPr>
            <w:tcW w:w="994" w:type="dxa"/>
            <w:tcBorders>
              <w:top w:val="single" w:sz="6" w:space="0" w:color="000000"/>
              <w:left w:val="single" w:sz="6" w:space="0" w:color="000000"/>
              <w:bottom w:val="single" w:sz="6" w:space="0" w:color="000000"/>
              <w:right w:val="single" w:sz="6" w:space="0" w:color="000000"/>
            </w:tcBorders>
          </w:tcPr>
          <w:p>
            <w:pPr/>
          </w:p>
        </w:tc>
        <w:tc>
          <w:tcPr>
            <w:tcW w:w="184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十二、承诺及或有事项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、重要承诺事项</w:t>
      </w:r>
      <w:r>
        <w:rPr>
          <w:b w:val="0"/>
          <w:bCs w:val="0"/>
        </w:rPr>
      </w:r>
    </w:p>
    <w:p>
      <w:pPr>
        <w:spacing w:line="240" w:lineRule="auto" w:before="4"/>
        <w:rPr>
          <w:rFonts w:ascii="宋体" w:hAnsi="宋体" w:cs="宋体" w:eastAsia="宋体" w:hint="default"/>
          <w:b/>
          <w:bCs/>
          <w:sz w:val="26"/>
          <w:szCs w:val="26"/>
        </w:rPr>
      </w:pPr>
    </w:p>
    <w:p>
      <w:pPr>
        <w:pStyle w:val="BodyText"/>
        <w:spacing w:line="357" w:lineRule="auto"/>
        <w:ind w:right="4914"/>
        <w:jc w:val="left"/>
      </w:pPr>
      <w:r>
        <w:rPr/>
        <w:t>资产负债表日存在的重要承诺 截止资产负债表日，本公司不存在需要披露的重大承诺事项。</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left="513" w:right="6323"/>
        <w:jc w:val="left"/>
      </w:pPr>
      <w:r>
        <w:rPr>
          <w:rFonts w:ascii="Times New Roman" w:hAnsi="Times New Roman" w:cs="Times New Roman" w:eastAsia="Times New Roman" w:hint="default"/>
        </w:rPr>
        <w:t>1</w:t>
      </w:r>
      <w:r>
        <w:rPr/>
        <w:t>、诉讼事项 </w:t>
      </w:r>
      <w:r>
        <w:rPr>
          <w:rFonts w:ascii="Times New Roman" w:hAnsi="Times New Roman" w:cs="Times New Roman" w:eastAsia="Times New Roman" w:hint="default"/>
        </w:rPr>
        <w:t>(1)</w:t>
      </w:r>
      <w:r>
        <w:rPr/>
        <w:t>上海华东电脑股份有限公司诉讼事项</w:t>
      </w:r>
    </w:p>
    <w:p>
      <w:pPr>
        <w:pStyle w:val="BodyText"/>
        <w:spacing w:line="300" w:lineRule="auto" w:before="13"/>
        <w:ind w:right="0" w:firstLine="360"/>
        <w:jc w:val="left"/>
      </w:pPr>
      <w:r>
        <w:rPr/>
        <w:t>上海华东电脑股份有限公司与公司控股子公司广州云硕科技发展有限公司签订《广州云硕云谷数据中心二期项目</w:t>
      </w:r>
      <w:r>
        <w:rPr>
          <w:rFonts w:ascii="Times New Roman" w:hAnsi="Times New Roman" w:cs="Times New Roman" w:eastAsia="Times New Roman" w:hint="default"/>
        </w:rPr>
        <w:t>(</w:t>
      </w:r>
      <w:r>
        <w:rPr/>
        <w:t>百度 </w:t>
      </w:r>
      <w:r>
        <w:rPr>
          <w:spacing w:val="-1"/>
        </w:rPr>
        <w:t>项目</w:t>
      </w:r>
      <w:r>
        <w:rPr>
          <w:rFonts w:ascii="Times New Roman" w:hAnsi="Times New Roman" w:cs="Times New Roman" w:eastAsia="Times New Roman" w:hint="default"/>
          <w:spacing w:val="-1"/>
        </w:rPr>
        <w:t>)</w:t>
      </w:r>
      <w:r>
        <w:rPr>
          <w:spacing w:val="-1"/>
        </w:rPr>
        <w:t>总承包合同》，合同金额为</w:t>
      </w:r>
      <w:r>
        <w:rPr>
          <w:rFonts w:ascii="Times New Roman" w:hAnsi="Times New Roman" w:cs="Times New Roman" w:eastAsia="Times New Roman" w:hint="default"/>
          <w:spacing w:val="-1"/>
        </w:rPr>
        <w:t>231,806,443.00</w:t>
      </w:r>
      <w:r>
        <w:rPr>
          <w:spacing w:val="-1"/>
        </w:rPr>
        <w:t>元，最终结算价以广州云硕科技发展有限公司签确的单价及项目实际竣工验</w:t>
      </w:r>
      <w:r>
        <w:rPr>
          <w:spacing w:val="-41"/>
        </w:rPr>
        <w:t> </w:t>
      </w:r>
      <w:r>
        <w:rPr>
          <w:spacing w:val="-41"/>
        </w:rPr>
      </w:r>
      <w:r>
        <w:rPr/>
        <w:t>收审核数量计算。</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11</w:t>
      </w:r>
      <w:r>
        <w:rPr>
          <w:rFonts w:ascii="Times New Roman" w:hAnsi="Times New Roman" w:cs="Times New Roman" w:eastAsia="Times New Roman" w:hint="default"/>
          <w:spacing w:val="-12"/>
        </w:rPr>
        <w:t> </w:t>
      </w:r>
      <w:r>
        <w:rPr/>
        <w:t>月，上海华东电脑股份有限公司就上述合同剩余结算款起诉广州云硕科技发展有限公司，请 求法院依法判令广州云硕科技发展有限公司支付总承包合同剩余工程结算款及其资金占用费。目前案件正在审理中。</w:t>
      </w:r>
    </w:p>
    <w:p>
      <w:pPr>
        <w:pStyle w:val="BodyText"/>
        <w:spacing w:line="240" w:lineRule="auto" w:before="31"/>
        <w:ind w:left="513" w:right="0"/>
        <w:jc w:val="left"/>
      </w:pPr>
      <w:r>
        <w:rPr>
          <w:rFonts w:ascii="Times New Roman" w:hAnsi="Times New Roman" w:cs="Times New Roman" w:eastAsia="Times New Roman" w:hint="default"/>
        </w:rPr>
        <w:t>(2)</w:t>
      </w:r>
      <w:r>
        <w:rPr/>
        <w:t>晋州市月光照明电器厂诉讼事项</w:t>
      </w:r>
    </w:p>
    <w:p>
      <w:pPr>
        <w:pStyle w:val="BodyText"/>
        <w:spacing w:line="240" w:lineRule="auto" w:before="63"/>
        <w:ind w:left="513" w:right="0"/>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11</w:t>
      </w:r>
      <w:r>
        <w:rPr>
          <w:rFonts w:ascii="Times New Roman" w:hAnsi="Times New Roman" w:cs="Times New Roman" w:eastAsia="Times New Roman" w:hint="default"/>
          <w:spacing w:val="-13"/>
        </w:rPr>
        <w:t> </w:t>
      </w:r>
      <w:r>
        <w:rPr/>
        <w:t>月，公司全资子公司定州市中标节能技术服务有限公司收到河北省石家庄市中级人民法院关于晋州市月光</w:t>
      </w:r>
    </w:p>
    <w:p>
      <w:pPr>
        <w:spacing w:after="0" w:line="240" w:lineRule="auto"/>
        <w:jc w:val="left"/>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pStyle w:val="BodyText"/>
        <w:spacing w:line="309" w:lineRule="auto" w:before="44"/>
        <w:ind w:right="0"/>
        <w:jc w:val="left"/>
      </w:pPr>
      <w:r>
        <w:rPr/>
        <w:t>照明电器厂起诉定州中标工程材料款等纠纷案件的二审判决，法院判令定州中标返还晋州市月光照明电器厂材料款 </w:t>
      </w:r>
      <w:r>
        <w:rPr>
          <w:rFonts w:ascii="Times New Roman" w:hAnsi="Times New Roman" w:cs="Times New Roman" w:eastAsia="Times New Roman" w:hint="default"/>
          <w:spacing w:val="-1"/>
        </w:rPr>
        <w:t>9,078,645.00</w:t>
      </w:r>
      <w:r>
        <w:rPr>
          <w:spacing w:val="-1"/>
        </w:rPr>
        <w:t>元及利息。定州市中标节能技术服务有限公司不服二审判决，已于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w:t>
      </w:r>
      <w:r>
        <w:rPr>
          <w:spacing w:val="-1"/>
        </w:rPr>
        <w:t>月向河北省高级人民法院提出再审申</w:t>
      </w:r>
      <w:r>
        <w:rPr>
          <w:spacing w:val="-70"/>
        </w:rPr>
        <w:t> </w:t>
      </w:r>
      <w:r>
        <w:rPr>
          <w:spacing w:val="-70"/>
        </w:rPr>
      </w:r>
      <w:r>
        <w:rPr/>
        <w:t>请。定州市中标节能技术服务有限公司在</w:t>
      </w:r>
      <w:r>
        <w:rPr>
          <w:rFonts w:ascii="Times New Roman" w:hAnsi="Times New Roman" w:cs="Times New Roman" w:eastAsia="Times New Roman" w:hint="default"/>
        </w:rPr>
        <w:t>2017</w:t>
      </w:r>
      <w:r>
        <w:rPr/>
        <w:t>年度根据很可能发生的损失予以预计费用。</w:t>
      </w:r>
    </w:p>
    <w:p>
      <w:pPr>
        <w:pStyle w:val="BodyText"/>
        <w:spacing w:line="240" w:lineRule="auto" w:before="5"/>
        <w:ind w:left="513" w:right="0"/>
        <w:jc w:val="left"/>
      </w:pPr>
      <w:r>
        <w:rPr>
          <w:rFonts w:ascii="Times New Roman" w:hAnsi="Times New Roman" w:cs="Times New Roman" w:eastAsia="Times New Roman" w:hint="default"/>
        </w:rPr>
        <w:t>(3)</w:t>
      </w:r>
      <w:r>
        <w:rPr/>
        <w:t>杭州度联信息技术有限公司向公司诉讼事项</w:t>
      </w:r>
    </w:p>
    <w:p>
      <w:pPr>
        <w:pStyle w:val="BodyText"/>
        <w:spacing w:line="300" w:lineRule="auto" w:before="63"/>
        <w:ind w:right="0" w:firstLine="360"/>
        <w:jc w:val="left"/>
      </w:pP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11</w:t>
      </w:r>
      <w:r>
        <w:rPr>
          <w:rFonts w:ascii="Times New Roman" w:hAnsi="Times New Roman" w:cs="Times New Roman" w:eastAsia="Times New Roman" w:hint="default"/>
          <w:spacing w:val="-13"/>
        </w:rPr>
        <w:t> </w:t>
      </w:r>
      <w:r>
        <w:rPr/>
        <w:t>月，公司向深圳市南山区人民法院起诉杭州度联信息技术有限公司，请求法院判令杭州度联信息技术有限 公司支付货款及违约金合计</w:t>
      </w:r>
      <w:r>
        <w:rPr>
          <w:spacing w:val="-21"/>
        </w:rPr>
        <w:t> </w:t>
      </w:r>
      <w:r>
        <w:rPr>
          <w:rFonts w:ascii="Times New Roman" w:hAnsi="Times New Roman" w:cs="Times New Roman" w:eastAsia="Times New Roman" w:hint="default"/>
        </w:rPr>
        <w:t>6,913,000.00</w:t>
      </w:r>
      <w:r>
        <w:rPr/>
        <w:t>元并承担本案律师费和诉讼费用，目前案件已立案，尚未开庭审理。</w:t>
      </w:r>
    </w:p>
    <w:p>
      <w:pPr>
        <w:pStyle w:val="BodyText"/>
        <w:spacing w:line="240" w:lineRule="auto" w:before="13"/>
        <w:ind w:left="513" w:right="0"/>
        <w:jc w:val="left"/>
      </w:pPr>
      <w:r>
        <w:rPr>
          <w:rFonts w:ascii="Times New Roman" w:hAnsi="Times New Roman" w:cs="Times New Roman" w:eastAsia="Times New Roman" w:hint="default"/>
        </w:rPr>
        <w:t>2</w:t>
      </w:r>
      <w:r>
        <w:rPr/>
        <w:t>、保函情况</w:t>
      </w:r>
    </w:p>
    <w:p>
      <w:pPr>
        <w:pStyle w:val="BodyText"/>
        <w:spacing w:line="300" w:lineRule="auto" w:before="63"/>
        <w:ind w:right="147" w:firstLine="360"/>
        <w:jc w:val="left"/>
      </w:pPr>
      <w:r>
        <w:rPr/>
        <w:t>截止 </w:t>
      </w:r>
      <w:r>
        <w:rPr>
          <w:rFonts w:ascii="Times New Roman" w:hAnsi="Times New Roman" w:cs="Times New Roman" w:eastAsia="Times New Roman" w:hint="default"/>
        </w:rPr>
        <w:t>2017</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t>日，本公司为招投标出具质量保函及履约保函中未到期履约保函有</w:t>
      </w:r>
      <w:r>
        <w:rPr>
          <w:rFonts w:ascii="Times New Roman" w:hAnsi="Times New Roman" w:cs="Times New Roman" w:eastAsia="Times New Roman" w:hint="default"/>
        </w:rPr>
        <w:t>4</w:t>
      </w:r>
      <w:r>
        <w:rPr/>
        <w:t>份，质量保函及履约保函金 额为</w:t>
      </w:r>
      <w:r>
        <w:rPr>
          <w:rFonts w:ascii="Times New Roman" w:hAnsi="Times New Roman" w:cs="Times New Roman" w:eastAsia="Times New Roman" w:hint="default"/>
        </w:rPr>
        <w:t>295,189.96</w:t>
      </w:r>
      <w:r>
        <w:rPr/>
        <w:t>元，存入保证金金额</w:t>
      </w:r>
      <w:r>
        <w:rPr>
          <w:rFonts w:ascii="Times New Roman" w:hAnsi="Times New Roman" w:cs="Times New Roman" w:eastAsia="Times New Roman" w:hint="default"/>
        </w:rPr>
        <w:t>295,189.96</w:t>
      </w:r>
      <w:r>
        <w:rPr>
          <w:rFonts w:ascii="Times New Roman" w:hAnsi="Times New Roman" w:cs="Times New Roman" w:eastAsia="Times New Roman" w:hint="default"/>
          <w:spacing w:val="26"/>
        </w:rPr>
        <w:t> </w:t>
      </w:r>
      <w:r>
        <w:rPr/>
        <w:t>元。</w:t>
      </w:r>
    </w:p>
    <w:p>
      <w:pPr>
        <w:pStyle w:val="BodyText"/>
        <w:spacing w:line="300" w:lineRule="auto" w:before="13"/>
        <w:ind w:left="513" w:right="4823"/>
        <w:jc w:val="left"/>
      </w:pPr>
      <w:r>
        <w:rPr>
          <w:rFonts w:ascii="Times New Roman" w:hAnsi="Times New Roman" w:cs="Times New Roman" w:eastAsia="Times New Roman" w:hint="default"/>
        </w:rPr>
        <w:t>3</w:t>
      </w:r>
      <w:r>
        <w:rPr/>
        <w:t>、为其他单位提供债务担保形成的或有负债及其财务影响 为关联方提供的担保事项详见本财务报表附注十一、</w:t>
      </w:r>
      <w:r>
        <w:rPr>
          <w:rFonts w:ascii="Times New Roman" w:hAnsi="Times New Roman" w:cs="Times New Roman" w:eastAsia="Times New Roman" w:hint="default"/>
        </w:rPr>
        <w:t>(6)</w:t>
      </w:r>
      <w:r>
        <w:rPr/>
        <w:t>。</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十三、资产负债表日后事项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、利润分配情况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25,757,847.40</w:t>
            </w:r>
          </w:p>
        </w:tc>
      </w:tr>
      <w:tr>
        <w:trPr>
          <w:trHeight w:val="401"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25,757,847.40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、其他资产负债表日后事项说明</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7"/>
          <w:szCs w:val="27"/>
        </w:rPr>
      </w:pPr>
    </w:p>
    <w:p>
      <w:pPr>
        <w:pStyle w:val="Heading2"/>
        <w:spacing w:line="240" w:lineRule="auto"/>
        <w:ind w:right="0"/>
        <w:jc w:val="left"/>
        <w:rPr>
          <w:b w:val="0"/>
          <w:bCs w:val="0"/>
        </w:rPr>
      </w:pPr>
      <w:r>
        <w:rPr/>
        <w:t>十四、其他重要事项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、分部信息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13" w:right="0"/>
        <w:jc w:val="left"/>
      </w:pPr>
      <w:r>
        <w:rPr>
          <w:rFonts w:ascii="Times New Roman" w:hAnsi="Times New Roman" w:cs="Times New Roman" w:eastAsia="Times New Roman" w:hint="default"/>
        </w:rPr>
        <w:t>1</w:t>
      </w:r>
      <w:r>
        <w:rPr/>
        <w:t>、报告分部的确定依据与会计政策： </w:t>
      </w:r>
      <w:r>
        <w:rPr>
          <w:spacing w:val="-2"/>
        </w:rPr>
        <w:t>公司以内部组织结构、管理要求、内部报告制度等为依据确定经营分部。公司的经营分部是指同时满足下列条件的组成</w:t>
      </w:r>
    </w:p>
    <w:p>
      <w:pPr>
        <w:pStyle w:val="BodyText"/>
        <w:spacing w:line="240" w:lineRule="auto" w:before="32"/>
        <w:ind w:right="0"/>
        <w:jc w:val="left"/>
      </w:pPr>
      <w:r>
        <w:rPr/>
        <w:t>部分：</w:t>
      </w:r>
    </w:p>
    <w:p>
      <w:pPr>
        <w:pStyle w:val="BodyText"/>
        <w:spacing w:line="300" w:lineRule="auto" w:before="76"/>
        <w:ind w:left="513" w:right="2723"/>
        <w:jc w:val="left"/>
      </w:pPr>
      <w:r>
        <w:rPr>
          <w:rFonts w:ascii="Times New Roman" w:hAnsi="Times New Roman" w:cs="Times New Roman" w:eastAsia="Times New Roman" w:hint="default"/>
        </w:rPr>
        <w:t>(1)</w:t>
      </w:r>
      <w:r>
        <w:rPr/>
        <w:t>该组成部分能够在日常活动中产生收入、发生费用；</w:t>
      </w:r>
      <w:r>
        <w:rPr>
          <w:w w:val="99"/>
        </w:rPr>
        <w:t> </w:t>
      </w:r>
      <w:r>
        <w:rPr>
          <w:rFonts w:ascii="Times New Roman" w:hAnsi="Times New Roman" w:cs="Times New Roman" w:eastAsia="Times New Roman" w:hint="default"/>
        </w:rPr>
        <w:t>(2)</w:t>
      </w:r>
      <w:r>
        <w:rPr/>
        <w:t>管理层能够定期评价该组成部分的经营成果，以决定向其配置资源、评价其业绩；</w:t>
      </w:r>
      <w:r>
        <w:rPr>
          <w:w w:val="99"/>
        </w:rPr>
        <w:t> </w:t>
      </w:r>
      <w:r>
        <w:rPr>
          <w:rFonts w:ascii="Times New Roman" w:hAnsi="Times New Roman" w:cs="Times New Roman" w:eastAsia="Times New Roman" w:hint="default"/>
        </w:rPr>
        <w:t>(3)</w:t>
      </w:r>
      <w:r>
        <w:rPr/>
        <w:t>能够通过分析取得该组成部分的财务状况、经营成果和现金流量等有关会计信息。</w:t>
      </w:r>
    </w:p>
    <w:p>
      <w:pPr>
        <w:spacing w:after="0" w:line="30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rFonts w:ascii="Times New Roman" w:hAnsi="Times New Roman" w:cs="Times New Roman" w:eastAsia="Times New Roman" w:hint="default"/>
        </w:rPr>
      </w:pPr>
      <w:r>
        <w:rPr>
          <w:rFonts w:ascii="Times New Roman" w:hAnsi="Times New Roman" w:cs="Times New Roman" w:eastAsia="Times New Roman" w:hint="default"/>
        </w:rPr>
        <w:t>(1)</w:t>
      </w:r>
      <w:r>
        <w:rPr/>
        <w:t>主营业务</w:t>
      </w:r>
      <w:r>
        <w:rPr>
          <w:rFonts w:ascii="Times New Roman" w:hAnsi="Times New Roman" w:cs="Times New Roman" w:eastAsia="Times New Roman" w:hint="default"/>
        </w:rPr>
        <w:t>(</w:t>
      </w:r>
      <w:r>
        <w:rPr/>
        <w:t>分行业</w:t>
      </w:r>
      <w:r>
        <w:rPr>
          <w:rFonts w:ascii="Times New Roman" w:hAnsi="Times New Roman" w:cs="Times New Roman" w:eastAsia="Times New Roman" w:hint="default"/>
        </w:rPr>
        <w:t>)</w:t>
      </w:r>
    </w:p>
    <w:p>
      <w:pPr>
        <w:spacing w:line="240" w:lineRule="auto" w:before="11"/>
        <w:rPr>
          <w:rFonts w:ascii="Times New Roman" w:hAnsi="Times New Roman" w:cs="Times New Roman" w:eastAsia="Times New Roman"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136"/>
        <w:gridCol w:w="1880"/>
        <w:gridCol w:w="1985"/>
        <w:gridCol w:w="2127"/>
        <w:gridCol w:w="2302"/>
      </w:tblGrid>
      <w:tr>
        <w:trPr>
          <w:trHeight w:val="425" w:hRule="exact"/>
        </w:trPr>
        <w:tc>
          <w:tcPr>
            <w:tcW w:w="1136" w:type="dxa"/>
            <w:vMerge w:val="restart"/>
            <w:tcBorders>
              <w:top w:val="single" w:sz="6" w:space="0" w:color="000000"/>
              <w:left w:val="single" w:sz="6" w:space="0" w:color="000000"/>
              <w:right w:val="single" w:sz="6" w:space="0" w:color="000000"/>
            </w:tcBorders>
          </w:tcPr>
          <w:p>
            <w:pPr>
              <w:pStyle w:val="TableParagraph"/>
              <w:spacing w:line="240" w:lineRule="auto" w:before="58"/>
              <w:ind w:left="202" w:right="0"/>
              <w:jc w:val="left"/>
              <w:rPr>
                <w:rFonts w:ascii="宋体" w:hAnsi="宋体" w:cs="宋体" w:eastAsia="宋体" w:hint="default"/>
                <w:sz w:val="18"/>
                <w:szCs w:val="18"/>
              </w:rPr>
            </w:pPr>
            <w:r>
              <w:rPr>
                <w:rFonts w:ascii="宋体" w:hAnsi="宋体" w:cs="宋体" w:eastAsia="宋体" w:hint="default"/>
                <w:sz w:val="18"/>
                <w:szCs w:val="18"/>
              </w:rPr>
              <w:t>行业名称</w:t>
            </w:r>
          </w:p>
        </w:tc>
        <w:tc>
          <w:tcPr>
            <w:tcW w:w="386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442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2"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27" w:hRule="exact"/>
        </w:trPr>
        <w:tc>
          <w:tcPr>
            <w:tcW w:w="1136" w:type="dxa"/>
            <w:vMerge/>
            <w:tcBorders>
              <w:left w:val="single" w:sz="6" w:space="0" w:color="000000"/>
              <w:bottom w:val="single" w:sz="6" w:space="0" w:color="000000"/>
              <w:right w:val="single" w:sz="6" w:space="0" w:color="000000"/>
            </w:tcBorders>
          </w:tcPr>
          <w:p>
            <w:pP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57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9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r>
      <w:tr>
        <w:trPr>
          <w:trHeight w:val="427"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金融电子</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533,555,400.07</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Times New Roman" w:hAnsi="Times New Roman" w:cs="Times New Roman" w:eastAsia="Times New Roman" w:hint="default"/>
                <w:sz w:val="18"/>
                <w:szCs w:val="18"/>
              </w:rPr>
            </w:pPr>
            <w:r>
              <w:rPr>
                <w:rFonts w:ascii="Times New Roman"/>
                <w:spacing w:val="-1"/>
                <w:sz w:val="18"/>
              </w:rPr>
              <w:t>426,636,004.97</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963,416,149.40</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766,665,272.25</w:t>
            </w:r>
          </w:p>
        </w:tc>
      </w:tr>
      <w:tr>
        <w:trPr>
          <w:trHeight w:val="427"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照明电子</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369,346,428.65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Times New Roman" w:hAnsi="Times New Roman" w:cs="Times New Roman" w:eastAsia="Times New Roman" w:hint="default"/>
                <w:sz w:val="18"/>
                <w:szCs w:val="18"/>
              </w:rPr>
            </w:pPr>
            <w:r>
              <w:rPr>
                <w:rFonts w:ascii="Times New Roman"/>
                <w:spacing w:val="-1"/>
                <w:sz w:val="18"/>
              </w:rPr>
              <w:t>287,792,435.65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206,641,369.72</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182,221,340.85</w:t>
            </w:r>
          </w:p>
        </w:tc>
      </w:tr>
      <w:tr>
        <w:trPr>
          <w:trHeight w:val="427"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合同能源</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280,947,749.79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Times New Roman" w:hAnsi="Times New Roman" w:cs="Times New Roman" w:eastAsia="Times New Roman" w:hint="default"/>
                <w:sz w:val="18"/>
                <w:szCs w:val="18"/>
              </w:rPr>
            </w:pPr>
            <w:r>
              <w:rPr>
                <w:rFonts w:ascii="Times New Roman"/>
                <w:spacing w:val="-1"/>
                <w:sz w:val="18"/>
              </w:rPr>
              <w:t>156,891,818.32</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259,392,903.69</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130,217,333.64</w:t>
            </w:r>
          </w:p>
        </w:tc>
      </w:tr>
      <w:tr>
        <w:trPr>
          <w:trHeight w:val="427"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IDC</w:t>
            </w:r>
            <w:r>
              <w:rPr>
                <w:rFonts w:ascii="宋体" w:hAnsi="宋体" w:cs="宋体" w:eastAsia="宋体" w:hint="default"/>
                <w:sz w:val="18"/>
                <w:szCs w:val="18"/>
              </w:rPr>
              <w:t>业务</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215,277,731.95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Times New Roman" w:hAnsi="Times New Roman" w:cs="Times New Roman" w:eastAsia="Times New Roman" w:hint="default"/>
                <w:sz w:val="18"/>
                <w:szCs w:val="18"/>
              </w:rPr>
            </w:pPr>
            <w:r>
              <w:rPr>
                <w:rFonts w:ascii="Times New Roman"/>
                <w:spacing w:val="-1"/>
                <w:sz w:val="18"/>
              </w:rPr>
              <w:t>170,743,308.08</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140,563,386.92</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108,673,082.15</w:t>
            </w:r>
          </w:p>
        </w:tc>
      </w:tr>
      <w:tr>
        <w:trPr>
          <w:trHeight w:val="427"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283,465,857.83</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5"/>
              <w:jc w:val="right"/>
              <w:rPr>
                <w:rFonts w:ascii="Times New Roman" w:hAnsi="Times New Roman" w:cs="Times New Roman" w:eastAsia="Times New Roman" w:hint="default"/>
                <w:sz w:val="18"/>
                <w:szCs w:val="18"/>
              </w:rPr>
            </w:pPr>
            <w:r>
              <w:rPr>
                <w:rFonts w:ascii="Times New Roman"/>
                <w:spacing w:val="-1"/>
                <w:sz w:val="18"/>
              </w:rPr>
              <w:t>202,689,091.83</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225,892,990.02</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177,953,398.88</w:t>
            </w:r>
          </w:p>
        </w:tc>
      </w:tr>
      <w:tr>
        <w:trPr>
          <w:trHeight w:val="428"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1"/>
              <w:jc w:val="right"/>
              <w:rPr>
                <w:rFonts w:ascii="Times New Roman" w:hAnsi="Times New Roman" w:cs="Times New Roman" w:eastAsia="Times New Roman" w:hint="default"/>
                <w:sz w:val="18"/>
                <w:szCs w:val="18"/>
              </w:rPr>
            </w:pPr>
            <w:r>
              <w:rPr>
                <w:rFonts w:ascii="Times New Roman"/>
                <w:spacing w:val="-1"/>
                <w:sz w:val="18"/>
              </w:rPr>
              <w:t>1,682,593,168.29</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3"/>
              <w:jc w:val="right"/>
              <w:rPr>
                <w:rFonts w:ascii="Times New Roman" w:hAnsi="Times New Roman" w:cs="Times New Roman" w:eastAsia="Times New Roman" w:hint="default"/>
                <w:sz w:val="18"/>
                <w:szCs w:val="18"/>
              </w:rPr>
            </w:pPr>
            <w:r>
              <w:rPr>
                <w:rFonts w:ascii="Times New Roman"/>
                <w:spacing w:val="-1"/>
                <w:sz w:val="18"/>
              </w:rPr>
              <w:t>1,244,752,658.85</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1,795,906,799.75</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right"/>
              <w:rPr>
                <w:rFonts w:ascii="Times New Roman" w:hAnsi="Times New Roman" w:cs="Times New Roman" w:eastAsia="Times New Roman" w:hint="default"/>
                <w:sz w:val="18"/>
                <w:szCs w:val="18"/>
              </w:rPr>
            </w:pPr>
            <w:r>
              <w:rPr>
                <w:rFonts w:ascii="Times New Roman"/>
                <w:spacing w:val="-1"/>
                <w:sz w:val="18"/>
              </w:rPr>
              <w:t>1,365,730,427.77</w:t>
            </w:r>
          </w:p>
        </w:tc>
      </w:tr>
    </w:tbl>
    <w:p>
      <w:pPr>
        <w:pStyle w:val="BodyText"/>
        <w:spacing w:line="240" w:lineRule="auto" w:before="49"/>
        <w:ind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主营业务</w:t>
      </w:r>
      <w:r>
        <w:rPr>
          <w:rFonts w:ascii="Times New Roman" w:hAnsi="Times New Roman" w:cs="Times New Roman" w:eastAsia="Times New Roman" w:hint="default"/>
        </w:rPr>
        <w:t>(</w:t>
      </w:r>
      <w:r>
        <w:rPr/>
        <w:t>分地区</w:t>
      </w:r>
      <w:r>
        <w:rPr>
          <w:rFonts w:ascii="Times New Roman" w:hAnsi="Times New Roman" w:cs="Times New Roman" w:eastAsia="Times New Roman" w:hint="default"/>
        </w:rPr>
        <w:t>)</w:t>
      </w:r>
    </w:p>
    <w:p>
      <w:pPr>
        <w:spacing w:line="240" w:lineRule="auto" w:before="1"/>
        <w:rPr>
          <w:rFonts w:ascii="Times New Roman" w:hAnsi="Times New Roman" w:cs="Times New Roman" w:eastAsia="Times New Roman"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136"/>
        <w:gridCol w:w="1731"/>
        <w:gridCol w:w="2237"/>
        <w:gridCol w:w="2129"/>
        <w:gridCol w:w="2269"/>
      </w:tblGrid>
      <w:tr>
        <w:trPr>
          <w:trHeight w:val="427" w:hRule="exact"/>
        </w:trPr>
        <w:tc>
          <w:tcPr>
            <w:tcW w:w="1136" w:type="dxa"/>
            <w:vMerge w:val="restart"/>
            <w:tcBorders>
              <w:top w:val="single" w:sz="6" w:space="0" w:color="000000"/>
              <w:left w:val="single" w:sz="6" w:space="0" w:color="000000"/>
              <w:right w:val="single" w:sz="6" w:space="0" w:color="000000"/>
            </w:tcBorders>
          </w:tcPr>
          <w:p>
            <w:pPr>
              <w:pStyle w:val="TableParagraph"/>
              <w:spacing w:line="240" w:lineRule="auto" w:before="61"/>
              <w:ind w:left="202" w:right="0"/>
              <w:jc w:val="left"/>
              <w:rPr>
                <w:rFonts w:ascii="宋体" w:hAnsi="宋体" w:cs="宋体" w:eastAsia="宋体" w:hint="default"/>
                <w:sz w:val="18"/>
                <w:szCs w:val="18"/>
              </w:rPr>
            </w:pPr>
            <w:r>
              <w:rPr>
                <w:rFonts w:ascii="宋体" w:hAnsi="宋体" w:cs="宋体" w:eastAsia="宋体" w:hint="default"/>
                <w:sz w:val="18"/>
                <w:szCs w:val="18"/>
              </w:rPr>
              <w:t>区域分类</w:t>
            </w:r>
          </w:p>
        </w:tc>
        <w:tc>
          <w:tcPr>
            <w:tcW w:w="396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43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27" w:hRule="exact"/>
        </w:trPr>
        <w:tc>
          <w:tcPr>
            <w:tcW w:w="1136" w:type="dxa"/>
            <w:vMerge/>
            <w:tcBorders>
              <w:left w:val="single" w:sz="6" w:space="0" w:color="000000"/>
              <w:bottom w:val="single" w:sz="6" w:space="0" w:color="000000"/>
              <w:right w:val="single" w:sz="6" w:space="0" w:color="000000"/>
            </w:tcBorders>
          </w:tcPr>
          <w:p>
            <w:pP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9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69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sz w:val="18"/>
                <w:szCs w:val="18"/>
              </w:rPr>
              <w:t>营业成本</w:t>
            </w:r>
          </w:p>
        </w:tc>
      </w:tr>
      <w:tr>
        <w:trPr>
          <w:trHeight w:val="427"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1,535,083,687.12</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1,137,358,108.33</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1,656,230,438.03</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1,276,461,385.53</w:t>
            </w:r>
          </w:p>
        </w:tc>
      </w:tr>
      <w:tr>
        <w:trPr>
          <w:trHeight w:val="427"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147,509,481.17</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107,394,550.52</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139,676,361.72</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2"/>
              <w:jc w:val="right"/>
              <w:rPr>
                <w:rFonts w:ascii="Times New Roman" w:hAnsi="Times New Roman" w:cs="Times New Roman" w:eastAsia="Times New Roman" w:hint="default"/>
                <w:sz w:val="18"/>
                <w:szCs w:val="18"/>
              </w:rPr>
            </w:pPr>
            <w:r>
              <w:rPr>
                <w:rFonts w:ascii="Times New Roman"/>
                <w:spacing w:val="-1"/>
                <w:sz w:val="18"/>
              </w:rPr>
              <w:t>89,269,042.24</w:t>
            </w:r>
          </w:p>
        </w:tc>
      </w:tr>
      <w:tr>
        <w:trPr>
          <w:trHeight w:val="427" w:hRule="exact"/>
        </w:trPr>
        <w:tc>
          <w:tcPr>
            <w:tcW w:w="11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1"/>
              <w:jc w:val="right"/>
              <w:rPr>
                <w:rFonts w:ascii="Times New Roman" w:hAnsi="Times New Roman" w:cs="Times New Roman" w:eastAsia="Times New Roman" w:hint="default"/>
                <w:sz w:val="18"/>
                <w:szCs w:val="18"/>
              </w:rPr>
            </w:pPr>
            <w:r>
              <w:rPr>
                <w:rFonts w:ascii="Times New Roman"/>
                <w:spacing w:val="-1"/>
                <w:sz w:val="18"/>
              </w:rPr>
              <w:t>1,682,593,168.29</w:t>
            </w:r>
          </w:p>
        </w:tc>
        <w:tc>
          <w:tcPr>
            <w:tcW w:w="22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right"/>
              <w:rPr>
                <w:rFonts w:ascii="Times New Roman" w:hAnsi="Times New Roman" w:cs="Times New Roman" w:eastAsia="Times New Roman" w:hint="default"/>
                <w:sz w:val="18"/>
                <w:szCs w:val="18"/>
              </w:rPr>
            </w:pPr>
            <w:r>
              <w:rPr>
                <w:rFonts w:ascii="Times New Roman"/>
                <w:spacing w:val="-1"/>
                <w:sz w:val="18"/>
              </w:rPr>
              <w:t>1,244,752,658.85</w:t>
            </w:r>
          </w:p>
        </w:tc>
        <w:tc>
          <w:tcPr>
            <w:tcW w:w="21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1,795,906,799.75</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Times New Roman" w:hAnsi="Times New Roman" w:cs="Times New Roman" w:eastAsia="Times New Roman" w:hint="default"/>
                <w:sz w:val="18"/>
                <w:szCs w:val="18"/>
              </w:rPr>
            </w:pPr>
            <w:r>
              <w:rPr>
                <w:rFonts w:ascii="Times New Roman"/>
                <w:spacing w:val="-1"/>
                <w:sz w:val="18"/>
              </w:rPr>
              <w:t>1,365,730,427.77</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十五、母公司财务报表主要项目注释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2"/>
        <w:gridCol w:w="774"/>
        <w:gridCol w:w="761"/>
        <w:gridCol w:w="763"/>
        <w:gridCol w:w="763"/>
        <w:gridCol w:w="788"/>
        <w:gridCol w:w="655"/>
        <w:gridCol w:w="761"/>
        <w:gridCol w:w="814"/>
        <w:gridCol w:w="934"/>
        <w:gridCol w:w="931"/>
      </w:tblGrid>
      <w:tr>
        <w:trPr>
          <w:trHeight w:val="396" w:hRule="exact"/>
        </w:trPr>
        <w:tc>
          <w:tcPr>
            <w:tcW w:w="1612" w:type="dxa"/>
            <w:vMerge w:val="restart"/>
            <w:tcBorders>
              <w:top w:val="single" w:sz="4" w:space="0" w:color="000000"/>
              <w:left w:val="single" w:sz="4" w:space="0" w:color="000000"/>
              <w:right w:val="single" w:sz="4" w:space="0" w:color="000000"/>
            </w:tcBorders>
            <w:shd w:val="clear" w:color="auto" w:fill="D2D2D2"/>
          </w:tcPr>
          <w:p>
            <w:pPr/>
          </w:p>
        </w:tc>
        <w:tc>
          <w:tcPr>
            <w:tcW w:w="384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2" w:type="dxa"/>
            <w:vMerge/>
            <w:tcBorders>
              <w:left w:val="single" w:sz="4" w:space="0" w:color="000000"/>
              <w:bottom w:val="nil" w:sz="6" w:space="0" w:color="auto"/>
              <w:right w:val="single" w:sz="4" w:space="0" w:color="000000"/>
            </w:tcBorders>
            <w:shd w:val="clear" w:color="auto" w:fill="D2D2D2"/>
          </w:tcPr>
          <w:p>
            <w:pPr/>
          </w:p>
        </w:tc>
        <w:tc>
          <w:tcPr>
            <w:tcW w:w="15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6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5" w:type="dxa"/>
            <w:gridSpan w:val="2"/>
            <w:vMerge/>
            <w:tcBorders>
              <w:left w:val="single" w:sz="4" w:space="0" w:color="000000"/>
              <w:bottom w:val="single" w:sz="4" w:space="0" w:color="000000"/>
              <w:right w:val="single" w:sz="4" w:space="0" w:color="000000"/>
            </w:tcBorders>
            <w:shd w:val="clear" w:color="auto" w:fill="D2D2D2"/>
          </w:tcPr>
          <w:p>
            <w:pPr/>
          </w:p>
        </w:tc>
        <w:tc>
          <w:tcPr>
            <w:tcW w:w="1526" w:type="dxa"/>
            <w:gridSpan w:val="2"/>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8" w:type="dxa"/>
            <w:gridSpan w:val="2"/>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2" w:type="dxa"/>
            <w:vMerge/>
            <w:tcBorders>
              <w:left w:val="single" w:sz="4" w:space="0" w:color="000000"/>
              <w:bottom w:val="single" w:sz="4" w:space="0" w:color="FFFFFF"/>
              <w:right w:val="single" w:sz="4" w:space="0" w:color="000000"/>
            </w:tcBorders>
            <w:shd w:val="clear" w:color="auto" w:fill="D2D2D2"/>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1"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1"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2" w:hRule="exact"/>
        </w:trPr>
        <w:tc>
          <w:tcPr>
            <w:tcW w:w="1612" w:type="dxa"/>
            <w:vMerge w:val="restart"/>
            <w:tcBorders>
              <w:top w:val="single" w:sz="4" w:space="0" w:color="FFFFFF"/>
              <w:left w:val="single" w:sz="4" w:space="0" w:color="000000"/>
              <w:right w:val="single" w:sz="4" w:space="0" w:color="000000"/>
            </w:tcBorders>
            <w:shd w:val="clear" w:color="auto" w:fill="D2D2D2"/>
          </w:tcPr>
          <w:p>
            <w:pPr/>
          </w:p>
        </w:tc>
        <w:tc>
          <w:tcPr>
            <w:tcW w:w="774"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vMerge/>
            <w:tcBorders>
              <w:left w:val="single" w:sz="4" w:space="0" w:color="000000"/>
              <w:right w:val="single" w:sz="4" w:space="0" w:color="000000"/>
            </w:tcBorders>
            <w:shd w:val="clear" w:color="auto" w:fill="D2D2D2"/>
          </w:tcPr>
          <w:p>
            <w:pPr/>
          </w:p>
        </w:tc>
        <w:tc>
          <w:tcPr>
            <w:tcW w:w="788" w:type="dxa"/>
            <w:vMerge/>
            <w:tcBorders>
              <w:left w:val="single" w:sz="4" w:space="0" w:color="000000"/>
              <w:bottom w:val="nil" w:sz="6" w:space="0" w:color="auto"/>
              <w:right w:val="single" w:sz="4" w:space="0" w:color="000000"/>
            </w:tcBorders>
            <w:shd w:val="clear" w:color="auto" w:fill="D2D2D2"/>
          </w:tcPr>
          <w:p>
            <w:pPr/>
          </w:p>
        </w:tc>
        <w:tc>
          <w:tcPr>
            <w:tcW w:w="6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2" w:type="dxa"/>
            <w:vMerge/>
            <w:tcBorders>
              <w:left w:val="single" w:sz="4" w:space="0" w:color="000000"/>
              <w:right w:val="single" w:sz="4" w:space="0" w:color="000000"/>
            </w:tcBorders>
            <w:shd w:val="clear" w:color="auto" w:fill="D2D2D2"/>
          </w:tcPr>
          <w:p>
            <w:pPr/>
          </w:p>
        </w:tc>
        <w:tc>
          <w:tcPr>
            <w:tcW w:w="774"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3" w:type="dxa"/>
            <w:vMerge/>
            <w:tcBorders>
              <w:left w:val="single" w:sz="4" w:space="0" w:color="000000"/>
              <w:right w:val="single" w:sz="4" w:space="0" w:color="000000"/>
            </w:tcBorders>
            <w:shd w:val="clear" w:color="auto" w:fill="D2D2D2"/>
          </w:tcPr>
          <w:p>
            <w:pPr/>
          </w:p>
        </w:tc>
        <w:tc>
          <w:tcPr>
            <w:tcW w:w="788" w:type="dxa"/>
            <w:vMerge w:val="restart"/>
            <w:tcBorders>
              <w:top w:val="nil" w:sz="6" w:space="0" w:color="auto"/>
              <w:left w:val="single" w:sz="4" w:space="0" w:color="000000"/>
              <w:right w:val="single" w:sz="4" w:space="0" w:color="000000"/>
            </w:tcBorders>
            <w:shd w:val="clear" w:color="auto" w:fill="D2D2D2"/>
          </w:tcPr>
          <w:p>
            <w:pPr/>
          </w:p>
        </w:tc>
        <w:tc>
          <w:tcPr>
            <w:tcW w:w="655" w:type="dxa"/>
            <w:vMerge/>
            <w:tcBorders>
              <w:left w:val="single" w:sz="4" w:space="0" w:color="000000"/>
              <w:bottom w:val="nil" w:sz="6" w:space="0" w:color="auto"/>
              <w:right w:val="single" w:sz="4" w:space="0" w:color="000000"/>
            </w:tcBorders>
            <w:shd w:val="clear" w:color="auto" w:fill="D2D2D2"/>
          </w:tcPr>
          <w:p>
            <w:pPr/>
          </w:p>
        </w:tc>
        <w:tc>
          <w:tcPr>
            <w:tcW w:w="761"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934" w:type="dxa"/>
            <w:vMerge/>
            <w:tcBorders>
              <w:left w:val="single" w:sz="4" w:space="0" w:color="000000"/>
              <w:bottom w:val="nil" w:sz="6" w:space="0" w:color="auto"/>
              <w:right w:val="single" w:sz="4" w:space="0" w:color="000000"/>
            </w:tcBorders>
            <w:shd w:val="clear" w:color="auto" w:fill="D2D2D2"/>
          </w:tcPr>
          <w:p>
            <w:pPr/>
          </w:p>
        </w:tc>
        <w:tc>
          <w:tcPr>
            <w:tcW w:w="931"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2" w:type="dxa"/>
            <w:vMerge/>
            <w:tcBorders>
              <w:left w:val="single" w:sz="4" w:space="0" w:color="000000"/>
              <w:bottom w:val="single" w:sz="4" w:space="0" w:color="000000"/>
              <w:right w:val="single" w:sz="4" w:space="0" w:color="000000"/>
            </w:tcBorders>
            <w:shd w:val="clear" w:color="auto" w:fill="D2D2D2"/>
          </w:tcPr>
          <w:p>
            <w:pPr/>
          </w:p>
        </w:tc>
        <w:tc>
          <w:tcPr>
            <w:tcW w:w="7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4" w:space="0" w:color="000000"/>
              <w:bottom w:val="single" w:sz="4" w:space="0" w:color="000000"/>
              <w:right w:val="single" w:sz="4" w:space="0" w:color="000000"/>
            </w:tcBorders>
            <w:shd w:val="clear" w:color="auto" w:fill="D2D2D2"/>
          </w:tcPr>
          <w:p>
            <w:pP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1"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989,039,</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559.07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112,343,</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892.45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11.36%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876,695,6</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66.62</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784,933</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,225.97</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83,081,78</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9.30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10.58%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701,851,43</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6.67</w:t>
            </w:r>
          </w:p>
        </w:tc>
      </w:tr>
      <w:tr>
        <w:trPr>
          <w:trHeight w:val="161" w:hRule="exact"/>
        </w:trPr>
        <w:tc>
          <w:tcPr>
            <w:tcW w:w="161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4" w:type="dxa"/>
            <w:vMerge w:val="restart"/>
            <w:tcBorders>
              <w:top w:val="single" w:sz="4" w:space="0" w:color="000000"/>
              <w:left w:val="single" w:sz="9" w:space="0" w:color="D2D2D2"/>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989,039,</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559.07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91"/>
              <w:ind w:left="82" w:right="0"/>
              <w:jc w:val="center"/>
              <w:rPr>
                <w:rFonts w:ascii="Times New Roman" w:hAnsi="Times New Roman" w:cs="Times New Roman" w:eastAsia="Times New Roman" w:hint="default"/>
                <w:sz w:val="18"/>
                <w:szCs w:val="18"/>
              </w:rPr>
            </w:pPr>
            <w:r>
              <w:rPr>
                <w:rFonts w:ascii="Times New Roman"/>
                <w:sz w:val="18"/>
              </w:rPr>
              <w:t>112,343,</w:t>
            </w:r>
          </w:p>
          <w:p>
            <w:pPr>
              <w:pStyle w:val="TableParagraph"/>
              <w:spacing w:line="240" w:lineRule="auto" w:before="102"/>
              <w:ind w:left="211" w:right="0"/>
              <w:jc w:val="center"/>
              <w:rPr>
                <w:rFonts w:ascii="Times New Roman" w:hAnsi="Times New Roman" w:cs="Times New Roman" w:eastAsia="Times New Roman" w:hint="default"/>
                <w:sz w:val="18"/>
                <w:szCs w:val="18"/>
              </w:rPr>
            </w:pPr>
            <w:r>
              <w:rPr>
                <w:rFonts w:ascii="Times New Roman"/>
                <w:sz w:val="18"/>
              </w:rPr>
              <w:t>892.45</w:t>
            </w:r>
          </w:p>
        </w:tc>
        <w:tc>
          <w:tcPr>
            <w:tcW w:w="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Times New Roman"/>
                <w:sz w:val="18"/>
              </w:rPr>
              <w:t>11.36%</w:t>
            </w:r>
          </w:p>
        </w:tc>
        <w:tc>
          <w:tcPr>
            <w:tcW w:w="788"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876,695,6</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66.62</w:t>
            </w:r>
          </w:p>
        </w:tc>
        <w:tc>
          <w:tcPr>
            <w:tcW w:w="655"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784,933</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,225.97</w:t>
            </w:r>
          </w:p>
        </w:tc>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83,081,78</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9.30</w:t>
            </w:r>
          </w:p>
        </w:tc>
        <w:tc>
          <w:tcPr>
            <w:tcW w:w="93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6" w:right="0"/>
              <w:jc w:val="left"/>
              <w:rPr>
                <w:rFonts w:ascii="Times New Roman" w:hAnsi="Times New Roman" w:cs="Times New Roman" w:eastAsia="Times New Roman" w:hint="default"/>
                <w:sz w:val="18"/>
                <w:szCs w:val="18"/>
              </w:rPr>
            </w:pPr>
            <w:r>
              <w:rPr>
                <w:rFonts w:ascii="Times New Roman"/>
                <w:sz w:val="18"/>
              </w:rPr>
              <w:t>10.58%</w:t>
            </w:r>
          </w:p>
        </w:tc>
        <w:tc>
          <w:tcPr>
            <w:tcW w:w="931"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701,851,43</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6.67</w:t>
            </w:r>
          </w:p>
        </w:tc>
      </w:tr>
      <w:tr>
        <w:trPr>
          <w:trHeight w:val="391" w:hRule="exact"/>
        </w:trPr>
        <w:tc>
          <w:tcPr>
            <w:tcW w:w="16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4" w:type="dxa"/>
            <w:vMerge/>
            <w:tcBorders>
              <w:left w:val="single" w:sz="9" w:space="0" w:color="D2D2D2"/>
              <w:right w:val="single" w:sz="4" w:space="0" w:color="000000"/>
            </w:tcBorders>
          </w:tcPr>
          <w:p>
            <w:pPr/>
          </w:p>
        </w:tc>
        <w:tc>
          <w:tcPr>
            <w:tcW w:w="761"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63" w:type="dxa"/>
            <w:vMerge/>
            <w:tcBorders>
              <w:left w:val="single" w:sz="4" w:space="0" w:color="000000"/>
              <w:right w:val="single" w:sz="4" w:space="0" w:color="000000"/>
            </w:tcBorders>
          </w:tcPr>
          <w:p>
            <w:pPr/>
          </w:p>
        </w:tc>
        <w:tc>
          <w:tcPr>
            <w:tcW w:w="788" w:type="dxa"/>
            <w:vMerge/>
            <w:tcBorders>
              <w:left w:val="single" w:sz="4" w:space="0" w:color="000000"/>
              <w:right w:val="single" w:sz="4" w:space="0" w:color="000000"/>
            </w:tcBorders>
          </w:tcPr>
          <w:p>
            <w:pPr/>
          </w:p>
        </w:tc>
        <w:tc>
          <w:tcPr>
            <w:tcW w:w="655" w:type="dxa"/>
            <w:vMerge/>
            <w:tcBorders>
              <w:left w:val="single" w:sz="4" w:space="0" w:color="000000"/>
              <w:right w:val="single" w:sz="4" w:space="0" w:color="000000"/>
            </w:tcBorders>
          </w:tcPr>
          <w:p>
            <w:pPr/>
          </w:p>
        </w:tc>
        <w:tc>
          <w:tcPr>
            <w:tcW w:w="761"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934" w:type="dxa"/>
            <w:vMerge/>
            <w:tcBorders>
              <w:left w:val="single" w:sz="4" w:space="0" w:color="000000"/>
              <w:right w:val="single" w:sz="4" w:space="0" w:color="000000"/>
            </w:tcBorders>
          </w:tcPr>
          <w:p>
            <w:pPr/>
          </w:p>
        </w:tc>
        <w:tc>
          <w:tcPr>
            <w:tcW w:w="931" w:type="dxa"/>
            <w:vMerge/>
            <w:tcBorders>
              <w:left w:val="single" w:sz="4" w:space="0" w:color="000000"/>
              <w:right w:val="single" w:sz="4" w:space="0" w:color="000000"/>
            </w:tcBorders>
          </w:tcPr>
          <w:p>
            <w:pPr/>
          </w:p>
        </w:tc>
      </w:tr>
      <w:tr>
        <w:trPr>
          <w:trHeight w:val="161" w:hRule="exact"/>
        </w:trPr>
        <w:tc>
          <w:tcPr>
            <w:tcW w:w="161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4" w:type="dxa"/>
            <w:vMerge/>
            <w:tcBorders>
              <w:left w:val="single" w:sz="9" w:space="0" w:color="D2D2D2"/>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63" w:type="dxa"/>
            <w:vMerge/>
            <w:tcBorders>
              <w:left w:val="single" w:sz="4" w:space="0" w:color="000000"/>
              <w:bottom w:val="single" w:sz="4" w:space="0" w:color="000000"/>
              <w:right w:val="single" w:sz="4" w:space="0" w:color="000000"/>
            </w:tcBorders>
          </w:tcPr>
          <w:p>
            <w:pPr/>
          </w:p>
        </w:tc>
        <w:tc>
          <w:tcPr>
            <w:tcW w:w="788" w:type="dxa"/>
            <w:vMerge/>
            <w:tcBorders>
              <w:left w:val="single" w:sz="4" w:space="0" w:color="000000"/>
              <w:bottom w:val="single" w:sz="4" w:space="0" w:color="000000"/>
              <w:right w:val="single" w:sz="4" w:space="0" w:color="000000"/>
            </w:tcBorders>
          </w:tcPr>
          <w:p>
            <w:pPr/>
          </w:p>
        </w:tc>
        <w:tc>
          <w:tcPr>
            <w:tcW w:w="655" w:type="dxa"/>
            <w:vMerge/>
            <w:tcBorders>
              <w:left w:val="single" w:sz="4" w:space="0" w:color="000000"/>
              <w:bottom w:val="single" w:sz="4" w:space="0" w:color="000000"/>
              <w:right w:val="single" w:sz="4" w:space="0" w:color="000000"/>
            </w:tcBorders>
          </w:tcPr>
          <w:p>
            <w:pPr/>
          </w:p>
        </w:tc>
        <w:tc>
          <w:tcPr>
            <w:tcW w:w="761"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934" w:type="dxa"/>
            <w:vMerge/>
            <w:tcBorders>
              <w:left w:val="single" w:sz="4" w:space="0" w:color="000000"/>
              <w:bottom w:val="single" w:sz="4" w:space="0" w:color="000000"/>
              <w:right w:val="single" w:sz="4" w:space="0" w:color="000000"/>
            </w:tcBorders>
          </w:tcPr>
          <w:p>
            <w:pPr/>
          </w:p>
        </w:tc>
        <w:tc>
          <w:tcPr>
            <w:tcW w:w="931" w:type="dxa"/>
            <w:vMerge/>
            <w:tcBorders>
              <w:left w:val="single" w:sz="4" w:space="0" w:color="000000"/>
              <w:bottom w:val="single" w:sz="4" w:space="0" w:color="000000"/>
              <w:right w:val="single" w:sz="4" w:space="0" w:color="000000"/>
            </w:tcBorders>
          </w:tcPr>
          <w:p>
            <w:pPr/>
          </w:p>
        </w:tc>
      </w:tr>
    </w:tbl>
    <w:p>
      <w:pPr>
        <w:pStyle w:val="BodyText"/>
        <w:spacing w:line="240" w:lineRule="auto" w:before="49"/>
        <w:ind w:right="0"/>
        <w:jc w:val="left"/>
      </w:pPr>
      <w:r>
        <w:rPr/>
        <w:t>期末单项金额重大并单项计提坏账准备的应收账款：</w:t>
      </w:r>
    </w:p>
    <w:p>
      <w:pPr>
        <w:pStyle w:val="BodyText"/>
        <w:spacing w:line="338" w:lineRule="auto" w:before="117"/>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spacing w:after="0" w:line="338" w:lineRule="auto"/>
        <w:jc w:val="left"/>
        <w:sectPr>
          <w:footerReference w:type="default" r:id="rId28"/>
          <w:pgSz w:w="11910" w:h="16840"/>
          <w:pgMar w:footer="980" w:header="745" w:top="1060" w:bottom="1160" w:left="980" w:right="98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90"/>
      </w:tblGrid>
      <w:tr>
        <w:trPr>
          <w:trHeight w:val="206"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账龄</w:t>
            </w:r>
          </w:p>
        </w:tc>
        <w:tc>
          <w:tcPr>
            <w:tcW w:w="707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9"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557,088,209.49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27,854,410.47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225,672,710.56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22,567,271.06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94,767,309.60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18,953,461.92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34,846,992.42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17,423,496.21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15,176,280.11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12,141,024.09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4"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13,404,228.70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13,404,228.70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940,955,730.88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112,343,892.45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11.94%</w:t>
            </w:r>
          </w:p>
        </w:tc>
      </w:tr>
    </w:tbl>
    <w:p>
      <w:pPr>
        <w:pStyle w:val="BodyText"/>
        <w:spacing w:line="360" w:lineRule="auto" w:before="49"/>
        <w:ind w:right="5454"/>
        <w:jc w:val="left"/>
      </w:pPr>
      <w:r>
        <w:rPr/>
        <w:t>确定该组合依据的说明： 相同账龄的应收款项具有类似信用风险特征。 组合中，采用余额百分比法计提坏账准备的应收账款：</w:t>
      </w:r>
    </w:p>
    <w:p>
      <w:pPr>
        <w:pStyle w:val="BodyText"/>
        <w:spacing w:line="340" w:lineRule="auto" w:before="25"/>
        <w:ind w:right="58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spacing w:line="240" w:lineRule="auto" w:before="3"/>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29"/>
          <w:pgSz w:w="11910" w:h="16840"/>
          <w:pgMar w:footer="980" w:header="745" w:top="1060" w:bottom="1160" w:left="980" w:right="980"/>
          <w:pgNumType w:start="201"/>
        </w:sectPr>
      </w:pPr>
    </w:p>
    <w:p>
      <w:pPr>
        <w:pStyle w:val="BodyText"/>
        <w:spacing w:line="340" w:lineRule="auto" w:before="44"/>
        <w:ind w:right="-11"/>
        <w:jc w:val="left"/>
      </w:pPr>
      <w:r>
        <w:rPr/>
        <w:t>本期计提坏账准备金额</w:t>
      </w:r>
      <w:r>
        <w:rPr>
          <w:spacing w:val="-46"/>
        </w:rPr>
        <w:t> </w:t>
      </w:r>
      <w:r>
        <w:rPr>
          <w:rFonts w:ascii="Times New Roman" w:hAnsi="Times New Roman" w:cs="Times New Roman" w:eastAsia="Times New Roman" w:hint="default"/>
        </w:rPr>
        <w:t>29,262,103.15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0"/>
        </w:rPr>
        <w:t> </w:t>
      </w:r>
      <w:r>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539" w:space="2290"/>
            <w:col w:w="1121"/>
          </w:cols>
        </w:sectPr>
      </w:pP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2"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）按欠款方归集的期末余额前五名的应收账款情况</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189" w:firstLine="360"/>
        <w:jc w:val="left"/>
      </w:pPr>
      <w:r>
        <w:rPr/>
        <w:t>本公司本期按欠款方归集的期末余额前五名应收账款汇总金额为</w:t>
      </w:r>
      <w:r>
        <w:rPr>
          <w:rFonts w:ascii="Times New Roman" w:hAnsi="Times New Roman" w:cs="Times New Roman" w:eastAsia="Times New Roman" w:hint="default"/>
        </w:rPr>
        <w:t>335,044,811.80</w:t>
      </w:r>
      <w:r>
        <w:rPr/>
        <w:t>元，占应收账款期末余额合计数的比例 为</w:t>
      </w:r>
      <w:r>
        <w:rPr>
          <w:rFonts w:ascii="Times New Roman" w:hAnsi="Times New Roman" w:cs="Times New Roman" w:eastAsia="Times New Roman" w:hint="default"/>
        </w:rPr>
        <w:t>33.87%</w:t>
      </w:r>
      <w:r>
        <w:rPr/>
        <w:t>，相应计提的坏账准备期末余额汇总金额为</w:t>
      </w:r>
      <w:r>
        <w:rPr>
          <w:rFonts w:ascii="Times New Roman" w:hAnsi="Times New Roman" w:cs="Times New Roman" w:eastAsia="Times New Roman" w:hint="default"/>
        </w:rPr>
        <w:t>29,254,772.87</w:t>
      </w:r>
      <w:r>
        <w:rPr/>
        <w:t>元。</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0" w:right="15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403" w:hRule="exact"/>
        </w:trPr>
        <w:tc>
          <w:tcPr>
            <w:tcW w:w="16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634"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634"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88" w:type="dxa"/>
            <w:vMerge/>
            <w:tcBorders>
              <w:left w:val="single" w:sz="4" w:space="0" w:color="000000"/>
              <w:bottom w:val="single" w:sz="4" w:space="0" w:color="000000"/>
              <w:right w:val="single" w:sz="4" w:space="0" w:color="000000"/>
            </w:tcBorders>
            <w:shd w:val="clear" w:color="auto" w:fill="D2D2D2"/>
          </w:tcPr>
          <w:p>
            <w:pPr/>
          </w:p>
        </w:tc>
        <w:tc>
          <w:tcPr>
            <w:tcW w:w="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1"/>
        <w:gridCol w:w="763"/>
        <w:gridCol w:w="763"/>
        <w:gridCol w:w="788"/>
        <w:gridCol w:w="655"/>
        <w:gridCol w:w="761"/>
        <w:gridCol w:w="814"/>
        <w:gridCol w:w="934"/>
        <w:gridCol w:w="931"/>
      </w:tblGrid>
      <w:tr>
        <w:trPr>
          <w:trHeight w:val="102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1,330,30</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4,007.75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10,915,7</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61.02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1,319,388</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,246.73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742,322</w:t>
            </w:r>
          </w:p>
          <w:p>
            <w:pPr>
              <w:pStyle w:val="TableParagraph"/>
              <w:spacing w:line="240" w:lineRule="auto" w:before="105"/>
              <w:ind w:left="83" w:right="0"/>
              <w:jc w:val="left"/>
              <w:rPr>
                <w:rFonts w:ascii="Times New Roman" w:hAnsi="Times New Roman" w:cs="Times New Roman" w:eastAsia="Times New Roman" w:hint="default"/>
                <w:sz w:val="18"/>
                <w:szCs w:val="18"/>
              </w:rPr>
            </w:pPr>
            <w:r>
              <w:rPr>
                <w:rFonts w:ascii="Times New Roman"/>
                <w:sz w:val="18"/>
              </w:rPr>
              <w:t>,325.19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5,267,030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737,055,29</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5.04</w:t>
            </w:r>
          </w:p>
        </w:tc>
      </w:tr>
      <w:tr>
        <w:trPr>
          <w:trHeight w:val="715"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1,330,30</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4,007.75</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100.00%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10,915,7</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61.02</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0.82%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1,319,388</w:t>
            </w:r>
          </w:p>
          <w:p>
            <w:pPr>
              <w:pStyle w:val="TableParagraph"/>
              <w:spacing w:line="240" w:lineRule="auto" w:before="102"/>
              <w:ind w:left="194" w:right="0"/>
              <w:jc w:val="center"/>
              <w:rPr>
                <w:rFonts w:ascii="Times New Roman" w:hAnsi="Times New Roman" w:cs="Times New Roman" w:eastAsia="Times New Roman" w:hint="default"/>
                <w:sz w:val="18"/>
                <w:szCs w:val="18"/>
              </w:rPr>
            </w:pPr>
            <w:r>
              <w:rPr>
                <w:rFonts w:ascii="Times New Roman"/>
                <w:sz w:val="18"/>
              </w:rPr>
              <w:t>,246.73</w:t>
            </w:r>
          </w:p>
        </w:tc>
        <w:tc>
          <w:tcPr>
            <w:tcW w:w="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742,322</w:t>
            </w:r>
          </w:p>
          <w:p>
            <w:pPr>
              <w:pStyle w:val="TableParagraph"/>
              <w:spacing w:line="240" w:lineRule="auto" w:before="102"/>
              <w:ind w:left="83" w:right="0"/>
              <w:jc w:val="left"/>
              <w:rPr>
                <w:rFonts w:ascii="Times New Roman" w:hAnsi="Times New Roman" w:cs="Times New Roman" w:eastAsia="Times New Roman" w:hint="default"/>
                <w:sz w:val="18"/>
                <w:szCs w:val="18"/>
              </w:rPr>
            </w:pPr>
            <w:r>
              <w:rPr>
                <w:rFonts w:ascii="Times New Roman"/>
                <w:sz w:val="18"/>
              </w:rPr>
              <w:t>,325.19</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5,267,030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737,055,29</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5.04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pStyle w:val="BodyText"/>
        <w:spacing w:line="240" w:lineRule="auto" w:before="49"/>
        <w:ind w:right="-20"/>
        <w:jc w:val="left"/>
      </w:pPr>
      <w:r>
        <w:rPr/>
        <w:t>期末单项金额重大并单项计提坏账准备的其他应收款：</w:t>
      </w:r>
    </w:p>
    <w:p>
      <w:pPr>
        <w:pStyle w:val="BodyText"/>
        <w:spacing w:line="340" w:lineRule="auto" w:before="115"/>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组合中，按账龄分析法计提坏账准备的其他应收款：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4473" w:space="4356"/>
            <w:col w:w="112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7"/>
        <w:gridCol w:w="2300"/>
        <w:gridCol w:w="2391"/>
        <w:gridCol w:w="2390"/>
      </w:tblGrid>
      <w:tr>
        <w:trPr>
          <w:trHeight w:val="206" w:hRule="exact"/>
        </w:trPr>
        <w:tc>
          <w:tcPr>
            <w:tcW w:w="24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7082" w:type="dxa"/>
            <w:gridSpan w:val="3"/>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477" w:type="dxa"/>
            <w:vMerge/>
            <w:tcBorders>
              <w:left w:val="single" w:sz="4" w:space="0" w:color="000000"/>
              <w:bottom w:val="nil" w:sz="6" w:space="0" w:color="auto"/>
              <w:right w:val="single" w:sz="4" w:space="0" w:color="000000"/>
            </w:tcBorders>
            <w:shd w:val="clear" w:color="auto" w:fill="D2D2D2"/>
          </w:tcPr>
          <w:p>
            <w:pPr/>
          </w:p>
        </w:tc>
        <w:tc>
          <w:tcPr>
            <w:tcW w:w="23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2" w:hRule="exact"/>
        </w:trPr>
        <w:tc>
          <w:tcPr>
            <w:tcW w:w="2477"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0"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年以内分项</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101,681,570.00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5,084,078.50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1,233,739.47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123,373.95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4,316,506.84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863,301.37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4,328,080.15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2,164,040.08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368,000.00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80.00%</w:t>
            </w:r>
          </w:p>
        </w:tc>
      </w:tr>
      <w:tr>
        <w:trPr>
          <w:trHeight w:val="403"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2,312,967.12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2,312,967.12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2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114,332,863.58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10,915,761.02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9.55%</w:t>
            </w:r>
          </w:p>
        </w:tc>
      </w:tr>
    </w:tbl>
    <w:p>
      <w:pPr>
        <w:pStyle w:val="BodyText"/>
        <w:spacing w:line="360" w:lineRule="auto" w:before="49"/>
        <w:ind w:right="5274"/>
        <w:jc w:val="left"/>
      </w:pPr>
      <w:r>
        <w:rPr/>
        <w:t>确定该组合依据的说明： 相同账龄的应收款项具有类似信用风险特征。 组合中，采用余额百分比法计提坏账准备的其他应收款：</w:t>
      </w:r>
    </w:p>
    <w:p>
      <w:pPr>
        <w:pStyle w:val="BodyText"/>
        <w:spacing w:line="340" w:lineRule="auto" w:before="25"/>
        <w:ind w:right="56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060" w:bottom="1160" w:left="980" w:right="980"/>
        </w:sectPr>
      </w:pPr>
    </w:p>
    <w:p>
      <w:pPr>
        <w:pStyle w:val="BodyText"/>
        <w:spacing w:line="340" w:lineRule="auto" w:before="44"/>
        <w:ind w:right="-11"/>
        <w:jc w:val="left"/>
      </w:pPr>
      <w:r>
        <w:rPr/>
        <w:t>本期计提坏账准备金额</w:t>
      </w:r>
      <w:r>
        <w:rPr>
          <w:spacing w:val="-46"/>
        </w:rPr>
        <w:t> </w:t>
      </w:r>
      <w:r>
        <w:rPr>
          <w:rFonts w:ascii="Times New Roman" w:hAnsi="Times New Roman" w:cs="Times New Roman" w:eastAsia="Times New Roman" w:hint="default"/>
        </w:rPr>
        <w:t>5,648,730.87</w:t>
      </w:r>
      <w:r>
        <w:rPr>
          <w:rFonts w:ascii="Times New Roman" w:hAnsi="Times New Roman" w:cs="Times New Roman" w:eastAsia="Times New Roman" w:hint="default"/>
          <w:spacing w:val="1"/>
        </w:rPr>
        <w:t> </w:t>
      </w:r>
      <w:r>
        <w:rPr/>
        <w:t>元；本期收回或转回坏账准备金额</w:t>
      </w:r>
      <w:r>
        <w:rPr>
          <w:spacing w:val="-47"/>
        </w:rPr>
        <w:t> </w:t>
      </w:r>
      <w:r>
        <w:rPr>
          <w:rFonts w:ascii="Times New Roman" w:hAnsi="Times New Roman" w:cs="Times New Roman" w:eastAsia="Times New Roman" w:hint="default"/>
        </w:rPr>
        <w:t>0.00</w:t>
      </w:r>
      <w:r>
        <w:rPr>
          <w:rFonts w:ascii="Times New Roman" w:hAnsi="Times New Roman" w:cs="Times New Roman" w:eastAsia="Times New Roman" w:hint="default"/>
          <w:spacing w:val="-10"/>
        </w:rPr>
        <w:t> </w:t>
      </w:r>
      <w:r>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980"/>
          <w:cols w:num="2" w:equalWidth="0">
            <w:col w:w="6450" w:space="2379"/>
            <w:col w:w="112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4"/>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7"/>
        <w:gridCol w:w="3102"/>
        <w:gridCol w:w="3088"/>
      </w:tblGrid>
      <w:tr>
        <w:trPr>
          <w:trHeight w:val="401"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368"/>
        <w:gridCol w:w="3101"/>
        <w:gridCol w:w="3101"/>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104,055,485.67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17,637,004.00</w:t>
            </w:r>
          </w:p>
        </w:tc>
      </w:tr>
      <w:tr>
        <w:trPr>
          <w:trHeight w:val="404"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4,612,652.33</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6,582,478.41</w:t>
            </w:r>
          </w:p>
        </w:tc>
      </w:tr>
      <w:tr>
        <w:trPr>
          <w:trHeight w:val="401"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应收暂付款及其他</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5,664,725.58</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2,819,418.24</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内部往来款项</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1,215,971,144.17</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715,283,424.54</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1,330,304,007.75</w:t>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742,322,325.19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6"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4" w:right="29"/>
              <w:jc w:val="left"/>
              <w:rPr>
                <w:rFonts w:ascii="宋体" w:hAnsi="宋体" w:cs="宋体" w:eastAsia="宋体" w:hint="default"/>
                <w:sz w:val="18"/>
                <w:szCs w:val="18"/>
              </w:rPr>
            </w:pPr>
            <w:r>
              <w:rPr>
                <w:rFonts w:ascii="宋体" w:hAnsi="宋体" w:cs="宋体" w:eastAsia="宋体" w:hint="default"/>
                <w:sz w:val="18"/>
                <w:szCs w:val="18"/>
              </w:rPr>
              <w:t>广州云硕科技发展有 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479,976,510.51</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36.08%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深圳市证通佳明光电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416,680,183.84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31.32%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广东宏达通信有限公 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187,522,154.53</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14.10%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9"/>
              <w:jc w:val="left"/>
              <w:rPr>
                <w:rFonts w:ascii="宋体" w:hAnsi="宋体" w:cs="宋体" w:eastAsia="宋体" w:hint="default"/>
                <w:sz w:val="18"/>
                <w:szCs w:val="18"/>
              </w:rPr>
            </w:pPr>
            <w:r>
              <w:rPr>
                <w:rFonts w:ascii="宋体" w:hAnsi="宋体" w:cs="宋体" w:eastAsia="宋体" w:hint="default"/>
                <w:sz w:val="18"/>
                <w:szCs w:val="18"/>
              </w:rPr>
              <w:t>长沙证通云计算有限 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75,674,342.50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5.69%</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定州市中标节能技术 服务有限公司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内部往来款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48,150,000.00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3.62%</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1,208,003,191.38</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90.81%</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79"/>
        <w:gridCol w:w="1368"/>
        <w:gridCol w:w="1366"/>
        <w:gridCol w:w="1368"/>
        <w:gridCol w:w="1366"/>
        <w:gridCol w:w="1368"/>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0"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535,216,385.29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6,974,465.12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528,241,920.17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287,116,384.29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6,974,465.12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280,141,919.17</w:t>
            </w:r>
          </w:p>
        </w:tc>
      </w:tr>
      <w:tr>
        <w:trPr>
          <w:trHeight w:val="715"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6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24,661,070.83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24,661,070.83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25,209,459.89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25,209,459.89</w:t>
            </w: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559,877,456.12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6,974,465.12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552,902,991.00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312,325,844.18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6,974,465.12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305,351,379.06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6"/>
        <w:gridCol w:w="1337"/>
        <w:gridCol w:w="1334"/>
        <w:gridCol w:w="1335"/>
        <w:gridCol w:w="1334"/>
        <w:gridCol w:w="1390"/>
        <w:gridCol w:w="1390"/>
      </w:tblGrid>
      <w:tr>
        <w:trPr>
          <w:trHeight w:val="713" w:hRule="exact"/>
        </w:trPr>
        <w:tc>
          <w:tcPr>
            <w:tcW w:w="1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9" w:right="58"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9"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bl>
    <w:p>
      <w:pPr>
        <w:spacing w:after="0" w:line="314"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448"/>
        <w:gridCol w:w="1337"/>
        <w:gridCol w:w="1334"/>
        <w:gridCol w:w="1335"/>
        <w:gridCol w:w="1334"/>
        <w:gridCol w:w="1390"/>
        <w:gridCol w:w="1390"/>
      </w:tblGrid>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深圳市证通金信 科技术有限公司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31,331,919.17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31,331,919.17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深圳市证通普润 电子有限公司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4,727,471.37</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4,727,471.37</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4,727,471.37</w:t>
            </w: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深圳市证通数码 科技有限公司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2,246,993.75</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2,246,993.75</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2,246,993.75</w:t>
            </w: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深圳市证通佳明 光电有限公司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广州证通网络科 技有限公司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both"/>
              <w:rPr>
                <w:rFonts w:ascii="宋体" w:hAnsi="宋体" w:cs="宋体" w:eastAsia="宋体" w:hint="default"/>
                <w:sz w:val="18"/>
                <w:szCs w:val="18"/>
              </w:rPr>
            </w:pPr>
            <w:r>
              <w:rPr>
                <w:rFonts w:ascii="宋体" w:hAnsi="宋体" w:cs="宋体" w:eastAsia="宋体" w:hint="default"/>
                <w:sz w:val="18"/>
                <w:szCs w:val="18"/>
              </w:rPr>
              <w:t>定州市中标节能 技术服务有限公 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广州云硕科技发 展有限公司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63,560,000.00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63,560,000.00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广东宏达通信有 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20,150,000.00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20,150,000.00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长沙证通云计算 有限公司</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115,000,000.00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深圳市证通云计 算有限公司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53"/>
              <w:jc w:val="left"/>
              <w:rPr>
                <w:rFonts w:ascii="宋体" w:hAnsi="宋体" w:cs="宋体" w:eastAsia="宋体" w:hint="default"/>
                <w:sz w:val="18"/>
                <w:szCs w:val="18"/>
              </w:rPr>
            </w:pPr>
            <w:r>
              <w:rPr>
                <w:rFonts w:ascii="宋体" w:hAnsi="宋体" w:cs="宋体" w:eastAsia="宋体" w:hint="default"/>
                <w:sz w:val="18"/>
                <w:szCs w:val="18"/>
              </w:rPr>
              <w:t>贵州证通光电有 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四川蜀信易电子 商务有限公司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20,000,001.00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20,000,001.00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证通邦客</w:t>
            </w:r>
            <w:r>
              <w:rPr>
                <w:rFonts w:ascii="Times New Roman" w:hAnsi="Times New Roman" w:cs="Times New Roman" w:eastAsia="Times New Roman" w:hint="default"/>
                <w:sz w:val="18"/>
                <w:szCs w:val="18"/>
              </w:rPr>
              <w:t>(</w:t>
            </w:r>
            <w:r>
              <w:rPr>
                <w:rFonts w:ascii="宋体" w:hAnsi="宋体" w:cs="宋体" w:eastAsia="宋体" w:hint="default"/>
                <w:sz w:val="18"/>
                <w:szCs w:val="18"/>
              </w:rPr>
              <w:t>广州</w:t>
            </w:r>
            <w:r>
              <w:rPr>
                <w:rFonts w:ascii="Times New Roman" w:hAnsi="Times New Roman" w:cs="Times New Roman" w:eastAsia="Times New Roman" w:hint="default"/>
                <w:sz w:val="18"/>
                <w:szCs w:val="18"/>
              </w:rPr>
              <w:t>)</w:t>
            </w:r>
            <w:r>
              <w:rPr>
                <w:rFonts w:ascii="宋体" w:hAnsi="宋体" w:cs="宋体" w:eastAsia="宋体" w:hint="default"/>
                <w:sz w:val="18"/>
                <w:szCs w:val="18"/>
              </w:rPr>
              <w:t>信 息科技有限公司</w:t>
            </w:r>
          </w:p>
        </w:tc>
        <w:tc>
          <w:tcPr>
            <w:tcW w:w="1337"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287,116,384.29</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248,100,001.00</w:t>
            </w:r>
          </w:p>
        </w:tc>
        <w:tc>
          <w:tcPr>
            <w:tcW w:w="1335"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535,216,385.29</w:t>
            </w:r>
          </w:p>
        </w:tc>
        <w:tc>
          <w:tcPr>
            <w:tcW w:w="1390"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6,974,465.12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3"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深圳市通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25,209,45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6" w:right="0"/>
              <w:jc w:val="left"/>
              <w:rPr>
                <w:rFonts w:ascii="Times New Roman" w:hAnsi="Times New Roman" w:cs="Times New Roman" w:eastAsia="Times New Roman" w:hint="default"/>
                <w:sz w:val="18"/>
                <w:szCs w:val="18"/>
              </w:rPr>
            </w:pPr>
            <w:r>
              <w:rPr>
                <w:rFonts w:ascii="Times New Roman"/>
                <w:sz w:val="18"/>
              </w:rPr>
              <w:t>-548,389.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24,661,07</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98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41"/>
              <w:jc w:val="both"/>
              <w:rPr>
                <w:rFonts w:ascii="宋体" w:hAnsi="宋体" w:cs="宋体" w:eastAsia="宋体" w:hint="default"/>
                <w:sz w:val="18"/>
                <w:szCs w:val="18"/>
              </w:rPr>
            </w:pPr>
            <w:r>
              <w:rPr>
                <w:rFonts w:ascii="宋体" w:hAnsi="宋体" w:cs="宋体" w:eastAsia="宋体" w:hint="default"/>
                <w:sz w:val="18"/>
                <w:szCs w:val="18"/>
              </w:rPr>
              <w:t>新源物业 管理有限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9.89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9"/>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451" w:right="0"/>
              <w:jc w:val="left"/>
              <w:rPr>
                <w:rFonts w:ascii="Times New Roman" w:hAnsi="Times New Roman" w:cs="Times New Roman" w:eastAsia="Times New Roman" w:hint="default"/>
                <w:sz w:val="18"/>
                <w:szCs w:val="18"/>
              </w:rPr>
            </w:pPr>
            <w:r>
              <w:rPr>
                <w:rFonts w:ascii="Times New Roman"/>
                <w:sz w:val="18"/>
              </w:rPr>
              <w:t>0.83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25,209,45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-548,389.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24,661,07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25,209,45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9.89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-548,389.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24,661,07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0.83</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pPr>
      <w:r>
        <w:rPr>
          <w:rFonts w:ascii="Times New Roman" w:hAnsi="Times New Roman" w:cs="Times New Roman" w:eastAsia="Times New Roman" w:hint="default"/>
        </w:rPr>
        <w:t>4</w:t>
      </w:r>
      <w:r>
        <w:rPr/>
        <w:t>、营业收入、营业成本</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1138"/>
        <w:gridCol w:w="1911"/>
        <w:gridCol w:w="1843"/>
        <w:gridCol w:w="2268"/>
        <w:gridCol w:w="2341"/>
      </w:tblGrid>
      <w:tr>
        <w:trPr>
          <w:trHeight w:val="346" w:hRule="exact"/>
        </w:trPr>
        <w:tc>
          <w:tcPr>
            <w:tcW w:w="1138" w:type="dxa"/>
            <w:vMerge w:val="restart"/>
            <w:tcBorders>
              <w:top w:val="single" w:sz="6" w:space="0" w:color="000000"/>
              <w:left w:val="single" w:sz="6" w:space="0" w:color="000000"/>
              <w:right w:val="single" w:sz="6" w:space="0" w:color="000000"/>
            </w:tcBorders>
          </w:tcPr>
          <w:p>
            <w:pPr>
              <w:pStyle w:val="TableParagraph"/>
              <w:spacing w:line="272" w:lineRule="exact"/>
              <w:ind w:left="350"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37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46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49" w:hRule="exact"/>
        </w:trPr>
        <w:tc>
          <w:tcPr>
            <w:tcW w:w="1138" w:type="dxa"/>
            <w:vMerge/>
            <w:tcBorders>
              <w:left w:val="single" w:sz="6" w:space="0" w:color="000000"/>
              <w:bottom w:val="single" w:sz="6" w:space="0" w:color="000000"/>
              <w:right w:val="single" w:sz="6" w:space="0" w:color="000000"/>
            </w:tcBorders>
          </w:tcPr>
          <w:p>
            <w:pP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b/>
                <w:bCs/>
                <w:sz w:val="21"/>
                <w:szCs w:val="21"/>
              </w:rPr>
              <w:t>成本</w:t>
            </w:r>
            <w:r>
              <w:rPr>
                <w:rFonts w:ascii="宋体" w:hAnsi="宋体" w:cs="宋体" w:eastAsia="宋体" w:hint="default"/>
                <w:sz w:val="21"/>
                <w:szCs w:val="21"/>
              </w:rPr>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b/>
                <w:bCs/>
                <w:sz w:val="21"/>
                <w:szCs w:val="21"/>
              </w:rPr>
              <w:t>收入</w:t>
            </w:r>
            <w:r>
              <w:rPr>
                <w:rFonts w:ascii="宋体" w:hAnsi="宋体" w:cs="宋体" w:eastAsia="宋体" w:hint="default"/>
                <w:sz w:val="21"/>
                <w:szCs w:val="21"/>
              </w:rPr>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 w:right="0"/>
              <w:jc w:val="center"/>
              <w:rPr>
                <w:rFonts w:ascii="宋体" w:hAnsi="宋体" w:cs="宋体" w:eastAsia="宋体" w:hint="default"/>
                <w:sz w:val="21"/>
                <w:szCs w:val="21"/>
              </w:rPr>
            </w:pPr>
            <w:r>
              <w:rPr>
                <w:rFonts w:ascii="宋体" w:hAnsi="宋体" w:cs="宋体" w:eastAsia="宋体" w:hint="default"/>
                <w:b/>
                <w:bCs/>
                <w:sz w:val="21"/>
                <w:szCs w:val="21"/>
              </w:rPr>
              <w:t>成本</w:t>
            </w:r>
            <w:r>
              <w:rPr>
                <w:rFonts w:ascii="宋体" w:hAnsi="宋体" w:cs="宋体" w:eastAsia="宋体" w:hint="default"/>
                <w:sz w:val="21"/>
                <w:szCs w:val="21"/>
              </w:rPr>
            </w:r>
          </w:p>
        </w:tc>
      </w:tr>
      <w:tr>
        <w:trPr>
          <w:trHeight w:val="346" w:hRule="exact"/>
        </w:trPr>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3" w:right="0"/>
              <w:jc w:val="center"/>
              <w:rPr>
                <w:rFonts w:ascii="宋体" w:hAnsi="宋体" w:cs="宋体" w:eastAsia="宋体" w:hint="default"/>
                <w:sz w:val="21"/>
                <w:szCs w:val="21"/>
              </w:rPr>
            </w:pPr>
            <w:r>
              <w:rPr>
                <w:rFonts w:ascii="宋体" w:hAnsi="宋体" w:cs="宋体" w:eastAsia="宋体" w:hint="default"/>
                <w:sz w:val="21"/>
                <w:szCs w:val="21"/>
              </w:rPr>
              <w:t>主营业务</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1,274,408,272.65</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944,557,127.14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1,719,219,749.52</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1,410,632,459.94</w:t>
            </w:r>
          </w:p>
        </w:tc>
      </w:tr>
      <w:tr>
        <w:trPr>
          <w:trHeight w:val="348" w:hRule="exact"/>
        </w:trPr>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0"/>
              <w:jc w:val="right"/>
              <w:rPr>
                <w:rFonts w:ascii="Times New Roman" w:hAnsi="Times New Roman" w:cs="Times New Roman" w:eastAsia="Times New Roman" w:hint="default"/>
                <w:sz w:val="21"/>
                <w:szCs w:val="21"/>
              </w:rPr>
            </w:pPr>
            <w:r>
              <w:rPr>
                <w:rFonts w:ascii="Times New Roman"/>
                <w:spacing w:val="-1"/>
                <w:sz w:val="21"/>
              </w:rPr>
              <w:t>1,274,408,272.65</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944,557,127.14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1,719,219,749.52</w:t>
            </w:r>
          </w:p>
        </w:tc>
        <w:tc>
          <w:tcPr>
            <w:tcW w:w="23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1,410,632,459.94</w:t>
            </w:r>
          </w:p>
        </w:tc>
      </w:tr>
    </w:tbl>
    <w:p>
      <w:pPr>
        <w:spacing w:line="240" w:lineRule="auto" w:before="2"/>
        <w:rPr>
          <w:rFonts w:ascii="宋体" w:hAnsi="宋体" w:cs="宋体" w:eastAsia="宋体" w:hint="default"/>
          <w:sz w:val="20"/>
          <w:szCs w:val="20"/>
        </w:rPr>
      </w:pPr>
    </w:p>
    <w:p>
      <w:pPr>
        <w:pStyle w:val="Heading4"/>
        <w:spacing w:line="240" w:lineRule="auto" w:before="36"/>
        <w:ind w:right="0"/>
        <w:jc w:val="left"/>
      </w:pPr>
      <w:r>
        <w:rPr>
          <w:rFonts w:ascii="Times New Roman" w:hAnsi="Times New Roman" w:cs="Times New Roman" w:eastAsia="Times New Roman" w:hint="default"/>
        </w:rPr>
        <w:t>5</w:t>
      </w:r>
      <w:r>
        <w:rPr/>
        <w:t>、投资收益</w:t>
      </w:r>
    </w:p>
    <w:p>
      <w:pPr>
        <w:spacing w:line="240" w:lineRule="auto" w:before="8"/>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705"/>
        <w:gridCol w:w="2468"/>
        <w:gridCol w:w="2468"/>
      </w:tblGrid>
      <w:tr>
        <w:trPr>
          <w:trHeight w:val="348" w:hRule="exact"/>
        </w:trPr>
        <w:tc>
          <w:tcPr>
            <w:tcW w:w="47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397" w:right="0"/>
              <w:jc w:val="left"/>
              <w:rPr>
                <w:rFonts w:ascii="宋体" w:hAnsi="宋体" w:cs="宋体" w:eastAsia="宋体" w:hint="default"/>
                <w:sz w:val="21"/>
                <w:szCs w:val="21"/>
              </w:rPr>
            </w:pPr>
            <w:r>
              <w:rPr>
                <w:rFonts w:ascii="宋体" w:hAnsi="宋体" w:cs="宋体" w:eastAsia="宋体" w:hint="default"/>
                <w:b/>
                <w:bCs/>
                <w:sz w:val="21"/>
                <w:szCs w:val="21"/>
              </w:rPr>
              <w:t>产生投资收益的来源</w:t>
            </w:r>
            <w:r>
              <w:rPr>
                <w:rFonts w:ascii="宋体" w:hAnsi="宋体" w:cs="宋体" w:eastAsia="宋体" w:hint="default"/>
                <w:sz w:val="21"/>
                <w:szCs w:val="21"/>
              </w:rPr>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04"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807"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46" w:hRule="exact"/>
        </w:trPr>
        <w:tc>
          <w:tcPr>
            <w:tcW w:w="470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-548,389.06</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-550,360.22</w:t>
            </w:r>
          </w:p>
        </w:tc>
      </w:tr>
      <w:tr>
        <w:trPr>
          <w:trHeight w:val="348" w:hRule="exact"/>
        </w:trPr>
        <w:tc>
          <w:tcPr>
            <w:tcW w:w="470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可供出售金融资产在持有期间的投资收益</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863,685.83</w:t>
            </w:r>
          </w:p>
        </w:tc>
        <w:tc>
          <w:tcPr>
            <w:tcW w:w="246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70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315,296.77</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-550,360.22</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4"/>
        <w:gridCol w:w="1835"/>
        <w:gridCol w:w="1913"/>
        <w:gridCol w:w="1913"/>
        <w:gridCol w:w="1916"/>
      </w:tblGrid>
      <w:tr>
        <w:trPr>
          <w:trHeight w:val="206" w:hRule="exact"/>
        </w:trPr>
        <w:tc>
          <w:tcPr>
            <w:tcW w:w="1984"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749" w:type="dxa"/>
            <w:gridSpan w:val="2"/>
            <w:vMerge/>
            <w:tcBorders>
              <w:left w:val="single" w:sz="4" w:space="0" w:color="000000"/>
              <w:bottom w:val="single" w:sz="4" w:space="0" w:color="000000"/>
              <w:right w:val="single" w:sz="4" w:space="0" w:color="000000"/>
            </w:tcBorders>
            <w:shd w:val="clear" w:color="auto" w:fill="D2D2D2"/>
          </w:tcPr>
          <w:p>
            <w:pPr/>
          </w:p>
        </w:tc>
        <w:tc>
          <w:tcPr>
            <w:tcW w:w="382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4" w:type="dxa"/>
            <w:vMerge/>
            <w:tcBorders>
              <w:left w:val="single" w:sz="4" w:space="0" w:color="000000"/>
              <w:bottom w:val="nil" w:sz="6" w:space="0" w:color="auto"/>
              <w:right w:val="single" w:sz="4" w:space="0" w:color="000000"/>
            </w:tcBorders>
            <w:shd w:val="clear" w:color="auto" w:fill="D2D2D2"/>
          </w:tcPr>
          <w:p>
            <w:pPr/>
          </w:p>
        </w:tc>
        <w:tc>
          <w:tcPr>
            <w:tcW w:w="18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0"/>
              <w:ind w:left="5"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5"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1,274,408,272.65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944,557,127.14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1,719,219,749.52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1,410,632,459.94</w:t>
            </w:r>
          </w:p>
        </w:tc>
      </w:tr>
      <w:tr>
        <w:trPr>
          <w:trHeight w:val="403" w:hRule="exact"/>
        </w:trPr>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1,274,408,272.65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944,557,127.14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1,719,219,749.52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1,410,632,459.94</w:t>
            </w:r>
          </w:p>
        </w:tc>
      </w:tr>
    </w:tbl>
    <w:p>
      <w:pPr>
        <w:pStyle w:val="BodyText"/>
        <w:spacing w:line="240" w:lineRule="auto" w:before="49"/>
        <w:ind w:right="0"/>
        <w:jc w:val="left"/>
      </w:pPr>
      <w:r>
        <w:rPr/>
        <w:t>其他说明：</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5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-548,389.06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-550,360.22</w:t>
            </w: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863,685.83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315,296.77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-550,360.22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spacing w:line="506" w:lineRule="auto" w:before="36"/>
        <w:ind w:left="152" w:right="6714" w:firstLine="0"/>
        <w:jc w:val="left"/>
        <w:rPr>
          <w:rFonts w:ascii="宋体" w:hAnsi="宋体" w:cs="宋体" w:eastAsia="宋体" w:hint="default"/>
          <w:sz w:val="21"/>
          <w:szCs w:val="21"/>
        </w:rPr>
      </w:pPr>
      <w:r>
        <w:rPr/>
        <w:pict>
          <v:shape style="position:absolute;margin-left:56.279999pt;margin-top:48.763702pt;width:476.15pt;height:535.1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79"/>
                    <w:gridCol w:w="2410"/>
                    <w:gridCol w:w="2413"/>
                  </w:tblGrid>
                  <w:tr>
                    <w:trPr>
                      <w:trHeight w:val="346"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b/>
                            <w:bCs/>
                            <w:sz w:val="21"/>
                            <w:szCs w:val="21"/>
                          </w:rPr>
                          <w:t>补充资料</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77"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78"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48"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将净利润调节为经营活动现金流量：</w:t>
                        </w:r>
                      </w:p>
                    </w:tc>
                    <w:tc>
                      <w:tcPr>
                        <w:tcW w:w="241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2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62,567,239.94</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43,704,572.44</w:t>
                        </w:r>
                      </w:p>
                    </w:tc>
                  </w:tr>
                  <w:tr>
                    <w:trPr>
                      <w:trHeight w:val="348"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23"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49,136,745.24</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40,636,105.29</w:t>
                        </w:r>
                      </w:p>
                    </w:tc>
                  </w:tr>
                  <w:tr>
                    <w:trPr>
                      <w:trHeight w:val="658"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9" w:firstLine="653"/>
                          <w:jc w:val="left"/>
                          <w:rPr>
                            <w:rFonts w:ascii="宋体" w:hAnsi="宋体" w:cs="宋体" w:eastAsia="宋体" w:hint="default"/>
                            <w:sz w:val="21"/>
                            <w:szCs w:val="21"/>
                          </w:rPr>
                        </w:pPr>
                        <w:r>
                          <w:rPr>
                            <w:rFonts w:ascii="宋体" w:hAnsi="宋体" w:cs="宋体" w:eastAsia="宋体" w:hint="default"/>
                            <w:spacing w:val="-2"/>
                            <w:sz w:val="21"/>
                            <w:szCs w:val="21"/>
                          </w:rPr>
                          <w:t>固定资产折旧、油气资产折耗、生产性生物</w:t>
                        </w:r>
                        <w:r>
                          <w:rPr>
                            <w:rFonts w:ascii="宋体" w:hAnsi="宋体" w:cs="宋体" w:eastAsia="宋体" w:hint="default"/>
                            <w:w w:val="100"/>
                            <w:sz w:val="21"/>
                            <w:szCs w:val="21"/>
                          </w:rPr>
                          <w:t> </w:t>
                        </w:r>
                        <w:r>
                          <w:rPr>
                            <w:rFonts w:ascii="宋体" w:hAnsi="宋体" w:cs="宋体" w:eastAsia="宋体" w:hint="default"/>
                            <w:sz w:val="21"/>
                            <w:szCs w:val="21"/>
                          </w:rPr>
                          <w:t>资产折旧</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23,230,126.73</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20,606,471.94</w:t>
                        </w:r>
                      </w:p>
                    </w:tc>
                  </w:tr>
                  <w:tr>
                    <w:trPr>
                      <w:trHeight w:val="348"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58"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15,219,450.74</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13,327,316.30</w:t>
                        </w:r>
                      </w:p>
                    </w:tc>
                  </w:tr>
                  <w:tr>
                    <w:trPr>
                      <w:trHeight w:val="348"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58"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2,264,150.95</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-287,000.01</w:t>
                        </w:r>
                      </w:p>
                    </w:tc>
                  </w:tr>
                  <w:tr>
                    <w:trPr>
                      <w:trHeight w:val="658"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9" w:firstLine="653"/>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处置固定资产、无形资产和其他长期资产的</w:t>
                        </w:r>
                        <w:r>
                          <w:rPr>
                            <w:rFonts w:ascii="宋体" w:hAnsi="宋体" w:cs="宋体" w:eastAsia="宋体" w:hint="default"/>
                            <w:w w:val="100"/>
                            <w:sz w:val="21"/>
                            <w:szCs w:val="21"/>
                          </w:rPr>
                          <w:t> </w:t>
                        </w:r>
                        <w:r>
                          <w:rPr>
                            <w:rFonts w:ascii="宋体" w:hAnsi="宋体" w:cs="宋体" w:eastAsia="宋体" w:hint="default"/>
                            <w:sz w:val="21"/>
                            <w:szCs w:val="21"/>
                          </w:rPr>
                          <w:t>损失</w:t>
                        </w:r>
                        <w:r>
                          <w:rPr>
                            <w:rFonts w:ascii="Times New Roman" w:hAnsi="Times New Roman" w:cs="Times New Roman" w:eastAsia="Times New Roman" w:hint="default"/>
                            <w:sz w:val="21"/>
                            <w:szCs w:val="21"/>
                          </w:rPr>
                          <w:t>(</w:t>
                        </w:r>
                        <w:r>
                          <w:rPr>
                            <w:rFonts w:ascii="宋体" w:hAnsi="宋体" w:cs="宋体" w:eastAsia="宋体" w:hint="default"/>
                            <w:sz w:val="21"/>
                            <w:szCs w:val="21"/>
                          </w:rPr>
                          <w:t>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r>
                          <w:rPr>
                            <w:rFonts w:ascii="Times New Roman" w:hAnsi="Times New Roman" w:cs="Times New Roman" w:eastAsia="Times New Roman" w:hint="default"/>
                            <w:sz w:val="21"/>
                            <w:szCs w:val="21"/>
                          </w:rPr>
                          <w:t>)</w:t>
                        </w:r>
                      </w:p>
                    </w:tc>
                    <w:tc>
                      <w:tcPr>
                        <w:tcW w:w="241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65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固定资产报废损失</w:t>
                        </w:r>
                        <w:r>
                          <w:rPr>
                            <w:rFonts w:ascii="Times New Roman" w:hAnsi="Times New Roman" w:cs="Times New Roman" w:eastAsia="Times New Roman" w:hint="default"/>
                            <w:sz w:val="21"/>
                            <w:szCs w:val="21"/>
                          </w:rPr>
                          <w:t>(</w:t>
                        </w:r>
                        <w:r>
                          <w:rPr>
                            <w:rFonts w:ascii="宋体" w:hAnsi="宋体" w:cs="宋体" w:eastAsia="宋体" w:hint="default"/>
                            <w:sz w:val="21"/>
                            <w:szCs w:val="21"/>
                          </w:rPr>
                          <w:t>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r>
                          <w:rPr>
                            <w:rFonts w:ascii="Times New Roman" w:hAnsi="Times New Roman" w:cs="Times New Roman" w:eastAsia="Times New Roman" w:hint="default"/>
                            <w:sz w:val="21"/>
                            <w:szCs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8,704.38</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-23,335.26</w:t>
                        </w:r>
                      </w:p>
                    </w:tc>
                  </w:tr>
                  <w:tr>
                    <w:trPr>
                      <w:trHeight w:val="346"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65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公允价值变动损失</w:t>
                        </w:r>
                        <w:r>
                          <w:rPr>
                            <w:rFonts w:ascii="Times New Roman" w:hAnsi="Times New Roman" w:cs="Times New Roman" w:eastAsia="Times New Roman" w:hint="default"/>
                            <w:sz w:val="21"/>
                            <w:szCs w:val="21"/>
                          </w:rPr>
                          <w:t>(</w:t>
                        </w:r>
                        <w:r>
                          <w:rPr>
                            <w:rFonts w:ascii="宋体" w:hAnsi="宋体" w:cs="宋体" w:eastAsia="宋体" w:hint="default"/>
                            <w:sz w:val="21"/>
                            <w:szCs w:val="21"/>
                          </w:rPr>
                          <w:t>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r>
                          <w:rPr>
                            <w:rFonts w:ascii="Times New Roman" w:hAnsi="Times New Roman" w:cs="Times New Roman" w:eastAsia="Times New Roman" w:hint="default"/>
                            <w:sz w:val="21"/>
                            <w:szCs w:val="21"/>
                          </w:rPr>
                          <w:t>)</w:t>
                        </w:r>
                      </w:p>
                    </w:tc>
                    <w:tc>
                      <w:tcPr>
                        <w:tcW w:w="241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65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财务费用</w:t>
                        </w:r>
                        <w:r>
                          <w:rPr>
                            <w:rFonts w:ascii="Times New Roman" w:hAnsi="Times New Roman" w:cs="Times New Roman" w:eastAsia="Times New Roman" w:hint="default"/>
                            <w:sz w:val="21"/>
                            <w:szCs w:val="21"/>
                          </w:rPr>
                          <w:t>(</w:t>
                        </w:r>
                        <w:r>
                          <w:rPr>
                            <w:rFonts w:ascii="宋体" w:hAnsi="宋体" w:cs="宋体" w:eastAsia="宋体" w:hint="default"/>
                            <w:sz w:val="21"/>
                            <w:szCs w:val="21"/>
                          </w:rPr>
                          <w:t>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r>
                          <w:rPr>
                            <w:rFonts w:ascii="Times New Roman" w:hAnsi="Times New Roman" w:cs="Times New Roman" w:eastAsia="Times New Roman" w:hint="default"/>
                            <w:sz w:val="21"/>
                            <w:szCs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69,601,723.86</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48,182,552.62</w:t>
                        </w:r>
                      </w:p>
                    </w:tc>
                  </w:tr>
                  <w:tr>
                    <w:trPr>
                      <w:trHeight w:val="348"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65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投资损失</w:t>
                        </w:r>
                        <w:r>
                          <w:rPr>
                            <w:rFonts w:ascii="Times New Roman" w:hAnsi="Times New Roman" w:cs="Times New Roman" w:eastAsia="Times New Roman" w:hint="default"/>
                            <w:sz w:val="21"/>
                            <w:szCs w:val="21"/>
                          </w:rPr>
                          <w:t>(</w:t>
                        </w:r>
                        <w:r>
                          <w:rPr>
                            <w:rFonts w:ascii="宋体" w:hAnsi="宋体" w:cs="宋体" w:eastAsia="宋体" w:hint="default"/>
                            <w:sz w:val="21"/>
                            <w:szCs w:val="21"/>
                          </w:rPr>
                          <w:t>收益以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r>
                          <w:rPr>
                            <w:rFonts w:ascii="Times New Roman" w:hAnsi="Times New Roman" w:cs="Times New Roman" w:eastAsia="Times New Roman" w:hint="default"/>
                            <w:sz w:val="21"/>
                            <w:szCs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-315,296.77</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550,360.22</w:t>
                        </w:r>
                      </w:p>
                    </w:tc>
                  </w:tr>
                  <w:tr>
                    <w:trPr>
                      <w:trHeight w:val="346"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65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递延所得税资产减少</w:t>
                        </w:r>
                        <w:r>
                          <w:rPr>
                            <w:rFonts w:ascii="Times New Roman" w:hAnsi="Times New Roman" w:cs="Times New Roman" w:eastAsia="Times New Roman" w:hint="default"/>
                            <w:sz w:val="21"/>
                            <w:szCs w:val="21"/>
                          </w:rPr>
                          <w:t>(</w:t>
                        </w:r>
                        <w:r>
                          <w:rPr>
                            <w:rFonts w:ascii="宋体" w:hAnsi="宋体" w:cs="宋体" w:eastAsia="宋体" w:hint="default"/>
                            <w:sz w:val="21"/>
                            <w:szCs w:val="21"/>
                          </w:rPr>
                          <w:t>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r>
                          <w:rPr>
                            <w:rFonts w:ascii="Times New Roman" w:hAnsi="Times New Roman" w:cs="Times New Roman" w:eastAsia="Times New Roman" w:hint="default"/>
                            <w:sz w:val="21"/>
                            <w:szCs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-6,091,954.07</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-6,017,486.94</w:t>
                        </w:r>
                      </w:p>
                    </w:tc>
                  </w:tr>
                  <w:tr>
                    <w:trPr>
                      <w:trHeight w:val="348"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65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递延所得税负债增加</w:t>
                        </w:r>
                        <w:r>
                          <w:rPr>
                            <w:rFonts w:ascii="Times New Roman" w:hAnsi="Times New Roman" w:cs="Times New Roman" w:eastAsia="Times New Roman" w:hint="default"/>
                            <w:sz w:val="21"/>
                            <w:szCs w:val="21"/>
                          </w:rPr>
                          <w:t>(</w:t>
                        </w:r>
                        <w:r>
                          <w:rPr>
                            <w:rFonts w:ascii="宋体" w:hAnsi="宋体" w:cs="宋体" w:eastAsia="宋体" w:hint="default"/>
                            <w:sz w:val="21"/>
                            <w:szCs w:val="21"/>
                          </w:rPr>
                          <w:t>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r>
                          <w:rPr>
                            <w:rFonts w:ascii="Times New Roman" w:hAnsi="Times New Roman" w:cs="Times New Roman" w:eastAsia="Times New Roman" w:hint="default"/>
                            <w:sz w:val="21"/>
                            <w:szCs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-131,949.97</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-693,571.13</w:t>
                        </w:r>
                      </w:p>
                    </w:tc>
                  </w:tr>
                  <w:tr>
                    <w:trPr>
                      <w:trHeight w:val="346"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65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存货的减少</w:t>
                        </w:r>
                        <w:r>
                          <w:rPr>
                            <w:rFonts w:ascii="Times New Roman" w:hAnsi="Times New Roman" w:cs="Times New Roman" w:eastAsia="Times New Roman" w:hint="default"/>
                            <w:sz w:val="21"/>
                            <w:szCs w:val="21"/>
                          </w:rPr>
                          <w:t>(</w:t>
                        </w:r>
                        <w:r>
                          <w:rPr>
                            <w:rFonts w:ascii="宋体" w:hAnsi="宋体" w:cs="宋体" w:eastAsia="宋体" w:hint="default"/>
                            <w:sz w:val="21"/>
                            <w:szCs w:val="21"/>
                          </w:rPr>
                          <w:t>增加以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r>
                          <w:rPr>
                            <w:rFonts w:ascii="Times New Roman" w:hAnsi="Times New Roman" w:cs="Times New Roman" w:eastAsia="Times New Roman" w:hint="default"/>
                            <w:sz w:val="21"/>
                            <w:szCs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-34,501,144.49</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16,593,564.79</w:t>
                        </w:r>
                      </w:p>
                    </w:tc>
                  </w:tr>
                  <w:tr>
                    <w:trPr>
                      <w:trHeight w:val="348"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102"/>
                          <w:jc w:val="right"/>
                          <w:rPr>
                            <w:rFonts w:ascii="Times New Roman" w:hAnsi="Times New Roman" w:cs="Times New Roman" w:eastAsia="Times New Roman" w:hint="default"/>
                            <w:sz w:val="21"/>
                            <w:szCs w:val="21"/>
                          </w:rPr>
                        </w:pPr>
                        <w:r>
                          <w:rPr>
                            <w:rFonts w:ascii="宋体" w:hAnsi="宋体" w:cs="宋体" w:eastAsia="宋体" w:hint="default"/>
                            <w:spacing w:val="-2"/>
                            <w:sz w:val="21"/>
                            <w:szCs w:val="21"/>
                          </w:rPr>
                          <w:t>经营性应收项目的减少</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增加以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r>
                        <w:r>
                          <w:rPr>
                            <w:rFonts w:ascii="Times New Roman" w:hAnsi="Times New Roman" w:cs="Times New Roman" w:eastAsia="Times New Roman" w:hint="default"/>
                            <w:spacing w:val="-2"/>
                            <w:sz w:val="21"/>
                            <w:szCs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-765,303,607.49</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-789,653,735.63</w:t>
                        </w:r>
                      </w:p>
                    </w:tc>
                  </w:tr>
                  <w:tr>
                    <w:trPr>
                      <w:trHeight w:val="346"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right="102"/>
                          <w:jc w:val="right"/>
                          <w:rPr>
                            <w:rFonts w:ascii="Times New Roman" w:hAnsi="Times New Roman" w:cs="Times New Roman" w:eastAsia="Times New Roman" w:hint="default"/>
                            <w:sz w:val="21"/>
                            <w:szCs w:val="21"/>
                          </w:rPr>
                        </w:pPr>
                        <w:r>
                          <w:rPr>
                            <w:rFonts w:ascii="宋体" w:hAnsi="宋体" w:cs="宋体" w:eastAsia="宋体" w:hint="default"/>
                            <w:spacing w:val="-2"/>
                            <w:sz w:val="21"/>
                            <w:szCs w:val="21"/>
                          </w:rPr>
                          <w:t>经营性应付项目的增加</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减少以</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号填列</w:t>
                        </w:r>
                        <w:r>
                          <w:rPr>
                            <w:rFonts w:ascii="Times New Roman" w:hAnsi="Times New Roman" w:cs="Times New Roman" w:eastAsia="Times New Roman" w:hint="default"/>
                            <w:spacing w:val="-2"/>
                            <w:sz w:val="21"/>
                            <w:szCs w:val="21"/>
                          </w:rPr>
                          <w:t>)</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-312,388,495.75</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728,050,441.73</w:t>
                        </w:r>
                      </w:p>
                    </w:tc>
                  </w:tr>
                  <w:tr>
                    <w:trPr>
                      <w:trHeight w:val="348"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65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-8,577,666.66</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-1,786,666.67</w:t>
                        </w:r>
                      </w:p>
                    </w:tc>
                  </w:tr>
                  <w:tr>
                    <w:trPr>
                      <w:trHeight w:val="348"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5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-905,281,973.36</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113,189,589.69</w:t>
                        </w:r>
                      </w:p>
                    </w:tc>
                  </w:tr>
                  <w:tr>
                    <w:trPr>
                      <w:trHeight w:val="346"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不涉及现金收支的重大投资和筹资活动：</w:t>
                        </w:r>
                      </w:p>
                    </w:tc>
                    <w:tc>
                      <w:tcPr>
                        <w:tcW w:w="241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23"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41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2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41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23"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41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现金及现金等价物净变动情况：</w:t>
                        </w:r>
                      </w:p>
                    </w:tc>
                    <w:tc>
                      <w:tcPr>
                        <w:tcW w:w="241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23"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246,101,300.13</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1,150,419,655.90</w:t>
                        </w:r>
                      </w:p>
                    </w:tc>
                  </w:tr>
                  <w:tr>
                    <w:trPr>
                      <w:trHeight w:val="348"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23"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
                          <w:jc w:val="right"/>
                          <w:rPr>
                            <w:rFonts w:ascii="Times New Roman" w:hAnsi="Times New Roman" w:cs="Times New Roman" w:eastAsia="Times New Roman" w:hint="default"/>
                            <w:sz w:val="21"/>
                            <w:szCs w:val="21"/>
                          </w:rPr>
                        </w:pPr>
                        <w:r>
                          <w:rPr>
                            <w:rFonts w:ascii="Times New Roman"/>
                            <w:spacing w:val="-1"/>
                            <w:sz w:val="21"/>
                          </w:rPr>
                          <w:t>1,150,419,655.90</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
                          <w:jc w:val="right"/>
                          <w:rPr>
                            <w:rFonts w:ascii="Times New Roman" w:hAnsi="Times New Roman" w:cs="Times New Roman" w:eastAsia="Times New Roman" w:hint="default"/>
                            <w:sz w:val="21"/>
                            <w:szCs w:val="21"/>
                          </w:rPr>
                        </w:pPr>
                        <w:r>
                          <w:rPr>
                            <w:rFonts w:ascii="Times New Roman"/>
                            <w:spacing w:val="-1"/>
                            <w:sz w:val="21"/>
                          </w:rPr>
                          <w:t>396,164,094.00</w:t>
                        </w:r>
                      </w:p>
                    </w:tc>
                  </w:tr>
                  <w:tr>
                    <w:trPr>
                      <w:trHeight w:val="346"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2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41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2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410" w:type="dxa"/>
                        <w:tcBorders>
                          <w:top w:val="single" w:sz="6" w:space="0" w:color="000000"/>
                          <w:left w:val="single" w:sz="6" w:space="0" w:color="000000"/>
                          <w:bottom w:val="single" w:sz="6" w:space="0" w:color="000000"/>
                          <w:right w:val="single" w:sz="6" w:space="0" w:color="000000"/>
                        </w:tcBorders>
                      </w:tcPr>
                      <w:p>
                        <w:pPr/>
                      </w:p>
                    </w:tc>
                    <w:tc>
                      <w:tcPr>
                        <w:tcW w:w="241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4679"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2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
                          <w:jc w:val="right"/>
                          <w:rPr>
                            <w:rFonts w:ascii="Times New Roman" w:hAnsi="Times New Roman" w:cs="Times New Roman" w:eastAsia="Times New Roman" w:hint="default"/>
                            <w:sz w:val="21"/>
                            <w:szCs w:val="21"/>
                          </w:rPr>
                        </w:pPr>
                        <w:r>
                          <w:rPr>
                            <w:rFonts w:ascii="Times New Roman"/>
                            <w:spacing w:val="-1"/>
                            <w:sz w:val="21"/>
                          </w:rPr>
                          <w:t>-904,318,355.77</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754,255,561.90</w:t>
                        </w:r>
                      </w:p>
                    </w:tc>
                  </w:tr>
                </w:tbl>
                <w:p>
                  <w:pPr/>
                </w:p>
              </w:txbxContent>
            </v:textbox>
            <w10:wrap type="none"/>
          </v:shape>
        </w:pic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r>
        <w:rPr>
          <w:rFonts w:ascii="宋体" w:hAnsi="宋体" w:cs="宋体" w:eastAsia="宋体" w:hint="default"/>
          <w:spacing w:val="-2"/>
          <w:sz w:val="21"/>
          <w:szCs w:val="21"/>
        </w:rPr>
        <w:t>净利润调节为经营活动现金流量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Heading2"/>
        <w:spacing w:line="240" w:lineRule="auto" w:before="26"/>
        <w:ind w:right="0"/>
        <w:jc w:val="left"/>
        <w:rPr>
          <w:b w:val="0"/>
          <w:bCs w:val="0"/>
        </w:rPr>
      </w:pPr>
      <w:r>
        <w:rPr/>
        <w:t>十六、补充资料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51"/>
        <w:jc w:val="right"/>
      </w:pPr>
      <w:r>
        <w:rPr/>
        <w:t>单位：</w:t>
      </w:r>
      <w:r>
        <w:rPr>
          <w:spacing w:val="1"/>
        </w:rPr>
        <w:t> </w:t>
      </w:r>
      <w:r>
        <w:rPr/>
        <w:t>元</w:t>
      </w:r>
    </w:p>
    <w:p>
      <w:pPr>
        <w:spacing w:after="0" w:line="240" w:lineRule="auto"/>
        <w:jc w:val="right"/>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5"/>
      </w:tblGrid>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-49,803.75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27,879,669.93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-12,434,717.59</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3,089,619.75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07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-737,642.07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13,043,170.91</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left="513" w:right="0"/>
        <w:jc w:val="left"/>
      </w:pPr>
      <w:r>
        <w:rPr/>
        <w:t>对公司根据《公开发行证券的公司信息披露解释性公告第</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spacing w:val="-3"/>
        </w:rPr>
        <w:t>号</w:t>
      </w:r>
      <w:r>
        <w:rPr>
          <w:rFonts w:ascii="Times New Roman" w:hAnsi="Times New Roman" w:cs="Times New Roman" w:eastAsia="Times New Roman" w:hint="default"/>
          <w:spacing w:val="-3"/>
        </w:rPr>
        <w:t>——</w:t>
      </w:r>
      <w:r>
        <w:rPr>
          <w:spacing w:val="-3"/>
        </w:rPr>
        <w:t>非经常性损益》定义界定的非经常性损益项目，以及</w:t>
      </w:r>
    </w:p>
    <w:p>
      <w:pPr>
        <w:pStyle w:val="BodyText"/>
        <w:spacing w:line="300" w:lineRule="auto" w:before="60"/>
        <w:ind w:right="139"/>
        <w:jc w:val="left"/>
      </w:pPr>
      <w:r>
        <w:rPr>
          <w:spacing w:val="-2"/>
        </w:rPr>
        <w:t>把《公开发行证券的公司信息披露解释性公告第</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spacing w:val="-2"/>
        </w:rPr>
        <w:t>号</w:t>
      </w:r>
      <w:r>
        <w:rPr>
          <w:rFonts w:ascii="Times New Roman" w:hAnsi="Times New Roman" w:cs="Times New Roman" w:eastAsia="Times New Roman" w:hint="default"/>
          <w:spacing w:val="-2"/>
        </w:rPr>
        <w:t>——</w:t>
      </w:r>
      <w:r>
        <w:rPr>
          <w:spacing w:val="-2"/>
        </w:rPr>
        <w:t>非经常性损益》中列举的非经常性损益项目界定为经常性损益的项</w:t>
      </w:r>
      <w:r>
        <w:rPr/>
        <w:t> 目，应说明原因。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2"/>
        <w:gridCol w:w="3083"/>
        <w:gridCol w:w="1913"/>
        <w:gridCol w:w="1913"/>
      </w:tblGrid>
      <w:tr>
        <w:trPr>
          <w:trHeight w:val="204" w:hRule="exact"/>
        </w:trPr>
        <w:tc>
          <w:tcPr>
            <w:tcW w:w="2662"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6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62" w:type="dxa"/>
            <w:vMerge/>
            <w:tcBorders>
              <w:left w:val="single" w:sz="4" w:space="0" w:color="000000"/>
              <w:bottom w:val="nil" w:sz="6" w:space="0" w:color="auto"/>
              <w:right w:val="single" w:sz="4" w:space="0" w:color="000000"/>
            </w:tcBorders>
            <w:shd w:val="clear" w:color="auto" w:fill="D2D2D2"/>
          </w:tcPr>
          <w:p>
            <w:pPr/>
          </w:p>
        </w:tc>
        <w:tc>
          <w:tcPr>
            <w:tcW w:w="3083"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0.08</w:t>
            </w:r>
          </w:p>
        </w:tc>
      </w:tr>
      <w:tr>
        <w:trPr>
          <w:trHeight w:val="715"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0.06</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3285" w:right="0"/>
        <w:jc w:val="left"/>
        <w:rPr>
          <w:b w:val="0"/>
          <w:bCs w:val="0"/>
        </w:rPr>
      </w:pPr>
      <w:bookmarkStart w:name="_bookmark11" w:id="12"/>
      <w:bookmarkEnd w:id="12"/>
      <w:r>
        <w:rPr>
          <w:b w:val="0"/>
          <w:bCs w:val="0"/>
        </w:rPr>
      </w:r>
      <w:r>
        <w:rPr/>
        <w:t>第十二节</w:t>
      </w:r>
      <w:r>
        <w:rPr>
          <w:spacing w:val="-6"/>
        </w:rPr>
        <w:t> </w:t>
      </w:r>
      <w:r>
        <w:rPr/>
        <w:t>备查文件目录</w:t>
      </w:r>
      <w:r>
        <w:rPr>
          <w:b w:val="0"/>
          <w:bCs w:val="0"/>
        </w:rPr>
      </w:r>
    </w:p>
    <w:p>
      <w:pPr>
        <w:spacing w:line="240" w:lineRule="auto" w:before="9"/>
        <w:rPr>
          <w:rFonts w:ascii="宋体" w:hAnsi="宋体" w:cs="宋体" w:eastAsia="宋体" w:hint="default"/>
          <w:b/>
          <w:bCs/>
          <w:sz w:val="42"/>
          <w:szCs w:val="42"/>
        </w:rPr>
      </w:pPr>
    </w:p>
    <w:p>
      <w:pPr>
        <w:pStyle w:val="BodyText"/>
        <w:spacing w:line="352" w:lineRule="auto"/>
        <w:ind w:left="513" w:right="0"/>
        <w:jc w:val="left"/>
      </w:pPr>
      <w:r>
        <w:rPr/>
        <w:t>一、载有董事长签名的</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年年度报告全文； 二、载有公司负责人、主管会计工作负责人、会计机构负责人（会计主管人员）签名并盖章的财务报表； 三、载有会计师事务所盖章、注册会计师签名并盖章的审计报告原件； </w:t>
      </w:r>
      <w:r>
        <w:rPr>
          <w:spacing w:val="-1"/>
        </w:rPr>
        <w:t>四、报告期内，公司在《证券时报》和巨潮资讯网（</w:t>
      </w:r>
      <w:hyperlink r:id="rId13">
        <w:r>
          <w:rPr>
            <w:rFonts w:ascii="Times New Roman" w:hAnsi="Times New Roman" w:cs="Times New Roman" w:eastAsia="Times New Roman" w:hint="default"/>
            <w:spacing w:val="-1"/>
          </w:rPr>
          <w:t>http://www.cninfo.com.cn</w:t>
        </w:r>
      </w:hyperlink>
      <w:r>
        <w:rPr>
          <w:spacing w:val="-1"/>
        </w:rPr>
        <w:t>）上公开披露过的所有公司文件的正本及</w:t>
      </w:r>
    </w:p>
    <w:p>
      <w:pPr>
        <w:pStyle w:val="BodyText"/>
        <w:spacing w:line="205" w:lineRule="exact"/>
        <w:ind w:right="0"/>
        <w:jc w:val="left"/>
      </w:pPr>
      <w:r>
        <w:rPr/>
        <w:t>公告的原稿。</w:t>
      </w:r>
    </w:p>
    <w:p>
      <w:pPr>
        <w:pStyle w:val="BodyText"/>
        <w:spacing w:line="240" w:lineRule="auto" w:before="115"/>
        <w:ind w:left="513" w:right="0"/>
        <w:jc w:val="left"/>
      </w:pPr>
      <w:r>
        <w:rPr/>
        <w:t>上述文件备置于公司董事会办公室备查。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357" w:lineRule="auto" w:before="146"/>
        <w:ind w:left="3981" w:right="3622"/>
        <w:jc w:val="center"/>
      </w:pPr>
      <w:r>
        <w:rPr/>
        <w:t>深圳市证通电子股份有限公司 </w:t>
      </w:r>
      <w:r>
        <w:rPr>
          <w:spacing w:val="-11"/>
        </w:rPr>
        <w:t>董事长（曾胜强）：</w:t>
      </w:r>
      <w:r>
        <w:rPr/>
        <w:t> 二</w:t>
      </w:r>
      <w:r>
        <w:rPr>
          <w:rFonts w:ascii="Times New Roman" w:hAnsi="Times New Roman" w:cs="Times New Roman" w:eastAsia="Times New Roman" w:hint="default"/>
        </w:rPr>
        <w:t>○</w:t>
      </w:r>
      <w:r>
        <w:rPr/>
        <w:t>一八年四月二十四日</w:t>
      </w:r>
    </w:p>
    <w:sectPr>
      <w:pgSz w:w="11910" w:h="16840"/>
      <w:pgMar w:header="745" w:footer="980"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等线">
    <w:altName w:val="等线"/>
    <w:charset w:val="86"/>
    <w:family w:val="auto"/>
    <w:pitch w:val="variable"/>
  </w:font>
  <w:font w:name="Malgun Gothic">
    <w:altName w:val="Malgun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369995pt;margin-top:795.613892pt;width:6.5pt;height:11pt;mso-position-horizontal-relative:page;mso-position-vertical-relative:page;z-index:-115302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1.933899pt;width:17.7pt;height:11pt;mso-position-horizontal-relative:page;mso-position-vertical-relative:page;z-index:-11528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1.933899pt;width:17.7pt;height:11pt;mso-position-horizontal-relative:page;mso-position-vertical-relative:page;z-index:-11527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137</w:t>
                </w:r>
                <w:r>
                  <w:rPr/>
                  <w:fldChar w:fldCharType="end"/>
                </w:r>
                <w:r>
                  <w:rPr>
                    <w:rFonts w:ascii="Times New Roman"/>
                    <w:spacing w:val="1"/>
                  </w:rPr>
                </w:r>
                <w:r>
                  <w:rPr>
                    <w:rFonts w:ascii="Times New Roman"/>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81.933899pt;width:15.7pt;height:11pt;mso-position-horizontal-relative:page;mso-position-vertical-relative:page;z-index:-11527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1.933899pt;width:17.7pt;height:11pt;mso-position-horizontal-relative:page;mso-position-vertical-relative:page;z-index:-115273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11530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115297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22</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11529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38</w:t>
                </w:r>
                <w:r>
                  <w:rPr/>
                  <w:fldChar w:fldCharType="end"/>
                </w:r>
                <w:r>
                  <w:rPr>
                    <w:rFonts w:ascii="Times New Roman"/>
                    <w:spacing w:val="1"/>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11529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40</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089996pt;margin-top:781.933899pt;width:13.15pt;height:11pt;mso-position-horizontal-relative:page;mso-position-vertical-relative:page;z-index:-115290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41</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809998pt;margin-top:781.933899pt;width:15.7pt;height:11pt;mso-position-horizontal-relative:page;mso-position-vertical-relative:page;z-index:-115288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09998pt;margin-top:781.933899pt;width:17.7pt;height:11pt;mso-position-horizontal-relative:page;mso-position-vertical-relative:page;z-index:-11528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049988pt;margin-top:781.933899pt;width:17.3pt;height:11pt;mso-position-horizontal-relative:page;mso-position-vertical-relative:page;z-index:-115283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265610pt;width:204.75pt;height:11.5pt;mso-position-horizontal-relative:page;mso-position-vertical-relative:page;z-index:-1153048" type="#_x0000_t202" filled="false" stroked="false">
          <v:textbox inset="0,0,0,0">
            <w:txbxContent>
              <w:p>
                <w:pPr>
                  <w:pStyle w:val="BodyText"/>
                  <w:spacing w:line="214" w:lineRule="exact"/>
                  <w:ind w:left="20" w:right="0"/>
                  <w:jc w:val="left"/>
                </w:pPr>
                <w:r>
                  <w:rPr/>
                  <w:t>深圳市证通电子股份有限公司</w:t>
                </w:r>
                <w:r>
                  <w:rPr>
                    <w:spacing w:val="-44"/>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2"/>
    </w:pPr>
    <w:rPr>
      <w:rFonts w:ascii="宋体" w:hAnsi="宋体" w:eastAsia="宋体"/>
      <w:b/>
      <w:bCs/>
      <w:sz w:val="28"/>
      <w:szCs w:val="28"/>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355"/>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152"/>
      <w:outlineLvl w:val="4"/>
    </w:pPr>
    <w:rPr>
      <w:rFonts w:ascii="宋体" w:hAnsi="宋体" w:eastAsia="宋体"/>
      <w:sz w:val="21"/>
      <w:szCs w:val="21"/>
    </w:rPr>
  </w:style>
  <w:style w:styleId="Heading5" w:type="paragraph">
    <w:name w:val="Heading 5"/>
    <w:basedOn w:val="Normal"/>
    <w:uiPriority w:val="1"/>
    <w:qFormat/>
    <w:pPr>
      <w:ind w:left="422"/>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yperlink" Target="http://www.szzt.com.cn/" TargetMode="External"/><Relationship Id="rId10" Type="http://schemas.openxmlformats.org/officeDocument/2006/relationships/hyperlink" Target="mailto:IR@szzt.com.cn" TargetMode="External"/><Relationship Id="rId11" Type="http://schemas.openxmlformats.org/officeDocument/2006/relationships/hyperlink" Target="mailto:fudeliang@szzt.com.cn" TargetMode="External"/><Relationship Id="rId12" Type="http://schemas.openxmlformats.org/officeDocument/2006/relationships/hyperlink" Target="mailto:wangfang@szzt.com.cn"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yperlink" Target="http://irm.cninfo.com.cn/ssessgs/S002" TargetMode="External"/><Relationship Id="rId19" Type="http://schemas.openxmlformats.org/officeDocument/2006/relationships/image" Target="media/image2.jpeg"/><Relationship Id="rId20" Type="http://schemas.openxmlformats.org/officeDocument/2006/relationships/image" Target="media/image3.png"/><Relationship Id="rId21" Type="http://schemas.openxmlformats.org/officeDocument/2006/relationships/hyperlink" Target="http://www.pyrating.cn/" TargetMode="External"/><Relationship Id="rId22" Type="http://schemas.openxmlformats.org/officeDocument/2006/relationships/footer" Target="footer7.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image" Target="media/image4.png"/><Relationship Id="rId27" Type="http://schemas.openxmlformats.org/officeDocument/2006/relationships/footer" Target="footer11.xml"/><Relationship Id="rId28" Type="http://schemas.openxmlformats.org/officeDocument/2006/relationships/footer" Target="footer12.xml"/><Relationship Id="rId29"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2020-05-02T21:39:37Z</dcterms:created>
  <dcterms:modified xsi:type="dcterms:W3CDTF">2020-05-02T21:39:37Z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Microsoft® Word 2010</vt:lpwstr>
  </property>
  <property fmtid="{D5CDD505-2E9C-101B-9397-08002B2CF9AE}" pid="4" name="LastSaved">
    <vt:filetime>2020-05-02T00:00:00Z</vt:filetime>
  </property>
</Properties>
</file>