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4"/>
          <w:szCs w:val="14"/>
        </w:rPr>
      </w:pPr>
    </w:p>
    <w:p>
      <w:pPr>
        <w:spacing w:line="718" w:lineRule="exact"/>
        <w:ind w:left="272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drawing>
          <wp:inline distT="0" distB="0" distL="0" distR="0">
            <wp:extent cx="2872550" cy="456056"/>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2872550" cy="456056"/>
                    </a:xfrm>
                    <a:prstGeom prst="rect">
                      <a:avLst/>
                    </a:prstGeom>
                  </pic:spPr>
                </pic:pic>
              </a:graphicData>
            </a:graphic>
          </wp:inline>
        </w:drawing>
      </w:r>
      <w:r>
        <w:rPr>
          <w:rFonts w:ascii="Times New Roman" w:hAnsi="Times New Roman" w:cs="Times New Roman" w:eastAsia="Times New Roman" w:hint="default"/>
          <w:position w:val="-13"/>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7"/>
          <w:szCs w:val="17"/>
        </w:rPr>
      </w:pPr>
    </w:p>
    <w:p>
      <w:pPr>
        <w:spacing w:line="460" w:lineRule="exact" w:before="0"/>
        <w:ind w:left="73" w:right="1059" w:firstLine="0"/>
        <w:jc w:val="center"/>
        <w:rPr>
          <w:rFonts w:ascii="宋体" w:hAnsi="宋体" w:cs="宋体" w:eastAsia="宋体" w:hint="default"/>
          <w:sz w:val="36"/>
          <w:szCs w:val="36"/>
        </w:rPr>
      </w:pPr>
      <w:r>
        <w:rPr>
          <w:rFonts w:ascii="宋体" w:hAnsi="宋体" w:cs="宋体" w:eastAsia="宋体" w:hint="default"/>
          <w:b/>
          <w:bCs/>
          <w:sz w:val="36"/>
          <w:szCs w:val="36"/>
        </w:rPr>
        <w:t>深圳市证通电子股份有限公司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pStyle w:val="Heading1"/>
        <w:spacing w:line="240" w:lineRule="auto"/>
        <w:ind w:left="78" w:right="1059"/>
        <w:jc w:val="center"/>
        <w:rPr>
          <w:b w:val="0"/>
          <w:bCs w:val="0"/>
        </w:rPr>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年年度报告</w:t>
      </w:r>
      <w:r>
        <w:rPr>
          <w:b w:val="0"/>
          <w:bCs w:val="0"/>
        </w:rPr>
      </w:r>
    </w:p>
    <w:p>
      <w:pPr>
        <w:spacing w:line="240" w:lineRule="auto" w:before="7"/>
        <w:rPr>
          <w:rFonts w:ascii="宋体" w:hAnsi="宋体" w:cs="宋体" w:eastAsia="宋体" w:hint="default"/>
          <w:b/>
          <w:bCs/>
          <w:sz w:val="32"/>
          <w:szCs w:val="32"/>
        </w:rPr>
      </w:pPr>
    </w:p>
    <w:p>
      <w:pPr>
        <w:spacing w:before="0"/>
        <w:ind w:left="81" w:right="1059" w:firstLine="0"/>
        <w:jc w:val="center"/>
        <w:rPr>
          <w:rFonts w:ascii="Times New Roman" w:hAnsi="Times New Roman" w:cs="Times New Roman" w:eastAsia="Times New Roman" w:hint="default"/>
          <w:sz w:val="22"/>
          <w:szCs w:val="22"/>
        </w:rPr>
      </w:pPr>
      <w:r>
        <w:rPr>
          <w:rFonts w:ascii="Times New Roman"/>
          <w:b/>
          <w:sz w:val="22"/>
        </w:rPr>
        <w:t>2019-045</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pStyle w:val="Heading1"/>
        <w:spacing w:line="240" w:lineRule="auto" w:before="128"/>
        <w:ind w:right="1059"/>
        <w:jc w:val="center"/>
        <w:rPr>
          <w:b w:val="0"/>
          <w:bCs w:val="0"/>
        </w:rPr>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81"/>
        </w:rPr>
        <w:t> </w:t>
      </w:r>
      <w:r>
        <w:rPr>
          <w:rFonts w:ascii="Times New Roman" w:hAnsi="Times New Roman" w:cs="Times New Roman" w:eastAsia="Times New Roman" w:hint="default"/>
        </w:rPr>
        <w:t>04</w:t>
      </w:r>
      <w:r>
        <w:rPr>
          <w:rFonts w:ascii="Times New Roman" w:hAnsi="Times New Roman" w:cs="Times New Roman" w:eastAsia="Times New Roman" w:hint="default"/>
          <w:spacing w:val="-1"/>
        </w:rPr>
        <w:t> </w:t>
      </w:r>
      <w:r>
        <w:rPr/>
        <w:t>月</w:t>
      </w:r>
      <w:r>
        <w:rPr>
          <w:b w:val="0"/>
          <w:bCs w:val="0"/>
        </w:rPr>
      </w:r>
    </w:p>
    <w:p>
      <w:pPr>
        <w:spacing w:after="0" w:line="240" w:lineRule="auto"/>
        <w:jc w:val="center"/>
        <w:sectPr>
          <w:headerReference w:type="default" r:id="rId5"/>
          <w:footerReference w:type="default" r:id="rId6"/>
          <w:type w:val="continuous"/>
          <w:pgSz w:w="11910" w:h="16840"/>
          <w:pgMar w:header="745" w:footer="979" w:top="1060" w:bottom="11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2" w:right="1133"/>
        <w:jc w:val="left"/>
        <w:rPr>
          <w:b w:val="0"/>
          <w:bCs w:val="0"/>
        </w:rPr>
      </w:pPr>
      <w:bookmarkStart w:name="_bookmark0" w:id="1"/>
      <w:bookmarkEnd w:id="1"/>
      <w:r>
        <w:rPr>
          <w:b w:val="0"/>
          <w:bCs w:val="0"/>
        </w:rPr>
      </w:r>
      <w:r>
        <w:rPr/>
        <w:t>第一节</w:t>
      </w:r>
      <w:r>
        <w:rPr>
          <w:spacing w:val="-5"/>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3"/>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公司负责人曾胜强、主管会计工作负责人黄毅及会计机构负责人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谌光荣声明：保证年度报告中财务报告的真实、准确、完整。</w:t>
      </w:r>
      <w:r>
        <w:rPr>
          <w:rFonts w:ascii="宋体" w:hAnsi="宋体" w:cs="宋体" w:eastAsia="宋体" w:hint="default"/>
          <w:sz w:val="28"/>
          <w:szCs w:val="28"/>
        </w:rPr>
      </w:r>
    </w:p>
    <w:p>
      <w:pPr>
        <w:spacing w:line="472" w:lineRule="auto" w:before="148"/>
        <w:ind w:left="714" w:right="113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公司存在行业竞争加剧的风险、经营管控风险、新增固定资产折旧风险、</w:t>
      </w:r>
      <w:r>
        <w:rPr>
          <w:rFonts w:ascii="宋体" w:hAnsi="宋体" w:cs="宋体" w:eastAsia="宋体" w:hint="default"/>
          <w:spacing w:val="2"/>
          <w:sz w:val="28"/>
          <w:szCs w:val="28"/>
        </w:rPr>
      </w:r>
    </w:p>
    <w:p>
      <w:pPr>
        <w:spacing w:line="408" w:lineRule="auto" w:before="0"/>
        <w:ind w:left="152" w:right="1129" w:firstLine="0"/>
        <w:jc w:val="left"/>
        <w:rPr>
          <w:rFonts w:ascii="宋体" w:hAnsi="宋体" w:cs="宋体" w:eastAsia="宋体" w:hint="default"/>
          <w:sz w:val="28"/>
          <w:szCs w:val="28"/>
        </w:rPr>
      </w:pPr>
      <w:r>
        <w:rPr>
          <w:rFonts w:ascii="宋体" w:hAnsi="宋体" w:cs="宋体" w:eastAsia="宋体" w:hint="default"/>
          <w:b/>
          <w:bCs/>
          <w:spacing w:val="2"/>
          <w:sz w:val="28"/>
          <w:szCs w:val="28"/>
        </w:rPr>
        <w:t>应收账款风险及现金流风险，敬请广大投资者注意投资风险。详细内容见本报</w:t>
      </w:r>
      <w:r>
        <w:rPr>
          <w:rFonts w:ascii="宋体" w:hAnsi="宋体" w:cs="宋体" w:eastAsia="宋体" w:hint="default"/>
          <w:b/>
          <w:bCs/>
          <w:w w:val="99"/>
          <w:sz w:val="28"/>
          <w:szCs w:val="28"/>
        </w:rPr>
        <w:t> </w:t>
      </w:r>
      <w:r>
        <w:rPr>
          <w:rFonts w:ascii="宋体" w:hAnsi="宋体" w:cs="宋体" w:eastAsia="宋体" w:hint="default"/>
          <w:b/>
          <w:bCs/>
          <w:sz w:val="28"/>
          <w:szCs w:val="28"/>
        </w:rPr>
        <w:t>告</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第四节、九（四）公司面临的风险和应对措施</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w:t>
      </w:r>
      <w:r>
        <w:rPr>
          <w:rFonts w:ascii="宋体" w:hAnsi="宋体" w:cs="宋体" w:eastAsia="宋体" w:hint="default"/>
          <w:sz w:val="28"/>
          <w:szCs w:val="28"/>
        </w:rPr>
      </w:r>
    </w:p>
    <w:p>
      <w:pPr>
        <w:spacing w:before="120"/>
        <w:ind w:left="714" w:right="1133"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5" w:top="1060" w:bottom="116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81" w:right="1059"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51"/>
          <w:szCs w:val="51"/>
        </w:rPr>
      </w:pPr>
    </w:p>
    <w:p>
      <w:pPr>
        <w:spacing w:before="0"/>
        <w:ind w:left="211" w:right="1058" w:firstLine="0"/>
        <w:jc w:val="center"/>
        <w:rPr>
          <w:rFonts w:ascii="宋体" w:hAnsi="宋体" w:cs="宋体" w:eastAsia="宋体" w:hint="default"/>
          <w:sz w:val="28"/>
          <w:szCs w:val="28"/>
        </w:rPr>
      </w:pPr>
      <w:hyperlink w:history="true" w:anchor="_bookmark0">
        <w:r>
          <w:rPr>
            <w:rFonts w:ascii="宋体" w:hAnsi="宋体" w:cs="宋体" w:eastAsia="宋体" w:hint="default"/>
            <w:b/>
            <w:bCs/>
            <w:sz w:val="28"/>
            <w:szCs w:val="28"/>
          </w:rPr>
          <w:t>第一节 </w:t>
        </w:r>
        <w:r>
          <w:rPr>
            <w:rFonts w:ascii="宋体" w:hAnsi="宋体" w:cs="宋体" w:eastAsia="宋体" w:hint="default"/>
            <w:b/>
            <w:bCs/>
            <w:sz w:val="28"/>
            <w:szCs w:val="28"/>
          </w:rPr>
        </w:r>
        <w:r>
          <w:rPr>
            <w:rFonts w:ascii="宋体" w:hAnsi="宋体" w:cs="宋体" w:eastAsia="宋体" w:hint="default"/>
            <w:b/>
            <w:bCs/>
            <w:sz w:val="28"/>
            <w:szCs w:val="28"/>
          </w:rPr>
          <w:t>重要提示、目录和释义 </w:t>
        </w:r>
        <w:r>
          <w:rPr>
            <w:rFonts w:ascii="宋体" w:hAnsi="宋体" w:cs="宋体" w:eastAsia="宋体" w:hint="default"/>
            <w:b/>
            <w:bCs/>
            <w:sz w:val="28"/>
            <w:szCs w:val="28"/>
          </w:rPr>
        </w:r>
        <w:r>
          <w:rPr>
            <w:rFonts w:ascii="宋体" w:hAnsi="宋体" w:cs="宋体" w:eastAsia="宋体" w:hint="default"/>
            <w:b/>
            <w:bCs/>
            <w:spacing w:val="3"/>
            <w:sz w:val="28"/>
            <w:szCs w:val="28"/>
          </w:rPr>
          <w:t>......................................</w:t>
        </w:r>
        <w:r>
          <w:rPr>
            <w:rFonts w:ascii="宋体" w:hAnsi="宋体" w:cs="宋体" w:eastAsia="宋体" w:hint="default"/>
            <w:b/>
            <w:bCs/>
            <w:spacing w:val="-90"/>
            <w:sz w:val="28"/>
            <w:szCs w:val="28"/>
          </w:rPr>
          <w:t> </w:t>
        </w:r>
        <w:r>
          <w:rPr>
            <w:rFonts w:ascii="宋体" w:hAnsi="宋体" w:cs="宋体" w:eastAsia="宋体" w:hint="default"/>
            <w:b/>
            <w:bCs/>
            <w:sz w:val="28"/>
            <w:szCs w:val="28"/>
          </w:rPr>
          <w:t>2</w:t>
        </w:r>
      </w:hyperlink>
      <w:r>
        <w:rPr>
          <w:rFonts w:ascii="宋体" w:hAnsi="宋体" w:cs="宋体" w:eastAsia="宋体" w:hint="default"/>
          <w:b/>
          <w:bCs/>
          <w:sz w:val="28"/>
          <w:szCs w:val="28"/>
        </w:rPr>
        <w:t> </w:t>
      </w:r>
      <w:r>
        <w:rPr>
          <w:rFonts w:ascii="宋体" w:hAnsi="宋体" w:cs="宋体" w:eastAsia="宋体" w:hint="default"/>
          <w:sz w:val="28"/>
          <w:szCs w:val="28"/>
        </w:rPr>
      </w:r>
    </w:p>
    <w:p>
      <w:pPr>
        <w:spacing w:line="240" w:lineRule="auto" w:before="11"/>
        <w:rPr>
          <w:rFonts w:ascii="宋体" w:hAnsi="宋体" w:cs="宋体" w:eastAsia="宋体" w:hint="default"/>
          <w:b/>
          <w:bCs/>
          <w:sz w:val="22"/>
          <w:szCs w:val="22"/>
        </w:rPr>
      </w:pPr>
    </w:p>
    <w:p>
      <w:pPr>
        <w:spacing w:before="0"/>
        <w:ind w:left="211" w:right="1058" w:firstLine="0"/>
        <w:jc w:val="center"/>
        <w:rPr>
          <w:rFonts w:ascii="宋体" w:hAnsi="宋体" w:cs="宋体" w:eastAsia="宋体" w:hint="default"/>
          <w:sz w:val="28"/>
          <w:szCs w:val="28"/>
        </w:rPr>
      </w:pPr>
      <w:hyperlink w:history="true" w:anchor="_bookmark1">
        <w:r>
          <w:rPr>
            <w:rFonts w:ascii="宋体" w:hAnsi="宋体" w:cs="宋体" w:eastAsia="宋体" w:hint="default"/>
            <w:b/>
            <w:bCs/>
            <w:sz w:val="28"/>
            <w:szCs w:val="28"/>
          </w:rPr>
          <w:t>第二节 </w:t>
        </w:r>
        <w:r>
          <w:rPr>
            <w:rFonts w:ascii="宋体" w:hAnsi="宋体" w:cs="宋体" w:eastAsia="宋体" w:hint="default"/>
            <w:b/>
            <w:bCs/>
            <w:sz w:val="28"/>
            <w:szCs w:val="28"/>
          </w:rPr>
        </w:r>
        <w:r>
          <w:rPr>
            <w:rFonts w:ascii="宋体" w:hAnsi="宋体" w:cs="宋体" w:eastAsia="宋体" w:hint="default"/>
            <w:b/>
            <w:bCs/>
            <w:sz w:val="28"/>
            <w:szCs w:val="28"/>
          </w:rPr>
          <w:t>公司简介和主要财务指标 </w:t>
        </w:r>
        <w:r>
          <w:rPr>
            <w:rFonts w:ascii="宋体" w:hAnsi="宋体" w:cs="宋体" w:eastAsia="宋体" w:hint="default"/>
            <w:b/>
            <w:bCs/>
            <w:sz w:val="28"/>
            <w:szCs w:val="28"/>
          </w:rPr>
        </w:r>
        <w:r>
          <w:rPr>
            <w:rFonts w:ascii="宋体" w:hAnsi="宋体" w:cs="宋体" w:eastAsia="宋体" w:hint="default"/>
            <w:b/>
            <w:bCs/>
            <w:spacing w:val="3"/>
            <w:sz w:val="28"/>
            <w:szCs w:val="28"/>
          </w:rPr>
          <w:t>....................................</w:t>
        </w:r>
        <w:r>
          <w:rPr>
            <w:rFonts w:ascii="宋体" w:hAnsi="宋体" w:cs="宋体" w:eastAsia="宋体" w:hint="default"/>
            <w:b/>
            <w:bCs/>
            <w:spacing w:val="-82"/>
            <w:sz w:val="28"/>
            <w:szCs w:val="28"/>
          </w:rPr>
          <w:t> </w:t>
        </w:r>
        <w:r>
          <w:rPr>
            <w:rFonts w:ascii="宋体" w:hAnsi="宋体" w:cs="宋体" w:eastAsia="宋体" w:hint="default"/>
            <w:b/>
            <w:bCs/>
            <w:sz w:val="28"/>
            <w:szCs w:val="28"/>
          </w:rPr>
          <w:t>8</w:t>
        </w:r>
      </w:hyperlink>
      <w:r>
        <w:rPr>
          <w:rFonts w:ascii="宋体" w:hAnsi="宋体" w:cs="宋体" w:eastAsia="宋体" w:hint="default"/>
          <w:b/>
          <w:bCs/>
          <w:sz w:val="28"/>
          <w:szCs w:val="28"/>
        </w:rPr>
        <w:t> </w:t>
      </w:r>
      <w:r>
        <w:rPr>
          <w:rFonts w:ascii="宋体" w:hAnsi="宋体" w:cs="宋体" w:eastAsia="宋体" w:hint="default"/>
          <w:sz w:val="28"/>
          <w:szCs w:val="28"/>
        </w:rPr>
      </w:r>
    </w:p>
    <w:p>
      <w:pPr>
        <w:spacing w:line="240" w:lineRule="auto" w:before="8"/>
        <w:rPr>
          <w:rFonts w:ascii="宋体" w:hAnsi="宋体" w:cs="宋体" w:eastAsia="宋体" w:hint="default"/>
          <w:b/>
          <w:bCs/>
          <w:sz w:val="22"/>
          <w:szCs w:val="22"/>
        </w:rPr>
      </w:pPr>
    </w:p>
    <w:p>
      <w:pPr>
        <w:spacing w:before="0"/>
        <w:ind w:left="211" w:right="1058" w:firstLine="0"/>
        <w:jc w:val="center"/>
        <w:rPr>
          <w:rFonts w:ascii="宋体" w:hAnsi="宋体" w:cs="宋体" w:eastAsia="宋体" w:hint="default"/>
          <w:sz w:val="28"/>
          <w:szCs w:val="28"/>
        </w:rPr>
      </w:pPr>
      <w:hyperlink w:history="true" w:anchor="_bookmark2">
        <w:r>
          <w:rPr>
            <w:rFonts w:ascii="宋体" w:hAnsi="宋体" w:cs="宋体" w:eastAsia="宋体" w:hint="default"/>
            <w:b/>
            <w:bCs/>
            <w:sz w:val="28"/>
            <w:szCs w:val="28"/>
          </w:rPr>
          <w:t>第三节</w:t>
        </w:r>
        <w:r>
          <w:rPr>
            <w:rFonts w:ascii="宋体" w:hAnsi="宋体" w:cs="宋体" w:eastAsia="宋体" w:hint="default"/>
            <w:b/>
            <w:bCs/>
            <w:spacing w:val="-13"/>
            <w:sz w:val="28"/>
            <w:szCs w:val="28"/>
          </w:rPr>
          <w:t> </w:t>
        </w:r>
        <w:r>
          <w:rPr>
            <w:rFonts w:ascii="宋体" w:hAnsi="宋体" w:cs="宋体" w:eastAsia="宋体" w:hint="default"/>
            <w:b/>
            <w:bCs/>
            <w:spacing w:val="-13"/>
            <w:sz w:val="28"/>
            <w:szCs w:val="28"/>
          </w:rPr>
        </w:r>
        <w:r>
          <w:rPr>
            <w:rFonts w:ascii="宋体" w:hAnsi="宋体" w:cs="宋体" w:eastAsia="宋体" w:hint="default"/>
            <w:b/>
            <w:bCs/>
            <w:sz w:val="28"/>
            <w:szCs w:val="28"/>
          </w:rPr>
          <w:t>公司业务概要</w:t>
        </w:r>
        <w:r>
          <w:rPr>
            <w:rFonts w:ascii="宋体" w:hAnsi="宋体" w:cs="宋体" w:eastAsia="宋体" w:hint="default"/>
            <w:b/>
            <w:bCs/>
            <w:spacing w:val="-66"/>
            <w:sz w:val="28"/>
            <w:szCs w:val="28"/>
          </w:rPr>
          <w:t> </w:t>
        </w:r>
        <w:r>
          <w:rPr>
            <w:rFonts w:ascii="宋体" w:hAnsi="宋体" w:cs="宋体" w:eastAsia="宋体" w:hint="default"/>
            <w:b/>
            <w:bCs/>
            <w:spacing w:val="-66"/>
            <w:sz w:val="28"/>
            <w:szCs w:val="28"/>
          </w:rPr>
        </w:r>
        <w:r>
          <w:rPr>
            <w:rFonts w:ascii="宋体" w:hAnsi="宋体" w:cs="宋体" w:eastAsia="宋体" w:hint="default"/>
            <w:b/>
            <w:bCs/>
            <w:spacing w:val="3"/>
            <w:sz w:val="28"/>
            <w:szCs w:val="28"/>
          </w:rPr>
          <w:t>.............................................</w:t>
        </w:r>
        <w:r>
          <w:rPr>
            <w:rFonts w:ascii="宋体" w:hAnsi="宋体" w:cs="宋体" w:eastAsia="宋体" w:hint="default"/>
            <w:b/>
            <w:bCs/>
            <w:spacing w:val="-41"/>
            <w:sz w:val="28"/>
            <w:szCs w:val="28"/>
          </w:rPr>
          <w:t> </w:t>
        </w:r>
        <w:r>
          <w:rPr>
            <w:rFonts w:ascii="宋体" w:hAnsi="宋体" w:cs="宋体" w:eastAsia="宋体" w:hint="default"/>
            <w:b/>
            <w:bCs/>
            <w:sz w:val="28"/>
            <w:szCs w:val="28"/>
          </w:rPr>
          <w:t>12</w:t>
        </w:r>
      </w:hyperlink>
      <w:r>
        <w:rPr>
          <w:rFonts w:ascii="宋体" w:hAnsi="宋体" w:cs="宋体" w:eastAsia="宋体" w:hint="default"/>
          <w:b/>
          <w:bCs/>
          <w:sz w:val="28"/>
          <w:szCs w:val="28"/>
        </w:rPr>
        <w:t> </w:t>
      </w:r>
      <w:r>
        <w:rPr>
          <w:rFonts w:ascii="宋体" w:hAnsi="宋体" w:cs="宋体" w:eastAsia="宋体" w:hint="default"/>
          <w:sz w:val="28"/>
          <w:szCs w:val="28"/>
        </w:rPr>
      </w:r>
    </w:p>
    <w:p>
      <w:pPr>
        <w:spacing w:line="240" w:lineRule="auto" w:before="11"/>
        <w:rPr>
          <w:rFonts w:ascii="宋体" w:hAnsi="宋体" w:cs="宋体" w:eastAsia="宋体" w:hint="default"/>
          <w:b/>
          <w:bCs/>
          <w:sz w:val="22"/>
          <w:szCs w:val="22"/>
        </w:rPr>
      </w:pPr>
    </w:p>
    <w:p>
      <w:pPr>
        <w:spacing w:before="0"/>
        <w:ind w:left="211" w:right="1058" w:firstLine="0"/>
        <w:jc w:val="center"/>
        <w:rPr>
          <w:rFonts w:ascii="宋体" w:hAnsi="宋体" w:cs="宋体" w:eastAsia="宋体" w:hint="default"/>
          <w:sz w:val="28"/>
          <w:szCs w:val="28"/>
        </w:rPr>
      </w:pPr>
      <w:hyperlink w:history="true" w:anchor="_bookmark3">
        <w:r>
          <w:rPr>
            <w:rFonts w:ascii="宋体" w:hAnsi="宋体" w:cs="宋体" w:eastAsia="宋体" w:hint="default"/>
            <w:b/>
            <w:bCs/>
            <w:sz w:val="28"/>
            <w:szCs w:val="28"/>
          </w:rPr>
          <w:t>第四节 </w:t>
        </w:r>
        <w:r>
          <w:rPr>
            <w:rFonts w:ascii="宋体" w:hAnsi="宋体" w:cs="宋体" w:eastAsia="宋体" w:hint="default"/>
            <w:b/>
            <w:bCs/>
            <w:sz w:val="28"/>
            <w:szCs w:val="28"/>
          </w:rPr>
        </w:r>
        <w:r>
          <w:rPr>
            <w:rFonts w:ascii="宋体" w:hAnsi="宋体" w:cs="宋体" w:eastAsia="宋体" w:hint="default"/>
            <w:b/>
            <w:bCs/>
            <w:sz w:val="28"/>
            <w:szCs w:val="28"/>
          </w:rPr>
          <w:t>经营情况讨论与分析 </w:t>
        </w:r>
        <w:r>
          <w:rPr>
            <w:rFonts w:ascii="宋体" w:hAnsi="宋体" w:cs="宋体" w:eastAsia="宋体" w:hint="default"/>
            <w:b/>
            <w:bCs/>
            <w:sz w:val="28"/>
            <w:szCs w:val="28"/>
          </w:rPr>
        </w:r>
        <w:r>
          <w:rPr>
            <w:rFonts w:ascii="宋体" w:hAnsi="宋体" w:cs="宋体" w:eastAsia="宋体" w:hint="default"/>
            <w:b/>
            <w:bCs/>
            <w:spacing w:val="3"/>
            <w:sz w:val="28"/>
            <w:szCs w:val="28"/>
          </w:rPr>
          <w:t>.......................................</w:t>
        </w:r>
        <w:r>
          <w:rPr>
            <w:rFonts w:ascii="宋体" w:hAnsi="宋体" w:cs="宋体" w:eastAsia="宋体" w:hint="default"/>
            <w:b/>
            <w:bCs/>
            <w:spacing w:val="-95"/>
            <w:sz w:val="28"/>
            <w:szCs w:val="28"/>
          </w:rPr>
          <w:t> </w:t>
        </w:r>
        <w:r>
          <w:rPr>
            <w:rFonts w:ascii="宋体" w:hAnsi="宋体" w:cs="宋体" w:eastAsia="宋体" w:hint="default"/>
            <w:b/>
            <w:bCs/>
            <w:sz w:val="28"/>
            <w:szCs w:val="28"/>
          </w:rPr>
          <w:t>16</w:t>
        </w:r>
      </w:hyperlink>
      <w:r>
        <w:rPr>
          <w:rFonts w:ascii="宋体" w:hAnsi="宋体" w:cs="宋体" w:eastAsia="宋体" w:hint="default"/>
          <w:b/>
          <w:bCs/>
          <w:sz w:val="28"/>
          <w:szCs w:val="28"/>
        </w:rPr>
        <w:t> </w:t>
      </w:r>
      <w:r>
        <w:rPr>
          <w:rFonts w:ascii="宋体" w:hAnsi="宋体" w:cs="宋体" w:eastAsia="宋体" w:hint="default"/>
          <w:sz w:val="28"/>
          <w:szCs w:val="28"/>
        </w:rPr>
      </w:r>
    </w:p>
    <w:p>
      <w:pPr>
        <w:spacing w:line="240" w:lineRule="auto" w:before="11"/>
        <w:rPr>
          <w:rFonts w:ascii="宋体" w:hAnsi="宋体" w:cs="宋体" w:eastAsia="宋体" w:hint="default"/>
          <w:b/>
          <w:bCs/>
          <w:sz w:val="22"/>
          <w:szCs w:val="22"/>
        </w:rPr>
      </w:pPr>
    </w:p>
    <w:p>
      <w:pPr>
        <w:spacing w:before="0"/>
        <w:ind w:left="211" w:right="1058" w:firstLine="0"/>
        <w:jc w:val="center"/>
        <w:rPr>
          <w:rFonts w:ascii="宋体" w:hAnsi="宋体" w:cs="宋体" w:eastAsia="宋体" w:hint="default"/>
          <w:sz w:val="28"/>
          <w:szCs w:val="28"/>
        </w:rPr>
      </w:pPr>
      <w:hyperlink w:history="true" w:anchor="_bookmark4">
        <w:r>
          <w:rPr>
            <w:rFonts w:ascii="宋体" w:hAnsi="宋体" w:cs="宋体" w:eastAsia="宋体" w:hint="default"/>
            <w:b/>
            <w:bCs/>
            <w:sz w:val="28"/>
            <w:szCs w:val="28"/>
          </w:rPr>
          <w:t>第五节</w:t>
        </w:r>
        <w:r>
          <w:rPr>
            <w:rFonts w:ascii="宋体" w:hAnsi="宋体" w:cs="宋体" w:eastAsia="宋体" w:hint="default"/>
            <w:b/>
            <w:bCs/>
            <w:spacing w:val="-15"/>
            <w:sz w:val="28"/>
            <w:szCs w:val="28"/>
          </w:rPr>
          <w:t> </w:t>
        </w:r>
        <w:r>
          <w:rPr>
            <w:rFonts w:ascii="宋体" w:hAnsi="宋体" w:cs="宋体" w:eastAsia="宋体" w:hint="default"/>
            <w:b/>
            <w:bCs/>
            <w:spacing w:val="-15"/>
            <w:sz w:val="28"/>
            <w:szCs w:val="28"/>
          </w:rPr>
        </w:r>
        <w:r>
          <w:rPr>
            <w:rFonts w:ascii="宋体" w:hAnsi="宋体" w:cs="宋体" w:eastAsia="宋体" w:hint="default"/>
            <w:b/>
            <w:bCs/>
            <w:sz w:val="28"/>
            <w:szCs w:val="28"/>
          </w:rPr>
          <w:t>重要事项</w:t>
        </w:r>
        <w:r>
          <w:rPr>
            <w:rFonts w:ascii="宋体" w:hAnsi="宋体" w:cs="宋体" w:eastAsia="宋体" w:hint="default"/>
            <w:b/>
            <w:bCs/>
            <w:spacing w:val="-78"/>
            <w:sz w:val="28"/>
            <w:szCs w:val="28"/>
          </w:rPr>
          <w:t> </w:t>
        </w:r>
        <w:r>
          <w:rPr>
            <w:rFonts w:ascii="宋体" w:hAnsi="宋体" w:cs="宋体" w:eastAsia="宋体" w:hint="default"/>
            <w:b/>
            <w:bCs/>
            <w:spacing w:val="-78"/>
            <w:sz w:val="28"/>
            <w:szCs w:val="28"/>
          </w:rPr>
        </w:r>
        <w:r>
          <w:rPr>
            <w:rFonts w:ascii="宋体" w:hAnsi="宋体" w:cs="宋体" w:eastAsia="宋体" w:hint="default"/>
            <w:b/>
            <w:bCs/>
            <w:spacing w:val="3"/>
            <w:sz w:val="28"/>
            <w:szCs w:val="28"/>
          </w:rPr>
          <w:t>.................................................</w:t>
        </w:r>
        <w:r>
          <w:rPr>
            <w:rFonts w:ascii="宋体" w:hAnsi="宋体" w:cs="宋体" w:eastAsia="宋体" w:hint="default"/>
            <w:b/>
            <w:bCs/>
            <w:spacing w:val="-43"/>
            <w:sz w:val="28"/>
            <w:szCs w:val="28"/>
          </w:rPr>
          <w:t> </w:t>
        </w:r>
        <w:r>
          <w:rPr>
            <w:rFonts w:ascii="宋体" w:hAnsi="宋体" w:cs="宋体" w:eastAsia="宋体" w:hint="default"/>
            <w:b/>
            <w:bCs/>
            <w:sz w:val="28"/>
            <w:szCs w:val="28"/>
          </w:rPr>
          <w:t>51</w:t>
        </w:r>
      </w:hyperlink>
      <w:r>
        <w:rPr>
          <w:rFonts w:ascii="宋体" w:hAnsi="宋体" w:cs="宋体" w:eastAsia="宋体" w:hint="default"/>
          <w:b/>
          <w:bCs/>
          <w:sz w:val="28"/>
          <w:szCs w:val="28"/>
        </w:rPr>
        <w:t> </w:t>
      </w:r>
      <w:r>
        <w:rPr>
          <w:rFonts w:ascii="宋体" w:hAnsi="宋体" w:cs="宋体" w:eastAsia="宋体" w:hint="default"/>
          <w:sz w:val="28"/>
          <w:szCs w:val="28"/>
        </w:rPr>
      </w:r>
    </w:p>
    <w:p>
      <w:pPr>
        <w:spacing w:line="240" w:lineRule="auto" w:before="9"/>
        <w:rPr>
          <w:rFonts w:ascii="宋体" w:hAnsi="宋体" w:cs="宋体" w:eastAsia="宋体" w:hint="default"/>
          <w:b/>
          <w:bCs/>
          <w:sz w:val="22"/>
          <w:szCs w:val="22"/>
        </w:rPr>
      </w:pPr>
    </w:p>
    <w:p>
      <w:pPr>
        <w:spacing w:before="0"/>
        <w:ind w:left="211" w:right="1058" w:firstLine="0"/>
        <w:jc w:val="center"/>
        <w:rPr>
          <w:rFonts w:ascii="宋体" w:hAnsi="宋体" w:cs="宋体" w:eastAsia="宋体" w:hint="default"/>
          <w:sz w:val="28"/>
          <w:szCs w:val="28"/>
        </w:rPr>
      </w:pPr>
      <w:hyperlink w:history="true" w:anchor="_bookmark5">
        <w:r>
          <w:rPr>
            <w:rFonts w:ascii="宋体" w:hAnsi="宋体" w:cs="宋体" w:eastAsia="宋体" w:hint="default"/>
            <w:b/>
            <w:bCs/>
            <w:sz w:val="28"/>
            <w:szCs w:val="28"/>
          </w:rPr>
          <w:t>第六节 </w:t>
        </w:r>
        <w:r>
          <w:rPr>
            <w:rFonts w:ascii="宋体" w:hAnsi="宋体" w:cs="宋体" w:eastAsia="宋体" w:hint="default"/>
            <w:b/>
            <w:bCs/>
            <w:sz w:val="28"/>
            <w:szCs w:val="28"/>
          </w:rPr>
        </w:r>
        <w:r>
          <w:rPr>
            <w:rFonts w:ascii="宋体" w:hAnsi="宋体" w:cs="宋体" w:eastAsia="宋体" w:hint="default"/>
            <w:b/>
            <w:bCs/>
            <w:sz w:val="28"/>
            <w:szCs w:val="28"/>
          </w:rPr>
          <w:t>股份变动及股东情况 </w:t>
        </w:r>
        <w:r>
          <w:rPr>
            <w:rFonts w:ascii="宋体" w:hAnsi="宋体" w:cs="宋体" w:eastAsia="宋体" w:hint="default"/>
            <w:b/>
            <w:bCs/>
            <w:sz w:val="28"/>
            <w:szCs w:val="28"/>
          </w:rPr>
        </w:r>
        <w:r>
          <w:rPr>
            <w:rFonts w:ascii="宋体" w:hAnsi="宋体" w:cs="宋体" w:eastAsia="宋体" w:hint="default"/>
            <w:b/>
            <w:bCs/>
            <w:spacing w:val="3"/>
            <w:sz w:val="28"/>
            <w:szCs w:val="28"/>
          </w:rPr>
          <w:t>.......................................</w:t>
        </w:r>
        <w:r>
          <w:rPr>
            <w:rFonts w:ascii="宋体" w:hAnsi="宋体" w:cs="宋体" w:eastAsia="宋体" w:hint="default"/>
            <w:b/>
            <w:bCs/>
            <w:spacing w:val="-95"/>
            <w:sz w:val="28"/>
            <w:szCs w:val="28"/>
          </w:rPr>
          <w:t> </w:t>
        </w:r>
        <w:r>
          <w:rPr>
            <w:rFonts w:ascii="宋体" w:hAnsi="宋体" w:cs="宋体" w:eastAsia="宋体" w:hint="default"/>
            <w:b/>
            <w:bCs/>
            <w:sz w:val="28"/>
            <w:szCs w:val="28"/>
          </w:rPr>
          <w:t>70</w:t>
        </w:r>
      </w:hyperlink>
      <w:r>
        <w:rPr>
          <w:rFonts w:ascii="宋体" w:hAnsi="宋体" w:cs="宋体" w:eastAsia="宋体" w:hint="default"/>
          <w:b/>
          <w:bCs/>
          <w:sz w:val="28"/>
          <w:szCs w:val="28"/>
        </w:rPr>
        <w:t> </w:t>
      </w:r>
      <w:r>
        <w:rPr>
          <w:rFonts w:ascii="宋体" w:hAnsi="宋体" w:cs="宋体" w:eastAsia="宋体" w:hint="default"/>
          <w:sz w:val="28"/>
          <w:szCs w:val="28"/>
        </w:rPr>
      </w:r>
    </w:p>
    <w:p>
      <w:pPr>
        <w:spacing w:line="240" w:lineRule="auto" w:before="11"/>
        <w:rPr>
          <w:rFonts w:ascii="宋体" w:hAnsi="宋体" w:cs="宋体" w:eastAsia="宋体" w:hint="default"/>
          <w:b/>
          <w:bCs/>
          <w:sz w:val="22"/>
          <w:szCs w:val="22"/>
        </w:rPr>
      </w:pPr>
    </w:p>
    <w:p>
      <w:pPr>
        <w:spacing w:before="0"/>
        <w:ind w:left="211" w:right="1058" w:firstLine="0"/>
        <w:jc w:val="center"/>
        <w:rPr>
          <w:rFonts w:ascii="宋体" w:hAnsi="宋体" w:cs="宋体" w:eastAsia="宋体" w:hint="default"/>
          <w:sz w:val="28"/>
          <w:szCs w:val="28"/>
        </w:rPr>
      </w:pPr>
      <w:hyperlink w:history="true" w:anchor="_bookmark6">
        <w:r>
          <w:rPr>
            <w:rFonts w:ascii="宋体" w:hAnsi="宋体" w:cs="宋体" w:eastAsia="宋体" w:hint="default"/>
            <w:b/>
            <w:bCs/>
            <w:sz w:val="28"/>
            <w:szCs w:val="28"/>
          </w:rPr>
          <w:t>第七节</w:t>
        </w:r>
        <w:r>
          <w:rPr>
            <w:rFonts w:ascii="宋体" w:hAnsi="宋体" w:cs="宋体" w:eastAsia="宋体" w:hint="default"/>
            <w:b/>
            <w:bCs/>
            <w:spacing w:val="-12"/>
            <w:sz w:val="28"/>
            <w:szCs w:val="28"/>
          </w:rPr>
          <w:t> </w:t>
        </w:r>
        <w:r>
          <w:rPr>
            <w:rFonts w:ascii="宋体" w:hAnsi="宋体" w:cs="宋体" w:eastAsia="宋体" w:hint="default"/>
            <w:b/>
            <w:bCs/>
            <w:spacing w:val="-12"/>
            <w:sz w:val="28"/>
            <w:szCs w:val="28"/>
          </w:rPr>
        </w:r>
        <w:r>
          <w:rPr>
            <w:rFonts w:ascii="宋体" w:hAnsi="宋体" w:cs="宋体" w:eastAsia="宋体" w:hint="default"/>
            <w:b/>
            <w:bCs/>
            <w:sz w:val="28"/>
            <w:szCs w:val="28"/>
          </w:rPr>
          <w:t>优先股相关情况</w:t>
        </w:r>
        <w:r>
          <w:rPr>
            <w:rFonts w:ascii="宋体" w:hAnsi="宋体" w:cs="宋体" w:eastAsia="宋体" w:hint="default"/>
            <w:b/>
            <w:bCs/>
            <w:spacing w:val="-59"/>
            <w:sz w:val="28"/>
            <w:szCs w:val="28"/>
          </w:rPr>
          <w:t> </w:t>
        </w:r>
        <w:r>
          <w:rPr>
            <w:rFonts w:ascii="宋体" w:hAnsi="宋体" w:cs="宋体" w:eastAsia="宋体" w:hint="default"/>
            <w:b/>
            <w:bCs/>
            <w:spacing w:val="-59"/>
            <w:sz w:val="28"/>
            <w:szCs w:val="28"/>
          </w:rPr>
        </w:r>
        <w:r>
          <w:rPr>
            <w:rFonts w:ascii="宋体" w:hAnsi="宋体" w:cs="宋体" w:eastAsia="宋体" w:hint="default"/>
            <w:b/>
            <w:bCs/>
            <w:spacing w:val="3"/>
            <w:sz w:val="28"/>
            <w:szCs w:val="28"/>
          </w:rPr>
          <w:t>...........................................</w:t>
        </w:r>
        <w:r>
          <w:rPr>
            <w:rFonts w:ascii="宋体" w:hAnsi="宋体" w:cs="宋体" w:eastAsia="宋体" w:hint="default"/>
            <w:b/>
            <w:bCs/>
            <w:spacing w:val="-40"/>
            <w:sz w:val="28"/>
            <w:szCs w:val="28"/>
          </w:rPr>
          <w:t> </w:t>
        </w:r>
        <w:r>
          <w:rPr>
            <w:rFonts w:ascii="宋体" w:hAnsi="宋体" w:cs="宋体" w:eastAsia="宋体" w:hint="default"/>
            <w:b/>
            <w:bCs/>
            <w:sz w:val="28"/>
            <w:szCs w:val="28"/>
          </w:rPr>
          <w:t>77</w:t>
        </w:r>
      </w:hyperlink>
      <w:r>
        <w:rPr>
          <w:rFonts w:ascii="宋体" w:hAnsi="宋体" w:cs="宋体" w:eastAsia="宋体" w:hint="default"/>
          <w:b/>
          <w:bCs/>
          <w:sz w:val="28"/>
          <w:szCs w:val="28"/>
        </w:rPr>
        <w:t> </w:t>
      </w:r>
      <w:r>
        <w:rPr>
          <w:rFonts w:ascii="宋体" w:hAnsi="宋体" w:cs="宋体" w:eastAsia="宋体" w:hint="default"/>
          <w:sz w:val="28"/>
          <w:szCs w:val="28"/>
        </w:rPr>
      </w:r>
    </w:p>
    <w:p>
      <w:pPr>
        <w:spacing w:line="240" w:lineRule="auto" w:before="11"/>
        <w:rPr>
          <w:rFonts w:ascii="宋体" w:hAnsi="宋体" w:cs="宋体" w:eastAsia="宋体" w:hint="default"/>
          <w:b/>
          <w:bCs/>
          <w:sz w:val="22"/>
          <w:szCs w:val="22"/>
        </w:rPr>
      </w:pPr>
    </w:p>
    <w:p>
      <w:pPr>
        <w:spacing w:line="434" w:lineRule="auto" w:before="0"/>
        <w:ind w:left="211" w:right="1059" w:firstLine="0"/>
        <w:jc w:val="center"/>
        <w:rPr>
          <w:rFonts w:ascii="宋体" w:hAnsi="宋体" w:cs="宋体" w:eastAsia="宋体" w:hint="default"/>
          <w:sz w:val="28"/>
          <w:szCs w:val="28"/>
        </w:rPr>
      </w:pPr>
      <w:hyperlink w:history="true" w:anchor="_bookmark7">
        <w:r>
          <w:rPr>
            <w:rFonts w:ascii="宋体" w:hAnsi="宋体" w:cs="宋体" w:eastAsia="宋体" w:hint="default"/>
            <w:b/>
            <w:bCs/>
            <w:sz w:val="28"/>
            <w:szCs w:val="28"/>
          </w:rPr>
          <w:t>第八节</w:t>
        </w:r>
        <w:r>
          <w:rPr>
            <w:rFonts w:ascii="宋体" w:hAnsi="宋体" w:cs="宋体" w:eastAsia="宋体" w:hint="default"/>
            <w:b/>
            <w:bCs/>
            <w:spacing w:val="-6"/>
            <w:sz w:val="28"/>
            <w:szCs w:val="28"/>
          </w:rPr>
          <w:t> </w:t>
        </w:r>
        <w:r>
          <w:rPr>
            <w:rFonts w:ascii="宋体" w:hAnsi="宋体" w:cs="宋体" w:eastAsia="宋体" w:hint="default"/>
            <w:b/>
            <w:bCs/>
            <w:spacing w:val="-6"/>
            <w:sz w:val="28"/>
            <w:szCs w:val="28"/>
          </w:rPr>
        </w:r>
        <w:r>
          <w:rPr>
            <w:rFonts w:ascii="宋体" w:hAnsi="宋体" w:cs="宋体" w:eastAsia="宋体" w:hint="default"/>
            <w:b/>
            <w:bCs/>
            <w:sz w:val="28"/>
            <w:szCs w:val="28"/>
          </w:rPr>
          <w:t>董事、监事、高级管理人员和员工情况</w:t>
        </w:r>
        <w:r>
          <w:rPr>
            <w:rFonts w:ascii="宋体" w:hAnsi="宋体" w:cs="宋体" w:eastAsia="宋体" w:hint="default"/>
            <w:b/>
            <w:bCs/>
            <w:spacing w:val="-128"/>
            <w:sz w:val="28"/>
            <w:szCs w:val="28"/>
          </w:rPr>
          <w:t> </w:t>
        </w:r>
        <w:r>
          <w:rPr>
            <w:rFonts w:ascii="宋体" w:hAnsi="宋体" w:cs="宋体" w:eastAsia="宋体" w:hint="default"/>
            <w:b/>
            <w:bCs/>
            <w:spacing w:val="-128"/>
            <w:sz w:val="28"/>
            <w:szCs w:val="28"/>
          </w:rPr>
        </w:r>
        <w:r>
          <w:rPr>
            <w:rFonts w:ascii="宋体" w:hAnsi="宋体" w:cs="宋体" w:eastAsia="宋体" w:hint="default"/>
            <w:b/>
            <w:bCs/>
            <w:spacing w:val="3"/>
            <w:sz w:val="28"/>
            <w:szCs w:val="28"/>
          </w:rPr>
          <w:t>........................</w:t>
        </w:r>
        <w:r>
          <w:rPr>
            <w:rFonts w:ascii="宋体" w:hAnsi="宋体" w:cs="宋体" w:eastAsia="宋体" w:hint="default"/>
            <w:b/>
            <w:bCs/>
            <w:spacing w:val="-36"/>
            <w:sz w:val="28"/>
            <w:szCs w:val="28"/>
          </w:rPr>
          <w:t> </w:t>
        </w:r>
        <w:r>
          <w:rPr>
            <w:rFonts w:ascii="宋体" w:hAnsi="宋体" w:cs="宋体" w:eastAsia="宋体" w:hint="default"/>
            <w:b/>
            <w:bCs/>
            <w:sz w:val="28"/>
            <w:szCs w:val="28"/>
          </w:rPr>
          <w:t>78</w:t>
        </w:r>
      </w:hyperlink>
      <w:r>
        <w:rPr>
          <w:rFonts w:ascii="宋体" w:hAnsi="宋体" w:cs="宋体" w:eastAsia="宋体" w:hint="default"/>
          <w:b/>
          <w:bCs/>
          <w:w w:val="99"/>
          <w:sz w:val="28"/>
          <w:szCs w:val="28"/>
        </w:rPr>
        <w:t> </w:t>
      </w:r>
      <w:hyperlink w:history="true" w:anchor="_bookmark8">
        <w:r>
          <w:rPr>
            <w:rFonts w:ascii="宋体" w:hAnsi="宋体" w:cs="宋体" w:eastAsia="宋体" w:hint="default"/>
            <w:b/>
            <w:bCs/>
            <w:sz w:val="28"/>
            <w:szCs w:val="28"/>
          </w:rPr>
          <w:t>第九节</w:t>
        </w:r>
        <w:r>
          <w:rPr>
            <w:rFonts w:ascii="宋体" w:hAnsi="宋体" w:cs="宋体" w:eastAsia="宋体" w:hint="default"/>
            <w:b/>
            <w:bCs/>
            <w:spacing w:val="-15"/>
            <w:sz w:val="28"/>
            <w:szCs w:val="28"/>
          </w:rPr>
          <w:t> </w:t>
        </w:r>
        <w:r>
          <w:rPr>
            <w:rFonts w:ascii="宋体" w:hAnsi="宋体" w:cs="宋体" w:eastAsia="宋体" w:hint="default"/>
            <w:b/>
            <w:bCs/>
            <w:spacing w:val="-15"/>
            <w:sz w:val="28"/>
            <w:szCs w:val="28"/>
          </w:rPr>
        </w:r>
        <w:r>
          <w:rPr>
            <w:rFonts w:ascii="宋体" w:hAnsi="宋体" w:cs="宋体" w:eastAsia="宋体" w:hint="default"/>
            <w:b/>
            <w:bCs/>
            <w:sz w:val="28"/>
            <w:szCs w:val="28"/>
          </w:rPr>
          <w:t>公司治理</w:t>
        </w:r>
        <w:r>
          <w:rPr>
            <w:rFonts w:ascii="宋体" w:hAnsi="宋体" w:cs="宋体" w:eastAsia="宋体" w:hint="default"/>
            <w:b/>
            <w:bCs/>
            <w:spacing w:val="-78"/>
            <w:sz w:val="28"/>
            <w:szCs w:val="28"/>
          </w:rPr>
          <w:t> </w:t>
        </w:r>
        <w:r>
          <w:rPr>
            <w:rFonts w:ascii="宋体" w:hAnsi="宋体" w:cs="宋体" w:eastAsia="宋体" w:hint="default"/>
            <w:b/>
            <w:bCs/>
            <w:spacing w:val="-78"/>
            <w:sz w:val="28"/>
            <w:szCs w:val="28"/>
          </w:rPr>
        </w:r>
        <w:r>
          <w:rPr>
            <w:rFonts w:ascii="宋体" w:hAnsi="宋体" w:cs="宋体" w:eastAsia="宋体" w:hint="default"/>
            <w:b/>
            <w:bCs/>
            <w:spacing w:val="3"/>
            <w:sz w:val="28"/>
            <w:szCs w:val="28"/>
          </w:rPr>
          <w:t>.................................................</w:t>
        </w:r>
        <w:r>
          <w:rPr>
            <w:rFonts w:ascii="宋体" w:hAnsi="宋体" w:cs="宋体" w:eastAsia="宋体" w:hint="default"/>
            <w:b/>
            <w:bCs/>
            <w:spacing w:val="-43"/>
            <w:sz w:val="28"/>
            <w:szCs w:val="28"/>
          </w:rPr>
          <w:t> </w:t>
        </w:r>
        <w:r>
          <w:rPr>
            <w:rFonts w:ascii="宋体" w:hAnsi="宋体" w:cs="宋体" w:eastAsia="宋体" w:hint="default"/>
            <w:b/>
            <w:bCs/>
            <w:sz w:val="28"/>
            <w:szCs w:val="28"/>
          </w:rPr>
          <w:t>86</w:t>
        </w:r>
      </w:hyperlink>
      <w:r>
        <w:rPr>
          <w:rFonts w:ascii="宋体" w:hAnsi="宋体" w:cs="宋体" w:eastAsia="宋体" w:hint="default"/>
          <w:b/>
          <w:bCs/>
          <w:sz w:val="28"/>
          <w:szCs w:val="28"/>
        </w:rPr>
        <w:t> </w:t>
      </w:r>
      <w:r>
        <w:rPr>
          <w:rFonts w:ascii="宋体" w:hAnsi="宋体" w:cs="宋体" w:eastAsia="宋体" w:hint="default"/>
          <w:sz w:val="28"/>
          <w:szCs w:val="28"/>
        </w:rPr>
      </w:r>
    </w:p>
    <w:p>
      <w:pPr>
        <w:spacing w:before="71"/>
        <w:ind w:left="211" w:right="1058" w:firstLine="0"/>
        <w:jc w:val="center"/>
        <w:rPr>
          <w:rFonts w:ascii="宋体" w:hAnsi="宋体" w:cs="宋体" w:eastAsia="宋体" w:hint="default"/>
          <w:sz w:val="28"/>
          <w:szCs w:val="28"/>
        </w:rPr>
      </w:pPr>
      <w:hyperlink w:history="true" w:anchor="_bookmark9">
        <w:r>
          <w:rPr>
            <w:rFonts w:ascii="宋体" w:hAnsi="宋体" w:cs="宋体" w:eastAsia="宋体" w:hint="default"/>
            <w:b/>
            <w:bCs/>
            <w:sz w:val="28"/>
            <w:szCs w:val="28"/>
          </w:rPr>
          <w:t>第十节 </w:t>
        </w:r>
        <w:r>
          <w:rPr>
            <w:rFonts w:ascii="宋体" w:hAnsi="宋体" w:cs="宋体" w:eastAsia="宋体" w:hint="default"/>
            <w:b/>
            <w:bCs/>
            <w:sz w:val="28"/>
            <w:szCs w:val="28"/>
          </w:rPr>
        </w:r>
        <w:r>
          <w:rPr>
            <w:rFonts w:ascii="宋体" w:hAnsi="宋体" w:cs="宋体" w:eastAsia="宋体" w:hint="default"/>
            <w:b/>
            <w:bCs/>
            <w:sz w:val="28"/>
            <w:szCs w:val="28"/>
          </w:rPr>
          <w:t>公司债券相关情况 </w:t>
        </w:r>
        <w:r>
          <w:rPr>
            <w:rFonts w:ascii="宋体" w:hAnsi="宋体" w:cs="宋体" w:eastAsia="宋体" w:hint="default"/>
            <w:b/>
            <w:bCs/>
            <w:sz w:val="28"/>
            <w:szCs w:val="28"/>
          </w:rPr>
        </w:r>
        <w:r>
          <w:rPr>
            <w:rFonts w:ascii="宋体" w:hAnsi="宋体" w:cs="宋体" w:eastAsia="宋体" w:hint="default"/>
            <w:b/>
            <w:bCs/>
            <w:spacing w:val="3"/>
            <w:sz w:val="28"/>
            <w:szCs w:val="28"/>
          </w:rPr>
          <w:t>.........................................</w:t>
        </w:r>
        <w:r>
          <w:rPr>
            <w:rFonts w:ascii="宋体" w:hAnsi="宋体" w:cs="宋体" w:eastAsia="宋体" w:hint="default"/>
            <w:b/>
            <w:bCs/>
            <w:spacing w:val="-102"/>
            <w:sz w:val="28"/>
            <w:szCs w:val="28"/>
          </w:rPr>
          <w:t> </w:t>
        </w:r>
        <w:r>
          <w:rPr>
            <w:rFonts w:ascii="宋体" w:hAnsi="宋体" w:cs="宋体" w:eastAsia="宋体" w:hint="default"/>
            <w:b/>
            <w:bCs/>
            <w:sz w:val="28"/>
            <w:szCs w:val="28"/>
          </w:rPr>
          <w:t>93</w:t>
        </w:r>
      </w:hyperlink>
      <w:r>
        <w:rPr>
          <w:rFonts w:ascii="宋体" w:hAnsi="宋体" w:cs="宋体" w:eastAsia="宋体" w:hint="default"/>
          <w:b/>
          <w:bCs/>
          <w:sz w:val="28"/>
          <w:szCs w:val="28"/>
        </w:rPr>
        <w:t> </w:t>
      </w:r>
      <w:r>
        <w:rPr>
          <w:rFonts w:ascii="宋体" w:hAnsi="宋体" w:cs="宋体" w:eastAsia="宋体" w:hint="default"/>
          <w:sz w:val="28"/>
          <w:szCs w:val="28"/>
        </w:rPr>
      </w:r>
    </w:p>
    <w:p>
      <w:pPr>
        <w:spacing w:line="240" w:lineRule="auto" w:before="11"/>
        <w:rPr>
          <w:rFonts w:ascii="宋体" w:hAnsi="宋体" w:cs="宋体" w:eastAsia="宋体" w:hint="default"/>
          <w:b/>
          <w:bCs/>
          <w:sz w:val="22"/>
          <w:szCs w:val="22"/>
        </w:rPr>
      </w:pPr>
    </w:p>
    <w:p>
      <w:pPr>
        <w:spacing w:before="0"/>
        <w:ind w:left="211" w:right="1058" w:firstLine="0"/>
        <w:jc w:val="center"/>
        <w:rPr>
          <w:rFonts w:ascii="宋体" w:hAnsi="宋体" w:cs="宋体" w:eastAsia="宋体" w:hint="default"/>
          <w:sz w:val="28"/>
          <w:szCs w:val="28"/>
        </w:rPr>
      </w:pPr>
      <w:hyperlink w:history="true" w:anchor="_bookmark10">
        <w:r>
          <w:rPr>
            <w:rFonts w:ascii="宋体" w:hAnsi="宋体" w:cs="宋体" w:eastAsia="宋体" w:hint="default"/>
            <w:b/>
            <w:bCs/>
            <w:sz w:val="28"/>
            <w:szCs w:val="28"/>
          </w:rPr>
          <w:t>第十一节</w:t>
        </w:r>
        <w:r>
          <w:rPr>
            <w:rFonts w:ascii="宋体" w:hAnsi="宋体" w:cs="宋体" w:eastAsia="宋体" w:hint="default"/>
            <w:b/>
            <w:bCs/>
            <w:spacing w:val="-14"/>
            <w:sz w:val="28"/>
            <w:szCs w:val="28"/>
          </w:rPr>
          <w:t> </w:t>
        </w:r>
        <w:r>
          <w:rPr>
            <w:rFonts w:ascii="宋体" w:hAnsi="宋体" w:cs="宋体" w:eastAsia="宋体" w:hint="default"/>
            <w:b/>
            <w:bCs/>
            <w:spacing w:val="-14"/>
            <w:sz w:val="28"/>
            <w:szCs w:val="28"/>
          </w:rPr>
        </w:r>
        <w:r>
          <w:rPr>
            <w:rFonts w:ascii="宋体" w:hAnsi="宋体" w:cs="宋体" w:eastAsia="宋体" w:hint="default"/>
            <w:b/>
            <w:bCs/>
            <w:sz w:val="28"/>
            <w:szCs w:val="28"/>
          </w:rPr>
          <w:t>财务报告</w:t>
        </w:r>
        <w:r>
          <w:rPr>
            <w:rFonts w:ascii="宋体" w:hAnsi="宋体" w:cs="宋体" w:eastAsia="宋体" w:hint="default"/>
            <w:b/>
            <w:bCs/>
            <w:spacing w:val="-73"/>
            <w:sz w:val="28"/>
            <w:szCs w:val="28"/>
          </w:rPr>
          <w:t> </w:t>
        </w:r>
        <w:r>
          <w:rPr>
            <w:rFonts w:ascii="宋体" w:hAnsi="宋体" w:cs="宋体" w:eastAsia="宋体" w:hint="default"/>
            <w:b/>
            <w:bCs/>
            <w:spacing w:val="-73"/>
            <w:sz w:val="28"/>
            <w:szCs w:val="28"/>
          </w:rPr>
        </w:r>
        <w:r>
          <w:rPr>
            <w:rFonts w:ascii="宋体" w:hAnsi="宋体" w:cs="宋体" w:eastAsia="宋体" w:hint="default"/>
            <w:b/>
            <w:bCs/>
            <w:spacing w:val="3"/>
            <w:sz w:val="28"/>
            <w:szCs w:val="28"/>
          </w:rPr>
          <w:t>..............................................</w:t>
        </w:r>
        <w:r>
          <w:rPr>
            <w:rFonts w:ascii="宋体" w:hAnsi="宋体" w:cs="宋体" w:eastAsia="宋体" w:hint="default"/>
            <w:b/>
            <w:bCs/>
            <w:spacing w:val="-39"/>
            <w:sz w:val="28"/>
            <w:szCs w:val="28"/>
          </w:rPr>
          <w:t> </w:t>
        </w:r>
        <w:r>
          <w:rPr>
            <w:rFonts w:ascii="宋体" w:hAnsi="宋体" w:cs="宋体" w:eastAsia="宋体" w:hint="default"/>
            <w:b/>
            <w:bCs/>
            <w:sz w:val="28"/>
            <w:szCs w:val="28"/>
          </w:rPr>
          <w:t>100</w:t>
        </w:r>
      </w:hyperlink>
      <w:r>
        <w:rPr>
          <w:rFonts w:ascii="宋体" w:hAnsi="宋体" w:cs="宋体" w:eastAsia="宋体" w:hint="default"/>
          <w:b/>
          <w:bCs/>
          <w:sz w:val="28"/>
          <w:szCs w:val="28"/>
        </w:rPr>
        <w:t> </w:t>
      </w:r>
      <w:r>
        <w:rPr>
          <w:rFonts w:ascii="宋体" w:hAnsi="宋体" w:cs="宋体" w:eastAsia="宋体" w:hint="default"/>
          <w:sz w:val="28"/>
          <w:szCs w:val="28"/>
        </w:rPr>
      </w:r>
    </w:p>
    <w:p>
      <w:pPr>
        <w:spacing w:line="240" w:lineRule="auto" w:before="8"/>
        <w:rPr>
          <w:rFonts w:ascii="宋体" w:hAnsi="宋体" w:cs="宋体" w:eastAsia="宋体" w:hint="default"/>
          <w:b/>
          <w:bCs/>
          <w:sz w:val="22"/>
          <w:szCs w:val="22"/>
        </w:rPr>
      </w:pPr>
    </w:p>
    <w:p>
      <w:pPr>
        <w:spacing w:before="0"/>
        <w:ind w:left="211" w:right="1058" w:firstLine="0"/>
        <w:jc w:val="center"/>
        <w:rPr>
          <w:rFonts w:ascii="宋体" w:hAnsi="宋体" w:cs="宋体" w:eastAsia="宋体" w:hint="default"/>
          <w:sz w:val="28"/>
          <w:szCs w:val="28"/>
        </w:rPr>
      </w:pPr>
      <w:hyperlink w:history="true" w:anchor="_bookmark11">
        <w:r>
          <w:rPr>
            <w:rFonts w:ascii="宋体" w:hAnsi="宋体" w:cs="宋体" w:eastAsia="宋体" w:hint="default"/>
            <w:b/>
            <w:bCs/>
            <w:sz w:val="28"/>
            <w:szCs w:val="28"/>
          </w:rPr>
          <w:t>第十二节</w:t>
        </w:r>
        <w:r>
          <w:rPr>
            <w:rFonts w:ascii="宋体" w:hAnsi="宋体" w:cs="宋体" w:eastAsia="宋体" w:hint="default"/>
            <w:b/>
            <w:bCs/>
            <w:spacing w:val="-13"/>
            <w:sz w:val="28"/>
            <w:szCs w:val="28"/>
          </w:rPr>
          <w:t> </w:t>
        </w:r>
        <w:r>
          <w:rPr>
            <w:rFonts w:ascii="宋体" w:hAnsi="宋体" w:cs="宋体" w:eastAsia="宋体" w:hint="default"/>
            <w:b/>
            <w:bCs/>
            <w:spacing w:val="-13"/>
            <w:sz w:val="28"/>
            <w:szCs w:val="28"/>
          </w:rPr>
        </w:r>
        <w:r>
          <w:rPr>
            <w:rFonts w:ascii="宋体" w:hAnsi="宋体" w:cs="宋体" w:eastAsia="宋体" w:hint="default"/>
            <w:b/>
            <w:bCs/>
            <w:sz w:val="28"/>
            <w:szCs w:val="28"/>
          </w:rPr>
          <w:t>备查文件目录</w:t>
        </w:r>
        <w:r>
          <w:rPr>
            <w:rFonts w:ascii="宋体" w:hAnsi="宋体" w:cs="宋体" w:eastAsia="宋体" w:hint="default"/>
            <w:b/>
            <w:bCs/>
            <w:spacing w:val="-59"/>
            <w:sz w:val="28"/>
            <w:szCs w:val="28"/>
          </w:rPr>
          <w:t> </w:t>
        </w:r>
        <w:r>
          <w:rPr>
            <w:rFonts w:ascii="宋体" w:hAnsi="宋体" w:cs="宋体" w:eastAsia="宋体" w:hint="default"/>
            <w:b/>
            <w:bCs/>
            <w:spacing w:val="-59"/>
            <w:sz w:val="28"/>
            <w:szCs w:val="28"/>
          </w:rPr>
        </w:r>
        <w:r>
          <w:rPr>
            <w:rFonts w:ascii="宋体" w:hAnsi="宋体" w:cs="宋体" w:eastAsia="宋体" w:hint="default"/>
            <w:b/>
            <w:bCs/>
            <w:spacing w:val="3"/>
            <w:sz w:val="28"/>
            <w:szCs w:val="28"/>
          </w:rPr>
          <w:t>..........................................</w:t>
        </w:r>
        <w:r>
          <w:rPr>
            <w:rFonts w:ascii="宋体" w:hAnsi="宋体" w:cs="宋体" w:eastAsia="宋体" w:hint="default"/>
            <w:b/>
            <w:bCs/>
            <w:spacing w:val="-37"/>
            <w:sz w:val="28"/>
            <w:szCs w:val="28"/>
          </w:rPr>
          <w:t> </w:t>
        </w:r>
        <w:r>
          <w:rPr>
            <w:rFonts w:ascii="宋体" w:hAnsi="宋体" w:cs="宋体" w:eastAsia="宋体" w:hint="default"/>
            <w:b/>
            <w:bCs/>
            <w:sz w:val="28"/>
            <w:szCs w:val="28"/>
          </w:rPr>
          <w:t>222</w:t>
        </w:r>
      </w:hyperlink>
      <w:r>
        <w:rPr>
          <w:rFonts w:ascii="宋体" w:hAnsi="宋体" w:cs="宋体" w:eastAsia="宋体" w:hint="default"/>
          <w:b/>
          <w:bCs/>
          <w:sz w:val="28"/>
          <w:szCs w:val="28"/>
        </w:rPr>
        <w:t> </w:t>
      </w:r>
      <w:r>
        <w:rPr>
          <w:rFonts w:ascii="宋体" w:hAnsi="宋体" w:cs="宋体" w:eastAsia="宋体" w:hint="default"/>
          <w:sz w:val="28"/>
          <w:szCs w:val="28"/>
        </w:rPr>
      </w:r>
    </w:p>
    <w:p>
      <w:pPr>
        <w:spacing w:after="0"/>
        <w:jc w:val="center"/>
        <w:rPr>
          <w:rFonts w:ascii="宋体" w:hAnsi="宋体" w:cs="宋体" w:eastAsia="宋体" w:hint="default"/>
          <w:sz w:val="28"/>
          <w:szCs w:val="28"/>
        </w:rPr>
        <w:sectPr>
          <w:pgSz w:w="11910" w:h="16840"/>
          <w:pgMar w:header="745"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1"/>
        <w:spacing w:line="240" w:lineRule="auto" w:before="160"/>
        <w:ind w:right="1059"/>
        <w:jc w:val="center"/>
        <w:rPr>
          <w:b w:val="0"/>
          <w:bCs w:val="0"/>
        </w:rPr>
      </w:pPr>
      <w:r>
        <w:rPr/>
        <w:t>释义</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610"/>
        <w:gridCol w:w="5425"/>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证通电子</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深圳市证通电子股份有限公司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证通金信</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深圳市证通金信科技有限公司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证通佳明</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深圳市证通佳明光电有限公司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贵州证通光电</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贵州证通光电有限公司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定州中标</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定州市中标节能技术服务有限公司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证通南非</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SZZT</w:t>
            </w:r>
            <w:r>
              <w:rPr>
                <w:rFonts w:ascii="Times New Roman" w:hAnsi="Times New Roman" w:cs="Times New Roman" w:eastAsia="Times New Roman" w:hint="default"/>
                <w:spacing w:val="-17"/>
                <w:sz w:val="18"/>
                <w:szCs w:val="18"/>
              </w:rPr>
              <w:t> </w:t>
            </w:r>
            <w:r>
              <w:rPr>
                <w:rFonts w:ascii="Times New Roman" w:hAnsi="Times New Roman" w:cs="Times New Roman" w:eastAsia="Times New Roman" w:hint="default"/>
                <w:sz w:val="18"/>
                <w:szCs w:val="18"/>
              </w:rPr>
              <w:t>Africa</w:t>
            </w:r>
            <w:r>
              <w:rPr>
                <w:rFonts w:ascii="宋体" w:hAnsi="宋体" w:cs="宋体" w:eastAsia="宋体" w:hint="default"/>
                <w:sz w:val="18"/>
                <w:szCs w:val="18"/>
              </w:rPr>
              <w:t>，</w:t>
            </w:r>
            <w:r>
              <w:rPr>
                <w:rFonts w:ascii="Times New Roman" w:hAnsi="Times New Roman" w:cs="Times New Roman" w:eastAsia="Times New Roman" w:hint="default"/>
                <w:sz w:val="18"/>
                <w:szCs w:val="18"/>
              </w:rPr>
              <w:t>SZZT</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SOUTH</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Africa(PTY).,Ltd</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证通国际</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证通国际投资有限公司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证通网络</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广州证通网络科技有限公司，系原广州佩博利思电子科技有限公司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四川蜀信易</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四川蜀信易电子商务有限公司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证通邦客</w:t>
            </w:r>
          </w:p>
        </w:tc>
        <w:tc>
          <w:tcPr>
            <w:tcW w:w="6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5" w:type="dxa"/>
            <w:vMerge w:val="restart"/>
            <w:tcBorders>
              <w:top w:val="single" w:sz="4" w:space="0" w:color="000000"/>
              <w:left w:val="single" w:sz="9" w:space="0" w:color="D2D2D2"/>
              <w:right w:val="single" w:sz="4" w:space="0" w:color="000000"/>
            </w:tcBorders>
          </w:tcPr>
          <w:p>
            <w:pPr>
              <w:pStyle w:val="TableParagraph"/>
              <w:spacing w:line="316" w:lineRule="auto" w:before="49"/>
              <w:ind w:left="17" w:right="20"/>
              <w:jc w:val="left"/>
              <w:rPr>
                <w:rFonts w:ascii="宋体" w:hAnsi="宋体" w:cs="宋体" w:eastAsia="宋体" w:hint="default"/>
                <w:sz w:val="18"/>
                <w:szCs w:val="18"/>
              </w:rPr>
            </w:pPr>
            <w:r>
              <w:rPr>
                <w:rFonts w:ascii="宋体" w:hAnsi="宋体" w:cs="宋体" w:eastAsia="宋体" w:hint="default"/>
                <w:spacing w:val="-2"/>
                <w:sz w:val="18"/>
                <w:szCs w:val="18"/>
              </w:rPr>
              <w:t>证通邦客（广州）信息科技有限公司，系现广州水晶智联科技有限公</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司</w:t>
            </w:r>
          </w:p>
        </w:tc>
      </w:tr>
      <w:tr>
        <w:trPr>
          <w:trHeight w:val="394" w:hRule="exact"/>
        </w:trPr>
        <w:tc>
          <w:tcPr>
            <w:tcW w:w="3536" w:type="dxa"/>
            <w:vMerge/>
            <w:tcBorders>
              <w:left w:val="single" w:sz="4" w:space="0" w:color="000000"/>
              <w:right w:val="single" w:sz="9" w:space="0" w:color="D2D2D2"/>
            </w:tcBorders>
          </w:tcPr>
          <w:p>
            <w:pPr/>
          </w:p>
        </w:tc>
        <w:tc>
          <w:tcPr>
            <w:tcW w:w="6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1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5"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水晶智联</w:t>
            </w:r>
          </w:p>
        </w:tc>
        <w:tc>
          <w:tcPr>
            <w:tcW w:w="6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5" w:type="dxa"/>
            <w:vMerge w:val="restart"/>
            <w:tcBorders>
              <w:top w:val="single" w:sz="4" w:space="0" w:color="000000"/>
              <w:left w:val="single" w:sz="9" w:space="0" w:color="D2D2D2"/>
              <w:right w:val="single" w:sz="4" w:space="0" w:color="000000"/>
            </w:tcBorders>
          </w:tcPr>
          <w:p>
            <w:pPr>
              <w:pStyle w:val="TableParagraph"/>
              <w:spacing w:line="316" w:lineRule="auto" w:before="49"/>
              <w:ind w:left="17" w:right="20"/>
              <w:jc w:val="left"/>
              <w:rPr>
                <w:rFonts w:ascii="宋体" w:hAnsi="宋体" w:cs="宋体" w:eastAsia="宋体" w:hint="default"/>
                <w:sz w:val="18"/>
                <w:szCs w:val="18"/>
              </w:rPr>
            </w:pPr>
            <w:r>
              <w:rPr>
                <w:rFonts w:ascii="宋体" w:hAnsi="宋体" w:cs="宋体" w:eastAsia="宋体" w:hint="default"/>
                <w:spacing w:val="-2"/>
                <w:sz w:val="18"/>
                <w:szCs w:val="18"/>
              </w:rPr>
              <w:t>广州水晶智联科技有限公司，系原证通邦客（广州）信息科技有限公</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司</w:t>
            </w:r>
          </w:p>
        </w:tc>
      </w:tr>
      <w:tr>
        <w:trPr>
          <w:trHeight w:val="391" w:hRule="exact"/>
        </w:trPr>
        <w:tc>
          <w:tcPr>
            <w:tcW w:w="3536" w:type="dxa"/>
            <w:vMerge/>
            <w:tcBorders>
              <w:left w:val="single" w:sz="4" w:space="0" w:color="000000"/>
              <w:right w:val="single" w:sz="9" w:space="0" w:color="D2D2D2"/>
            </w:tcBorders>
          </w:tcPr>
          <w:p>
            <w:pPr/>
          </w:p>
        </w:tc>
        <w:tc>
          <w:tcPr>
            <w:tcW w:w="6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1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5" w:type="dxa"/>
            <w:vMerge/>
            <w:tcBorders>
              <w:left w:val="single" w:sz="9" w:space="0" w:color="D2D2D2"/>
              <w:bottom w:val="single" w:sz="4" w:space="0" w:color="000000"/>
              <w:right w:val="single" w:sz="4" w:space="0" w:color="000000"/>
            </w:tcBorders>
          </w:tcPr>
          <w:p>
            <w:pP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云硕科技</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广州云硕科技发展有限公司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宏达通信</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广东宏达通信有限公司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长沙证通</w:t>
            </w:r>
            <w:r>
              <w:rPr>
                <w:rFonts w:ascii="Times New Roman" w:hAnsi="Times New Roman" w:cs="Times New Roman" w:eastAsia="Times New Roman" w:hint="default"/>
                <w:sz w:val="18"/>
                <w:szCs w:val="18"/>
              </w:rPr>
              <w:t>/</w:t>
            </w:r>
            <w:r>
              <w:rPr>
                <w:rFonts w:ascii="宋体" w:hAnsi="宋体" w:cs="宋体" w:eastAsia="宋体" w:hint="default"/>
                <w:sz w:val="18"/>
                <w:szCs w:val="18"/>
              </w:rPr>
              <w:t>长沙证通云计算</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长沙证通云计算有限公司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深圳证通云计算</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深圳市证通云计算有限公司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证通普润</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深圳市证通普润电子有限公司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证通数码</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深圳市证通数码科技有限公司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江苏睿博</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江苏睿博数据技术有限公司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江苏中茂</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江苏中茂节能环保产业创业投资基金（有限合伙）</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鹏鼎创盈</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深圳市鹏鼎创盈金融信息服务股份有限公司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益趣科技</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杭州益趣科技有限公司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通新源物业</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深圳市通新源物业管理有限公司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盛灿科技</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深圳盛灿科技股份有限公司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前海友胜</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深圳市前海友胜资本管理有限公司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和盛资本</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深圳市前海和盛资本管理有限公司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佛山证友和</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佛山市证友和投资管理中心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纳鑫控股</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深圳前海纳鑫控股集团有限公司</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b/>
          <w:bCs/>
          <w:sz w:val="20"/>
          <w:szCs w:val="20"/>
        </w:rPr>
      </w:pPr>
      <w:r>
        <w:rPr/>
        <w:pict>
          <v:shape style="position:absolute;margin-left:56.400002pt;margin-top:71.999985pt;width:479.3pt;height:692.8pt;mso-position-horizontal-relative:page;mso-position-vertical-relative:page;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0"/>
                    <w:gridCol w:w="5425"/>
                  </w:tblGrid>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湖北神狐</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湖北神狐时代云科技有限公司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盛灿科技</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深圳盛灿科技股份有限公司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金谷农商行</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内蒙古呼和浩特金谷农村商业银行股份有限公司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中信建投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中信建投证券股份有限公司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威富通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深圳市威富通科技有限公司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高新投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深圳市高新投集团有限公司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中勤万信</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中勤万信会计师事务所（特殊普通合伙）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鹏元资信</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鹏元资信评估有限公司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平安通信</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深圳平安通信科技有限公司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长沙移动</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中国移动通信集团湖南有限公司长沙分公司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元、万元、亿元</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人民币元、万元、亿元</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深圳市证通电子股份有限公司股东大会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深圳市证通电子股份有限公司董事会</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深圳市证通电子股份有限公司监事会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《深圳市证通电子股份有限公司章程》</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农业银行</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建设银行</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中国银行</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中国银行股份有限公司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邮政储蓄银行</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中国邮政储蓄银行股份有限公司</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E-POS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31"/>
                          <w:jc w:val="left"/>
                          <w:rPr>
                            <w:rFonts w:ascii="宋体" w:hAnsi="宋体" w:cs="宋体" w:eastAsia="宋体" w:hint="default"/>
                            <w:sz w:val="18"/>
                            <w:szCs w:val="18"/>
                          </w:rPr>
                        </w:pPr>
                        <w:r>
                          <w:rPr>
                            <w:rFonts w:ascii="宋体" w:hAnsi="宋体" w:cs="宋体" w:eastAsia="宋体" w:hint="default"/>
                            <w:sz w:val="18"/>
                            <w:szCs w:val="18"/>
                          </w:rPr>
                          <w:t>是在普通电话的基础上集成了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LCD </w:t>
                        </w:r>
                        <w:r>
                          <w:rPr>
                            <w:rFonts w:ascii="宋体" w:hAnsi="宋体" w:cs="宋体" w:eastAsia="宋体" w:hint="default"/>
                            <w:sz w:val="18"/>
                            <w:szCs w:val="18"/>
                          </w:rPr>
                          <w:t>大屏幕、磁条卡读卡器，</w:t>
                        </w:r>
                        <w:r>
                          <w:rPr>
                            <w:rFonts w:ascii="Times New Roman" w:hAnsi="Times New Roman" w:cs="Times New Roman" w:eastAsia="Times New Roman" w:hint="default"/>
                            <w:sz w:val="18"/>
                            <w:szCs w:val="18"/>
                          </w:rPr>
                          <w:t>IC </w:t>
                        </w:r>
                        <w:r>
                          <w:rPr>
                            <w:rFonts w:ascii="宋体" w:hAnsi="宋体" w:cs="宋体" w:eastAsia="宋体" w:hint="default"/>
                            <w:sz w:val="18"/>
                            <w:szCs w:val="18"/>
                          </w:rPr>
                          <w:t>卡读 卡器、加密键盘等设备的金融刷卡支付终端</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自助服务终端</w:t>
                        </w:r>
                        <w:r>
                          <w:rPr>
                            <w:rFonts w:ascii="Times New Roman" w:hAnsi="Times New Roman" w:cs="Times New Roman" w:eastAsia="Times New Roman" w:hint="default"/>
                            <w:sz w:val="18"/>
                            <w:szCs w:val="18"/>
                          </w:rPr>
                          <w:t>/</w:t>
                        </w:r>
                        <w:r>
                          <w:rPr>
                            <w:rFonts w:ascii="宋体" w:hAnsi="宋体" w:cs="宋体" w:eastAsia="宋体" w:hint="default"/>
                            <w:sz w:val="18"/>
                            <w:szCs w:val="18"/>
                          </w:rPr>
                          <w:t>自助终端</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
                          <w:jc w:val="left"/>
                          <w:rPr>
                            <w:rFonts w:ascii="宋体" w:hAnsi="宋体" w:cs="宋体" w:eastAsia="宋体" w:hint="default"/>
                            <w:sz w:val="18"/>
                            <w:szCs w:val="18"/>
                          </w:rPr>
                        </w:pPr>
                        <w:r>
                          <w:rPr>
                            <w:rFonts w:ascii="宋体" w:hAnsi="宋体" w:cs="宋体" w:eastAsia="宋体" w:hint="default"/>
                            <w:spacing w:val="-5"/>
                            <w:sz w:val="18"/>
                            <w:szCs w:val="18"/>
                          </w:rPr>
                          <w:t>一个由硬件和软件组成的，允许用户通过简单的界面（例如：触摸屏</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1"/>
                            <w:sz w:val="18"/>
                            <w:szCs w:val="18"/>
                          </w:rPr>
                          <w:t>小键盘等）与之进行交互式自助服务的设备，用于替代人工服务。如</w:t>
                        </w:r>
                        <w:r>
                          <w:rPr>
                            <w:rFonts w:ascii="宋体" w:hAnsi="宋体" w:cs="宋体" w:eastAsia="宋体" w:hint="default"/>
                            <w:sz w:val="18"/>
                            <w:szCs w:val="18"/>
                          </w:rPr>
                          <w:t> 银行自助服务终端、自助发卡机等。</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POS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全称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Point Of</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Sells</w:t>
                        </w:r>
                        <w:r>
                          <w:rPr>
                            <w:rFonts w:ascii="宋体" w:hAnsi="宋体" w:cs="宋体" w:eastAsia="宋体" w:hint="default"/>
                            <w:sz w:val="18"/>
                            <w:szCs w:val="18"/>
                          </w:rPr>
                          <w:t>，电子收款机系统</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IC </w:t>
                        </w:r>
                        <w:r>
                          <w:rPr>
                            <w:rFonts w:ascii="宋体" w:hAnsi="宋体" w:cs="宋体" w:eastAsia="宋体" w:hint="default"/>
                            <w:sz w:val="18"/>
                            <w:szCs w:val="18"/>
                          </w:rPr>
                          <w:t>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终端</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一种受理金融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卡使用的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终端，能够受理接触或非接触金融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IC</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卡</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安全芯片</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48"/>
                          <w:jc w:val="left"/>
                          <w:rPr>
                            <w:rFonts w:ascii="宋体" w:hAnsi="宋体" w:cs="宋体" w:eastAsia="宋体" w:hint="default"/>
                            <w:sz w:val="18"/>
                            <w:szCs w:val="18"/>
                          </w:rPr>
                        </w:pPr>
                        <w:r>
                          <w:rPr>
                            <w:rFonts w:ascii="宋体" w:hAnsi="宋体" w:cs="宋体" w:eastAsia="宋体" w:hint="default"/>
                            <w:sz w:val="18"/>
                            <w:szCs w:val="18"/>
                          </w:rPr>
                          <w:t>公司研发的具有自主知识产权的符合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PCI3.0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PBOC4.0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认证标准的</w:t>
                        </w:r>
                        <w:r>
                          <w:rPr>
                            <w:rFonts w:ascii="宋体" w:hAnsi="宋体" w:cs="宋体" w:eastAsia="宋体" w:hint="default"/>
                            <w:w w:val="99"/>
                            <w:sz w:val="18"/>
                            <w:szCs w:val="18"/>
                          </w:rPr>
                          <w:t> </w:t>
                        </w:r>
                        <w:r>
                          <w:rPr>
                            <w:rFonts w:ascii="宋体" w:hAnsi="宋体" w:cs="宋体" w:eastAsia="宋体" w:hint="default"/>
                            <w:sz w:val="18"/>
                            <w:szCs w:val="18"/>
                          </w:rPr>
                          <w:t>支付卡行业专用安全芯片</w:t>
                        </w:r>
                      </w:p>
                    </w:tc>
                  </w:tr>
                  <w:tr>
                    <w:trPr>
                      <w:trHeight w:val="102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金融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IC </w:t>
                        </w:r>
                        <w:r>
                          <w:rPr>
                            <w:rFonts w:ascii="宋体" w:hAnsi="宋体" w:cs="宋体" w:eastAsia="宋体" w:hint="default"/>
                            <w:sz w:val="18"/>
                            <w:szCs w:val="18"/>
                          </w:rPr>
                          <w:t>卡</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0"/>
                          <w:jc w:val="both"/>
                          <w:rPr>
                            <w:rFonts w:ascii="宋体" w:hAnsi="宋体" w:cs="宋体" w:eastAsia="宋体" w:hint="default"/>
                            <w:sz w:val="18"/>
                            <w:szCs w:val="18"/>
                          </w:rPr>
                        </w:pPr>
                        <w:r>
                          <w:rPr>
                            <w:rFonts w:ascii="宋体" w:hAnsi="宋体" w:cs="宋体" w:eastAsia="宋体" w:hint="default"/>
                            <w:spacing w:val="-2"/>
                            <w:sz w:val="18"/>
                            <w:szCs w:val="18"/>
                          </w:rPr>
                          <w:t>由商业银行（信用社）或支付机构发行的，采用集成电路技术，遵循</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国家金融行业标准，具有消费信用、转账结算、现金存取全部或部分</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金融功能，可以具有其他商业服务和社会管理功能的金融工具。</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pStyle w:val="BodyText"/>
        <w:spacing w:line="240" w:lineRule="auto"/>
        <w:ind w:left="0" w:right="1139"/>
        <w:jc w:val="right"/>
      </w:pPr>
      <w:r>
        <w:rPr/>
        <w:t>、</w:t>
      </w:r>
    </w:p>
    <w:p>
      <w:pPr>
        <w:spacing w:after="0" w:line="240" w:lineRule="auto"/>
        <w:jc w:val="right"/>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LED</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92"/>
              <w:jc w:val="left"/>
              <w:rPr>
                <w:rFonts w:ascii="宋体" w:hAnsi="宋体" w:cs="宋体" w:eastAsia="宋体" w:hint="default"/>
                <w:sz w:val="18"/>
                <w:szCs w:val="18"/>
              </w:rPr>
            </w:pPr>
            <w:r>
              <w:rPr>
                <w:rFonts w:ascii="宋体" w:hAnsi="宋体" w:cs="宋体" w:eastAsia="宋体" w:hint="default"/>
                <w:sz w:val="18"/>
                <w:szCs w:val="18"/>
              </w:rPr>
              <w:t>全称为</w:t>
            </w:r>
            <w:r>
              <w:rPr>
                <w:rFonts w:ascii="Times New Roman" w:hAnsi="Times New Roman" w:cs="Times New Roman" w:eastAsia="Times New Roman" w:hint="default"/>
                <w:sz w:val="18"/>
                <w:szCs w:val="18"/>
              </w:rPr>
              <w:t>"Light Emitting</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Diode"</w:t>
            </w:r>
            <w:r>
              <w:rPr>
                <w:rFonts w:ascii="宋体" w:hAnsi="宋体" w:cs="宋体" w:eastAsia="宋体" w:hint="default"/>
                <w:sz w:val="18"/>
                <w:szCs w:val="18"/>
              </w:rPr>
              <w:t>，指发光二极管，是一种可以将电能转 化为光能的电子器件</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EMC</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both"/>
              <w:rPr>
                <w:rFonts w:ascii="宋体" w:hAnsi="宋体" w:cs="宋体" w:eastAsia="宋体" w:hint="default"/>
                <w:sz w:val="18"/>
                <w:szCs w:val="18"/>
              </w:rPr>
            </w:pPr>
            <w:r>
              <w:rPr>
                <w:rFonts w:ascii="宋体" w:hAnsi="宋体" w:cs="宋体" w:eastAsia="宋体" w:hint="default"/>
                <w:spacing w:val="-2"/>
                <w:sz w:val="18"/>
                <w:szCs w:val="18"/>
              </w:rPr>
              <w:t>合同能源管理，由节能服务公司与用户签订能源管理合同、约定节能</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目标，为用户提供节能诊断、融资、改造等服务，并以节能效益分享</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方式回收投资和获得合理利润。</w:t>
            </w:r>
          </w:p>
        </w:tc>
      </w:tr>
      <w:tr>
        <w:trPr>
          <w:trHeight w:val="133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模式</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Build and</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transfer</w:t>
            </w:r>
            <w:r>
              <w:rPr>
                <w:rFonts w:ascii="宋体" w:hAnsi="宋体" w:cs="宋体" w:eastAsia="宋体" w:hint="default"/>
                <w:sz w:val="18"/>
                <w:szCs w:val="18"/>
              </w:rPr>
              <w:t>，即</w:t>
            </w:r>
            <w:r>
              <w:rPr>
                <w:rFonts w:ascii="Times New Roman" w:hAnsi="Times New Roman" w:cs="Times New Roman" w:eastAsia="Times New Roman" w:hint="default"/>
                <w:sz w:val="18"/>
                <w:szCs w:val="18"/>
              </w:rPr>
              <w:t>"</w:t>
            </w:r>
            <w:r>
              <w:rPr>
                <w:rFonts w:ascii="宋体" w:hAnsi="宋体" w:cs="宋体" w:eastAsia="宋体" w:hint="default"/>
                <w:sz w:val="18"/>
                <w:szCs w:val="18"/>
              </w:rPr>
              <w:t>建设</w:t>
            </w:r>
            <w:r>
              <w:rPr>
                <w:rFonts w:ascii="Times New Roman" w:hAnsi="Times New Roman" w:cs="Times New Roman" w:eastAsia="Times New Roman" w:hint="default"/>
                <w:sz w:val="18"/>
                <w:szCs w:val="18"/>
              </w:rPr>
              <w:t>-</w:t>
            </w:r>
            <w:r>
              <w:rPr>
                <w:rFonts w:ascii="宋体" w:hAnsi="宋体" w:cs="宋体" w:eastAsia="宋体" w:hint="default"/>
                <w:sz w:val="18"/>
                <w:szCs w:val="18"/>
              </w:rPr>
              <w:t>移交</w:t>
            </w:r>
            <w:r>
              <w:rPr>
                <w:rFonts w:ascii="Times New Roman" w:hAnsi="Times New Roman" w:cs="Times New Roman" w:eastAsia="Times New Roman" w:hint="default"/>
                <w:sz w:val="18"/>
                <w:szCs w:val="18"/>
              </w:rPr>
              <w:t>"</w:t>
            </w:r>
            <w:r>
              <w:rPr>
                <w:rFonts w:ascii="宋体" w:hAnsi="宋体" w:cs="宋体" w:eastAsia="宋体" w:hint="default"/>
                <w:sz w:val="18"/>
                <w:szCs w:val="18"/>
              </w:rPr>
              <w:t>，由政府或代理公司与业务承接方 </w:t>
            </w:r>
            <w:r>
              <w:rPr>
                <w:rFonts w:ascii="宋体" w:hAnsi="宋体" w:cs="宋体" w:eastAsia="宋体" w:hint="default"/>
                <w:spacing w:val="-2"/>
                <w:sz w:val="18"/>
                <w:szCs w:val="18"/>
              </w:rPr>
              <w:t>签订市政工程项目投资建设回购协议，并授权业务承接方代理其实施</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投融资职能进行市政工程建设，工程完工后移交政府，政府根据回购</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协议在规定的期限内支付回购资金（含投资回报）的经营方式。</w:t>
            </w:r>
          </w:p>
        </w:tc>
      </w:tr>
      <w:tr>
        <w:trPr>
          <w:trHeight w:val="71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O2O</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19"/>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Online</w:t>
            </w:r>
            <w:r>
              <w:rPr>
                <w:rFonts w:ascii="Times New Roman" w:hAnsi="Times New Roman" w:cs="Times New Roman" w:eastAsia="Times New Roman" w:hint="default"/>
                <w:spacing w:val="2"/>
                <w:w w:val="99"/>
                <w:sz w:val="18"/>
                <w:szCs w:val="18"/>
              </w:rPr>
              <w:t> </w:t>
            </w:r>
            <w:r>
              <w:rPr>
                <w:rFonts w:ascii="Times New Roman" w:hAnsi="Times New Roman" w:cs="Times New Roman" w:eastAsia="Times New Roman" w:hint="default"/>
                <w:spacing w:val="-7"/>
                <w:sz w:val="18"/>
                <w:szCs w:val="18"/>
              </w:rPr>
              <w:t>To</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pacing w:val="-4"/>
                <w:w w:val="99"/>
                <w:sz w:val="18"/>
                <w:szCs w:val="18"/>
              </w:rPr>
              <w:t>Offline</w:t>
            </w:r>
            <w:r>
              <w:rPr>
                <w:rFonts w:ascii="宋体" w:hAnsi="宋体" w:cs="宋体" w:eastAsia="宋体" w:hint="default"/>
                <w:spacing w:val="-4"/>
                <w:w w:val="99"/>
                <w:sz w:val="18"/>
                <w:szCs w:val="18"/>
              </w:rPr>
              <w:t>（在线离线</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线上到线下），是指将线下的商务机会与</w:t>
            </w:r>
            <w:r>
              <w:rPr>
                <w:rFonts w:ascii="宋体" w:hAnsi="宋体" w:cs="宋体" w:eastAsia="宋体" w:hint="default"/>
                <w:spacing w:val="-88"/>
                <w:w w:val="99"/>
                <w:sz w:val="18"/>
                <w:szCs w:val="18"/>
              </w:rPr>
              <w:t> </w:t>
            </w:r>
            <w:r>
              <w:rPr>
                <w:rFonts w:ascii="宋体" w:hAnsi="宋体" w:cs="宋体" w:eastAsia="宋体" w:hint="default"/>
                <w:spacing w:val="-88"/>
                <w:w w:val="99"/>
                <w:sz w:val="18"/>
                <w:szCs w:val="18"/>
              </w:rPr>
            </w:r>
            <w:r>
              <w:rPr>
                <w:rFonts w:ascii="宋体" w:hAnsi="宋体" w:cs="宋体" w:eastAsia="宋体" w:hint="default"/>
                <w:sz w:val="18"/>
                <w:szCs w:val="18"/>
              </w:rPr>
              <w:t>互联网结合，让互联网成为线下交易的前台。</w:t>
            </w:r>
          </w:p>
        </w:tc>
      </w:tr>
      <w:tr>
        <w:trPr>
          <w:trHeight w:val="164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IDC</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3" w:right="19"/>
              <w:jc w:val="both"/>
              <w:rPr>
                <w:rFonts w:ascii="宋体" w:hAnsi="宋体" w:cs="宋体" w:eastAsia="宋体" w:hint="default"/>
                <w:sz w:val="18"/>
                <w:szCs w:val="18"/>
              </w:rPr>
            </w:pPr>
            <w:r>
              <w:rPr>
                <w:rFonts w:ascii="Times New Roman" w:hAnsi="Times New Roman" w:cs="Times New Roman" w:eastAsia="Times New Roman" w:hint="default"/>
                <w:w w:val="99"/>
                <w:sz w:val="18"/>
                <w:szCs w:val="18"/>
              </w:rPr>
              <w:t>Internet </w:t>
            </w:r>
            <w:r>
              <w:rPr>
                <w:rFonts w:ascii="Times New Roman" w:hAnsi="Times New Roman" w:cs="Times New Roman" w:eastAsia="Times New Roman" w:hint="default"/>
                <w:spacing w:val="-1"/>
                <w:w w:val="99"/>
                <w:sz w:val="18"/>
                <w:szCs w:val="18"/>
              </w:rPr>
              <w:t>Data</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4"/>
                <w:sz w:val="18"/>
                <w:szCs w:val="18"/>
              </w:rPr>
              <w:t>Center</w:t>
            </w:r>
            <w:r>
              <w:rPr>
                <w:rFonts w:ascii="宋体" w:hAnsi="宋体" w:cs="宋体" w:eastAsia="宋体" w:hint="default"/>
                <w:spacing w:val="-4"/>
                <w:sz w:val="18"/>
                <w:szCs w:val="18"/>
              </w:rPr>
              <w:t>（互联网数据中心），是指拥有高速互联网宽带接</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入、高性能局域网络、安全可靠地机房环境等完善设备、专业化的管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6"/>
                <w:sz w:val="18"/>
                <w:szCs w:val="18"/>
              </w:rPr>
              <w:t>理、完善的应用级服务的服务平台。通过 </w:t>
            </w:r>
            <w:r>
              <w:rPr>
                <w:rFonts w:ascii="Times New Roman" w:hAnsi="Times New Roman" w:cs="Times New Roman" w:eastAsia="Times New Roman" w:hint="default"/>
                <w:sz w:val="18"/>
                <w:szCs w:val="18"/>
              </w:rPr>
              <w:t>IDC </w:t>
            </w:r>
            <w:r>
              <w:rPr>
                <w:rFonts w:ascii="宋体" w:hAnsi="宋体" w:cs="宋体" w:eastAsia="宋体" w:hint="default"/>
                <w:spacing w:val="-6"/>
                <w:sz w:val="18"/>
                <w:szCs w:val="18"/>
              </w:rPr>
              <w:t>这个服务平台，</w:t>
            </w:r>
            <w:r>
              <w:rPr>
                <w:rFonts w:ascii="Times New Roman" w:hAnsi="Times New Roman" w:cs="Times New Roman" w:eastAsia="Times New Roman" w:hint="default"/>
                <w:spacing w:val="-6"/>
                <w:sz w:val="18"/>
                <w:szCs w:val="18"/>
              </w:rPr>
              <w:t>IDC</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服 务商为企事业单位和 </w:t>
            </w:r>
            <w:r>
              <w:rPr>
                <w:rFonts w:ascii="Times New Roman" w:hAnsi="Times New Roman" w:cs="Times New Roman" w:eastAsia="Times New Roman" w:hint="default"/>
                <w:sz w:val="18"/>
                <w:szCs w:val="18"/>
              </w:rPr>
              <w:t>ISP</w:t>
            </w:r>
            <w:r>
              <w:rPr>
                <w:rFonts w:ascii="宋体" w:hAnsi="宋体" w:cs="宋体" w:eastAsia="宋体" w:hint="default"/>
                <w:sz w:val="18"/>
                <w:szCs w:val="18"/>
              </w:rPr>
              <w:t>、</w:t>
            </w:r>
            <w:r>
              <w:rPr>
                <w:rFonts w:ascii="Times New Roman" w:hAnsi="Times New Roman" w:cs="Times New Roman" w:eastAsia="Times New Roman" w:hint="default"/>
                <w:sz w:val="18"/>
                <w:szCs w:val="18"/>
              </w:rPr>
              <w:t>ICP</w:t>
            </w:r>
            <w:r>
              <w:rPr>
                <w:rFonts w:ascii="宋体" w:hAnsi="宋体" w:cs="宋体" w:eastAsia="宋体" w:hint="default"/>
                <w:sz w:val="18"/>
                <w:szCs w:val="18"/>
              </w:rPr>
              <w:t>、</w:t>
            </w:r>
            <w:r>
              <w:rPr>
                <w:rFonts w:ascii="Times New Roman" w:hAnsi="Times New Roman" w:cs="Times New Roman" w:eastAsia="Times New Roman" w:hint="default"/>
                <w:sz w:val="18"/>
                <w:szCs w:val="18"/>
              </w:rPr>
              <w:t>ASP</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等客户提供互联网基础平台服 务及其他的各种增值服务。</w:t>
            </w:r>
          </w:p>
        </w:tc>
      </w:tr>
      <w:tr>
        <w:trPr>
          <w:trHeight w:val="165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云计算</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8"/>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NIST</w:t>
            </w:r>
            <w:r>
              <w:rPr>
                <w:rFonts w:ascii="宋体" w:hAnsi="宋体" w:cs="宋体" w:eastAsia="宋体" w:hint="default"/>
                <w:sz w:val="18"/>
                <w:szCs w:val="18"/>
              </w:rPr>
              <w:t>（美国国家标准与技术研究院）的定义，云计算是一种能 </w:t>
            </w:r>
            <w:r>
              <w:rPr>
                <w:rFonts w:ascii="宋体" w:hAnsi="宋体" w:cs="宋体" w:eastAsia="宋体" w:hint="default"/>
                <w:spacing w:val="-1"/>
                <w:sz w:val="18"/>
                <w:szCs w:val="18"/>
              </w:rPr>
              <w:t>够通过网络以便利的、按需付费的方式获取计算资源（包括网络、服</w:t>
            </w:r>
            <w:r>
              <w:rPr>
                <w:rFonts w:ascii="宋体" w:hAnsi="宋体" w:cs="宋体" w:eastAsia="宋体" w:hint="default"/>
                <w:sz w:val="18"/>
                <w:szCs w:val="18"/>
              </w:rPr>
              <w:t> </w:t>
            </w:r>
            <w:r>
              <w:rPr>
                <w:rFonts w:ascii="宋体" w:hAnsi="宋体" w:cs="宋体" w:eastAsia="宋体" w:hint="default"/>
                <w:spacing w:val="-2"/>
                <w:sz w:val="18"/>
                <w:szCs w:val="18"/>
              </w:rPr>
              <w:t>务器、存储、应用和服务等）并提高其可用性的模式，这些资源来自</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一个共享的、可配置的资源池，并能够以最省力和无人干预的方式获</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取和释放</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双甲</w:t>
            </w:r>
            <w:r>
              <w:rPr>
                <w:rFonts w:ascii="Times New Roman" w:hAnsi="Times New Roman" w:cs="Times New Roman" w:eastAsia="Times New Roman" w:hint="default"/>
                <w:sz w:val="18"/>
                <w:szCs w:val="18"/>
              </w:rPr>
              <w:t>”</w:t>
            </w:r>
            <w:r>
              <w:rPr>
                <w:rFonts w:ascii="宋体" w:hAnsi="宋体" w:cs="宋体" w:eastAsia="宋体" w:hint="default"/>
                <w:sz w:val="18"/>
                <w:szCs w:val="18"/>
              </w:rPr>
              <w:t>资质</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0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照明工程设计专项甲级资质证书</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城市及道路照明工程专业承包 壹级资质</w:t>
            </w:r>
            <w:r>
              <w:rPr>
                <w:rFonts w:ascii="Times New Roman" w:hAnsi="Times New Roman" w:cs="Times New Roman" w:eastAsia="Times New Roman" w:hint="default"/>
                <w:sz w:val="18"/>
                <w:szCs w:val="18"/>
              </w:rPr>
              <w:t>”</w:t>
            </w:r>
          </w:p>
        </w:tc>
      </w:tr>
      <w:tr>
        <w:trPr>
          <w:trHeight w:val="165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CDN</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9"/>
              <w:jc w:val="left"/>
              <w:rPr>
                <w:rFonts w:ascii="宋体" w:hAnsi="宋体" w:cs="宋体" w:eastAsia="宋体" w:hint="default"/>
                <w:sz w:val="18"/>
                <w:szCs w:val="18"/>
              </w:rPr>
            </w:pPr>
            <w:r>
              <w:rPr>
                <w:rFonts w:ascii="宋体" w:hAnsi="宋体" w:cs="宋体" w:eastAsia="宋体" w:hint="default"/>
                <w:spacing w:val="-3"/>
                <w:sz w:val="18"/>
                <w:szCs w:val="18"/>
              </w:rPr>
              <w:t>内容分发网络（</w:t>
            </w:r>
            <w:r>
              <w:rPr>
                <w:rFonts w:ascii="Times New Roman" w:hAnsi="Times New Roman" w:cs="Times New Roman" w:eastAsia="Times New Roman" w:hint="default"/>
                <w:spacing w:val="-3"/>
                <w:sz w:val="18"/>
                <w:szCs w:val="18"/>
              </w:rPr>
              <w:t>Content</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w w:val="99"/>
                <w:sz w:val="18"/>
                <w:szCs w:val="18"/>
              </w:rPr>
              <w:t>Delivery</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7"/>
                <w:w w:val="99"/>
                <w:sz w:val="18"/>
                <w:szCs w:val="18"/>
              </w:rPr>
              <w:t>Network</w:t>
            </w:r>
            <w:r>
              <w:rPr>
                <w:rFonts w:ascii="宋体" w:hAnsi="宋体" w:cs="宋体" w:eastAsia="宋体" w:hint="default"/>
                <w:spacing w:val="-7"/>
                <w:w w:val="99"/>
                <w:sz w:val="18"/>
                <w:szCs w:val="18"/>
              </w:rPr>
              <w:t>），指通过在现有的互联网中</w:t>
            </w:r>
            <w:r>
              <w:rPr>
                <w:rFonts w:ascii="宋体" w:hAnsi="宋体" w:cs="宋体" w:eastAsia="宋体" w:hint="default"/>
                <w:spacing w:val="-64"/>
                <w:w w:val="99"/>
                <w:sz w:val="18"/>
                <w:szCs w:val="18"/>
              </w:rPr>
              <w:t> </w:t>
            </w:r>
            <w:r>
              <w:rPr>
                <w:rFonts w:ascii="宋体" w:hAnsi="宋体" w:cs="宋体" w:eastAsia="宋体" w:hint="default"/>
                <w:spacing w:val="-64"/>
                <w:w w:val="99"/>
                <w:sz w:val="18"/>
                <w:szCs w:val="18"/>
              </w:rPr>
            </w:r>
            <w:r>
              <w:rPr>
                <w:rFonts w:ascii="宋体" w:hAnsi="宋体" w:cs="宋体" w:eastAsia="宋体" w:hint="default"/>
                <w:sz w:val="18"/>
                <w:szCs w:val="18"/>
              </w:rPr>
              <w:t>增加一层新的网络架构，将网站的内容发布到最接近用户的网络边 </w:t>
            </w:r>
            <w:r>
              <w:rPr>
                <w:rFonts w:ascii="宋体" w:hAnsi="宋体" w:cs="宋体" w:eastAsia="宋体" w:hint="default"/>
                <w:spacing w:val="-1"/>
                <w:sz w:val="18"/>
                <w:szCs w:val="18"/>
              </w:rPr>
              <w:t>缘，使用户可以就近取得所需的内容，改善网络的传输速度，解决互</w:t>
            </w:r>
            <w:r>
              <w:rPr>
                <w:rFonts w:ascii="宋体" w:hAnsi="宋体" w:cs="宋体" w:eastAsia="宋体" w:hint="default"/>
                <w:sz w:val="18"/>
                <w:szCs w:val="18"/>
              </w:rPr>
              <w:t> 联网络拥挤的状况，从技术上解决由于网络带宽小、用户访问量大、 网点分布不均等原因所造成的用户访问网站响应速度慢的问题</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SDN</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0"/>
              <w:jc w:val="both"/>
              <w:rPr>
                <w:rFonts w:ascii="宋体" w:hAnsi="宋体" w:cs="宋体" w:eastAsia="宋体" w:hint="default"/>
                <w:sz w:val="18"/>
                <w:szCs w:val="18"/>
              </w:rPr>
            </w:pPr>
            <w:r>
              <w:rPr>
                <w:rFonts w:ascii="宋体" w:hAnsi="宋体" w:cs="宋体" w:eastAsia="宋体" w:hint="default"/>
                <w:spacing w:val="-1"/>
                <w:w w:val="99"/>
                <w:sz w:val="18"/>
                <w:szCs w:val="18"/>
              </w:rPr>
              <w:t>软件定义网络（</w:t>
            </w:r>
            <w:r>
              <w:rPr>
                <w:rFonts w:ascii="Times New Roman" w:hAnsi="Times New Roman" w:cs="Times New Roman" w:eastAsia="Times New Roman" w:hint="default"/>
                <w:spacing w:val="-1"/>
                <w:w w:val="99"/>
                <w:sz w:val="18"/>
                <w:szCs w:val="18"/>
              </w:rPr>
              <w:t>Software</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1"/>
                <w:w w:val="99"/>
                <w:sz w:val="18"/>
                <w:szCs w:val="18"/>
              </w:rPr>
              <w:t>Defined</w:t>
            </w:r>
            <w:r>
              <w:rPr>
                <w:rFonts w:ascii="Times New Roman" w:hAnsi="Times New Roman" w:cs="Times New Roman" w:eastAsia="Times New Roman" w:hint="default"/>
                <w:spacing w:val="28"/>
                <w:w w:val="99"/>
                <w:sz w:val="18"/>
                <w:szCs w:val="18"/>
              </w:rPr>
              <w:t> </w:t>
            </w:r>
            <w:r>
              <w:rPr>
                <w:rFonts w:ascii="Times New Roman" w:hAnsi="Times New Roman" w:cs="Times New Roman" w:eastAsia="Times New Roman" w:hint="default"/>
                <w:spacing w:val="-6"/>
                <w:w w:val="99"/>
                <w:sz w:val="18"/>
                <w:szCs w:val="18"/>
              </w:rPr>
              <w:t>Network</w:t>
            </w:r>
            <w:r>
              <w:rPr>
                <w:rFonts w:ascii="宋体" w:hAnsi="宋体" w:cs="宋体" w:eastAsia="宋体" w:hint="default"/>
                <w:spacing w:val="-6"/>
                <w:w w:val="99"/>
                <w:sz w:val="18"/>
                <w:szCs w:val="18"/>
              </w:rPr>
              <w:t>），是一种新型的网络架</w:t>
            </w:r>
            <w:r>
              <w:rPr>
                <w:rFonts w:ascii="宋体" w:hAnsi="宋体" w:cs="宋体" w:eastAsia="宋体" w:hint="default"/>
                <w:sz w:val="18"/>
                <w:szCs w:val="18"/>
              </w:rPr>
              <w:t> </w:t>
            </w:r>
            <w:r>
              <w:rPr>
                <w:rFonts w:ascii="宋体" w:hAnsi="宋体" w:cs="宋体" w:eastAsia="宋体" w:hint="default"/>
                <w:spacing w:val="-2"/>
                <w:sz w:val="18"/>
                <w:szCs w:val="18"/>
              </w:rPr>
              <w:t>构，通过控制面和数据面的分离，把原来软硬件一体的封闭的电信设</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备，转变成集中控制、接口开放、软件可编程的新型网络架构。</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IaaS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23"/>
              <w:jc w:val="left"/>
              <w:rPr>
                <w:rFonts w:ascii="宋体" w:hAnsi="宋体" w:cs="宋体" w:eastAsia="宋体" w:hint="default"/>
                <w:sz w:val="18"/>
                <w:szCs w:val="18"/>
              </w:rPr>
            </w:pPr>
            <w:r>
              <w:rPr>
                <w:rFonts w:ascii="宋体" w:hAnsi="宋体" w:cs="宋体" w:eastAsia="宋体" w:hint="default"/>
                <w:spacing w:val="-1"/>
                <w:w w:val="99"/>
                <w:sz w:val="18"/>
                <w:szCs w:val="18"/>
              </w:rPr>
              <w:t>基础设施即服务（</w:t>
            </w:r>
            <w:r>
              <w:rPr>
                <w:rFonts w:ascii="Times New Roman" w:hAnsi="Times New Roman" w:cs="Times New Roman" w:eastAsia="Times New Roman" w:hint="default"/>
                <w:spacing w:val="-1"/>
                <w:w w:val="99"/>
                <w:sz w:val="18"/>
                <w:szCs w:val="18"/>
              </w:rPr>
              <w:t>Infrastructure</w:t>
            </w:r>
            <w:r>
              <w:rPr>
                <w:rFonts w:ascii="Times New Roman" w:hAnsi="Times New Roman" w:cs="Times New Roman" w:eastAsia="Times New Roman" w:hint="default"/>
                <w:spacing w:val="2"/>
                <w:w w:val="99"/>
                <w:sz w:val="18"/>
                <w:szCs w:val="18"/>
              </w:rPr>
              <w:t> </w:t>
            </w:r>
            <w:r>
              <w:rPr>
                <w:rFonts w:ascii="Times New Roman" w:hAnsi="Times New Roman" w:cs="Times New Roman" w:eastAsia="Times New Roman" w:hint="default"/>
                <w:spacing w:val="-1"/>
                <w:w w:val="99"/>
                <w:sz w:val="18"/>
                <w:szCs w:val="18"/>
              </w:rPr>
              <w:t>as</w:t>
            </w:r>
            <w:r>
              <w:rPr>
                <w:rFonts w:ascii="Times New Roman" w:hAnsi="Times New Roman" w:cs="Times New Roman" w:eastAsia="Times New Roman" w:hint="default"/>
                <w:spacing w:val="3"/>
                <w:w w:val="99"/>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pacing w:val="-8"/>
                <w:w w:val="99"/>
                <w:sz w:val="18"/>
                <w:szCs w:val="18"/>
              </w:rPr>
              <w:t>Service</w:t>
            </w:r>
            <w:r>
              <w:rPr>
                <w:rFonts w:ascii="宋体" w:hAnsi="宋体" w:cs="宋体" w:eastAsia="宋体" w:hint="default"/>
                <w:spacing w:val="-8"/>
                <w:w w:val="99"/>
                <w:sz w:val="18"/>
                <w:szCs w:val="18"/>
              </w:rPr>
              <w:t>），是指将</w:t>
            </w:r>
            <w:r>
              <w:rPr>
                <w:rFonts w:ascii="宋体" w:hAnsi="宋体" w:cs="宋体" w:eastAsia="宋体" w:hint="default"/>
                <w:spacing w:val="-41"/>
                <w:w w:val="99"/>
                <w:sz w:val="18"/>
                <w:szCs w:val="18"/>
              </w:rPr>
              <w:t> </w:t>
            </w:r>
            <w:r>
              <w:rPr>
                <w:rFonts w:ascii="Times New Roman" w:hAnsi="Times New Roman" w:cs="Times New Roman" w:eastAsia="Times New Roman" w:hint="default"/>
                <w:spacing w:val="1"/>
                <w:sz w:val="18"/>
                <w:szCs w:val="18"/>
              </w:rPr>
              <w:t>IT </w:t>
            </w:r>
            <w:r>
              <w:rPr>
                <w:rFonts w:ascii="宋体" w:hAnsi="宋体" w:cs="宋体" w:eastAsia="宋体" w:hint="default"/>
                <w:sz w:val="18"/>
                <w:szCs w:val="18"/>
              </w:rPr>
              <w:t>基础设施能</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力（如服务器、存储、计算能力等）通过互联网提供给用户使用，并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根据用户对资源的实际使用量进行计费的一种服务。</w:t>
            </w:r>
          </w:p>
        </w:tc>
      </w:tr>
      <w:tr>
        <w:trPr>
          <w:trHeight w:val="164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SaaS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0"/>
              <w:jc w:val="both"/>
              <w:rPr>
                <w:rFonts w:ascii="宋体" w:hAnsi="宋体" w:cs="宋体" w:eastAsia="宋体" w:hint="default"/>
                <w:sz w:val="18"/>
                <w:szCs w:val="18"/>
              </w:rPr>
            </w:pPr>
            <w:r>
              <w:rPr>
                <w:rFonts w:ascii="宋体" w:hAnsi="宋体" w:cs="宋体" w:eastAsia="宋体" w:hint="default"/>
                <w:spacing w:val="-3"/>
                <w:w w:val="99"/>
                <w:sz w:val="18"/>
                <w:szCs w:val="18"/>
              </w:rPr>
              <w:t>软件即服务（</w:t>
            </w:r>
            <w:r>
              <w:rPr>
                <w:rFonts w:ascii="Times New Roman" w:hAnsi="Times New Roman" w:cs="Times New Roman" w:eastAsia="Times New Roman" w:hint="default"/>
                <w:spacing w:val="-3"/>
                <w:w w:val="99"/>
                <w:sz w:val="18"/>
                <w:szCs w:val="18"/>
              </w:rPr>
              <w:t>Software-as-a</w:t>
            </w:r>
            <w:r>
              <w:rPr>
                <w:rFonts w:ascii="Times New Roman" w:hAnsi="Times New Roman" w:cs="Times New Roman" w:eastAsia="Times New Roman" w:hint="default"/>
                <w:spacing w:val="5"/>
                <w:w w:val="99"/>
                <w:sz w:val="18"/>
                <w:szCs w:val="18"/>
              </w:rPr>
              <w:t> </w:t>
            </w:r>
            <w:r>
              <w:rPr>
                <w:rFonts w:ascii="Times New Roman" w:hAnsi="Times New Roman" w:cs="Times New Roman" w:eastAsia="Times New Roman" w:hint="default"/>
                <w:spacing w:val="-10"/>
                <w:w w:val="99"/>
                <w:sz w:val="18"/>
                <w:szCs w:val="18"/>
              </w:rPr>
              <w:t>-Service</w:t>
            </w:r>
            <w:r>
              <w:rPr>
                <w:rFonts w:ascii="宋体" w:hAnsi="宋体" w:cs="宋体" w:eastAsia="宋体" w:hint="default"/>
                <w:spacing w:val="-10"/>
                <w:w w:val="99"/>
                <w:sz w:val="18"/>
                <w:szCs w:val="18"/>
              </w:rPr>
              <w:t>），一种通过</w:t>
            </w:r>
            <w:r>
              <w:rPr>
                <w:rFonts w:ascii="宋体" w:hAnsi="宋体" w:cs="宋体" w:eastAsia="宋体" w:hint="default"/>
                <w:spacing w:val="-37"/>
                <w:w w:val="99"/>
                <w:sz w:val="18"/>
                <w:szCs w:val="18"/>
              </w:rPr>
              <w:t> </w:t>
            </w:r>
            <w:r>
              <w:rPr>
                <w:rFonts w:ascii="Times New Roman" w:hAnsi="Times New Roman" w:cs="Times New Roman" w:eastAsia="Times New Roman" w:hint="default"/>
                <w:sz w:val="18"/>
                <w:szCs w:val="18"/>
              </w:rPr>
              <w:t>Internet</w:t>
            </w:r>
            <w:r>
              <w:rPr>
                <w:rFonts w:ascii="Times New Roman" w:hAnsi="Times New Roman" w:cs="Times New Roman" w:eastAsia="Times New Roman" w:hint="default"/>
                <w:spacing w:val="8"/>
                <w:sz w:val="18"/>
                <w:szCs w:val="18"/>
              </w:rPr>
              <w:t> </w:t>
            </w:r>
            <w:r>
              <w:rPr>
                <w:rFonts w:ascii="宋体" w:hAnsi="宋体" w:cs="宋体" w:eastAsia="宋体" w:hint="default"/>
                <w:spacing w:val="-1"/>
                <w:sz w:val="18"/>
                <w:szCs w:val="18"/>
              </w:rPr>
              <w:t>提供软件的模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式，厂商将应用软件统一部署在自己的服务器上，客户可以根据自己</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实际需求，通过互联网向厂商定购所需的应用软件服务，按定购的服</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务多少和时间长短向厂商支付费用，并通过互联网获得厂商提供的服</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务</w:t>
            </w:r>
          </w:p>
        </w:tc>
      </w:tr>
      <w:tr>
        <w:trPr>
          <w:trHeight w:val="67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PaaS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19"/>
              <w:jc w:val="left"/>
              <w:rPr>
                <w:rFonts w:ascii="宋体" w:hAnsi="宋体" w:cs="宋体" w:eastAsia="宋体" w:hint="default"/>
                <w:sz w:val="18"/>
                <w:szCs w:val="18"/>
              </w:rPr>
            </w:pPr>
            <w:r>
              <w:rPr>
                <w:rFonts w:ascii="宋体" w:hAnsi="宋体" w:cs="宋体" w:eastAsia="宋体" w:hint="default"/>
                <w:spacing w:val="-2"/>
                <w:w w:val="99"/>
                <w:sz w:val="18"/>
                <w:szCs w:val="18"/>
              </w:rPr>
              <w:t>平台即服务（</w:t>
            </w:r>
            <w:r>
              <w:rPr>
                <w:rFonts w:ascii="Times New Roman" w:hAnsi="Times New Roman" w:cs="Times New Roman" w:eastAsia="Times New Roman" w:hint="default"/>
                <w:spacing w:val="-2"/>
                <w:w w:val="99"/>
                <w:sz w:val="18"/>
                <w:szCs w:val="18"/>
              </w:rPr>
              <w:t>Platform</w:t>
            </w:r>
            <w:r>
              <w:rPr>
                <w:rFonts w:ascii="Times New Roman" w:hAnsi="Times New Roman" w:cs="Times New Roman" w:eastAsia="Times New Roman" w:hint="default"/>
                <w:spacing w:val="1"/>
                <w:w w:val="99"/>
                <w:sz w:val="18"/>
                <w:szCs w:val="18"/>
              </w:rPr>
              <w:t> </w:t>
            </w:r>
            <w:r>
              <w:rPr>
                <w:rFonts w:ascii="Times New Roman" w:hAnsi="Times New Roman" w:cs="Times New Roman" w:eastAsia="Times New Roman" w:hint="default"/>
                <w:spacing w:val="-1"/>
                <w:w w:val="99"/>
                <w:sz w:val="18"/>
                <w:szCs w:val="18"/>
              </w:rPr>
              <w:t>as</w:t>
            </w:r>
            <w:r>
              <w:rPr>
                <w:rFonts w:ascii="Times New Roman" w:hAnsi="Times New Roman" w:cs="Times New Roman" w:eastAsia="Times New Roman" w:hint="default"/>
                <w:spacing w:val="4"/>
                <w:w w:val="99"/>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pacing w:val="-5"/>
                <w:w w:val="99"/>
                <w:sz w:val="18"/>
                <w:szCs w:val="18"/>
              </w:rPr>
              <w:t>Service</w:t>
            </w:r>
            <w:r>
              <w:rPr>
                <w:rFonts w:ascii="宋体" w:hAnsi="宋体" w:cs="宋体" w:eastAsia="宋体" w:hint="default"/>
                <w:spacing w:val="-5"/>
                <w:w w:val="99"/>
                <w:sz w:val="18"/>
                <w:szCs w:val="18"/>
              </w:rPr>
              <w:t>），一种在云计算基础设施上为用户</w:t>
            </w:r>
            <w:r>
              <w:rPr>
                <w:rFonts w:ascii="宋体" w:hAnsi="宋体" w:cs="宋体" w:eastAsia="宋体" w:hint="default"/>
                <w:spacing w:val="-88"/>
                <w:w w:val="99"/>
                <w:sz w:val="18"/>
                <w:szCs w:val="18"/>
              </w:rPr>
              <w:t> </w:t>
            </w:r>
            <w:r>
              <w:rPr>
                <w:rFonts w:ascii="宋体" w:hAnsi="宋体" w:cs="宋体" w:eastAsia="宋体" w:hint="default"/>
                <w:spacing w:val="-88"/>
                <w:w w:val="99"/>
                <w:sz w:val="18"/>
                <w:szCs w:val="18"/>
              </w:rPr>
            </w:r>
            <w:r>
              <w:rPr>
                <w:rFonts w:ascii="宋体" w:hAnsi="宋体" w:cs="宋体" w:eastAsia="宋体" w:hint="default"/>
                <w:spacing w:val="-2"/>
                <w:sz w:val="18"/>
                <w:szCs w:val="18"/>
              </w:rPr>
              <w:t>提供软件部署和运行环境的服务。它能够为执行应用程序弹性的提供</w:t>
            </w:r>
          </w:p>
        </w:tc>
      </w:tr>
    </w:tbl>
    <w:p>
      <w:pPr>
        <w:spacing w:after="0" w:line="297"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363"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所需资源，并根据用户实际使用情况进行计费的服务。</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5G</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5rdGeneration</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缩写，第五代移动通信技术</w:t>
            </w:r>
          </w:p>
        </w:tc>
      </w:tr>
      <w:tr>
        <w:trPr>
          <w:trHeight w:val="133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边缘计算</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both"/>
              <w:rPr>
                <w:rFonts w:ascii="宋体" w:hAnsi="宋体" w:cs="宋体" w:eastAsia="宋体" w:hint="default"/>
                <w:sz w:val="18"/>
                <w:szCs w:val="18"/>
              </w:rPr>
            </w:pPr>
            <w:r>
              <w:rPr>
                <w:rFonts w:ascii="宋体" w:hAnsi="宋体" w:cs="宋体" w:eastAsia="宋体" w:hint="default"/>
                <w:spacing w:val="-2"/>
                <w:sz w:val="18"/>
                <w:szCs w:val="18"/>
              </w:rPr>
              <w:t>指在靠近物或数据源头的一侧，采用网络、计算、存储、应用核心能</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力为一体的开放平台，就近提供最近端服务。其应用程序在边缘侧发</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起，产生更快的网络服务响应，满足行业在实时业务、应用智能、安</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全与隐私保护等方面的基本需求。</w:t>
            </w:r>
          </w:p>
        </w:tc>
      </w:tr>
    </w:tbl>
    <w:p>
      <w:pPr>
        <w:spacing w:after="0" w:line="316" w:lineRule="auto"/>
        <w:jc w:val="both"/>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72.339996pt;margin-top:272.809998pt;width:361.55pt;height:19.6pt;mso-position-horizontal-relative:page;mso-position-vertical-relative:page;z-index:-1203544" coordorigin="3447,5456" coordsize="7231,392">
            <v:shape style="position:absolute;left:3447;top:5456;width:7231;height:392" coordorigin="3447,5456" coordsize="7231,392" path="m3447,5847l10677,5847,10677,5456,3447,5456,3447,5847xe" filled="true" fillcolor="#ffffff" stroked="false">
              <v:path arrowok="t"/>
              <v:fill type="solid"/>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2642" w:right="1133"/>
        <w:jc w:val="left"/>
        <w:rPr>
          <w:b w:val="0"/>
          <w:bCs w:val="0"/>
        </w:rPr>
      </w:pPr>
      <w:bookmarkStart w:name="_bookmark1" w:id="2"/>
      <w:bookmarkEnd w:id="2"/>
      <w:r>
        <w:rPr>
          <w:b w:val="0"/>
          <w:bCs w:val="0"/>
        </w:rPr>
      </w:r>
      <w:r>
        <w:rPr/>
        <w:t>第二节</w:t>
      </w:r>
      <w:r>
        <w:rPr>
          <w:spacing w:val="-5"/>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77"/>
        <w:gridCol w:w="2132"/>
        <w:gridCol w:w="2188"/>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7"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证通电子</w:t>
            </w:r>
          </w:p>
        </w:tc>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002197</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深圳市证通电子股份有限公司</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证通电子</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SZZT Electronics</w:t>
            </w:r>
            <w:r>
              <w:rPr>
                <w:rFonts w:ascii="Times New Roman"/>
                <w:spacing w:val="-9"/>
                <w:sz w:val="18"/>
              </w:rPr>
              <w:t> </w:t>
            </w:r>
            <w:r>
              <w:rPr>
                <w:rFonts w:ascii="Times New Roman"/>
                <w:spacing w:val="-3"/>
                <w:sz w:val="18"/>
              </w:rPr>
              <w:t>CO.,LTD</w:t>
            </w:r>
          </w:p>
        </w:tc>
      </w:tr>
      <w:tr>
        <w:trPr>
          <w:trHeight w:val="401"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SZZT</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曾胜强</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深圳市南山区粤海街道西海岸大厦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518054</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深圳市光明区同观路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号证通电子产业园</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518132</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http://www.szzt.com.cn</w:t>
              </w:r>
            </w:hyperlink>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ir@szzt.com.cn</w:t>
              </w:r>
            </w:hyperlink>
          </w:p>
        </w:tc>
      </w:tr>
    </w:tbl>
    <w:p>
      <w:pPr>
        <w:spacing w:line="240" w:lineRule="auto" w:before="1"/>
        <w:rPr>
          <w:rFonts w:ascii="宋体" w:hAnsi="宋体" w:cs="宋体" w:eastAsia="宋体" w:hint="default"/>
          <w:b/>
          <w:bCs/>
          <w:sz w:val="18"/>
          <w:szCs w:val="18"/>
        </w:rPr>
      </w:pPr>
    </w:p>
    <w:p>
      <w:pPr>
        <w:spacing w:before="26"/>
        <w:ind w:left="152" w:right="1133" w:firstLine="0"/>
        <w:jc w:val="left"/>
        <w:rPr>
          <w:rFonts w:ascii="宋体" w:hAnsi="宋体" w:cs="宋体" w:eastAsia="宋体" w:hint="default"/>
          <w:sz w:val="24"/>
          <w:szCs w:val="24"/>
        </w:rPr>
      </w:pPr>
      <w:r>
        <w:rPr>
          <w:rFonts w:ascii="宋体" w:hAnsi="宋体" w:cs="宋体" w:eastAsia="宋体" w:hint="default"/>
          <w:b/>
          <w:bCs/>
          <w:sz w:val="24"/>
          <w:szCs w:val="24"/>
        </w:rPr>
        <w:t>二、联系人和联系方式</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傅德亮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王芳</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深圳市光明区同观路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号证通电子产业</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园二期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深圳市光明区同观路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号证通电子产业</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园二期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394"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0755-26490118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0755-26490118</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0755-26490099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0755-26490099</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hyperlink r:id="rId11">
              <w:r>
                <w:rPr>
                  <w:rFonts w:ascii="Times New Roman"/>
                  <w:sz w:val="18"/>
                </w:rPr>
                <w:t>fudeliang@szzt.com.cn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wangfang@szzt.com.cn</w:t>
              </w:r>
            </w:hyperlink>
          </w:p>
        </w:tc>
      </w:tr>
    </w:tbl>
    <w:p>
      <w:pPr>
        <w:spacing w:line="240" w:lineRule="auto" w:before="1"/>
        <w:rPr>
          <w:rFonts w:ascii="宋体" w:hAnsi="宋体" w:cs="宋体" w:eastAsia="宋体" w:hint="default"/>
          <w:b/>
          <w:bCs/>
          <w:sz w:val="18"/>
          <w:szCs w:val="18"/>
        </w:rPr>
      </w:pPr>
    </w:p>
    <w:p>
      <w:pPr>
        <w:spacing w:before="26"/>
        <w:ind w:left="152" w:right="1133" w:firstLine="0"/>
        <w:jc w:val="left"/>
        <w:rPr>
          <w:rFonts w:ascii="宋体" w:hAnsi="宋体" w:cs="宋体" w:eastAsia="宋体" w:hint="default"/>
          <w:sz w:val="24"/>
          <w:szCs w:val="24"/>
        </w:rPr>
      </w:pPr>
      <w:r>
        <w:rPr>
          <w:rFonts w:ascii="宋体" w:hAnsi="宋体" w:cs="宋体" w:eastAsia="宋体" w:hint="default"/>
          <w:b/>
          <w:bCs/>
          <w:sz w:val="24"/>
          <w:szCs w:val="24"/>
        </w:rPr>
        <w:t>三、信息披露及备置地点</w:t>
      </w:r>
      <w:r>
        <w:rPr>
          <w:rFonts w:ascii="宋体" w:hAnsi="宋体" w:cs="宋体" w:eastAsia="宋体" w:hint="default"/>
          <w:sz w:val="24"/>
          <w:szCs w:val="24"/>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8"/>
        <w:rPr>
          <w:rFonts w:ascii="宋体" w:hAnsi="宋体" w:cs="宋体" w:eastAsia="宋体" w:hint="default"/>
          <w:b/>
          <w:bCs/>
          <w:sz w:val="23"/>
          <w:szCs w:val="23"/>
        </w:rPr>
      </w:pPr>
    </w:p>
    <w:p>
      <w:pPr>
        <w:spacing w:before="26"/>
        <w:ind w:left="152" w:right="1133" w:firstLine="0"/>
        <w:jc w:val="left"/>
        <w:rPr>
          <w:rFonts w:ascii="宋体" w:hAnsi="宋体" w:cs="宋体" w:eastAsia="宋体" w:hint="default"/>
          <w:sz w:val="24"/>
          <w:szCs w:val="24"/>
        </w:rPr>
      </w:pPr>
      <w:r>
        <w:rPr>
          <w:rFonts w:ascii="宋体" w:hAnsi="宋体" w:cs="宋体" w:eastAsia="宋体" w:hint="default"/>
          <w:b/>
          <w:bCs/>
          <w:sz w:val="24"/>
          <w:szCs w:val="24"/>
        </w:rPr>
        <w:t>四、注册变更情况</w:t>
      </w:r>
      <w:r>
        <w:rPr>
          <w:rFonts w:ascii="宋体" w:hAnsi="宋体" w:cs="宋体" w:eastAsia="宋体" w:hint="default"/>
          <w:sz w:val="24"/>
          <w:szCs w:val="24"/>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638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公司统一社会信用代码为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91440300279402305L</w:t>
            </w:r>
          </w:p>
        </w:tc>
      </w:tr>
      <w:tr>
        <w:trPr>
          <w:trHeight w:val="165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3"/>
              <w:jc w:val="both"/>
              <w:rPr>
                <w:rFonts w:ascii="宋体" w:hAnsi="宋体" w:cs="宋体" w:eastAsia="宋体" w:hint="default"/>
                <w:sz w:val="18"/>
                <w:szCs w:val="18"/>
              </w:rPr>
            </w:pPr>
            <w:r>
              <w:rPr>
                <w:rFonts w:ascii="宋体" w:hAnsi="宋体" w:cs="宋体" w:eastAsia="宋体" w:hint="default"/>
                <w:sz w:val="18"/>
                <w:szCs w:val="18"/>
              </w:rPr>
              <w:t>公司主营业务为金融电子业务、</w:t>
            </w:r>
            <w:r>
              <w:rPr>
                <w:rFonts w:ascii="Times New Roman" w:hAnsi="Times New Roman" w:cs="Times New Roman" w:eastAsia="Times New Roman" w:hint="default"/>
                <w:sz w:val="18"/>
                <w:szCs w:val="18"/>
              </w:rPr>
              <w:t>IDC </w:t>
            </w:r>
            <w:r>
              <w:rPr>
                <w:rFonts w:ascii="宋体" w:hAnsi="宋体" w:cs="宋体" w:eastAsia="宋体" w:hint="default"/>
                <w:sz w:val="18"/>
                <w:szCs w:val="18"/>
              </w:rPr>
              <w:t>及云计算业务、</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照明业务。金融电子业 务是公司成立至今的核心业务，公司从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年开始从事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 </w:t>
            </w:r>
            <w:r>
              <w:rPr>
                <w:rFonts w:ascii="宋体" w:hAnsi="宋体" w:cs="宋体" w:eastAsia="宋体" w:hint="default"/>
                <w:sz w:val="18"/>
                <w:szCs w:val="18"/>
              </w:rPr>
              <w:t>照明电子业务，后 期逐渐以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照明亮化工程业务为主。</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年公司进入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及云计算行业，成 为产品及服务涉及金融电子、</w:t>
            </w:r>
            <w:r>
              <w:rPr>
                <w:rFonts w:ascii="Times New Roman" w:hAnsi="Times New Roman" w:cs="Times New Roman" w:eastAsia="Times New Roman" w:hint="default"/>
                <w:sz w:val="18"/>
                <w:szCs w:val="18"/>
              </w:rPr>
              <w:t>IDC </w:t>
            </w:r>
            <w:r>
              <w:rPr>
                <w:rFonts w:ascii="宋体" w:hAnsi="宋体" w:cs="宋体" w:eastAsia="宋体" w:hint="default"/>
                <w:sz w:val="18"/>
                <w:szCs w:val="18"/>
              </w:rPr>
              <w:t>及云计算、</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照明三大领域，集自主研发、 生产、销售及服务为一体的现代化高科技企业。</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
        <w:rPr>
          <w:rFonts w:ascii="宋体" w:hAnsi="宋体" w:cs="宋体" w:eastAsia="宋体" w:hint="default"/>
          <w:b/>
          <w:bCs/>
          <w:sz w:val="18"/>
          <w:szCs w:val="18"/>
        </w:rPr>
      </w:pPr>
    </w:p>
    <w:p>
      <w:pPr>
        <w:spacing w:before="26"/>
        <w:ind w:left="152" w:right="1133" w:firstLine="0"/>
        <w:jc w:val="left"/>
        <w:rPr>
          <w:rFonts w:ascii="宋体" w:hAnsi="宋体" w:cs="宋体" w:eastAsia="宋体" w:hint="default"/>
          <w:sz w:val="24"/>
          <w:szCs w:val="24"/>
        </w:rPr>
      </w:pPr>
      <w:r>
        <w:rPr>
          <w:rFonts w:ascii="宋体" w:hAnsi="宋体" w:cs="宋体" w:eastAsia="宋体" w:hint="default"/>
          <w:b/>
          <w:bCs/>
          <w:sz w:val="24"/>
          <w:szCs w:val="24"/>
        </w:rPr>
        <w:t>五、其他有关资料</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中勤万信会计师事务所（特殊普通合伙）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深圳市南山区粤海街道学府路软件产业基地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栋裙楼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540.541.544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号房</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肖逸、李志光</w:t>
            </w:r>
          </w:p>
        </w:tc>
      </w:tr>
    </w:tbl>
    <w:p>
      <w:pPr>
        <w:pStyle w:val="BodyText"/>
        <w:spacing w:line="240" w:lineRule="auto" w:before="49"/>
        <w:ind w:right="1133"/>
        <w:jc w:val="left"/>
      </w:pPr>
      <w:r>
        <w:rPr/>
        <w:t>公司聘请的报告期内履行持续督导职责的保荐机构</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公司聘请的报告期内履行持续督导职责的财务顾问</w:t>
      </w:r>
    </w:p>
    <w:p>
      <w:pPr>
        <w:pStyle w:val="BodyText"/>
        <w:spacing w:line="240" w:lineRule="auto" w:before="42"/>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六、主要会计数据和财务指标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公司是否需追溯调整或重述以前年度会计数据</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813"/>
        <w:gridCol w:w="160"/>
        <w:gridCol w:w="1375"/>
        <w:gridCol w:w="1738"/>
        <w:gridCol w:w="1738"/>
        <w:gridCol w:w="1735"/>
      </w:tblGrid>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53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36" w:right="0"/>
              <w:jc w:val="left"/>
              <w:rPr>
                <w:rFonts w:ascii="Times New Roman" w:hAnsi="Times New Roman" w:cs="Times New Roman" w:eastAsia="Times New Roman" w:hint="default"/>
                <w:sz w:val="18"/>
                <w:szCs w:val="18"/>
              </w:rPr>
            </w:pPr>
            <w:r>
              <w:rPr>
                <w:rFonts w:ascii="Times New Roman"/>
                <w:sz w:val="18"/>
              </w:rPr>
              <w:t>1,332,398,508.95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1,682,593,168.29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1,795,906,799.75</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60"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13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-241,200,992.13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43,095,599.68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-659.69%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54,395,643.64</w:t>
            </w:r>
          </w:p>
        </w:tc>
      </w:tr>
      <w:tr>
        <w:trPr>
          <w:trHeight w:val="716"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性损益的净利润（元）</w:t>
            </w:r>
          </w:p>
        </w:tc>
        <w:tc>
          <w:tcPr>
            <w:tcW w:w="153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8" w:right="0"/>
              <w:jc w:val="left"/>
              <w:rPr>
                <w:rFonts w:ascii="Times New Roman" w:hAnsi="Times New Roman" w:cs="Times New Roman" w:eastAsia="Times New Roman" w:hint="default"/>
                <w:sz w:val="18"/>
                <w:szCs w:val="18"/>
              </w:rPr>
            </w:pPr>
            <w:r>
              <w:rPr>
                <w:rFonts w:ascii="Times New Roman"/>
                <w:sz w:val="18"/>
              </w:rPr>
              <w:t>-273,118,606.70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30,052,428.77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-1,008.81%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49,185,605.40</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60"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13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23,953,431.53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-724,673,391.47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-103.31%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146,807,140.65</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3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-687.50%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0.12</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3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-762.50%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0.12</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53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970" w:right="0"/>
              <w:jc w:val="left"/>
              <w:rPr>
                <w:rFonts w:ascii="Times New Roman" w:hAnsi="Times New Roman" w:cs="Times New Roman" w:eastAsia="Times New Roman" w:hint="default"/>
                <w:sz w:val="18"/>
                <w:szCs w:val="18"/>
              </w:rPr>
            </w:pPr>
            <w:r>
              <w:rPr>
                <w:rFonts w:ascii="Times New Roman"/>
                <w:sz w:val="18"/>
              </w:rPr>
              <w:t>-9.18%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53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36" w:right="0"/>
              <w:jc w:val="left"/>
              <w:rPr>
                <w:rFonts w:ascii="Times New Roman" w:hAnsi="Times New Roman" w:cs="Times New Roman" w:eastAsia="Times New Roman" w:hint="default"/>
                <w:sz w:val="18"/>
                <w:szCs w:val="18"/>
              </w:rPr>
            </w:pPr>
            <w:r>
              <w:rPr>
                <w:rFonts w:ascii="Times New Roman"/>
                <w:sz w:val="18"/>
              </w:rPr>
              <w:t>5,225,348,679.75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5,321,185,715.15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-1.80%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4,749,085,664.74</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60"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13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2,407,493,874.82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2,766,860,849.03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2,733,712,276.32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21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7"/>
        <w:rPr>
          <w:rFonts w:ascii="宋体" w:hAnsi="宋体" w:cs="宋体" w:eastAsia="宋体" w:hint="default"/>
          <w:sz w:val="19"/>
          <w:szCs w:val="19"/>
        </w:rPr>
      </w:pPr>
    </w:p>
    <w:p>
      <w:pPr>
        <w:pStyle w:val="Heading2"/>
        <w:spacing w:line="240" w:lineRule="auto"/>
        <w:ind w:right="1133"/>
        <w:jc w:val="left"/>
        <w:rPr>
          <w:b w:val="0"/>
          <w:bCs w:val="0"/>
        </w:rPr>
      </w:pPr>
      <w:r>
        <w:rPr/>
        <w:t>八、分季度主要财务指标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287,143,657.34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355,650,300.57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327,314,626.41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362,289,924.63</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4,127,126.67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29,557,592.87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2,716,501.66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-277,602,213.33</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-1,681,981.94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12,261,637.99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-2,844,991.07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-280,853,271.68</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-202,679,395.81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-77,611,779.99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87,565,651.61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216,678,955.72</w:t>
            </w:r>
          </w:p>
        </w:tc>
      </w:tr>
    </w:tbl>
    <w:p>
      <w:pPr>
        <w:pStyle w:val="BodyText"/>
        <w:spacing w:line="240" w:lineRule="auto" w:before="49"/>
        <w:ind w:right="1133"/>
        <w:jc w:val="left"/>
      </w:pPr>
      <w:r>
        <w:rPr/>
        <w:t>上述财务指标或其加总数是否与公司已披露季度报告、半年度报告相关财务指标存在重大差异</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九、非经常性损益项目及金额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290,363.17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-49,803.75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1,521.80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20,583,558.42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27,879,669.93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9,485,852.52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24,000,000.00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-16,894,616.95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-12,434,717.59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-4,694,508.98</w:t>
            </w: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1"/>
      </w:tblGrid>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669,972.32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3,089,619.75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413,564.52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-4,608,282.25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-737,642.07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-830,737.42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31,917,614.57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13,043,170.91</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5,210,038.24</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034"/>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11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46" w:right="1133"/>
        <w:jc w:val="left"/>
        <w:rPr>
          <w:b w:val="0"/>
          <w:bCs w:val="0"/>
        </w:rPr>
      </w:pPr>
      <w:bookmarkStart w:name="_bookmark2" w:id="3"/>
      <w:bookmarkEnd w:id="3"/>
      <w:r>
        <w:rPr>
          <w:b w:val="0"/>
          <w:bCs w:val="0"/>
        </w:rPr>
      </w:r>
      <w:r>
        <w:rPr/>
        <w:t>第三节</w:t>
      </w:r>
      <w:r>
        <w:rPr>
          <w:spacing w:val="-6"/>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否</w:t>
      </w:r>
    </w:p>
    <w:p>
      <w:pPr>
        <w:pStyle w:val="BodyText"/>
        <w:spacing w:line="451" w:lineRule="auto" w:before="104"/>
        <w:ind w:right="1146" w:firstLine="360"/>
        <w:jc w:val="both"/>
      </w:pPr>
      <w:r>
        <w:rPr/>
        <w:t>公司是一家产品及服务涉及金融电子、</w:t>
      </w:r>
      <w:r>
        <w:rPr>
          <w:rFonts w:ascii="Times New Roman" w:hAnsi="Times New Roman" w:cs="Times New Roman" w:eastAsia="Times New Roman" w:hint="default"/>
        </w:rPr>
        <w:t>IDC </w:t>
      </w:r>
      <w:r>
        <w:rPr/>
        <w:t>及云计算、</w:t>
      </w:r>
      <w:r>
        <w:rPr>
          <w:rFonts w:ascii="Times New Roman" w:hAnsi="Times New Roman" w:cs="Times New Roman" w:eastAsia="Times New Roman" w:hint="default"/>
        </w:rPr>
        <w:t>LED</w:t>
      </w:r>
      <w:r>
        <w:rPr>
          <w:rFonts w:ascii="Times New Roman" w:hAnsi="Times New Roman" w:cs="Times New Roman" w:eastAsia="Times New Roman" w:hint="default"/>
          <w:spacing w:val="8"/>
        </w:rPr>
        <w:t> </w:t>
      </w:r>
      <w:r>
        <w:rPr/>
        <w:t>照明三大领域，集自主研发、生产、销售及服务为一体的 现代化高科技企业。</w:t>
      </w:r>
    </w:p>
    <w:p>
      <w:pPr>
        <w:pStyle w:val="BodyText"/>
        <w:spacing w:line="451" w:lineRule="auto" w:before="74"/>
        <w:ind w:left="513" w:right="1129"/>
        <w:jc w:val="left"/>
      </w:pPr>
      <w:r>
        <w:rPr>
          <w:rFonts w:ascii="Times New Roman" w:hAnsi="Times New Roman" w:cs="Times New Roman" w:eastAsia="Times New Roman" w:hint="default"/>
        </w:rPr>
        <w:t>1</w:t>
      </w:r>
      <w:r>
        <w:rPr/>
        <w:t>、金融电子业务 </w:t>
      </w:r>
      <w:r>
        <w:rPr>
          <w:spacing w:val="-2"/>
        </w:rPr>
        <w:t>金融电子业务是公司成立至今的传统和核心业务，以自助服务终端、安全支付产品等硬件设备的研发、生产、销售为基</w:t>
      </w:r>
    </w:p>
    <w:p>
      <w:pPr>
        <w:pStyle w:val="BodyText"/>
        <w:spacing w:line="477" w:lineRule="auto" w:before="74"/>
        <w:ind w:right="1034"/>
        <w:jc w:val="left"/>
      </w:pPr>
      <w:r>
        <w:rPr>
          <w:spacing w:val="-2"/>
        </w:rPr>
        <w:t>础，硬件设备的业务领域逐步从银行业拓展到政务、第三方支付零售、充电桩、彩票、医疗、通信、税务、交通、地产、景</w:t>
      </w:r>
      <w:r>
        <w:rPr>
          <w:spacing w:val="-70"/>
        </w:rPr>
        <w:t> </w:t>
      </w:r>
      <w:r>
        <w:rPr>
          <w:spacing w:val="-70"/>
        </w:rPr>
      </w:r>
      <w:r>
        <w:rPr/>
        <w:t>区、院线、酒旅等跟人们生活密切相关的服务等其他行业。</w:t>
      </w:r>
    </w:p>
    <w:p>
      <w:pPr>
        <w:pStyle w:val="BodyText"/>
        <w:spacing w:line="424" w:lineRule="auto" w:before="54"/>
        <w:ind w:right="1130" w:firstLine="360"/>
        <w:jc w:val="both"/>
      </w:pPr>
      <w:r>
        <w:rPr>
          <w:spacing w:val="-2"/>
        </w:rPr>
        <w:t>近年来，互联网尤其是移动互联网、云计算等现代信息技术迅速发展，伴随着互联网金融的冲击，新兴金融服务模式和</w:t>
      </w:r>
      <w:r>
        <w:rPr/>
        <w:t> </w:t>
      </w:r>
      <w:r>
        <w:rPr>
          <w:spacing w:val="-5"/>
        </w:rPr>
        <w:t>新兴</w:t>
      </w:r>
      <w:r>
        <w:rPr>
          <w:rFonts w:ascii="Malgun Gothic" w:hAnsi="Malgun Gothic" w:cs="Malgun Gothic" w:eastAsia="Malgun Gothic" w:hint="default"/>
          <w:spacing w:val="-5"/>
        </w:rPr>
        <w:t>金融</w:t>
      </w:r>
      <w:r>
        <w:rPr>
          <w:spacing w:val="-5"/>
        </w:rPr>
        <w:t>业态的快速发展，传统银行向智慧银行转型升级，特别是自助终端作为业务场景的交互入口，承担着用户信息收集、</w:t>
      </w:r>
    </w:p>
    <w:p>
      <w:pPr>
        <w:pStyle w:val="BodyText"/>
        <w:spacing w:line="468" w:lineRule="auto" w:before="20"/>
        <w:ind w:right="1131"/>
        <w:jc w:val="both"/>
      </w:pPr>
      <w:r>
        <w:rPr/>
        <w:t>存储、传输和展现的功能，其信息安全一直以来是产业链上下游关注的焦点，伴随着</w:t>
      </w:r>
      <w:r>
        <w:rPr>
          <w:rFonts w:ascii="Times New Roman" w:hAnsi="Times New Roman" w:cs="Times New Roman" w:eastAsia="Times New Roman" w:hint="default"/>
        </w:rPr>
        <w:t>5G</w:t>
      </w:r>
      <w:r>
        <w:rPr/>
        <w:t>等新兴技术的快速兴起，信息安全 </w:t>
      </w:r>
      <w:r>
        <w:rPr>
          <w:spacing w:val="-2"/>
        </w:rPr>
        <w:t>的风险性必将提升。在此背景下，公司积极协同客户、产业上游，通过信息安全技术的研发和创新，保障自助终端安全、稳</w:t>
      </w:r>
      <w:r>
        <w:rPr>
          <w:spacing w:val="-70"/>
        </w:rPr>
        <w:t> </w:t>
      </w:r>
      <w:r>
        <w:rPr>
          <w:spacing w:val="-70"/>
        </w:rPr>
      </w:r>
      <w:r>
        <w:rPr>
          <w:spacing w:val="-2"/>
        </w:rPr>
        <w:t>健的运行，助推产业升级和创新，并在硬件设备上加强快速定制化交付能力建设，提升自身的核心竞争力，另一方面公司探</w:t>
      </w:r>
      <w:r>
        <w:rPr>
          <w:spacing w:val="-65"/>
        </w:rPr>
        <w:t> </w:t>
      </w:r>
      <w:r>
        <w:rPr>
          <w:spacing w:val="-65"/>
        </w:rPr>
      </w:r>
      <w:r>
        <w:rPr/>
        <w:t>索开展为银行业务转型提供咨询服务，并在银行网点及渠道转型升级提供信息系统的整体解决方案。</w:t>
      </w:r>
    </w:p>
    <w:p>
      <w:pPr>
        <w:pStyle w:val="BodyText"/>
        <w:spacing w:line="463" w:lineRule="auto" w:before="61"/>
        <w:ind w:right="1132" w:firstLine="360"/>
        <w:jc w:val="both"/>
      </w:pPr>
      <w:r>
        <w:rPr>
          <w:spacing w:val="-2"/>
        </w:rPr>
        <w:t>公司在金融电子业务板块主要经营模式为客户提供包括软硬件产品以及服务的综合性解决方案。主要产品包括：自助服</w:t>
      </w:r>
      <w:r>
        <w:rPr/>
        <w:t> 务终端、金融支付产品</w:t>
      </w:r>
      <w:r>
        <w:rPr>
          <w:rFonts w:ascii="Times New Roman" w:hAnsi="Times New Roman" w:cs="Times New Roman" w:eastAsia="Times New Roman" w:hint="default"/>
        </w:rPr>
        <w:t>(</w:t>
      </w:r>
      <w:r>
        <w:rPr/>
        <w:t>含电话</w:t>
      </w:r>
      <w:r>
        <w:rPr>
          <w:rFonts w:ascii="Times New Roman" w:hAnsi="Times New Roman" w:cs="Times New Roman" w:eastAsia="Times New Roman" w:hint="default"/>
        </w:rPr>
        <w:t>E-POS</w:t>
      </w:r>
      <w:r>
        <w:rPr/>
        <w:t>、金融</w:t>
      </w:r>
      <w:r>
        <w:rPr>
          <w:rFonts w:ascii="Times New Roman" w:hAnsi="Times New Roman" w:cs="Times New Roman" w:eastAsia="Times New Roman" w:hint="default"/>
        </w:rPr>
        <w:t>POS</w:t>
      </w:r>
      <w:r>
        <w:rPr/>
        <w:t>、智能</w:t>
      </w:r>
      <w:r>
        <w:rPr>
          <w:rFonts w:ascii="Times New Roman" w:hAnsi="Times New Roman" w:cs="Times New Roman" w:eastAsia="Times New Roman" w:hint="default"/>
        </w:rPr>
        <w:t>POS</w:t>
      </w:r>
      <w:r>
        <w:rPr>
          <w:rFonts w:ascii="Times New Roman" w:hAnsi="Times New Roman" w:cs="Times New Roman" w:eastAsia="Times New Roman" w:hint="default"/>
          <w:spacing w:val="23"/>
        </w:rPr>
        <w:t> </w:t>
      </w:r>
      <w:r>
        <w:rPr/>
        <w:t>、安全支付套件、彩票机</w:t>
      </w:r>
      <w:r>
        <w:rPr>
          <w:rFonts w:ascii="Times New Roman" w:hAnsi="Times New Roman" w:cs="Times New Roman" w:eastAsia="Times New Roman" w:hint="default"/>
        </w:rPr>
        <w:t>&amp;</w:t>
      </w:r>
      <w:r>
        <w:rPr/>
        <w:t>身份核查仪、扫描终端等</w:t>
      </w:r>
      <w:r>
        <w:rPr>
          <w:rFonts w:ascii="Times New Roman" w:hAnsi="Times New Roman" w:cs="Times New Roman" w:eastAsia="Times New Roman" w:hint="default"/>
        </w:rPr>
        <w:t>)</w:t>
      </w:r>
      <w:r>
        <w:rPr/>
        <w:t>、加密键 盘、智能机器人等，以及智慧网点综合服务平台、社区</w:t>
      </w:r>
      <w:r>
        <w:rPr>
          <w:rFonts w:ascii="Times New Roman" w:hAnsi="Times New Roman" w:cs="Times New Roman" w:eastAsia="Times New Roman" w:hint="default"/>
        </w:rPr>
        <w:t>O2O</w:t>
      </w:r>
      <w:r>
        <w:rPr/>
        <w:t>金融服务平台、机器互联云平台等软件及系统解决方案。</w:t>
      </w:r>
    </w:p>
    <w:p>
      <w:pPr>
        <w:pStyle w:val="BodyText"/>
        <w:spacing w:line="451" w:lineRule="auto" w:before="34"/>
        <w:ind w:left="513" w:right="1152"/>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IDC</w:t>
      </w:r>
      <w:r>
        <w:rPr>
          <w:rFonts w:ascii="Times New Roman" w:hAnsi="Times New Roman" w:cs="Times New Roman" w:eastAsia="Times New Roman" w:hint="default"/>
          <w:spacing w:val="26"/>
        </w:rPr>
        <w:t> </w:t>
      </w:r>
      <w:r>
        <w:rPr/>
        <w:t>及云计算业务 该业务的战略定位是</w:t>
      </w:r>
      <w:r>
        <w:rPr>
          <w:rFonts w:ascii="Times New Roman" w:hAnsi="Times New Roman" w:cs="Times New Roman" w:eastAsia="Times New Roman" w:hint="default"/>
        </w:rPr>
        <w:t>“IDC+</w:t>
      </w:r>
      <w:r>
        <w:rPr/>
        <w:t>生态</w:t>
      </w:r>
      <w:r>
        <w:rPr>
          <w:rFonts w:ascii="Times New Roman" w:hAnsi="Times New Roman" w:cs="Times New Roman" w:eastAsia="Times New Roman" w:hint="default"/>
        </w:rPr>
        <w:t>”</w:t>
      </w:r>
      <w:r>
        <w:rPr/>
        <w:t>，以数据为核心驱动，做智慧城市、智慧园区运营商。紧紧围绕</w:t>
      </w:r>
      <w:r>
        <w:rPr>
          <w:rFonts w:ascii="Times New Roman" w:hAnsi="Times New Roman" w:cs="Times New Roman" w:eastAsia="Times New Roman" w:hint="default"/>
        </w:rPr>
        <w:t>IDC</w:t>
      </w:r>
      <w:r>
        <w:rPr/>
        <w:t>数据中心</w:t>
      </w:r>
      <w:r>
        <w:rPr>
          <w:rFonts w:ascii="Times New Roman" w:hAnsi="Times New Roman" w:cs="Times New Roman" w:eastAsia="Times New Roman" w:hint="default"/>
        </w:rPr>
        <w:t>“</w:t>
      </w:r>
      <w:r>
        <w:rPr/>
        <w:t>存储和</w:t>
      </w:r>
    </w:p>
    <w:p>
      <w:pPr>
        <w:pStyle w:val="BodyText"/>
        <w:spacing w:line="451" w:lineRule="auto" w:before="43"/>
        <w:ind w:right="1129"/>
        <w:jc w:val="left"/>
      </w:pPr>
      <w:r>
        <w:rPr/>
        <w:t>计算</w:t>
      </w:r>
      <w:r>
        <w:rPr>
          <w:rFonts w:ascii="Times New Roman" w:hAnsi="Times New Roman" w:cs="Times New Roman" w:eastAsia="Times New Roman" w:hint="default"/>
        </w:rPr>
        <w:t>”</w:t>
      </w:r>
      <w:r>
        <w:rPr/>
        <w:t>两大功能。业务盈利模式是一方面通过机架租赁等方式，发挥数据中心的存储功能，盘活</w:t>
      </w:r>
      <w:r>
        <w:rPr>
          <w:rFonts w:ascii="Times New Roman" w:hAnsi="Times New Roman" w:cs="Times New Roman" w:eastAsia="Times New Roman" w:hint="default"/>
        </w:rPr>
        <w:t>IDC</w:t>
      </w:r>
      <w:r>
        <w:rPr/>
        <w:t>数据中心；另一方面是 </w:t>
      </w:r>
      <w:r>
        <w:rPr>
          <w:spacing w:val="-3"/>
        </w:rPr>
        <w:t>挖掘数据中心的计算功能，以证通云平台为业务基础和依托，开拓</w:t>
      </w:r>
      <w:r>
        <w:rPr>
          <w:rFonts w:ascii="Times New Roman" w:hAnsi="Times New Roman" w:cs="Times New Roman" w:eastAsia="Times New Roman" w:hint="default"/>
          <w:spacing w:val="-3"/>
        </w:rPr>
        <w:t>IDC+</w:t>
      </w:r>
      <w:r>
        <w:rPr>
          <w:spacing w:val="-3"/>
        </w:rPr>
        <w:t>数字化运营、智慧厂区、智慧园区等服务应用市场，</w:t>
      </w:r>
      <w:r>
        <w:rPr>
          <w:spacing w:val="-56"/>
        </w:rPr>
        <w:t> </w:t>
      </w:r>
      <w:r>
        <w:rPr>
          <w:spacing w:val="-56"/>
        </w:rPr>
      </w:r>
      <w:r>
        <w:rPr/>
        <w:t>提升</w:t>
      </w:r>
      <w:r>
        <w:rPr>
          <w:rFonts w:ascii="Times New Roman" w:hAnsi="Times New Roman" w:cs="Times New Roman" w:eastAsia="Times New Roman" w:hint="default"/>
        </w:rPr>
        <w:t>IDC</w:t>
      </w:r>
      <w:r>
        <w:rPr/>
        <w:t>的资产效益，获得增值服务和运营收益。</w:t>
      </w:r>
    </w:p>
    <w:p>
      <w:pPr>
        <w:pStyle w:val="BodyText"/>
        <w:spacing w:line="451" w:lineRule="auto" w:before="43"/>
        <w:ind w:right="1129" w:firstLine="360"/>
        <w:jc w:val="both"/>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IDC</w:t>
      </w:r>
      <w:r>
        <w:rPr>
          <w:spacing w:val="-2"/>
        </w:rPr>
        <w:t>业务：公司投资自建五大分布式高效节能的绿色数据中心，形成规模化的</w:t>
      </w:r>
      <w:r>
        <w:rPr>
          <w:rFonts w:ascii="Times New Roman" w:hAnsi="Times New Roman" w:cs="Times New Roman" w:eastAsia="Times New Roman" w:hint="default"/>
          <w:spacing w:val="-2"/>
        </w:rPr>
        <w:t>IDC</w:t>
      </w:r>
      <w:r>
        <w:rPr>
          <w:spacing w:val="-2"/>
        </w:rPr>
        <w:t>网络、分别处于粤港澳大湾区和</w:t>
      </w:r>
      <w:r>
        <w:rPr/>
        <w:t> </w:t>
      </w:r>
      <w:r>
        <w:rPr>
          <w:spacing w:val="-1"/>
        </w:rPr>
        <w:t>中部地区，区域联动性强。</w:t>
      </w:r>
      <w:r>
        <w:rPr>
          <w:rFonts w:ascii="Times New Roman" w:hAnsi="Times New Roman" w:cs="Times New Roman" w:eastAsia="Times New Roman" w:hint="default"/>
          <w:spacing w:val="-1"/>
        </w:rPr>
        <w:t>IDC</w:t>
      </w:r>
      <w:r>
        <w:rPr>
          <w:spacing w:val="-1"/>
        </w:rPr>
        <w:t>数据中心基础业务主要盈利模式为向金融类企业、互联网企业或政企客户收取机柜租金、带</w:t>
      </w:r>
      <w:r>
        <w:rPr>
          <w:spacing w:val="-67"/>
        </w:rPr>
        <w:t> </w:t>
      </w:r>
      <w:r>
        <w:rPr>
          <w:spacing w:val="-67"/>
        </w:rPr>
      </w:r>
      <w:r>
        <w:rPr/>
        <w:t>宽租金和增值服务等费用；还可为有需求客户提供数据中心架构、规划设计、运维、管理咨询中实现部分收入。</w:t>
      </w:r>
    </w:p>
    <w:p>
      <w:pPr>
        <w:pStyle w:val="BodyText"/>
        <w:spacing w:line="240" w:lineRule="auto" w:before="74"/>
        <w:ind w:left="513" w:right="1034"/>
        <w:jc w:val="left"/>
      </w:pPr>
      <w:r>
        <w:rPr/>
        <w:t>（</w:t>
      </w:r>
      <w:r>
        <w:rPr>
          <w:rFonts w:ascii="Times New Roman" w:hAnsi="Times New Roman" w:cs="Times New Roman" w:eastAsia="Times New Roman" w:hint="default"/>
        </w:rPr>
        <w:t>2</w:t>
      </w:r>
      <w:r>
        <w:rPr/>
        <w:t>）云计算业务：公司依托经可信云云服务认证的证通云平台，搭建能支持多项业务的云计算</w:t>
      </w:r>
      <w:r>
        <w:rPr>
          <w:rFonts w:ascii="Times New Roman" w:hAnsi="Times New Roman" w:cs="Times New Roman" w:eastAsia="Times New Roman" w:hint="default"/>
        </w:rPr>
        <w:t>IAAS</w:t>
      </w:r>
      <w:r>
        <w:rPr/>
        <w:t>层运营服务平台，</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8" w:lineRule="auto"/>
        <w:ind w:right="1129"/>
        <w:jc w:val="both"/>
      </w:pPr>
      <w:r>
        <w:rPr>
          <w:spacing w:val="-2"/>
        </w:rPr>
        <w:t>升级并拓展证通云栈、云池、云固、云监、云管、云数、云台等产品服务，致力于为客户提供最方便、最稳定、最安全、性</w:t>
      </w:r>
      <w:r>
        <w:rPr>
          <w:spacing w:val="-73"/>
        </w:rPr>
        <w:t> </w:t>
      </w:r>
      <w:r>
        <w:rPr>
          <w:spacing w:val="-73"/>
        </w:rPr>
      </w:r>
      <w:r>
        <w:rPr>
          <w:spacing w:val="-2"/>
        </w:rPr>
        <w:t>价比最高的云主机、云托管、云存储、云加速等云计算基础服务。主要包括提供虚拟机、存储、网络等</w:t>
      </w:r>
      <w:r>
        <w:rPr>
          <w:rFonts w:ascii="Times New Roman" w:hAnsi="Times New Roman" w:cs="Times New Roman" w:eastAsia="Times New Roman" w:hint="default"/>
          <w:spacing w:val="-2"/>
        </w:rPr>
        <w:t>IT</w:t>
      </w:r>
      <w:r>
        <w:rPr>
          <w:spacing w:val="-2"/>
        </w:rPr>
        <w:t>基础资源租用的云</w:t>
      </w:r>
      <w:r>
        <w:rPr>
          <w:spacing w:val="-56"/>
        </w:rPr>
        <w:t> </w:t>
      </w:r>
      <w:r>
        <w:rPr>
          <w:spacing w:val="-56"/>
        </w:rPr>
      </w:r>
      <w:r>
        <w:rPr>
          <w:spacing w:val="-2"/>
        </w:rPr>
        <w:t>主机服务；根据客户的集体需求搭建完全定制化云平台，提供从</w:t>
      </w:r>
      <w:r>
        <w:rPr>
          <w:rFonts w:ascii="Times New Roman" w:hAnsi="Times New Roman" w:cs="Times New Roman" w:eastAsia="Times New Roman" w:hint="default"/>
          <w:spacing w:val="-2"/>
        </w:rPr>
        <w:t>IT</w:t>
      </w:r>
      <w:r>
        <w:rPr>
          <w:spacing w:val="-2"/>
        </w:rPr>
        <w:t>业务咨询，云平台整体设计，云平台搭建及平台运维服务</w:t>
      </w:r>
      <w:r>
        <w:rPr>
          <w:spacing w:val="-50"/>
        </w:rPr>
        <w:t> </w:t>
      </w:r>
      <w:r>
        <w:rPr>
          <w:spacing w:val="-50"/>
        </w:rPr>
      </w:r>
      <w:r>
        <w:rPr/>
        <w:t>等一体化私有云服务；基于独享或者共享的物理资源，为客户提供专项的云资源托管服务；</w:t>
      </w:r>
      <w:r>
        <w:rPr>
          <w:rFonts w:ascii="Times New Roman" w:hAnsi="Times New Roman" w:cs="Times New Roman" w:eastAsia="Times New Roman" w:hint="default"/>
        </w:rPr>
        <w:t>SAAS</w:t>
      </w:r>
      <w:r>
        <w:rPr/>
        <w:t>应用层提供政务云、警务 云、交通云、民生云、工业云、惠农云及旅游云等应用服务等。</w:t>
      </w:r>
    </w:p>
    <w:p>
      <w:pPr>
        <w:pStyle w:val="BodyText"/>
        <w:spacing w:line="477" w:lineRule="auto" w:before="68"/>
        <w:ind w:right="1129" w:firstLine="360"/>
        <w:jc w:val="both"/>
      </w:pPr>
      <w:r>
        <w:rPr>
          <w:spacing w:val="-2"/>
        </w:rPr>
        <w:t>公司基于证通云服务，依托公司在智慧城市、智慧园区应用架构上的全面信息感知能力、海量数据处理能力和智能管理</w:t>
      </w:r>
      <w:r>
        <w:rPr/>
        <w:t> </w:t>
      </w:r>
      <w:r>
        <w:rPr>
          <w:spacing w:val="-2"/>
        </w:rPr>
        <w:t>服务能力，融合智慧金融、云计算及智慧园区等多元化解决方案，构建全面的智慧城市、智慧园区应用服务体系，满足客户</w:t>
      </w:r>
      <w:r>
        <w:rPr>
          <w:spacing w:val="-67"/>
        </w:rPr>
        <w:t> </w:t>
      </w:r>
      <w:r>
        <w:rPr>
          <w:spacing w:val="-67"/>
        </w:rPr>
      </w:r>
      <w:r>
        <w:rPr>
          <w:spacing w:val="-2"/>
        </w:rPr>
        <w:t>多样化的需求。在为客户提供云计算及软件服务、数字化运营服务、智慧园区、智慧产业园与智慧照明等智慧城市项目总包</w:t>
      </w:r>
      <w:r>
        <w:rPr>
          <w:spacing w:val="-64"/>
        </w:rPr>
        <w:t> </w:t>
      </w:r>
      <w:r>
        <w:rPr>
          <w:spacing w:val="-64"/>
        </w:rPr>
      </w:r>
      <w:r>
        <w:rPr/>
        <w:t>运营中实现收入。</w:t>
      </w:r>
    </w:p>
    <w:p>
      <w:pPr>
        <w:pStyle w:val="BodyText"/>
        <w:spacing w:line="240" w:lineRule="auto" w:before="54"/>
        <w:ind w:left="513" w:right="1133"/>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LED</w:t>
      </w:r>
      <w:r>
        <w:rPr>
          <w:rFonts w:ascii="Times New Roman" w:hAnsi="Times New Roman" w:cs="Times New Roman" w:eastAsia="Times New Roman" w:hint="default"/>
          <w:spacing w:val="25"/>
        </w:rPr>
        <w:t> </w:t>
      </w:r>
      <w:r>
        <w:rPr/>
        <w:t>照明电子</w:t>
      </w:r>
    </w:p>
    <w:p>
      <w:pPr>
        <w:spacing w:line="240" w:lineRule="auto" w:before="9"/>
        <w:rPr>
          <w:rFonts w:ascii="宋体" w:hAnsi="宋体" w:cs="宋体" w:eastAsia="宋体" w:hint="default"/>
          <w:sz w:val="16"/>
          <w:szCs w:val="16"/>
        </w:rPr>
      </w:pPr>
    </w:p>
    <w:p>
      <w:pPr>
        <w:pStyle w:val="BodyText"/>
        <w:spacing w:line="451" w:lineRule="auto"/>
        <w:ind w:right="1132" w:firstLine="360"/>
        <w:jc w:val="both"/>
      </w:pPr>
      <w:r>
        <w:rPr>
          <w:rFonts w:ascii="Times New Roman" w:hAnsi="Times New Roman" w:cs="Times New Roman" w:eastAsia="Times New Roman" w:hint="default"/>
          <w:spacing w:val="-2"/>
        </w:rPr>
        <w:t>LED</w:t>
      </w:r>
      <w:r>
        <w:rPr>
          <w:spacing w:val="-2"/>
        </w:rPr>
        <w:t>照明电子业务主要为</w:t>
      </w:r>
      <w:r>
        <w:rPr>
          <w:rFonts w:ascii="Times New Roman" w:hAnsi="Times New Roman" w:cs="Times New Roman" w:eastAsia="Times New Roman" w:hint="default"/>
          <w:spacing w:val="-2"/>
        </w:rPr>
        <w:t>LED</w:t>
      </w:r>
      <w:r>
        <w:rPr>
          <w:spacing w:val="-2"/>
        </w:rPr>
        <w:t>道路照明产品和商业照明产品生产和销售，业务开展方式包括合同能源管理、城市道路照</w:t>
      </w:r>
      <w:r>
        <w:rPr/>
        <w:t> </w:t>
      </w:r>
      <w:r>
        <w:rPr>
          <w:spacing w:val="-1"/>
        </w:rPr>
        <w:t>明及景观照明亮化工程等，与公司</w:t>
      </w:r>
      <w:r>
        <w:rPr>
          <w:rFonts w:ascii="Times New Roman" w:hAnsi="Times New Roman" w:cs="Times New Roman" w:eastAsia="Times New Roman" w:hint="default"/>
          <w:spacing w:val="-1"/>
        </w:rPr>
        <w:t>IDC</w:t>
      </w:r>
      <w:r>
        <w:rPr>
          <w:spacing w:val="-1"/>
        </w:rPr>
        <w:t>及云计算服务能力协力有效支撑智慧城市服务应用及运营，实现智慧照明的可持续发</w:t>
      </w:r>
      <w:r>
        <w:rPr>
          <w:spacing w:val="-70"/>
        </w:rPr>
        <w:t> </w:t>
      </w:r>
      <w:r>
        <w:rPr>
          <w:spacing w:val="-70"/>
        </w:rPr>
      </w:r>
      <w:r>
        <w:rPr/>
        <w:t>展。</w:t>
      </w:r>
    </w:p>
    <w:p>
      <w:pPr>
        <w:spacing w:line="240" w:lineRule="auto" w:before="0"/>
        <w:rPr>
          <w:rFonts w:ascii="宋体" w:hAnsi="宋体" w:cs="宋体" w:eastAsia="宋体" w:hint="default"/>
          <w:sz w:val="19"/>
          <w:szCs w:val="19"/>
        </w:rPr>
      </w:pPr>
    </w:p>
    <w:p>
      <w:pPr>
        <w:pStyle w:val="Heading2"/>
        <w:spacing w:line="240" w:lineRule="auto"/>
        <w:ind w:right="0"/>
        <w:jc w:val="both"/>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051"/>
        <w:gridCol w:w="6519"/>
      </w:tblGrid>
      <w:tr>
        <w:trPr>
          <w:trHeight w:val="187"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10" w:space="0" w:color="D2D2D2"/>
              <w:right w:val="single" w:sz="4" w:space="0" w:color="000000"/>
            </w:tcBorders>
          </w:tcPr>
          <w:p>
            <w:pPr>
              <w:pStyle w:val="TableParagraph"/>
              <w:spacing w:line="297" w:lineRule="auto" w:before="51"/>
              <w:ind w:left="16" w:right="22"/>
              <w:jc w:val="left"/>
              <w:rPr>
                <w:rFonts w:ascii="宋体" w:hAnsi="宋体" w:cs="宋体" w:eastAsia="宋体" w:hint="default"/>
                <w:sz w:val="18"/>
                <w:szCs w:val="18"/>
              </w:rPr>
            </w:pPr>
            <w:r>
              <w:rPr>
                <w:rFonts w:ascii="宋体" w:hAnsi="宋体" w:cs="宋体" w:eastAsia="宋体" w:hint="default"/>
                <w:sz w:val="18"/>
                <w:szCs w:val="18"/>
              </w:rPr>
              <w:t>较报告期初增加</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37.93%</w:t>
            </w:r>
            <w:r>
              <w:rPr>
                <w:rFonts w:ascii="宋体" w:hAnsi="宋体" w:cs="宋体" w:eastAsia="宋体" w:hint="default"/>
                <w:spacing w:val="-3"/>
                <w:sz w:val="18"/>
                <w:szCs w:val="18"/>
              </w:rPr>
              <w:t>，主要原因系报告期内公司投资参股湖北神狐及追加公司参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股公司盛灿科技股权投资所致。</w:t>
            </w: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vMerge/>
            <w:tcBorders>
              <w:left w:val="single" w:sz="10" w:space="0" w:color="D2D2D2"/>
              <w:right w:val="single" w:sz="4" w:space="0" w:color="000000"/>
            </w:tcBorders>
          </w:tcPr>
          <w:p>
            <w:pPr/>
          </w:p>
        </w:tc>
      </w:tr>
      <w:tr>
        <w:trPr>
          <w:trHeight w:val="161"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10" w:space="0" w:color="D2D2D2"/>
              <w:bottom w:val="single" w:sz="4" w:space="0" w:color="000000"/>
              <w:right w:val="single" w:sz="4" w:space="0" w:color="000000"/>
            </w:tcBorders>
          </w:tcPr>
          <w:p>
            <w:pPr/>
          </w:p>
        </w:tc>
      </w:tr>
      <w:tr>
        <w:trPr>
          <w:trHeight w:val="161"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10" w:space="0" w:color="D2D2D2"/>
              <w:right w:val="single" w:sz="4" w:space="0" w:color="000000"/>
            </w:tcBorders>
          </w:tcPr>
          <w:p>
            <w:pPr>
              <w:pStyle w:val="TableParagraph"/>
              <w:spacing w:line="300" w:lineRule="auto" w:before="49"/>
              <w:ind w:left="16" w:right="83"/>
              <w:jc w:val="left"/>
              <w:rPr>
                <w:rFonts w:ascii="宋体" w:hAnsi="宋体" w:cs="宋体" w:eastAsia="宋体" w:hint="default"/>
                <w:sz w:val="18"/>
                <w:szCs w:val="18"/>
              </w:rPr>
            </w:pPr>
            <w:r>
              <w:rPr>
                <w:rFonts w:ascii="宋体" w:hAnsi="宋体" w:cs="宋体" w:eastAsia="宋体" w:hint="default"/>
                <w:sz w:val="18"/>
                <w:szCs w:val="18"/>
              </w:rPr>
              <w:t>较报告期初增加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57.32%</w:t>
            </w:r>
            <w:r>
              <w:rPr>
                <w:rFonts w:ascii="宋体" w:hAnsi="宋体" w:cs="宋体" w:eastAsia="宋体" w:hint="default"/>
                <w:sz w:val="18"/>
                <w:szCs w:val="18"/>
              </w:rPr>
              <w:t>，主要系报告期内公司位于深圳及长沙的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数据中心在 建工程转固导致房屋建筑物及专用设备增加所致。</w:t>
            </w: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vMerge/>
            <w:tcBorders>
              <w:left w:val="single" w:sz="10" w:space="0" w:color="D2D2D2"/>
              <w:right w:val="single" w:sz="4" w:space="0" w:color="000000"/>
            </w:tcBorders>
          </w:tcPr>
          <w:p>
            <w:pPr/>
          </w:p>
        </w:tc>
      </w:tr>
      <w:tr>
        <w:trPr>
          <w:trHeight w:val="161"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10" w:space="0" w:color="D2D2D2"/>
              <w:bottom w:val="single" w:sz="4" w:space="0" w:color="000000"/>
              <w:right w:val="single" w:sz="4" w:space="0" w:color="000000"/>
            </w:tcBorders>
          </w:tcPr>
          <w:p>
            <w:pPr/>
          </w:p>
        </w:tc>
      </w:tr>
      <w:tr>
        <w:trPr>
          <w:trHeight w:val="40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161"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10" w:space="0" w:color="D2D2D2"/>
              <w:right w:val="single" w:sz="4" w:space="0" w:color="000000"/>
            </w:tcBorders>
          </w:tcPr>
          <w:p>
            <w:pPr>
              <w:pStyle w:val="TableParagraph"/>
              <w:spacing w:line="300" w:lineRule="auto" w:before="49"/>
              <w:ind w:left="16" w:right="83"/>
              <w:jc w:val="left"/>
              <w:rPr>
                <w:rFonts w:ascii="宋体" w:hAnsi="宋体" w:cs="宋体" w:eastAsia="宋体" w:hint="default"/>
                <w:sz w:val="18"/>
                <w:szCs w:val="18"/>
              </w:rPr>
            </w:pPr>
            <w:r>
              <w:rPr>
                <w:rFonts w:ascii="宋体" w:hAnsi="宋体" w:cs="宋体" w:eastAsia="宋体" w:hint="default"/>
                <w:sz w:val="18"/>
                <w:szCs w:val="18"/>
              </w:rPr>
              <w:t>较报告期初减少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40.24%</w:t>
            </w:r>
            <w:r>
              <w:rPr>
                <w:rFonts w:ascii="宋体" w:hAnsi="宋体" w:cs="宋体" w:eastAsia="宋体" w:hint="default"/>
                <w:sz w:val="18"/>
                <w:szCs w:val="18"/>
              </w:rPr>
              <w:t>主要系报告期内公司深圳及长沙的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数据中心建设完成 转入固定资产，及本期新增在建工程项目投资较上期减少所致。</w:t>
            </w: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vMerge/>
            <w:tcBorders>
              <w:left w:val="single" w:sz="10" w:space="0" w:color="D2D2D2"/>
              <w:right w:val="single" w:sz="4" w:space="0" w:color="000000"/>
            </w:tcBorders>
          </w:tcPr>
          <w:p>
            <w:pPr/>
          </w:p>
        </w:tc>
      </w:tr>
      <w:tr>
        <w:trPr>
          <w:trHeight w:val="161"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10" w:space="0" w:color="D2D2D2"/>
              <w:bottom w:val="single" w:sz="4" w:space="0" w:color="000000"/>
              <w:right w:val="single" w:sz="4" w:space="0" w:color="000000"/>
            </w:tcBorders>
          </w:tcPr>
          <w:p>
            <w:pPr/>
          </w:p>
        </w:tc>
      </w:tr>
      <w:tr>
        <w:trPr>
          <w:trHeight w:val="715"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23"/>
              <w:jc w:val="left"/>
              <w:rPr>
                <w:rFonts w:ascii="宋体" w:hAnsi="宋体" w:cs="宋体" w:eastAsia="宋体" w:hint="default"/>
                <w:sz w:val="18"/>
                <w:szCs w:val="18"/>
              </w:rPr>
            </w:pPr>
            <w:r>
              <w:rPr>
                <w:rFonts w:ascii="宋体" w:hAnsi="宋体" w:cs="宋体" w:eastAsia="宋体" w:hint="default"/>
                <w:sz w:val="18"/>
                <w:szCs w:val="18"/>
              </w:rPr>
              <w:t>较报告期初减少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65.17%</w:t>
            </w:r>
            <w:r>
              <w:rPr>
                <w:rFonts w:ascii="宋体" w:hAnsi="宋体" w:cs="宋体" w:eastAsia="宋体" w:hint="default"/>
                <w:sz w:val="18"/>
                <w:szCs w:val="18"/>
              </w:rPr>
              <w:t>，主要原因系报告期内公司工程项目完工后结转至成本所 致。</w:t>
            </w:r>
          </w:p>
        </w:tc>
      </w:tr>
      <w:tr>
        <w:trPr>
          <w:trHeight w:val="71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较报告期初增加</w:t>
            </w:r>
            <w:r>
              <w:rPr>
                <w:rFonts w:ascii="宋体" w:hAnsi="宋体" w:cs="宋体" w:eastAsia="宋体" w:hint="default"/>
                <w:spacing w:val="-35"/>
                <w:sz w:val="18"/>
                <w:szCs w:val="18"/>
              </w:rPr>
              <w:t> </w:t>
            </w:r>
            <w:r>
              <w:rPr>
                <w:rFonts w:ascii="Times New Roman" w:hAnsi="Times New Roman" w:cs="Times New Roman" w:eastAsia="Times New Roman" w:hint="default"/>
                <w:spacing w:val="-3"/>
                <w:sz w:val="18"/>
                <w:szCs w:val="18"/>
              </w:rPr>
              <w:t>34.32%</w:t>
            </w:r>
            <w:r>
              <w:rPr>
                <w:rFonts w:ascii="宋体" w:hAnsi="宋体" w:cs="宋体" w:eastAsia="宋体" w:hint="default"/>
                <w:spacing w:val="-3"/>
                <w:sz w:val="18"/>
                <w:szCs w:val="18"/>
              </w:rPr>
              <w:t>，主要原因系报告期内公司工程项目投保及履约保证金增加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所致。</w:t>
            </w:r>
          </w:p>
        </w:tc>
      </w:tr>
      <w:tr>
        <w:trPr>
          <w:trHeight w:val="1028"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22"/>
              <w:jc w:val="both"/>
              <w:rPr>
                <w:rFonts w:ascii="宋体" w:hAnsi="宋体" w:cs="宋体" w:eastAsia="宋体" w:hint="default"/>
                <w:sz w:val="18"/>
                <w:szCs w:val="18"/>
              </w:rPr>
            </w:pPr>
            <w:r>
              <w:rPr>
                <w:rFonts w:ascii="宋体" w:hAnsi="宋体" w:cs="宋体" w:eastAsia="宋体" w:hint="default"/>
                <w:sz w:val="18"/>
                <w:szCs w:val="18"/>
              </w:rPr>
              <w:t>较报告期初减少</w:t>
            </w:r>
            <w:r>
              <w:rPr>
                <w:rFonts w:ascii="宋体" w:hAnsi="宋体" w:cs="宋体" w:eastAsia="宋体" w:hint="default"/>
                <w:spacing w:val="-35"/>
                <w:sz w:val="18"/>
                <w:szCs w:val="18"/>
              </w:rPr>
              <w:t> </w:t>
            </w:r>
            <w:r>
              <w:rPr>
                <w:rFonts w:ascii="Times New Roman" w:hAnsi="Times New Roman" w:cs="Times New Roman" w:eastAsia="Times New Roman" w:hint="default"/>
                <w:spacing w:val="-3"/>
                <w:sz w:val="18"/>
                <w:szCs w:val="18"/>
              </w:rPr>
              <w:t>30.59%</w:t>
            </w:r>
            <w:r>
              <w:rPr>
                <w:rFonts w:ascii="宋体" w:hAnsi="宋体" w:cs="宋体" w:eastAsia="宋体" w:hint="default"/>
                <w:spacing w:val="-3"/>
                <w:sz w:val="18"/>
                <w:szCs w:val="18"/>
              </w:rPr>
              <w:t>，主要原因系报告期内公司根据外部市场环境和公司当前业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务结构的实际情况，基于谨慎性原则，增加金融电子库存品相关的存货跌价准备所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致。</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较报告期初减少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60.19%</w:t>
            </w:r>
            <w:r>
              <w:rPr>
                <w:rFonts w:ascii="宋体" w:hAnsi="宋体" w:cs="宋体" w:eastAsia="宋体" w:hint="default"/>
                <w:sz w:val="18"/>
                <w:szCs w:val="18"/>
              </w:rPr>
              <w:t>，主要系报告期内公司银行结构性存款到期所致。</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051"/>
        <w:gridCol w:w="6519"/>
      </w:tblGrid>
      <w:tr>
        <w:trPr>
          <w:trHeight w:val="716"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较报告期初增加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99.19%</w:t>
            </w:r>
            <w:r>
              <w:rPr>
                <w:rFonts w:ascii="宋体" w:hAnsi="宋体" w:cs="宋体" w:eastAsia="宋体" w:hint="default"/>
                <w:sz w:val="18"/>
                <w:szCs w:val="18"/>
              </w:rPr>
              <w:t>，主要系报告期内对应收账款及存货计提减值损失增加所 致。</w:t>
            </w:r>
          </w:p>
        </w:tc>
      </w:tr>
    </w:tbl>
    <w:p>
      <w:pPr>
        <w:spacing w:line="240" w:lineRule="auto" w:before="3"/>
        <w:rPr>
          <w:rFonts w:ascii="宋体" w:hAnsi="宋体" w:cs="宋体" w:eastAsia="宋体" w:hint="default"/>
          <w:b/>
          <w:bCs/>
          <w:sz w:val="19"/>
          <w:szCs w:val="19"/>
        </w:rPr>
      </w:pPr>
    </w:p>
    <w:p>
      <w:pPr>
        <w:spacing w:before="36"/>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、主要境外资产情况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7694"/>
        <w:jc w:val="left"/>
      </w:pPr>
      <w:r>
        <w:rPr/>
        <w:t>公司是否需要遵守特殊行业的披露要求 否</w:t>
      </w:r>
    </w:p>
    <w:p>
      <w:pPr>
        <w:pStyle w:val="BodyText"/>
        <w:spacing w:line="451" w:lineRule="auto" w:before="109"/>
        <w:ind w:left="513" w:right="1129"/>
        <w:jc w:val="left"/>
      </w:pPr>
      <w:r>
        <w:rPr>
          <w:rFonts w:ascii="Times New Roman" w:hAnsi="Times New Roman" w:cs="Times New Roman" w:eastAsia="Times New Roman" w:hint="default"/>
        </w:rPr>
        <w:t>1</w:t>
      </w:r>
      <w:r>
        <w:rPr/>
        <w:t>、研发和技术优势 </w:t>
      </w:r>
      <w:r>
        <w:rPr>
          <w:spacing w:val="-2"/>
        </w:rPr>
        <w:t>公司是国内最早生产金融电子设备的高新技术企业之一，具有较强研发技术优势。公司二十多年来积累了丰富的技术诀</w:t>
      </w:r>
    </w:p>
    <w:p>
      <w:pPr>
        <w:pStyle w:val="BodyText"/>
        <w:spacing w:line="477" w:lineRule="auto" w:before="74"/>
        <w:ind w:right="1131"/>
        <w:jc w:val="both"/>
      </w:pPr>
      <w:r>
        <w:rPr>
          <w:spacing w:val="-2"/>
        </w:rPr>
        <w:t>窍和专有技术，拥有多项能够大幅提高生产效率、降低生产成本的非专利技术，为准确快速制定应用方案、快捷提供优质产</w:t>
      </w:r>
      <w:r>
        <w:rPr>
          <w:spacing w:val="-65"/>
        </w:rPr>
        <w:t> </w:t>
      </w:r>
      <w:r>
        <w:rPr>
          <w:spacing w:val="-65"/>
        </w:rPr>
      </w:r>
      <w:r>
        <w:rPr>
          <w:spacing w:val="-5"/>
        </w:rPr>
        <w:t>品提供了保障。公司为国家级高新技术企业，拥有深圳市市级研究开发中心；国家商用密码产品研发、生产、销售定点单位；</w:t>
      </w:r>
      <w:r>
        <w:rPr>
          <w:spacing w:val="-80"/>
        </w:rPr>
        <w:t> </w:t>
      </w:r>
      <w:r>
        <w:rPr>
          <w:spacing w:val="-80"/>
        </w:rPr>
      </w:r>
      <w:r>
        <w:rPr>
          <w:spacing w:val="-2"/>
        </w:rPr>
        <w:t>国家高技术产业化发展项目示范单位；国家金融支付信息安全产品产业化基地。报告期内，公司不断提升自主研发能力，积</w:t>
      </w:r>
      <w:r>
        <w:rPr>
          <w:spacing w:val="-64"/>
        </w:rPr>
        <w:t> </w:t>
      </w:r>
      <w:r>
        <w:rPr>
          <w:spacing w:val="-64"/>
        </w:rPr>
      </w:r>
      <w:r>
        <w:rPr>
          <w:spacing w:val="-2"/>
        </w:rPr>
        <w:t>累了在云计算和大数据智能的技术，进一步驱动公司产品、服务和解决方案的多样化，可满足智慧城市建设在基础设施、系</w:t>
      </w:r>
      <w:r>
        <w:rPr>
          <w:spacing w:val="-65"/>
        </w:rPr>
        <w:t> </w:t>
      </w:r>
      <w:r>
        <w:rPr>
          <w:spacing w:val="-65"/>
        </w:rPr>
      </w:r>
      <w:r>
        <w:rPr>
          <w:spacing w:val="-2"/>
        </w:rPr>
        <w:t>统集成、研发运营以及投资上的全部核心竞争力。公司与同行业其他企业相比，在技术、知识产权等方面具有一定的竞争优</w:t>
      </w:r>
      <w:r>
        <w:rPr>
          <w:spacing w:val="-64"/>
        </w:rPr>
        <w:t> </w:t>
      </w:r>
      <w:r>
        <w:rPr>
          <w:spacing w:val="-64"/>
        </w:rPr>
      </w:r>
      <w:r>
        <w:rPr/>
        <w:t>势。</w:t>
      </w:r>
    </w:p>
    <w:p>
      <w:pPr>
        <w:pStyle w:val="BodyText"/>
        <w:spacing w:line="451" w:lineRule="auto" w:before="54"/>
        <w:ind w:left="513" w:right="1129"/>
        <w:jc w:val="left"/>
      </w:pPr>
      <w:r>
        <w:rPr>
          <w:rFonts w:ascii="Times New Roman" w:hAnsi="Times New Roman" w:cs="Times New Roman" w:eastAsia="Times New Roman" w:hint="default"/>
        </w:rPr>
        <w:t>2</w:t>
      </w:r>
      <w:r>
        <w:rPr/>
        <w:t>、客户和品牌优势 </w:t>
      </w:r>
      <w:r>
        <w:rPr>
          <w:spacing w:val="-2"/>
        </w:rPr>
        <w:t>公司多年来深耕金融领域，向银行客户提供自助服务终端、支付产品、柜面产品等多个产品系统，积累了优质的客户资</w:t>
      </w:r>
    </w:p>
    <w:p>
      <w:pPr>
        <w:pStyle w:val="BodyText"/>
        <w:spacing w:line="451" w:lineRule="auto" w:before="74"/>
        <w:ind w:right="1131"/>
        <w:jc w:val="both"/>
      </w:pPr>
      <w:r>
        <w:rPr>
          <w:spacing w:val="-2"/>
        </w:rPr>
        <w:t>源，与国内五大国有银行、主要股份制银行构建了紧密的客户关系，</w:t>
      </w:r>
      <w:r>
        <w:rPr>
          <w:rFonts w:ascii="Times New Roman" w:hAnsi="Times New Roman" w:cs="Times New Roman" w:eastAsia="Times New Roman" w:hint="default"/>
          <w:spacing w:val="-2"/>
        </w:rPr>
        <w:t>“</w:t>
      </w:r>
      <w:r>
        <w:rPr>
          <w:spacing w:val="-2"/>
        </w:rPr>
        <w:t>证通</w:t>
      </w:r>
      <w:r>
        <w:rPr>
          <w:rFonts w:ascii="Times New Roman" w:hAnsi="Times New Roman" w:cs="Times New Roman" w:eastAsia="Times New Roman" w:hint="default"/>
          <w:spacing w:val="-2"/>
        </w:rPr>
        <w:t>”</w:t>
      </w:r>
      <w:r>
        <w:rPr>
          <w:spacing w:val="-2"/>
        </w:rPr>
        <w:t>品牌在在金融电子领域具有较高的知名度，是公</w:t>
      </w:r>
      <w:r>
        <w:rPr>
          <w:spacing w:val="-44"/>
        </w:rPr>
        <w:t> </w:t>
      </w:r>
      <w:r>
        <w:rPr>
          <w:spacing w:val="-44"/>
        </w:rPr>
      </w:r>
      <w:r>
        <w:rPr>
          <w:spacing w:val="-4"/>
        </w:rPr>
        <w:t>司金融电子业务持续发展的关键因素，同时品牌优势为公司金融电子业务拓展其他客户，以及公司在</w:t>
      </w:r>
      <w:r>
        <w:rPr>
          <w:rFonts w:ascii="Times New Roman" w:hAnsi="Times New Roman" w:cs="Times New Roman" w:eastAsia="Times New Roman" w:hint="default"/>
          <w:spacing w:val="-4"/>
        </w:rPr>
        <w:t>IDC</w:t>
      </w:r>
      <w:r>
        <w:rPr>
          <w:spacing w:val="-4"/>
        </w:rPr>
        <w:t>及云计算业务、</w:t>
      </w:r>
      <w:r>
        <w:rPr>
          <w:rFonts w:ascii="Times New Roman" w:hAnsi="Times New Roman" w:cs="Times New Roman" w:eastAsia="Times New Roman" w:hint="default"/>
          <w:spacing w:val="-4"/>
        </w:rPr>
        <w:t>LED</w:t>
      </w:r>
      <w:r>
        <w:rPr>
          <w:rFonts w:ascii="Times New Roman" w:hAnsi="Times New Roman" w:cs="Times New Roman" w:eastAsia="Times New Roman" w:hint="default"/>
          <w:spacing w:val="-24"/>
        </w:rPr>
        <w:t> </w:t>
      </w:r>
      <w:r>
        <w:rPr>
          <w:rFonts w:ascii="Times New Roman" w:hAnsi="Times New Roman" w:cs="Times New Roman" w:eastAsia="Times New Roman" w:hint="default"/>
          <w:spacing w:val="-24"/>
        </w:rPr>
      </w:r>
      <w:r>
        <w:rPr/>
        <w:t>照明工程开展业务提供了良好的支撑。</w:t>
      </w:r>
    </w:p>
    <w:p>
      <w:pPr>
        <w:pStyle w:val="BodyText"/>
        <w:spacing w:line="451" w:lineRule="auto" w:before="74"/>
        <w:ind w:left="513" w:right="3553"/>
        <w:jc w:val="left"/>
      </w:pPr>
      <w:r>
        <w:rPr>
          <w:rFonts w:ascii="Times New Roman" w:hAnsi="Times New Roman" w:cs="Times New Roman" w:eastAsia="Times New Roman" w:hint="default"/>
        </w:rPr>
        <w:t>3</w:t>
      </w:r>
      <w:r>
        <w:rPr/>
        <w:t>、资质优势 资质是企业进入某些重要的细分市场的准入证，是企业获取更多市场份额的基础保证。</w:t>
      </w:r>
    </w:p>
    <w:p>
      <w:pPr>
        <w:pStyle w:val="BodyText"/>
        <w:spacing w:line="477" w:lineRule="auto" w:before="74"/>
        <w:ind w:right="1128" w:firstLine="360"/>
        <w:jc w:val="both"/>
      </w:pPr>
      <w:r>
        <w:rPr>
          <w:spacing w:val="-2"/>
        </w:rPr>
        <w:t>金融电子产品涉及金融信息安全，要进入某些重要的应用领域必须通过严格的安全、技术等方面的检测并取得入围许可</w:t>
      </w:r>
      <w:r>
        <w:rPr/>
        <w:t> </w:t>
      </w:r>
      <w:r>
        <w:rPr>
          <w:spacing w:val="-2"/>
        </w:rPr>
        <w:t>的资质，金融电子支付设备具有较强的替代性壁垒。相关产品在进入应用前，客户会对其产品进行严格的测试或要求取得相</w:t>
      </w:r>
      <w:r>
        <w:rPr>
          <w:spacing w:val="-63"/>
        </w:rPr>
        <w:t> </w:t>
      </w:r>
      <w:r>
        <w:rPr>
          <w:spacing w:val="-63"/>
        </w:rPr>
      </w:r>
      <w:r>
        <w:rPr>
          <w:spacing w:val="-2"/>
        </w:rPr>
        <w:t>关认证，其花费的时间较长。银行出于信息安全角度的考虑，对供应商的选择相当严格，同时由于产品涉及安全保密的特殊</w:t>
      </w:r>
      <w:r>
        <w:rPr>
          <w:spacing w:val="-66"/>
        </w:rPr>
        <w:t> </w:t>
      </w:r>
      <w:r>
        <w:rPr>
          <w:spacing w:val="-66"/>
        </w:rPr>
      </w:r>
      <w:r>
        <w:rPr>
          <w:spacing w:val="-2"/>
        </w:rPr>
        <w:t>性，这样从技术层面上客户对供应商就容易形成技术路径依赖，因此一旦成为客户的供应商后，客户出于安全保密方面的考</w:t>
      </w:r>
      <w:r>
        <w:rPr>
          <w:spacing w:val="-61"/>
        </w:rPr>
        <w:t> </w:t>
      </w:r>
      <w:r>
        <w:rPr>
          <w:spacing w:val="-61"/>
        </w:rPr>
      </w:r>
      <w:r>
        <w:rPr/>
        <w:t>虑，不会轻易更换供应商，客户具有一定粘性。</w:t>
      </w:r>
    </w:p>
    <w:p>
      <w:pPr>
        <w:pStyle w:val="BodyText"/>
        <w:spacing w:line="451" w:lineRule="auto" w:before="54"/>
        <w:ind w:right="1131" w:firstLine="360"/>
        <w:jc w:val="both"/>
      </w:pPr>
      <w:r>
        <w:rPr>
          <w:spacing w:val="-2"/>
        </w:rPr>
        <w:t>公司拥有工信部颁发的互联网接入服务牌照和内容分发网络业务牌照，自主研发的云产品</w:t>
      </w:r>
      <w:r>
        <w:rPr>
          <w:rFonts w:ascii="Times New Roman" w:hAnsi="Times New Roman" w:cs="Times New Roman" w:eastAsia="Times New Roman" w:hint="default"/>
          <w:spacing w:val="-2"/>
        </w:rPr>
        <w:t>“</w:t>
      </w:r>
      <w:r>
        <w:rPr>
          <w:spacing w:val="-2"/>
        </w:rPr>
        <w:t>证通云</w:t>
      </w:r>
      <w:r>
        <w:rPr>
          <w:rFonts w:ascii="Times New Roman" w:hAnsi="Times New Roman" w:cs="Times New Roman" w:eastAsia="Times New Roman" w:hint="default"/>
          <w:spacing w:val="-2"/>
        </w:rPr>
        <w:t>”</w:t>
      </w:r>
      <w:r>
        <w:rPr>
          <w:spacing w:val="-2"/>
        </w:rPr>
        <w:t>通过工信部可信云认</w:t>
      </w:r>
      <w:r>
        <w:rPr/>
        <w:t> 证，报告期内，公司还获得照明工程</w:t>
      </w:r>
      <w:r>
        <w:rPr>
          <w:rFonts w:ascii="Times New Roman" w:hAnsi="Times New Roman" w:cs="Times New Roman" w:eastAsia="Times New Roman" w:hint="default"/>
        </w:rPr>
        <w:t>“</w:t>
      </w:r>
      <w:r>
        <w:rPr/>
        <w:t>双甲</w:t>
      </w:r>
      <w:r>
        <w:rPr>
          <w:rFonts w:ascii="Times New Roman" w:hAnsi="Times New Roman" w:cs="Times New Roman" w:eastAsia="Times New Roman" w:hint="default"/>
        </w:rPr>
        <w:t>”</w:t>
      </w:r>
      <w:r>
        <w:rPr/>
        <w:t>资质，进一步提升了公司的市场竞争力。</w:t>
      </w:r>
    </w:p>
    <w:p>
      <w:pPr>
        <w:spacing w:after="0" w:line="451"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left="513" w:right="1129"/>
        <w:jc w:val="left"/>
      </w:pPr>
      <w:r>
        <w:rPr>
          <w:rFonts w:ascii="Times New Roman" w:hAnsi="Times New Roman" w:cs="Times New Roman" w:eastAsia="Times New Roman" w:hint="default"/>
        </w:rPr>
        <w:t>4</w:t>
      </w:r>
      <w:r>
        <w:rPr/>
        <w:t>、服务优势 </w:t>
      </w:r>
      <w:r>
        <w:rPr>
          <w:spacing w:val="-2"/>
        </w:rPr>
        <w:t>为了满足客户多样化的需求，不断挖掘产业链价值，拓展服务领域，公司不断加强产品服务体系建设，以为客户提供更</w:t>
      </w:r>
    </w:p>
    <w:p>
      <w:pPr>
        <w:pStyle w:val="BodyText"/>
        <w:spacing w:line="460" w:lineRule="auto" w:before="74"/>
        <w:ind w:right="1034"/>
        <w:jc w:val="left"/>
      </w:pPr>
      <w:r>
        <w:rPr>
          <w:spacing w:val="-3"/>
        </w:rPr>
        <w:t>多元的服务，提高公司综合竞争力。针对传统业务，公司依托覆盖全国（除港澳台）所有省市的</w:t>
      </w:r>
      <w:r>
        <w:rPr>
          <w:rFonts w:ascii="Times New Roman" w:hAnsi="Times New Roman" w:cs="Times New Roman" w:eastAsia="Times New Roman" w:hint="default"/>
          <w:spacing w:val="-3"/>
        </w:rPr>
        <w:t>28</w:t>
      </w:r>
      <w:r>
        <w:rPr>
          <w:spacing w:val="-3"/>
        </w:rPr>
        <w:t>个区域客服管理中心、</w:t>
      </w:r>
      <w:r>
        <w:rPr>
          <w:rFonts w:ascii="Times New Roman" w:hAnsi="Times New Roman" w:cs="Times New Roman" w:eastAsia="Times New Roman" w:hint="default"/>
          <w:spacing w:val="-3"/>
        </w:rPr>
        <w:t>346</w:t>
      </w:r>
      <w:r>
        <w:rPr>
          <w:rFonts w:ascii="Times New Roman" w:hAnsi="Times New Roman" w:cs="Times New Roman" w:eastAsia="Times New Roman" w:hint="default"/>
          <w:spacing w:val="1"/>
        </w:rPr>
        <w:t> </w:t>
      </w:r>
      <w:r>
        <w:rPr>
          <w:spacing w:val="-2"/>
        </w:rPr>
        <w:t>个售后服务网点，为客户提供精准、及时、专业的售后维保业务、支付终端（银联卡收单）外包服务及外包运营服务，提升</w:t>
      </w:r>
      <w:r>
        <w:rPr>
          <w:spacing w:val="-71"/>
        </w:rPr>
        <w:t> </w:t>
      </w:r>
      <w:r>
        <w:rPr>
          <w:spacing w:val="-71"/>
        </w:rPr>
      </w:r>
      <w:r>
        <w:rPr/>
        <w:t>了产品和服务的附加值，增强了与客户之间的粘性；同时，公司坚持</w:t>
      </w:r>
      <w:r>
        <w:rPr>
          <w:rFonts w:ascii="Times New Roman" w:hAnsi="Times New Roman" w:cs="Times New Roman" w:eastAsia="Times New Roman" w:hint="default"/>
        </w:rPr>
        <w:t>“IDC+</w:t>
      </w:r>
      <w:r>
        <w:rPr/>
        <w:t>生态</w:t>
      </w:r>
      <w:r>
        <w:rPr>
          <w:rFonts w:ascii="Times New Roman" w:hAnsi="Times New Roman" w:cs="Times New Roman" w:eastAsia="Times New Roman" w:hint="default"/>
        </w:rPr>
        <w:t>”</w:t>
      </w:r>
      <w:r>
        <w:rPr/>
        <w:t>，基于证通云服务产业链和云平台的系统 集成能力和整合能力，专注于提升研发和技术服务能力，以技术为依托，可为客户提供专业运维服务、智慧城市运营服务、</w:t>
      </w:r>
      <w:r>
        <w:rPr>
          <w:spacing w:val="-86"/>
        </w:rPr>
        <w:t> </w:t>
      </w:r>
      <w:r>
        <w:rPr>
          <w:spacing w:val="-86"/>
        </w:rPr>
      </w:r>
      <w:r>
        <w:rPr>
          <w:spacing w:val="-2"/>
        </w:rPr>
        <w:t>软件开发测试服务、数据中心项目咨询服务以及</w:t>
      </w:r>
      <w:r>
        <w:rPr>
          <w:rFonts w:ascii="Times New Roman" w:hAnsi="Times New Roman" w:cs="Times New Roman" w:eastAsia="Times New Roman" w:hint="default"/>
          <w:spacing w:val="-2"/>
        </w:rPr>
        <w:t>“</w:t>
      </w:r>
      <w:r>
        <w:rPr>
          <w:spacing w:val="-2"/>
        </w:rPr>
        <w:t>云</w:t>
      </w:r>
      <w:r>
        <w:rPr>
          <w:rFonts w:ascii="Times New Roman" w:hAnsi="Times New Roman" w:cs="Times New Roman" w:eastAsia="Times New Roman" w:hint="default"/>
          <w:spacing w:val="-2"/>
        </w:rPr>
        <w:t>+</w:t>
      </w:r>
      <w:r>
        <w:rPr>
          <w:spacing w:val="-2"/>
        </w:rPr>
        <w:t>端</w:t>
      </w:r>
      <w:r>
        <w:rPr>
          <w:rFonts w:ascii="Times New Roman" w:hAnsi="Times New Roman" w:cs="Times New Roman" w:eastAsia="Times New Roman" w:hint="default"/>
          <w:spacing w:val="-2"/>
        </w:rPr>
        <w:t>+</w:t>
      </w:r>
      <w:r>
        <w:rPr>
          <w:spacing w:val="-2"/>
        </w:rPr>
        <w:t>行业应用</w:t>
      </w:r>
      <w:r>
        <w:rPr>
          <w:rFonts w:ascii="Times New Roman" w:hAnsi="Times New Roman" w:cs="Times New Roman" w:eastAsia="Times New Roman" w:hint="default"/>
          <w:spacing w:val="-2"/>
        </w:rPr>
        <w:t>”</w:t>
      </w:r>
      <w:r>
        <w:rPr>
          <w:spacing w:val="-2"/>
        </w:rPr>
        <w:t>等各类综合解决方案，进一步增厚了公司主营业务的市场</w:t>
      </w:r>
      <w:r>
        <w:rPr>
          <w:spacing w:val="-65"/>
        </w:rPr>
        <w:t> </w:t>
      </w:r>
      <w:r>
        <w:rPr>
          <w:spacing w:val="-65"/>
        </w:rPr>
      </w:r>
      <w:r>
        <w:rPr/>
        <w:t>竞争力。</w:t>
      </w:r>
    </w:p>
    <w:p>
      <w:pPr>
        <w:pStyle w:val="BodyText"/>
        <w:spacing w:line="451" w:lineRule="auto" w:before="67"/>
        <w:ind w:left="513" w:right="1117"/>
        <w:jc w:val="left"/>
      </w:pPr>
      <w:r>
        <w:rPr>
          <w:rFonts w:ascii="Times New Roman" w:hAnsi="Times New Roman" w:cs="Times New Roman" w:eastAsia="Times New Roman" w:hint="default"/>
        </w:rPr>
        <w:t>5</w:t>
      </w:r>
      <w:r>
        <w:rPr/>
        <w:t>、优质数据中心资源优势和区域联动优势 </w:t>
      </w:r>
      <w:r>
        <w:rPr>
          <w:spacing w:val="-1"/>
        </w:rPr>
        <w:t>公司</w:t>
      </w:r>
      <w:r>
        <w:rPr>
          <w:rFonts w:ascii="Times New Roman" w:hAnsi="Times New Roman" w:cs="Times New Roman" w:eastAsia="Times New Roman" w:hint="default"/>
          <w:spacing w:val="-1"/>
        </w:rPr>
        <w:t>IDC</w:t>
      </w:r>
      <w:r>
        <w:rPr>
          <w:spacing w:val="-1"/>
        </w:rPr>
        <w:t>数据中心均按照国际标准建设，符合</w:t>
      </w:r>
      <w:r>
        <w:rPr>
          <w:rFonts w:ascii="Times New Roman" w:hAnsi="Times New Roman" w:cs="Times New Roman" w:eastAsia="Times New Roman" w:hint="default"/>
          <w:spacing w:val="-1"/>
        </w:rPr>
        <w:t>T4</w:t>
      </w:r>
      <w:r>
        <w:rPr>
          <w:spacing w:val="-1"/>
        </w:rPr>
        <w:t>等级的数据中心标准，具备完善的应急处理系统，安全可靠，可满足不</w:t>
      </w:r>
    </w:p>
    <w:p>
      <w:pPr>
        <w:pStyle w:val="BodyText"/>
        <w:spacing w:line="477" w:lineRule="auto" w:before="43"/>
        <w:ind w:right="1044"/>
        <w:jc w:val="both"/>
      </w:pPr>
      <w:r>
        <w:rPr>
          <w:spacing w:val="-2"/>
        </w:rPr>
        <w:t>同类型客户对数据中心灵活性、增强安全性及合规性的不同要求。同时，公司专注于一线城市数据中心市场，投建的五大数</w:t>
      </w:r>
      <w:r>
        <w:rPr>
          <w:spacing w:val="-64"/>
        </w:rPr>
        <w:t> </w:t>
      </w:r>
      <w:r>
        <w:rPr>
          <w:spacing w:val="-64"/>
        </w:rPr>
      </w:r>
      <w:r>
        <w:rPr>
          <w:spacing w:val="-2"/>
        </w:rPr>
        <w:t>据中心分别处于粤港澳大湾区和中部环长株潭城市群区域，区位优势和规模优势明显。未来随着粤港澳大湾区建设的提速和</w:t>
      </w:r>
      <w:r>
        <w:rPr>
          <w:spacing w:val="-64"/>
        </w:rPr>
        <w:t> </w:t>
      </w:r>
      <w:r>
        <w:rPr>
          <w:spacing w:val="-64"/>
        </w:rPr>
      </w:r>
      <w:r>
        <w:rPr>
          <w:spacing w:val="-4"/>
        </w:rPr>
        <w:t>中部地区大数据产业的发展，公司数据中心价值将进一步凸显，在流量持续增长和优化提升城市信息基础中优势将逐步显现。</w:t>
      </w:r>
    </w:p>
    <w:p>
      <w:pPr>
        <w:pStyle w:val="BodyText"/>
        <w:spacing w:line="451" w:lineRule="auto" w:before="54"/>
        <w:ind w:right="1131" w:firstLine="360"/>
        <w:jc w:val="both"/>
      </w:pPr>
      <w:r>
        <w:rPr>
          <w:spacing w:val="-2"/>
        </w:rPr>
        <w:t>公司于深圳、广州、东莞和长沙按相连省份布局投建五大数据中心，各数据中心通过光缆互联，组成基于</w:t>
      </w:r>
      <w:r>
        <w:rPr>
          <w:rFonts w:ascii="Times New Roman" w:hAnsi="Times New Roman" w:cs="Times New Roman" w:eastAsia="Times New Roman" w:hint="default"/>
          <w:spacing w:val="-2"/>
        </w:rPr>
        <w:t>SDN</w:t>
      </w:r>
      <w:r>
        <w:rPr>
          <w:spacing w:val="-2"/>
        </w:rPr>
        <w:t>技术构建</w:t>
      </w:r>
      <w:r>
        <w:rPr/>
        <w:t> </w:t>
      </w:r>
      <w:r>
        <w:rPr>
          <w:spacing w:val="-4"/>
        </w:rPr>
        <w:t>的证通</w:t>
      </w:r>
      <w:r>
        <w:rPr>
          <w:rFonts w:ascii="Times New Roman" w:hAnsi="Times New Roman" w:cs="Times New Roman" w:eastAsia="Times New Roman" w:hint="default"/>
          <w:spacing w:val="-4"/>
        </w:rPr>
        <w:t>IDC</w:t>
      </w:r>
      <w:r>
        <w:rPr>
          <w:spacing w:val="-4"/>
        </w:rPr>
        <w:t>核心网，区域联动性强，实现为客户定制同城、异地灾备方案。依托公司全面的运维体系和卓越运维能力的支撑，</w:t>
      </w:r>
      <w:r>
        <w:rPr>
          <w:spacing w:val="-80"/>
        </w:rPr>
        <w:t> </w:t>
      </w:r>
      <w:r>
        <w:rPr>
          <w:spacing w:val="-80"/>
        </w:rPr>
      </w:r>
      <w:r>
        <w:rPr/>
        <w:t>在数据中心本地业务发生故障时，可迅速切换，有效确保数据中心的稳定性与安全性。</w:t>
      </w:r>
    </w:p>
    <w:p>
      <w:pPr>
        <w:spacing w:after="0" w:line="451"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1133"/>
        <w:jc w:val="left"/>
        <w:rPr>
          <w:b w:val="0"/>
          <w:bCs w:val="0"/>
        </w:rPr>
      </w:pPr>
      <w:bookmarkStart w:name="_bookmark3" w:id="4"/>
      <w:bookmarkEnd w:id="4"/>
      <w:r>
        <w:rPr>
          <w:b w:val="0"/>
          <w:bCs w:val="0"/>
        </w:rPr>
      </w:r>
      <w:r>
        <w:rPr/>
        <w:t>第四节</w:t>
      </w:r>
      <w:r>
        <w:rPr>
          <w:spacing w:val="-6"/>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33"/>
        <w:jc w:val="left"/>
        <w:rPr>
          <w:b w:val="0"/>
          <w:bCs w:val="0"/>
        </w:rPr>
      </w:pPr>
      <w:r>
        <w:rPr/>
        <w:t>一、概述</w:t>
      </w:r>
      <w:r>
        <w:rPr>
          <w:b w:val="0"/>
          <w:bCs w:val="0"/>
        </w:rPr>
      </w:r>
    </w:p>
    <w:p>
      <w:pPr>
        <w:spacing w:line="240" w:lineRule="auto" w:before="7"/>
        <w:rPr>
          <w:rFonts w:ascii="宋体" w:hAnsi="宋体" w:cs="宋体" w:eastAsia="宋体" w:hint="default"/>
          <w:b/>
          <w:bCs/>
          <w:sz w:val="32"/>
          <w:szCs w:val="32"/>
        </w:rPr>
      </w:pPr>
    </w:p>
    <w:p>
      <w:pPr>
        <w:pStyle w:val="BodyText"/>
        <w:spacing w:line="456" w:lineRule="auto"/>
        <w:ind w:right="1131" w:firstLine="360"/>
        <w:jc w:val="both"/>
      </w:pPr>
      <w:r>
        <w:rPr>
          <w:rFonts w:ascii="Times New Roman" w:hAnsi="Times New Roman" w:cs="Times New Roman" w:eastAsia="Times New Roman" w:hint="default"/>
          <w:spacing w:val="-2"/>
        </w:rPr>
        <w:t>2018</w:t>
      </w:r>
      <w:r>
        <w:rPr>
          <w:spacing w:val="-2"/>
        </w:rPr>
        <w:t>年，是国家实施</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规划承上启下的关键一年，是公司业务转型升级的攻坚之年，也是公司面临巨大困难和承</w:t>
      </w:r>
      <w:r>
        <w:rPr/>
        <w:t> </w:t>
      </w:r>
      <w:r>
        <w:rPr>
          <w:spacing w:val="-2"/>
        </w:rPr>
        <w:t>受巨大压力的一年。受全球经济下行、宏观经济增长乏力、财政去杠杆、社融环比大降、监管环境趋严等方面的影响，公司</w:t>
      </w:r>
      <w:r>
        <w:rPr>
          <w:spacing w:val="-68"/>
        </w:rPr>
        <w:t> </w:t>
      </w:r>
      <w:r>
        <w:rPr>
          <w:spacing w:val="-68"/>
        </w:rPr>
      </w:r>
      <w:r>
        <w:rPr/>
        <w:t>以年初确定的</w:t>
      </w:r>
      <w:r>
        <w:rPr>
          <w:rFonts w:ascii="Times New Roman" w:hAnsi="Times New Roman" w:cs="Times New Roman" w:eastAsia="Times New Roman" w:hint="default"/>
        </w:rPr>
        <w:t>“</w:t>
      </w:r>
      <w:r>
        <w:rPr/>
        <w:t>抓效益、重管理</w:t>
      </w:r>
      <w:r>
        <w:rPr>
          <w:rFonts w:ascii="Times New Roman" w:hAnsi="Times New Roman" w:cs="Times New Roman" w:eastAsia="Times New Roman" w:hint="default"/>
        </w:rPr>
        <w:t>”</w:t>
      </w:r>
      <w:r>
        <w:rPr/>
        <w:t>作为全年经营和管理的指导思想，全面聚焦金融电子、</w:t>
      </w:r>
      <w:r>
        <w:rPr>
          <w:rFonts w:ascii="Times New Roman" w:hAnsi="Times New Roman" w:cs="Times New Roman" w:eastAsia="Times New Roman" w:hint="default"/>
        </w:rPr>
        <w:t>IDC</w:t>
      </w:r>
      <w:r>
        <w:rPr/>
        <w:t>及云计算、</w:t>
      </w:r>
      <w:r>
        <w:rPr>
          <w:rFonts w:ascii="Times New Roman" w:hAnsi="Times New Roman" w:cs="Times New Roman" w:eastAsia="Times New Roman" w:hint="default"/>
        </w:rPr>
        <w:t>LED</w:t>
      </w:r>
      <w:r>
        <w:rPr/>
        <w:t>照明电子三大业 务板块。</w:t>
      </w:r>
      <w:r>
        <w:rPr>
          <w:rFonts w:ascii="Times New Roman" w:hAnsi="Times New Roman" w:cs="Times New Roman" w:eastAsia="Times New Roman" w:hint="default"/>
        </w:rPr>
        <w:t>2018</w:t>
      </w:r>
      <w:r>
        <w:rPr/>
        <w:t>年中面对复杂多变、充满挑战的宏观环境，公司积极调整经营思路，在聚焦主业的基础上提出</w:t>
      </w:r>
      <w:r>
        <w:rPr>
          <w:rFonts w:ascii="Times New Roman" w:hAnsi="Times New Roman" w:cs="Times New Roman" w:eastAsia="Times New Roman" w:hint="default"/>
        </w:rPr>
        <w:t>“</w:t>
      </w:r>
      <w:r>
        <w:rPr/>
        <w:t>控制风险、稳 健经营、提升效益、构建能力</w:t>
      </w:r>
      <w:r>
        <w:rPr>
          <w:rFonts w:ascii="Times New Roman" w:hAnsi="Times New Roman" w:cs="Times New Roman" w:eastAsia="Times New Roman" w:hint="default"/>
        </w:rPr>
        <w:t>”</w:t>
      </w:r>
      <w:r>
        <w:rPr/>
        <w:t>指导思想，在优化资源配置、加快优质项目建设和产业转型升级、强化技术创新、加强应收 账款管理及完善回款机制等方面取得了积极进展，树立了公司长续稳健发展的信心，公司员工士气、凝聚力显著提升。</w:t>
      </w:r>
    </w:p>
    <w:p>
      <w:pPr>
        <w:pStyle w:val="BodyText"/>
        <w:spacing w:line="451" w:lineRule="auto" w:before="70"/>
        <w:ind w:left="513" w:right="1129"/>
        <w:jc w:val="left"/>
      </w:pPr>
      <w:r>
        <w:rPr/>
        <w:t>（一）促进传统业务优化升级、大力发展</w:t>
      </w:r>
      <w:r>
        <w:rPr>
          <w:rFonts w:ascii="Times New Roman" w:hAnsi="Times New Roman" w:cs="Times New Roman" w:eastAsia="Times New Roman" w:hint="default"/>
        </w:rPr>
        <w:t>IDC</w:t>
      </w:r>
      <w:r>
        <w:rPr/>
        <w:t>及云计算业务，稳健推动公司整体业务转型升级 </w:t>
      </w:r>
      <w:r>
        <w:rPr>
          <w:spacing w:val="-4"/>
        </w:rPr>
        <w:t>公司持续关注金融科技、</w:t>
      </w:r>
      <w:r>
        <w:rPr>
          <w:rFonts w:ascii="Times New Roman" w:hAnsi="Times New Roman" w:cs="Times New Roman" w:eastAsia="Times New Roman" w:hint="default"/>
          <w:spacing w:val="-4"/>
        </w:rPr>
        <w:t>IDC</w:t>
      </w:r>
      <w:r>
        <w:rPr>
          <w:spacing w:val="-4"/>
        </w:rPr>
        <w:t>及云计算、</w:t>
      </w:r>
      <w:r>
        <w:rPr>
          <w:rFonts w:ascii="Times New Roman" w:hAnsi="Times New Roman" w:cs="Times New Roman" w:eastAsia="Times New Roman" w:hint="default"/>
          <w:spacing w:val="-4"/>
        </w:rPr>
        <w:t>LED</w:t>
      </w:r>
      <w:r>
        <w:rPr>
          <w:spacing w:val="-4"/>
        </w:rPr>
        <w:t>照明行业的发展趋势，进行科学研判，坚定不移推进业务结构的调整升级，</w:t>
      </w:r>
    </w:p>
    <w:p>
      <w:pPr>
        <w:pStyle w:val="BodyText"/>
        <w:spacing w:line="477" w:lineRule="auto" w:before="43"/>
        <w:ind w:left="513" w:right="1129" w:hanging="361"/>
        <w:jc w:val="left"/>
      </w:pPr>
      <w:r>
        <w:rPr/>
        <w:t>积蓄发展后劲。 </w:t>
      </w:r>
      <w:r>
        <w:rPr>
          <w:spacing w:val="-2"/>
        </w:rPr>
        <w:t>受全球经济下行、市场需求阶段性回落等因素影响，公司传统业务面临整体的市场局势仍较为严峻，公司金融电子业绩</w:t>
      </w:r>
    </w:p>
    <w:p>
      <w:pPr>
        <w:pStyle w:val="BodyText"/>
        <w:spacing w:line="468" w:lineRule="auto" w:before="54"/>
        <w:ind w:right="1034"/>
        <w:jc w:val="left"/>
      </w:pPr>
      <w:r>
        <w:rPr>
          <w:spacing w:val="-2"/>
        </w:rPr>
        <w:t>的阶段性下滑，在该传统领域，公司依托打造云机电一体化能力及金融互联网平台的建设与服务能力，以中小商行、银医客</w:t>
      </w:r>
      <w:r>
        <w:rPr>
          <w:spacing w:val="-64"/>
        </w:rPr>
        <w:t> </w:t>
      </w:r>
      <w:r>
        <w:rPr>
          <w:spacing w:val="-64"/>
        </w:rPr>
      </w:r>
      <w:r>
        <w:rPr/>
        <w:t>户、企业客户为基础，通过自主研发、合作研发相结合的方式，糅合了多元化解决方案，提供基于</w:t>
      </w:r>
      <w:r>
        <w:rPr>
          <w:rFonts w:ascii="Times New Roman" w:hAnsi="Times New Roman" w:cs="Times New Roman" w:eastAsia="Times New Roman" w:hint="default"/>
        </w:rPr>
        <w:t>SAAS</w:t>
      </w:r>
      <w:r>
        <w:rPr/>
        <w:t>的行业应用业务，</w:t>
      </w:r>
      <w:r>
        <w:rPr>
          <w:spacing w:val="-14"/>
        </w:rPr>
        <w:t> </w:t>
      </w:r>
      <w:r>
        <w:rPr>
          <w:spacing w:val="-14"/>
        </w:rPr>
      </w:r>
      <w:r>
        <w:rPr>
          <w:spacing w:val="-2"/>
        </w:rPr>
        <w:t>助力金融、政府、零售等客户业务创新，进一步推进智慧网点综合服务平台、智能机器人服务平台、社区</w:t>
      </w:r>
      <w:r>
        <w:rPr>
          <w:rFonts w:ascii="Times New Roman" w:hAnsi="Times New Roman" w:cs="Times New Roman" w:eastAsia="Times New Roman" w:hint="default"/>
          <w:spacing w:val="-2"/>
        </w:rPr>
        <w:t>O2O</w:t>
      </w:r>
      <w:r>
        <w:rPr>
          <w:spacing w:val="-2"/>
        </w:rPr>
        <w:t>金融服务平台</w:t>
      </w:r>
      <w:r>
        <w:rPr>
          <w:spacing w:val="-56"/>
        </w:rPr>
        <w:t> </w:t>
      </w:r>
      <w:r>
        <w:rPr/>
        <w:t>等软件及系统研发升级，构建多样化、定制化的金融终端产品体系，走出了</w:t>
      </w:r>
      <w:r>
        <w:rPr>
          <w:rFonts w:ascii="Times New Roman" w:hAnsi="Times New Roman" w:cs="Times New Roman" w:eastAsia="Times New Roman" w:hint="default"/>
        </w:rPr>
        <w:t>“</w:t>
      </w:r>
      <w:r>
        <w:rPr/>
        <w:t>固本</w:t>
      </w:r>
      <w:r>
        <w:rPr>
          <w:rFonts w:ascii="Times New Roman" w:hAnsi="Times New Roman" w:cs="Times New Roman" w:eastAsia="Times New Roman" w:hint="default"/>
        </w:rPr>
        <w:t>”</w:t>
      </w:r>
      <w:r>
        <w:rPr/>
        <w:t>发展的坚实一步，着力提升了公司在银行 </w:t>
      </w:r>
      <w:r>
        <w:rPr>
          <w:spacing w:val="-2"/>
        </w:rPr>
        <w:t>网点智慧改造方面的竞争力；自助终端业务方面公司利用在快速研发及从硬件到软件全方位柔性化定制优势，深入挖掘邮政</w:t>
      </w:r>
      <w:r>
        <w:rPr>
          <w:spacing w:val="-64"/>
        </w:rPr>
        <w:t> </w:t>
      </w:r>
      <w:r>
        <w:rPr>
          <w:spacing w:val="-64"/>
        </w:rPr>
      </w:r>
      <w:r>
        <w:rPr>
          <w:spacing w:val="-2"/>
        </w:rPr>
        <w:t>银行、邮储银行、建设银行及中国银行的增量需求，同时深耕并加大拓展政务、公安、彩票、充电桩、地产等行业战略合作</w:t>
      </w:r>
      <w:r>
        <w:rPr>
          <w:spacing w:val="-73"/>
        </w:rPr>
        <w:t> </w:t>
      </w:r>
      <w:r>
        <w:rPr>
          <w:spacing w:val="-73"/>
        </w:rPr>
      </w:r>
      <w:r>
        <w:rPr/>
        <w:t>客户，着力挖掘行业内有影响力的新零售客户拓展，通过销售订单前端管理及方案优化的成本管控手段，提升业务毛利率；</w:t>
      </w:r>
      <w:r>
        <w:rPr>
          <w:spacing w:val="-86"/>
        </w:rPr>
        <w:t> </w:t>
      </w:r>
      <w:r>
        <w:rPr>
          <w:spacing w:val="-86"/>
        </w:rPr>
      </w:r>
      <w:r>
        <w:rPr>
          <w:spacing w:val="-2"/>
        </w:rPr>
        <w:t>安全支付业务方面公司采用自主创新设计的技术平台与完善解决方案，集成人脸、指纹、虹膜等先进生物识别技术研发及升</w:t>
      </w:r>
      <w:r>
        <w:rPr>
          <w:spacing w:val="-65"/>
        </w:rPr>
        <w:t> </w:t>
      </w:r>
      <w:r>
        <w:rPr>
          <w:spacing w:val="-65"/>
        </w:rPr>
      </w:r>
      <w:r>
        <w:rPr/>
        <w:t>级智能</w:t>
      </w:r>
      <w:r>
        <w:rPr>
          <w:rFonts w:ascii="Times New Roman" w:hAnsi="Times New Roman" w:cs="Times New Roman" w:eastAsia="Times New Roman" w:hint="default"/>
        </w:rPr>
        <w:t>POS</w:t>
      </w:r>
      <w:r>
        <w:rPr/>
        <w:t>终端，并加快推进新型收银及支付产品的海外认证，确保整体业务规模稳定。</w:t>
      </w:r>
    </w:p>
    <w:p>
      <w:pPr>
        <w:pStyle w:val="BodyText"/>
        <w:spacing w:line="451" w:lineRule="auto" w:before="29"/>
        <w:ind w:right="1132" w:firstLine="360"/>
        <w:jc w:val="both"/>
      </w:pPr>
      <w:r>
        <w:rPr>
          <w:rFonts w:ascii="Times New Roman" w:hAnsi="Times New Roman" w:cs="Times New Roman" w:eastAsia="Times New Roman" w:hint="default"/>
          <w:spacing w:val="-1"/>
        </w:rPr>
        <w:t>IDC</w:t>
      </w:r>
      <w:r>
        <w:rPr>
          <w:spacing w:val="-1"/>
        </w:rPr>
        <w:t>及云计算业务领域，作为公司战略转型升级的重点布局的业务板块，报告期内，公司确立了以数据为核心驱动，以</w:t>
      </w:r>
      <w:r>
        <w:rPr/>
        <w:t> </w:t>
      </w:r>
      <w:r>
        <w:rPr>
          <w:spacing w:val="-5"/>
        </w:rPr>
        <w:t>证通云平台为业务依托，垂直布局云服务产业链</w:t>
      </w:r>
      <w:r>
        <w:rPr>
          <w:rFonts w:ascii="Times New Roman" w:hAnsi="Times New Roman" w:cs="Times New Roman" w:eastAsia="Times New Roman" w:hint="default"/>
          <w:spacing w:val="-5"/>
        </w:rPr>
        <w:t>“IDC+</w:t>
      </w:r>
      <w:r>
        <w:rPr>
          <w:spacing w:val="-5"/>
        </w:rPr>
        <w:t>生态</w:t>
      </w:r>
      <w:r>
        <w:rPr>
          <w:rFonts w:ascii="Times New Roman" w:hAnsi="Times New Roman" w:cs="Times New Roman" w:eastAsia="Times New Roman" w:hint="default"/>
          <w:spacing w:val="-5"/>
        </w:rPr>
        <w:t>”</w:t>
      </w:r>
      <w:r>
        <w:rPr>
          <w:spacing w:val="-5"/>
        </w:rPr>
        <w:t>战略，深度布局粤港澳大湾区，加快推进建设中的</w:t>
      </w:r>
      <w:r>
        <w:rPr>
          <w:rFonts w:ascii="Times New Roman" w:hAnsi="Times New Roman" w:cs="Times New Roman" w:eastAsia="Times New Roman" w:hint="default"/>
          <w:spacing w:val="-5"/>
        </w:rPr>
        <w:t>IDC</w:t>
      </w:r>
      <w:r>
        <w:rPr>
          <w:spacing w:val="-5"/>
        </w:rPr>
        <w:t>全面投产、</w:t>
      </w:r>
      <w:r>
        <w:rPr>
          <w:spacing w:val="-43"/>
        </w:rPr>
        <w:t> </w:t>
      </w:r>
      <w:r>
        <w:rPr/>
        <w:t>发展云计算，在智慧城市、智慧园区业务拓展新空间，为公司开辟了新的业绩增长点，有效提升了公司的经营效益。</w:t>
      </w:r>
    </w:p>
    <w:p>
      <w:pPr>
        <w:pStyle w:val="BodyText"/>
        <w:spacing w:line="451" w:lineRule="auto" w:before="74"/>
        <w:ind w:right="1133" w:firstLine="360"/>
        <w:jc w:val="both"/>
      </w:pPr>
      <w:r>
        <w:rPr>
          <w:rFonts w:ascii="Times New Roman" w:hAnsi="Times New Roman" w:cs="Times New Roman" w:eastAsia="Times New Roman" w:hint="default"/>
          <w:spacing w:val="-1"/>
        </w:rPr>
        <w:t>IDC</w:t>
      </w:r>
      <w:r>
        <w:rPr>
          <w:spacing w:val="-1"/>
        </w:rPr>
        <w:t>数据中心资源建设及运营方面，报告期内公司按照规划投资建设深圳光明云谷数据中心、长沙云谷一号及二号数据</w:t>
      </w:r>
      <w:r>
        <w:rPr/>
        <w:t> </w:t>
      </w:r>
      <w:r>
        <w:rPr>
          <w:spacing w:val="-2"/>
        </w:rPr>
        <w:t>中心和广东东莞旗峰数据中心，为提升运营效率，公司采取</w:t>
      </w:r>
      <w:r>
        <w:rPr>
          <w:rFonts w:ascii="Times New Roman" w:hAnsi="Times New Roman" w:cs="Times New Roman" w:eastAsia="Times New Roman" w:hint="default"/>
          <w:spacing w:val="-2"/>
        </w:rPr>
        <w:t>“</w:t>
      </w:r>
      <w:r>
        <w:rPr>
          <w:spacing w:val="-2"/>
        </w:rPr>
        <w:t>先订单、后上架运营</w:t>
      </w:r>
      <w:r>
        <w:rPr>
          <w:rFonts w:ascii="Times New Roman" w:hAnsi="Times New Roman" w:cs="Times New Roman" w:eastAsia="Times New Roman" w:hint="default"/>
          <w:spacing w:val="-2"/>
        </w:rPr>
        <w:t>”</w:t>
      </w:r>
      <w:r>
        <w:rPr>
          <w:spacing w:val="-2"/>
        </w:rPr>
        <w:t>的模式，同步相关数据中心的机架租赁及</w:t>
      </w:r>
      <w:r>
        <w:rPr>
          <w:spacing w:val="-46"/>
        </w:rPr>
        <w:t> </w:t>
      </w:r>
      <w:r>
        <w:rPr>
          <w:spacing w:val="-46"/>
        </w:rPr>
      </w:r>
      <w:r>
        <w:rPr>
          <w:spacing w:val="-2"/>
        </w:rPr>
        <w:t>增值服务的销售，截止目前，公司深圳光明云谷数据中心、长沙云谷数据中心二号数据中心整体分别中选平安通信整体定制</w:t>
      </w:r>
    </w:p>
    <w:p>
      <w:pPr>
        <w:spacing w:after="0" w:line="451"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63" w:lineRule="auto"/>
        <w:ind w:right="1129"/>
        <w:jc w:val="both"/>
      </w:pPr>
      <w:r>
        <w:rPr>
          <w:spacing w:val="-1"/>
        </w:rPr>
        <w:t>项目、中国移动通信集团湖南有限公司</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IDC</w:t>
      </w:r>
      <w:r>
        <w:rPr>
          <w:spacing w:val="-1"/>
        </w:rPr>
        <w:t>机房租赁项目。长沙云谷一号数据中心重点拓展了当地政府客户，并逐步</w:t>
      </w:r>
      <w:r>
        <w:rPr>
          <w:spacing w:val="-67"/>
        </w:rPr>
        <w:t> </w:t>
      </w:r>
      <w:r>
        <w:rPr>
          <w:spacing w:val="-67"/>
        </w:rPr>
      </w:r>
      <w:r>
        <w:rPr>
          <w:spacing w:val="-2"/>
        </w:rPr>
        <w:t>加大现有投产的分布式数据中心的机架租赁上架率、带宽租金和增值服务的销售，加速释放现有投产的分布式数据中心的订</w:t>
      </w:r>
      <w:r>
        <w:rPr>
          <w:spacing w:val="-64"/>
        </w:rPr>
        <w:t> </w:t>
      </w:r>
      <w:r>
        <w:rPr>
          <w:spacing w:val="-64"/>
        </w:rPr>
      </w:r>
      <w:r>
        <w:rPr/>
        <w:t>单效益，促进公司业绩的增长。</w:t>
      </w:r>
    </w:p>
    <w:p>
      <w:pPr>
        <w:pStyle w:val="BodyText"/>
        <w:spacing w:line="460" w:lineRule="auto" w:before="65"/>
        <w:ind w:right="1128" w:firstLine="360"/>
        <w:jc w:val="both"/>
      </w:pPr>
      <w:r>
        <w:rPr>
          <w:spacing w:val="-1"/>
        </w:rPr>
        <w:t>云服务能力建设方面，公司依托云计算和大数据智能的核心技术和研发团队报告期内，建立了从</w:t>
      </w:r>
      <w:r>
        <w:rPr>
          <w:rFonts w:ascii="Times New Roman" w:hAnsi="Times New Roman" w:cs="Times New Roman" w:eastAsia="Times New Roman" w:hint="default"/>
          <w:spacing w:val="-1"/>
        </w:rPr>
        <w:t>IDC</w:t>
      </w:r>
      <w:r>
        <w:rPr>
          <w:spacing w:val="-1"/>
        </w:rPr>
        <w:t>运营、云计算资源</w:t>
      </w:r>
      <w:r>
        <w:rPr/>
        <w:t> </w:t>
      </w:r>
      <w:r>
        <w:rPr>
          <w:spacing w:val="-1"/>
        </w:rPr>
        <w:t>池、大数据处理分析挖掘到新一代人工智能的全栈自主研发能力。证通云平台已基本具备了从云计算</w:t>
      </w:r>
      <w:r>
        <w:rPr>
          <w:rFonts w:ascii="Times New Roman" w:hAnsi="Times New Roman" w:cs="Times New Roman" w:eastAsia="Times New Roman" w:hint="default"/>
          <w:spacing w:val="-1"/>
        </w:rPr>
        <w:t>IaaS</w:t>
      </w:r>
      <w:r>
        <w:rPr>
          <w:spacing w:val="-1"/>
        </w:rPr>
        <w:t>、</w:t>
      </w:r>
      <w:r>
        <w:rPr>
          <w:rFonts w:ascii="Times New Roman" w:hAnsi="Times New Roman" w:cs="Times New Roman" w:eastAsia="Times New Roman" w:hint="default"/>
          <w:spacing w:val="-1"/>
        </w:rPr>
        <w:t>PaaS</w:t>
      </w:r>
      <w:r>
        <w:rPr>
          <w:spacing w:val="-1"/>
        </w:rPr>
        <w:t>到</w:t>
      </w:r>
      <w:r>
        <w:rPr>
          <w:rFonts w:ascii="Times New Roman" w:hAnsi="Times New Roman" w:cs="Times New Roman" w:eastAsia="Times New Roman" w:hint="default"/>
          <w:spacing w:val="-1"/>
        </w:rPr>
        <w:t>SaaS</w:t>
      </w:r>
      <w:r>
        <w:rPr>
          <w:spacing w:val="-1"/>
        </w:rPr>
        <w:t>层的</w:t>
      </w:r>
      <w:r>
        <w:rPr>
          <w:spacing w:val="-78"/>
        </w:rPr>
        <w:t> </w:t>
      </w:r>
      <w:r>
        <w:rPr>
          <w:spacing w:val="-2"/>
        </w:rPr>
        <w:t>核心能力，并通过升级并拓展证通云资源池和云存储等软件产品，提升了证通云在数据安全、服务质量、服务性能、运维管</w:t>
      </w:r>
      <w:r>
        <w:rPr>
          <w:spacing w:val="-64"/>
        </w:rPr>
        <w:t> </w:t>
      </w:r>
      <w:r>
        <w:rPr>
          <w:spacing w:val="-64"/>
        </w:rPr>
      </w:r>
      <w:r>
        <w:rPr/>
        <w:t>理和权益保障等多个维度的技术实力。同时，公司紧抓</w:t>
      </w:r>
      <w:r>
        <w:rPr>
          <w:rFonts w:ascii="Times New Roman" w:hAnsi="Times New Roman" w:cs="Times New Roman" w:eastAsia="Times New Roman" w:hint="default"/>
        </w:rPr>
        <w:t>5G</w:t>
      </w:r>
      <w:r>
        <w:rPr/>
        <w:t>发展机遇，抢占技术制高点，实现智慧园区、智慧养老、智慧路 </w:t>
      </w:r>
      <w:r>
        <w:rPr>
          <w:spacing w:val="-2"/>
        </w:rPr>
        <w:t>灯技术、智慧征信平台开发等领域的技术储备和产品研发，逐步实现公司云计算及数据存储业务下沉至终端，提升公司综合</w:t>
      </w:r>
      <w:r>
        <w:rPr>
          <w:spacing w:val="-63"/>
        </w:rPr>
        <w:t> </w:t>
      </w:r>
      <w:r>
        <w:rPr>
          <w:spacing w:val="-63"/>
        </w:rPr>
      </w:r>
      <w:r>
        <w:rPr/>
        <w:t>竞争力。</w:t>
      </w:r>
    </w:p>
    <w:p>
      <w:pPr>
        <w:pStyle w:val="BodyText"/>
        <w:spacing w:line="240" w:lineRule="auto" w:before="67"/>
        <w:ind w:left="513" w:right="1034"/>
        <w:jc w:val="left"/>
      </w:pPr>
      <w:r>
        <w:rPr>
          <w:rFonts w:ascii="Times New Roman" w:hAnsi="Times New Roman" w:cs="Times New Roman" w:eastAsia="Times New Roman" w:hint="default"/>
        </w:rPr>
        <w:t>IDC+</w:t>
      </w:r>
      <w:r>
        <w:rPr/>
        <w:t>业务拓展方面，公司以证通云平台为业务基础和依托，扩大</w:t>
      </w:r>
      <w:r>
        <w:rPr>
          <w:rFonts w:ascii="Times New Roman" w:hAnsi="Times New Roman" w:cs="Times New Roman" w:eastAsia="Times New Roman" w:hint="default"/>
        </w:rPr>
        <w:t>IDC+</w:t>
      </w:r>
      <w:r>
        <w:rPr/>
        <w:t>战略在湖南及周边城市的辐射，加强售前</w:t>
      </w:r>
      <w:r>
        <w:rPr>
          <w:rFonts w:ascii="Times New Roman" w:hAnsi="Times New Roman" w:cs="Times New Roman" w:eastAsia="Times New Roman" w:hint="default"/>
        </w:rPr>
        <w:t>—</w:t>
      </w:r>
      <w:r>
        <w:rPr/>
        <w:t>交付</w:t>
      </w:r>
    </w:p>
    <w:p>
      <w:pPr>
        <w:spacing w:line="240" w:lineRule="auto" w:before="9"/>
        <w:rPr>
          <w:rFonts w:ascii="宋体" w:hAnsi="宋体" w:cs="宋体" w:eastAsia="宋体" w:hint="default"/>
          <w:sz w:val="16"/>
          <w:szCs w:val="16"/>
        </w:rPr>
      </w:pPr>
    </w:p>
    <w:p>
      <w:pPr>
        <w:pStyle w:val="BodyText"/>
        <w:spacing w:line="458" w:lineRule="auto"/>
        <w:ind w:right="1034"/>
        <w:jc w:val="left"/>
      </w:pPr>
      <w:r>
        <w:rPr>
          <w:rFonts w:ascii="Times New Roman" w:hAnsi="Times New Roman" w:cs="Times New Roman" w:eastAsia="Times New Roman" w:hint="default"/>
        </w:rPr>
        <w:t>—</w:t>
      </w:r>
      <w:r>
        <w:rPr/>
        <w:t>运营的全线条管理，以深圳、湖南为重点业务开展地区，探索拓展</w:t>
      </w:r>
      <w:r>
        <w:rPr>
          <w:rFonts w:ascii="Times New Roman" w:hAnsi="Times New Roman" w:cs="Times New Roman" w:eastAsia="Times New Roman" w:hint="default"/>
        </w:rPr>
        <w:t>IDC+</w:t>
      </w:r>
      <w:r>
        <w:rPr/>
        <w:t>数字化运营、智慧厂区、智慧园区及智慧城市等 </w:t>
      </w:r>
      <w:r>
        <w:rPr>
          <w:spacing w:val="-5"/>
        </w:rPr>
        <w:t>服务应用市场。报告期内，公司深耕智慧城市、智慧园区系列产品研发，云资源管理平台、大数据并行处理与分析挖掘平台、</w:t>
      </w:r>
      <w:r>
        <w:rPr>
          <w:spacing w:val="-79"/>
        </w:rPr>
        <w:t> </w:t>
      </w:r>
      <w:r>
        <w:rPr>
          <w:spacing w:val="-79"/>
        </w:rPr>
      </w:r>
      <w:r>
        <w:rPr>
          <w:spacing w:val="-2"/>
        </w:rPr>
        <w:t>分布式云存储系统、</w:t>
      </w:r>
      <w:r>
        <w:rPr>
          <w:rFonts w:ascii="Times New Roman" w:hAnsi="Times New Roman" w:cs="Times New Roman" w:eastAsia="Times New Roman" w:hint="default"/>
          <w:spacing w:val="-2"/>
        </w:rPr>
        <w:t>PaaS</w:t>
      </w:r>
      <w:r>
        <w:rPr>
          <w:spacing w:val="-2"/>
        </w:rPr>
        <w:t>服务与公共组件平台等系统为智慧望城等项目提供了基础平台，基于云平台、大数据及人工智能技</w:t>
      </w:r>
      <w:r>
        <w:rPr>
          <w:spacing w:val="-62"/>
        </w:rPr>
        <w:t> </w:t>
      </w:r>
      <w:r>
        <w:rPr>
          <w:spacing w:val="-62"/>
        </w:rPr>
      </w:r>
      <w:r>
        <w:rPr>
          <w:spacing w:val="-7"/>
        </w:rPr>
        <w:t>术开发的</w:t>
      </w:r>
      <w:r>
        <w:rPr>
          <w:rFonts w:ascii="Times New Roman" w:hAnsi="Times New Roman" w:cs="Times New Roman" w:eastAsia="Times New Roman" w:hint="default"/>
          <w:spacing w:val="-7"/>
        </w:rPr>
        <w:t>SaaS</w:t>
      </w:r>
      <w:r>
        <w:rPr>
          <w:spacing w:val="-7"/>
        </w:rPr>
        <w:t>软件系统，如智慧园区、政务门户、智能运维平台、智能客服、智慧安监等已在多个项目中应用。另公司以</w:t>
      </w:r>
      <w:r>
        <w:rPr>
          <w:rFonts w:ascii="Times New Roman" w:hAnsi="Times New Roman" w:cs="Times New Roman" w:eastAsia="Times New Roman" w:hint="default"/>
          <w:spacing w:val="-7"/>
        </w:rPr>
        <w:t>“IDC+</w:t>
      </w:r>
      <w:r>
        <w:rPr>
          <w:rFonts w:ascii="Times New Roman" w:hAnsi="Times New Roman" w:cs="Times New Roman" w:eastAsia="Times New Roman" w:hint="default"/>
          <w:spacing w:val="-24"/>
        </w:rPr>
        <w:t> </w:t>
      </w:r>
      <w:r>
        <w:rPr>
          <w:rFonts w:ascii="Times New Roman" w:hAnsi="Times New Roman" w:cs="Times New Roman" w:eastAsia="Times New Roman" w:hint="default"/>
          <w:spacing w:val="-24"/>
        </w:rPr>
      </w:r>
      <w:r>
        <w:rPr>
          <w:spacing w:val="-3"/>
        </w:rPr>
        <w:t>生态</w:t>
      </w:r>
      <w:r>
        <w:rPr>
          <w:rFonts w:ascii="Times New Roman" w:hAnsi="Times New Roman" w:cs="Times New Roman" w:eastAsia="Times New Roman" w:hint="default"/>
          <w:spacing w:val="-3"/>
        </w:rPr>
        <w:t>”</w:t>
      </w:r>
      <w:r>
        <w:rPr>
          <w:spacing w:val="-3"/>
        </w:rPr>
        <w:t>为战略参与到中部及沿海地区的产业园区、高新园区、高科技园区等的建设和运营，通过融合新一代信息与通信技术，</w:t>
      </w:r>
      <w:r>
        <w:rPr>
          <w:spacing w:val="-88"/>
        </w:rPr>
        <w:t> </w:t>
      </w:r>
      <w:r>
        <w:rPr>
          <w:spacing w:val="-88"/>
        </w:rPr>
      </w:r>
      <w:r>
        <w:rPr/>
        <w:t>实现产业园区内及时、互动、整合的信息感知、传递和处理，实现管理、工作、生活的智慧化，打造三位一体的智慧园区，</w:t>
      </w:r>
      <w:r>
        <w:rPr>
          <w:spacing w:val="-83"/>
        </w:rPr>
        <w:t> </w:t>
      </w:r>
      <w:r>
        <w:rPr>
          <w:spacing w:val="-83"/>
        </w:rPr>
      </w:r>
      <w:r>
        <w:rPr/>
        <w:t>打造三位一体的智慧园区。</w:t>
      </w:r>
    </w:p>
    <w:p>
      <w:pPr>
        <w:pStyle w:val="BodyText"/>
        <w:spacing w:line="458" w:lineRule="auto" w:before="68"/>
        <w:ind w:right="1131" w:firstLine="360"/>
        <w:jc w:val="both"/>
      </w:pPr>
      <w:r>
        <w:rPr>
          <w:rFonts w:ascii="Times New Roman" w:hAnsi="Times New Roman" w:cs="Times New Roman" w:eastAsia="Times New Roman" w:hint="default"/>
          <w:spacing w:val="-1"/>
        </w:rPr>
        <w:t>LED</w:t>
      </w:r>
      <w:r>
        <w:rPr>
          <w:spacing w:val="-1"/>
        </w:rPr>
        <w:t>照明电子业务领域，报告期内，公司持续建设</w:t>
      </w:r>
      <w:r>
        <w:rPr>
          <w:rFonts w:ascii="Times New Roman" w:hAnsi="Times New Roman" w:cs="Times New Roman" w:eastAsia="Times New Roman" w:hint="default"/>
          <w:spacing w:val="-1"/>
        </w:rPr>
        <w:t>LED</w:t>
      </w:r>
      <w:r>
        <w:rPr>
          <w:spacing w:val="-1"/>
        </w:rPr>
        <w:t>照明电子业务的风控体系，主动加强</w:t>
      </w:r>
      <w:r>
        <w:rPr>
          <w:rFonts w:ascii="Times New Roman" w:hAnsi="Times New Roman" w:cs="Times New Roman" w:eastAsia="Times New Roman" w:hint="default"/>
          <w:spacing w:val="-1"/>
        </w:rPr>
        <w:t>LED</w:t>
      </w:r>
      <w:r>
        <w:rPr>
          <w:spacing w:val="-1"/>
        </w:rPr>
        <w:t>工程类项目的筛选及风</w:t>
      </w:r>
      <w:r>
        <w:rPr/>
        <w:t> </w:t>
      </w:r>
      <w:r>
        <w:rPr>
          <w:spacing w:val="-2"/>
        </w:rPr>
        <w:t>险把控，专注扩展现金流较好的工程亮化项目，进一步完善该业务的供应商、产品库，并新建项目核算体系。公司成功地获</w:t>
      </w:r>
      <w:r>
        <w:rPr>
          <w:spacing w:val="-67"/>
        </w:rPr>
        <w:t> </w:t>
      </w:r>
      <w:r>
        <w:rPr>
          <w:spacing w:val="-67"/>
        </w:rPr>
      </w:r>
      <w:r>
        <w:rPr/>
        <w:t>得了由住建部颁发的</w:t>
      </w:r>
      <w:r>
        <w:rPr>
          <w:rFonts w:ascii="Times New Roman" w:hAnsi="Times New Roman" w:cs="Times New Roman" w:eastAsia="Times New Roman" w:hint="default"/>
        </w:rPr>
        <w:t>“</w:t>
      </w:r>
      <w:r>
        <w:rPr/>
        <w:t>照明工程设计专项甲级资质</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城市及道路照明工程专业承包壹级资质</w:t>
      </w:r>
      <w:r>
        <w:rPr>
          <w:rFonts w:ascii="Times New Roman" w:hAnsi="Times New Roman" w:cs="Times New Roman" w:eastAsia="Times New Roman" w:hint="default"/>
        </w:rPr>
        <w:t>”</w:t>
      </w:r>
      <w:r>
        <w:rPr/>
        <w:t>，成为全国为数不多具备</w:t>
      </w:r>
      <w:r>
        <w:rPr>
          <w:rFonts w:ascii="Times New Roman" w:hAnsi="Times New Roman" w:cs="Times New Roman" w:eastAsia="Times New Roman" w:hint="default"/>
        </w:rPr>
        <w:t>“</w:t>
      </w:r>
      <w:r>
        <w:rPr/>
        <w:t>双 甲</w:t>
      </w:r>
      <w:r>
        <w:rPr>
          <w:rFonts w:ascii="Times New Roman" w:hAnsi="Times New Roman" w:cs="Times New Roman" w:eastAsia="Times New Roman" w:hint="default"/>
        </w:rPr>
        <w:t>”</w:t>
      </w:r>
      <w:r>
        <w:rPr/>
        <w:t>资质的照明工程企业之一，为公司承接高质量照明工程项目、壮大亮化照明业务打下了坚实的基础，并通过智慧望城等 试点项目，布局智慧照明市场，逐步与</w:t>
      </w:r>
      <w:r>
        <w:rPr>
          <w:rFonts w:ascii="Times New Roman" w:hAnsi="Times New Roman" w:cs="Times New Roman" w:eastAsia="Times New Roman" w:hint="default"/>
        </w:rPr>
        <w:t>IDC</w:t>
      </w:r>
      <w:r>
        <w:rPr/>
        <w:t>及云计算业务在智慧城市和智慧园区的业务拓展过程中形成协同发展。</w:t>
      </w:r>
    </w:p>
    <w:p>
      <w:pPr>
        <w:pStyle w:val="BodyText"/>
        <w:spacing w:line="477" w:lineRule="auto" w:before="37"/>
        <w:ind w:left="513" w:right="1129"/>
        <w:jc w:val="left"/>
      </w:pPr>
      <w:r>
        <w:rPr/>
        <w:t>（二）努力开拓市场 </w:t>
      </w:r>
      <w:r>
        <w:rPr>
          <w:spacing w:val="-2"/>
        </w:rPr>
        <w:t>报告期内，面对严峻的内外部形势，公司通过加强促进各个业务领域的资源协同整合，深入挖掘公司沉淀的客户的市场</w:t>
      </w:r>
    </w:p>
    <w:p>
      <w:pPr>
        <w:pStyle w:val="BodyText"/>
        <w:spacing w:line="460" w:lineRule="auto" w:before="54"/>
        <w:ind w:right="1131"/>
        <w:jc w:val="both"/>
      </w:pPr>
      <w:r>
        <w:rPr>
          <w:spacing w:val="-2"/>
        </w:rPr>
        <w:t>诉求，拓展公司新服务、新产品的市场空间。</w:t>
      </w:r>
      <w:r>
        <w:rPr>
          <w:rFonts w:ascii="Times New Roman" w:hAnsi="Times New Roman" w:cs="Times New Roman" w:eastAsia="Times New Roman" w:hint="default"/>
          <w:spacing w:val="-2"/>
        </w:rPr>
        <w:t>2018</w:t>
      </w:r>
      <w:r>
        <w:rPr>
          <w:spacing w:val="-2"/>
        </w:rPr>
        <w:t>年，公司自助终端业务顺利中标中国邮政</w:t>
      </w:r>
      <w:r>
        <w:rPr>
          <w:rFonts w:ascii="Times New Roman" w:hAnsi="Times New Roman" w:cs="Times New Roman" w:eastAsia="Times New Roman" w:hint="default"/>
          <w:spacing w:val="-2"/>
        </w:rPr>
        <w:t>ITM</w:t>
      </w:r>
      <w:r>
        <w:rPr>
          <w:spacing w:val="-2"/>
        </w:rPr>
        <w:t>设备集中采购项目，并在政</w:t>
      </w:r>
      <w:r>
        <w:rPr>
          <w:spacing w:val="-35"/>
        </w:rPr>
        <w:t> </w:t>
      </w:r>
      <w:r>
        <w:rPr>
          <w:spacing w:val="-35"/>
        </w:rPr>
      </w:r>
      <w:r>
        <w:rPr>
          <w:spacing w:val="-2"/>
        </w:rPr>
        <w:t>务、银某、新零售、充电桩等市场拓展方面取得了新的突破；安全支付业务顺利拓展了南美等海外新市场，中标邮储、江苏</w:t>
      </w:r>
      <w:r>
        <w:rPr>
          <w:spacing w:val="-68"/>
        </w:rPr>
        <w:t> </w:t>
      </w:r>
      <w:r>
        <w:rPr>
          <w:spacing w:val="-68"/>
        </w:rPr>
      </w:r>
      <w:r>
        <w:rPr>
          <w:spacing w:val="-2"/>
        </w:rPr>
        <w:t>农信、四川农信等重要客户项目，并在加油机行业、彩票行业、移动支付行业等国内行业市场进行了业务的布局，对全年业</w:t>
      </w:r>
      <w:r>
        <w:rPr>
          <w:spacing w:val="-66"/>
        </w:rPr>
        <w:t> </w:t>
      </w:r>
      <w:r>
        <w:rPr>
          <w:spacing w:val="-66"/>
        </w:rPr>
      </w:r>
      <w:r>
        <w:rPr>
          <w:spacing w:val="-1"/>
        </w:rPr>
        <w:t>绩形成了有效支撑；</w:t>
      </w:r>
      <w:r>
        <w:rPr>
          <w:rFonts w:ascii="Times New Roman" w:hAnsi="Times New Roman" w:cs="Times New Roman" w:eastAsia="Times New Roman" w:hint="default"/>
          <w:spacing w:val="-1"/>
        </w:rPr>
        <w:t>IDC</w:t>
      </w:r>
      <w:r>
        <w:rPr>
          <w:spacing w:val="-1"/>
        </w:rPr>
        <w:t>及云计算业务领域与平安科技正式签署了服务合同，为平安科技提供深圳云谷数据中心</w:t>
      </w:r>
      <w:r>
        <w:rPr>
          <w:rFonts w:ascii="Times New Roman" w:hAnsi="Times New Roman" w:cs="Times New Roman" w:eastAsia="Times New Roman" w:hint="default"/>
          <w:spacing w:val="-1"/>
        </w:rPr>
        <w:t>1454</w:t>
      </w:r>
      <w:r>
        <w:rPr>
          <w:spacing w:val="-1"/>
        </w:rPr>
        <w:t>个机柜</w:t>
      </w:r>
      <w:r>
        <w:rPr>
          <w:spacing w:val="-67"/>
        </w:rPr>
        <w:t> </w:t>
      </w:r>
      <w:r>
        <w:rPr>
          <w:spacing w:val="-67"/>
        </w:rPr>
      </w:r>
      <w:r>
        <w:rPr/>
        <w:t>托管服务及相关配套设施服务，合同总金额</w:t>
      </w:r>
      <w:r>
        <w:rPr>
          <w:rFonts w:ascii="Times New Roman" w:hAnsi="Times New Roman" w:cs="Times New Roman" w:eastAsia="Times New Roman" w:hint="default"/>
        </w:rPr>
        <w:t>8.85</w:t>
      </w:r>
      <w:r>
        <w:rPr/>
        <w:t>亿元；与湖南移动长沙分公司签署了《</w:t>
      </w:r>
      <w:r>
        <w:rPr>
          <w:rFonts w:ascii="Times New Roman" w:hAnsi="Times New Roman" w:cs="Times New Roman" w:eastAsia="Times New Roman" w:hint="default"/>
        </w:rPr>
        <w:t>IDC</w:t>
      </w:r>
      <w:r>
        <w:rPr/>
        <w:t>机房租赁服务框架合同》，为长 </w:t>
      </w:r>
      <w:r>
        <w:rPr>
          <w:spacing w:val="-2"/>
        </w:rPr>
        <w:t>沙移动提供长沙云谷数据中心机房建设、租赁及运维服务，合同总金额上限为</w:t>
      </w:r>
      <w:r>
        <w:rPr>
          <w:rFonts w:ascii="Times New Roman" w:hAnsi="Times New Roman" w:cs="Times New Roman" w:eastAsia="Times New Roman" w:hint="default"/>
          <w:spacing w:val="-2"/>
        </w:rPr>
        <w:t>7.1</w:t>
      </w:r>
      <w:r>
        <w:rPr>
          <w:spacing w:val="-2"/>
        </w:rPr>
        <w:t>亿元，充分体现了公司在</w:t>
      </w:r>
      <w:r>
        <w:rPr>
          <w:rFonts w:ascii="Times New Roman" w:hAnsi="Times New Roman" w:cs="Times New Roman" w:eastAsia="Times New Roman" w:hint="default"/>
          <w:spacing w:val="-2"/>
        </w:rPr>
        <w:t>IDC</w:t>
      </w:r>
      <w:r>
        <w:rPr>
          <w:spacing w:val="-2"/>
        </w:rPr>
        <w:t>业界的口碑和</w:t>
      </w:r>
    </w:p>
    <w:p>
      <w:pPr>
        <w:spacing w:after="0" w:line="460"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8" w:lineRule="auto"/>
        <w:ind w:right="1130"/>
        <w:jc w:val="both"/>
      </w:pPr>
      <w:r>
        <w:rPr>
          <w:spacing w:val="-2"/>
        </w:rPr>
        <w:t>影响力，也为公司</w:t>
      </w:r>
      <w:r>
        <w:rPr>
          <w:rFonts w:ascii="Times New Roman" w:hAnsi="Times New Roman" w:cs="Times New Roman" w:eastAsia="Times New Roman" w:hint="default"/>
          <w:spacing w:val="-2"/>
        </w:rPr>
        <w:t>IDC</w:t>
      </w:r>
      <w:r>
        <w:rPr>
          <w:spacing w:val="-2"/>
        </w:rPr>
        <w:t>及云计算业务的长期稳定发展打下了良好的基础；与此同时，公司紧紧围绕</w:t>
      </w:r>
      <w:r>
        <w:rPr>
          <w:rFonts w:ascii="Times New Roman" w:hAnsi="Times New Roman" w:cs="Times New Roman" w:eastAsia="Times New Roman" w:hint="default"/>
          <w:spacing w:val="-2"/>
        </w:rPr>
        <w:t>“IDC+</w:t>
      </w:r>
      <w:r>
        <w:rPr>
          <w:spacing w:val="-2"/>
        </w:rPr>
        <w:t>生态</w:t>
      </w:r>
      <w:r>
        <w:rPr>
          <w:rFonts w:ascii="Times New Roman" w:hAnsi="Times New Roman" w:cs="Times New Roman" w:eastAsia="Times New Roman" w:hint="default"/>
          <w:spacing w:val="-2"/>
        </w:rPr>
        <w:t>”</w:t>
      </w:r>
      <w:r>
        <w:rPr>
          <w:spacing w:val="-2"/>
        </w:rPr>
        <w:t>的战略，内外</w:t>
      </w:r>
      <w:r>
        <w:rPr>
          <w:spacing w:val="-37"/>
        </w:rPr>
        <w:t> </w:t>
      </w:r>
      <w:r>
        <w:rPr>
          <w:spacing w:val="-37"/>
        </w:rPr>
      </w:r>
      <w:r>
        <w:rPr>
          <w:spacing w:val="-2"/>
        </w:rPr>
        <w:t>兼修，加速布局智慧园区建设运营，在望城经开区智慧园区、伟创力智慧厂区等项目中积累和提升公司在智慧园区业务领域</w:t>
      </w:r>
      <w:r>
        <w:rPr>
          <w:spacing w:val="-62"/>
        </w:rPr>
        <w:t> </w:t>
      </w:r>
      <w:r>
        <w:rPr>
          <w:spacing w:val="-62"/>
        </w:rPr>
      </w:r>
      <w:r>
        <w:rPr>
          <w:spacing w:val="-1"/>
        </w:rPr>
        <w:t>落地实施能力和市场拓展能力。</w:t>
      </w:r>
      <w:r>
        <w:rPr>
          <w:rFonts w:ascii="Times New Roman" w:hAnsi="Times New Roman" w:cs="Times New Roman" w:eastAsia="Times New Roman" w:hint="default"/>
          <w:spacing w:val="-1"/>
        </w:rPr>
        <w:t>LED</w:t>
      </w:r>
      <w:r>
        <w:rPr>
          <w:spacing w:val="-1"/>
        </w:rPr>
        <w:t>照明电子业务领域，报告期内公司通过晋升为全国为数不多的照明行业</w:t>
      </w:r>
      <w:r>
        <w:rPr>
          <w:rFonts w:ascii="Times New Roman" w:hAnsi="Times New Roman" w:cs="Times New Roman" w:eastAsia="Times New Roman" w:hint="default"/>
          <w:spacing w:val="-1"/>
        </w:rPr>
        <w:t>“</w:t>
      </w:r>
      <w:r>
        <w:rPr>
          <w:spacing w:val="-1"/>
        </w:rPr>
        <w:t>双甲</w:t>
      </w:r>
      <w:r>
        <w:rPr>
          <w:rFonts w:ascii="Times New Roman" w:hAnsi="Times New Roman" w:cs="Times New Roman" w:eastAsia="Times New Roman" w:hint="default"/>
          <w:spacing w:val="-1"/>
        </w:rPr>
        <w:t>”</w:t>
      </w:r>
      <w:r>
        <w:rPr>
          <w:spacing w:val="-1"/>
        </w:rPr>
        <w:t>企业，为</w:t>
      </w:r>
      <w:r>
        <w:rPr>
          <w:spacing w:val="-84"/>
        </w:rPr>
        <w:t> </w:t>
      </w:r>
      <w:r>
        <w:rPr>
          <w:spacing w:val="-84"/>
        </w:rPr>
      </w:r>
      <w:r>
        <w:rPr/>
        <w:t>承接高质量照明工程项目、壮大亮化照明业务打下了坚实基础。</w:t>
      </w:r>
    </w:p>
    <w:p>
      <w:pPr>
        <w:pStyle w:val="BodyText"/>
        <w:spacing w:line="477" w:lineRule="auto" w:before="68"/>
        <w:ind w:left="513" w:right="1129"/>
        <w:jc w:val="left"/>
      </w:pPr>
      <w:r>
        <w:rPr/>
        <w:t>（三）企业优化整合作为关键举措</w:t>
      </w:r>
      <w:r>
        <w:rPr>
          <w:spacing w:val="54"/>
        </w:rPr>
        <w:t> </w:t>
      </w:r>
      <w:r>
        <w:rPr/>
        <w:t>落实降本增效</w:t>
      </w:r>
      <w:r>
        <w:rPr/>
        <w:t> </w:t>
      </w:r>
      <w:r>
        <w:rPr>
          <w:spacing w:val="-2"/>
        </w:rPr>
        <w:t>报告期内，公司着力提高事业部制的管理水平，进一步释放内生动能。公司根据行业的变化趋势和实际的业务状况，对</w:t>
      </w:r>
    </w:p>
    <w:p>
      <w:pPr>
        <w:pStyle w:val="BodyText"/>
        <w:spacing w:line="468" w:lineRule="auto" w:before="54"/>
        <w:ind w:right="1130"/>
        <w:jc w:val="both"/>
      </w:pPr>
      <w:r>
        <w:rPr>
          <w:spacing w:val="-2"/>
        </w:rPr>
        <w:t>总部和事业部的架构做了相应的优化整合，基本确立公司</w:t>
      </w:r>
      <w:r>
        <w:rPr>
          <w:rFonts w:ascii="Times New Roman" w:hAnsi="Times New Roman" w:cs="Times New Roman" w:eastAsia="Times New Roman" w:hint="default"/>
          <w:spacing w:val="-2"/>
        </w:rPr>
        <w:t>“</w:t>
      </w:r>
      <w:r>
        <w:rPr>
          <w:spacing w:val="-2"/>
        </w:rPr>
        <w:t>三大业务板块，四大事业部</w:t>
      </w:r>
      <w:r>
        <w:rPr>
          <w:rFonts w:ascii="Times New Roman" w:hAnsi="Times New Roman" w:cs="Times New Roman" w:eastAsia="Times New Roman" w:hint="default"/>
          <w:spacing w:val="-2"/>
        </w:rPr>
        <w:t>”</w:t>
      </w:r>
      <w:r>
        <w:rPr>
          <w:spacing w:val="-2"/>
        </w:rPr>
        <w:t>的经营格局，有效提升了部门衔接和</w:t>
      </w:r>
      <w:r>
        <w:rPr>
          <w:spacing w:val="-43"/>
        </w:rPr>
        <w:t> </w:t>
      </w:r>
      <w:r>
        <w:rPr>
          <w:spacing w:val="-43"/>
        </w:rPr>
      </w:r>
      <w:r>
        <w:rPr>
          <w:spacing w:val="-2"/>
        </w:rPr>
        <w:t>合作效率，使得公司的资源更加高效的聚焦于主业的发展，专注于服务优质客户及合作伙伴，并通过精益化项目管理的方式</w:t>
      </w:r>
      <w:r>
        <w:rPr>
          <w:spacing w:val="-63"/>
        </w:rPr>
        <w:t> </w:t>
      </w:r>
      <w:r>
        <w:rPr>
          <w:spacing w:val="-63"/>
        </w:rPr>
      </w:r>
      <w:r>
        <w:rPr>
          <w:spacing w:val="-2"/>
        </w:rPr>
        <w:t>对成本、费用进行有效管控以提升经营效益，激活广大管理人员和一线员工的工作积极性和主动性，不断增强公司发展的内</w:t>
      </w:r>
      <w:r>
        <w:rPr>
          <w:spacing w:val="-63"/>
        </w:rPr>
        <w:t> </w:t>
      </w:r>
      <w:r>
        <w:rPr>
          <w:spacing w:val="-63"/>
        </w:rPr>
      </w:r>
      <w:r>
        <w:rPr/>
        <w:t>外活力。</w:t>
      </w:r>
    </w:p>
    <w:p>
      <w:pPr>
        <w:pStyle w:val="BodyText"/>
        <w:spacing w:line="463" w:lineRule="auto" w:before="61"/>
        <w:ind w:right="1130" w:firstLine="360"/>
        <w:jc w:val="both"/>
      </w:pPr>
      <w:r>
        <w:rPr>
          <w:spacing w:val="-2"/>
        </w:rPr>
        <w:t>报告期内，公司稳健推动公司整体业务转型升级，注重业务发展速度和质量的平衡，在打造公司持续稳健发展的优势支</w:t>
      </w:r>
      <w:r>
        <w:rPr/>
        <w:t> 柱产业的同时，加强市场的风险把控</w:t>
      </w:r>
      <w:r>
        <w:rPr>
          <w:rFonts w:ascii="Times New Roman" w:hAnsi="Times New Roman" w:cs="Times New Roman" w:eastAsia="Times New Roman" w:hint="default"/>
        </w:rPr>
        <w:t>,</w:t>
      </w:r>
      <w:r>
        <w:rPr/>
        <w:t>专注扩展现金流较好的项目和客户，加快盘活优质资产和回收应收账款，报告期内， 公司经营现金流状况得到明显改善，实现经营活动产生的现金流量净额</w:t>
      </w:r>
      <w:r>
        <w:rPr>
          <w:rFonts w:ascii="Times New Roman" w:hAnsi="Times New Roman" w:cs="Times New Roman" w:eastAsia="Times New Roman" w:hint="default"/>
        </w:rPr>
        <w:t>2,395.34</w:t>
      </w:r>
      <w:r>
        <w:rPr/>
        <w:t>万元，同比增长</w:t>
      </w:r>
      <w:r>
        <w:rPr>
          <w:rFonts w:ascii="Times New Roman" w:hAnsi="Times New Roman" w:cs="Times New Roman" w:eastAsia="Times New Roman" w:hint="default"/>
        </w:rPr>
        <w:t>103.31%</w:t>
      </w:r>
      <w:r>
        <w:rPr/>
        <w:t>。</w:t>
      </w:r>
    </w:p>
    <w:p>
      <w:pPr>
        <w:pStyle w:val="BodyText"/>
        <w:spacing w:line="477" w:lineRule="auto" w:before="33"/>
        <w:ind w:left="513" w:right="1133"/>
        <w:jc w:val="left"/>
      </w:pPr>
      <w:r>
        <w:rPr/>
        <w:t>（四）加强技术创新工作 </w:t>
      </w:r>
      <w:r>
        <w:rPr>
          <w:spacing w:val="-2"/>
        </w:rPr>
        <w:t>公司注重加强科技创新，是第一批国家认定的高新技术企业，报告期内，公司在技术研发、科技成果转化、高端人才聚</w:t>
      </w:r>
    </w:p>
    <w:p>
      <w:pPr>
        <w:pStyle w:val="BodyText"/>
        <w:spacing w:line="456" w:lineRule="auto" w:before="54"/>
        <w:ind w:right="1034"/>
        <w:jc w:val="left"/>
      </w:pPr>
      <w:r>
        <w:rPr/>
        <w:t>集与培养等方面积极推进，并与国内外多家科研机构建立良好的合作关系，不断提升公司的产品研发实力和核心技术能力。</w:t>
      </w:r>
      <w:r>
        <w:rPr>
          <w:spacing w:val="-86"/>
        </w:rPr>
        <w:t> </w:t>
      </w:r>
      <w:r>
        <w:rPr>
          <w:spacing w:val="-86"/>
        </w:rPr>
      </w:r>
      <w:r>
        <w:rPr/>
        <w:t>通过</w:t>
      </w:r>
      <w:r>
        <w:rPr>
          <w:rFonts w:ascii="Times New Roman" w:hAnsi="Times New Roman" w:cs="Times New Roman" w:eastAsia="Times New Roman" w:hint="default"/>
        </w:rPr>
        <w:t>2018</w:t>
      </w:r>
      <w:r>
        <w:rPr/>
        <w:t>年的布局及努力，公司高新技术企业认定顺利通过复审，并于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月获得深圳市人力资源和社会保障局批准</w:t>
      </w:r>
      <w:r>
        <w:rPr>
          <w:rFonts w:ascii="Times New Roman" w:hAnsi="Times New Roman" w:cs="Times New Roman" w:eastAsia="Times New Roman" w:hint="default"/>
        </w:rPr>
        <w:t>58</w:t>
      </w:r>
      <w:r>
        <w:rPr>
          <w:rFonts w:ascii="Times New Roman" w:hAnsi="Times New Roman" w:cs="Times New Roman" w:eastAsia="Times New Roman" w:hint="default"/>
          <w:spacing w:val="1"/>
        </w:rPr>
        <w:t> </w:t>
      </w:r>
      <w:r>
        <w:rPr>
          <w:spacing w:val="-2"/>
        </w:rPr>
        <w:t>家单位设立</w:t>
      </w:r>
      <w:r>
        <w:rPr>
          <w:rFonts w:ascii="Times New Roman" w:hAnsi="Times New Roman" w:cs="Times New Roman" w:eastAsia="Times New Roman" w:hint="default"/>
          <w:spacing w:val="-2"/>
        </w:rPr>
        <w:t>“</w:t>
      </w:r>
      <w:r>
        <w:rPr>
          <w:spacing w:val="-2"/>
        </w:rPr>
        <w:t>博士后创新实践基地</w:t>
      </w:r>
      <w:r>
        <w:rPr>
          <w:rFonts w:ascii="Times New Roman" w:hAnsi="Times New Roman" w:cs="Times New Roman" w:eastAsia="Times New Roman" w:hint="default"/>
          <w:spacing w:val="-2"/>
        </w:rPr>
        <w:t>”</w:t>
      </w:r>
      <w:r>
        <w:rPr>
          <w:spacing w:val="-2"/>
        </w:rPr>
        <w:t>。另公司全资子公司长沙证通云计算有限公司也通过了国家高新技术企业首次认定，子公</w:t>
      </w:r>
      <w:r>
        <w:rPr>
          <w:spacing w:val="-46"/>
        </w:rPr>
        <w:t> </w:t>
      </w:r>
      <w:r>
        <w:rPr>
          <w:spacing w:val="-46"/>
        </w:rPr>
      </w:r>
      <w:r>
        <w:rPr>
          <w:spacing w:val="-2"/>
        </w:rPr>
        <w:t>司云硕被广东省科学技术厅认定为</w:t>
      </w:r>
      <w:r>
        <w:rPr>
          <w:rFonts w:ascii="Times New Roman" w:hAnsi="Times New Roman" w:cs="Times New Roman" w:eastAsia="Times New Roman" w:hint="default"/>
          <w:spacing w:val="-2"/>
        </w:rPr>
        <w:t>“</w:t>
      </w:r>
      <w:r>
        <w:rPr>
          <w:spacing w:val="-2"/>
        </w:rPr>
        <w:t>广东省智慧城市云数据（云硕）技术中心</w:t>
      </w:r>
      <w:r>
        <w:rPr>
          <w:rFonts w:ascii="Times New Roman" w:hAnsi="Times New Roman" w:cs="Times New Roman" w:eastAsia="Times New Roman" w:hint="default"/>
          <w:spacing w:val="-2"/>
        </w:rPr>
        <w:t>”</w:t>
      </w:r>
      <w:r>
        <w:rPr>
          <w:spacing w:val="-2"/>
        </w:rPr>
        <w:t>，证通云主机服务顺利通过可信云云主机服务</w:t>
      </w:r>
      <w:r>
        <w:rPr>
          <w:spacing w:val="-43"/>
        </w:rPr>
        <w:t> </w:t>
      </w:r>
      <w:r>
        <w:rPr>
          <w:spacing w:val="-43"/>
        </w:rPr>
      </w:r>
      <w:r>
        <w:rPr/>
        <w:t>认证，并入选《湖南省中小企业</w:t>
      </w:r>
      <w:r>
        <w:rPr>
          <w:rFonts w:ascii="Times New Roman" w:hAnsi="Times New Roman" w:cs="Times New Roman" w:eastAsia="Times New Roman" w:hint="default"/>
        </w:rPr>
        <w:t>“</w:t>
      </w:r>
      <w:r>
        <w:rPr/>
        <w:t>上云</w:t>
      </w:r>
      <w:r>
        <w:rPr>
          <w:rFonts w:ascii="Times New Roman" w:hAnsi="Times New Roman" w:cs="Times New Roman" w:eastAsia="Times New Roman" w:hint="default"/>
        </w:rPr>
        <w:t>”</w:t>
      </w:r>
      <w:r>
        <w:rPr/>
        <w:t>行动云计算产品推荐目录（</w:t>
      </w:r>
      <w:r>
        <w:rPr>
          <w:rFonts w:ascii="Times New Roman" w:hAnsi="Times New Roman" w:cs="Times New Roman" w:eastAsia="Times New Roman" w:hint="default"/>
        </w:rPr>
        <w:t>2018</w:t>
      </w:r>
      <w:r>
        <w:rPr/>
        <w:t>）》，建立了从</w:t>
      </w:r>
      <w:r>
        <w:rPr>
          <w:rFonts w:ascii="Times New Roman" w:hAnsi="Times New Roman" w:cs="Times New Roman" w:eastAsia="Times New Roman" w:hint="default"/>
        </w:rPr>
        <w:t>IDC</w:t>
      </w:r>
      <w:r>
        <w:rPr/>
        <w:t>运营、云计算资源池、大数据处 理分析挖掘到新一代人工智能的全栈自主研发能力，为公司的转型升级提供了技术支撑；公司注重加强知识产权保护。</w:t>
      </w:r>
    </w:p>
    <w:p>
      <w:pPr>
        <w:pStyle w:val="BodyText"/>
        <w:spacing w:line="451" w:lineRule="auto" w:before="71"/>
        <w:ind w:right="1131" w:firstLine="360"/>
        <w:jc w:val="both"/>
      </w:pPr>
      <w:r>
        <w:rPr>
          <w:spacing w:val="-1"/>
        </w:rPr>
        <w:t>报告期内，公司实现营业收入</w:t>
      </w:r>
      <w:r>
        <w:rPr>
          <w:rFonts w:ascii="Times New Roman" w:hAnsi="Times New Roman" w:cs="Times New Roman" w:eastAsia="Times New Roman" w:hint="default"/>
          <w:spacing w:val="-1"/>
        </w:rPr>
        <w:t>133,239.85</w:t>
      </w:r>
      <w:r>
        <w:rPr>
          <w:spacing w:val="-1"/>
        </w:rPr>
        <w:t>万元，同比下降</w:t>
      </w:r>
      <w:r>
        <w:rPr>
          <w:rFonts w:ascii="Times New Roman" w:hAnsi="Times New Roman" w:cs="Times New Roman" w:eastAsia="Times New Roman" w:hint="default"/>
          <w:spacing w:val="-1"/>
        </w:rPr>
        <w:t>20.81%</w:t>
      </w:r>
      <w:r>
        <w:rPr>
          <w:spacing w:val="-1"/>
        </w:rPr>
        <w:t>，主要原因系公司围绕</w:t>
      </w:r>
      <w:r>
        <w:rPr>
          <w:rFonts w:ascii="Times New Roman" w:hAnsi="Times New Roman" w:cs="Times New Roman" w:eastAsia="Times New Roman" w:hint="default"/>
          <w:spacing w:val="-1"/>
        </w:rPr>
        <w:t>“IDC+</w:t>
      </w:r>
      <w:r>
        <w:rPr>
          <w:spacing w:val="-1"/>
        </w:rPr>
        <w:t>生态</w:t>
      </w:r>
      <w:r>
        <w:rPr>
          <w:rFonts w:ascii="Times New Roman" w:hAnsi="Times New Roman" w:cs="Times New Roman" w:eastAsia="Times New Roman" w:hint="default"/>
          <w:spacing w:val="-1"/>
        </w:rPr>
        <w:t>”</w:t>
      </w:r>
      <w:r>
        <w:rPr>
          <w:spacing w:val="-1"/>
        </w:rPr>
        <w:t>的战略推进整体业务</w:t>
      </w:r>
      <w:r>
        <w:rPr/>
        <w:t> 转型升级，集中优势资源加快盘活公司</w:t>
      </w:r>
      <w:r>
        <w:rPr>
          <w:rFonts w:ascii="Times New Roman" w:hAnsi="Times New Roman" w:cs="Times New Roman" w:eastAsia="Times New Roman" w:hint="default"/>
        </w:rPr>
        <w:t>IDC</w:t>
      </w:r>
      <w:r>
        <w:rPr/>
        <w:t>资源、发展云计算，虽然公司</w:t>
      </w:r>
      <w:r>
        <w:rPr>
          <w:rFonts w:ascii="Times New Roman" w:hAnsi="Times New Roman" w:cs="Times New Roman" w:eastAsia="Times New Roman" w:hint="default"/>
        </w:rPr>
        <w:t>IDC</w:t>
      </w:r>
      <w:r>
        <w:rPr/>
        <w:t>及云计算业务销售收入有较大的增长，但与上 </w:t>
      </w:r>
      <w:r>
        <w:rPr>
          <w:spacing w:val="-2"/>
        </w:rPr>
        <w:t>年同期相比，公司金融电子及</w:t>
      </w:r>
      <w:r>
        <w:rPr>
          <w:rFonts w:ascii="Times New Roman" w:hAnsi="Times New Roman" w:cs="Times New Roman" w:eastAsia="Times New Roman" w:hint="default"/>
          <w:spacing w:val="-2"/>
        </w:rPr>
        <w:t>LED</w:t>
      </w:r>
      <w:r>
        <w:rPr>
          <w:spacing w:val="-2"/>
        </w:rPr>
        <w:t>照明电子业务受全球经济下行、市场需求阶段性回落、降低政府负债、政策趋紧等因素影</w:t>
      </w:r>
      <w:r>
        <w:rPr>
          <w:spacing w:val="-53"/>
        </w:rPr>
        <w:t> </w:t>
      </w:r>
      <w:r>
        <w:rPr>
          <w:spacing w:val="-53"/>
        </w:rPr>
      </w:r>
      <w:r>
        <w:rPr>
          <w:spacing w:val="-2"/>
        </w:rPr>
        <w:t>响，相关产品的销售和项目的交付实现的收入同比下降导致公司整体业务收入规模下降。公司归属于上市公司股东的净利润</w:t>
      </w:r>
    </w:p>
    <w:p>
      <w:pPr>
        <w:pStyle w:val="BodyText"/>
        <w:spacing w:line="468" w:lineRule="auto" w:before="74"/>
        <w:ind w:right="1131"/>
        <w:jc w:val="both"/>
      </w:pPr>
      <w:r>
        <w:rPr>
          <w:rFonts w:ascii="Times New Roman" w:hAnsi="Times New Roman" w:cs="Times New Roman" w:eastAsia="Times New Roman" w:hint="default"/>
        </w:rPr>
        <w:t>-24,120.10</w:t>
      </w:r>
      <w:r>
        <w:rPr/>
        <w:t>万元，同比下降</w:t>
      </w:r>
      <w:r>
        <w:rPr>
          <w:rFonts w:ascii="Times New Roman" w:hAnsi="Times New Roman" w:cs="Times New Roman" w:eastAsia="Times New Roman" w:hint="default"/>
        </w:rPr>
        <w:t>-659.69%</w:t>
      </w:r>
      <w:r>
        <w:rPr/>
        <w:t>，主要原因系公司业务收入规模下降，加之因行业客户转型升级和财政去杠杆等市场因</w:t>
      </w:r>
      <w:r>
        <w:rPr>
          <w:w w:val="99"/>
        </w:rPr>
        <w:t> </w:t>
      </w:r>
      <w:r>
        <w:rPr>
          <w:spacing w:val="-2"/>
        </w:rPr>
        <w:t>素的冲击，公司部分金融电子库存品不能满足市场和生产的需求，且部分客户存在融资难的困境增加导致公司业务回款滞后</w:t>
      </w:r>
      <w:r>
        <w:rPr>
          <w:spacing w:val="-64"/>
        </w:rPr>
        <w:t> </w:t>
      </w:r>
      <w:r>
        <w:rPr>
          <w:spacing w:val="-64"/>
        </w:rPr>
      </w:r>
      <w:r>
        <w:rPr>
          <w:spacing w:val="-2"/>
        </w:rPr>
        <w:t>于预期，基于对公司业务发展和市场环境的谨慎性判断，公司应收款项、存货的资产减值损失同比增加，同时公司目前处于</w:t>
      </w:r>
      <w:r>
        <w:rPr>
          <w:spacing w:val="-66"/>
        </w:rPr>
        <w:t> </w:t>
      </w:r>
      <w:r>
        <w:rPr>
          <w:spacing w:val="-66"/>
        </w:rPr>
      </w:r>
      <w:r>
        <w:rPr/>
        <w:t>发展阶段属成长期且对资金需求较大，导致财务费用同比增加，影响了公司的盈利水平，公司全年经营业绩出现亏损。</w:t>
      </w:r>
    </w:p>
    <w:p>
      <w:pPr>
        <w:spacing w:after="0" w:line="468" w:lineRule="auto"/>
        <w:jc w:val="both"/>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2" w:right="64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1133"/>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1"/>
        <w:gridCol w:w="1599"/>
        <w:gridCol w:w="1588"/>
        <w:gridCol w:w="1597"/>
      </w:tblGrid>
      <w:tr>
        <w:trPr>
          <w:trHeight w:val="207"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7"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1,332,398,508.95</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1,682,593,168.29</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-20.81%</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金融电子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409,839,549.31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30.76%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533,555,400.07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31.71%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-23.19%</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及云计算业务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348,008,828.82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26.12%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215,277,731.95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12.79%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61.66%</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照明电子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280,431,418.00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21.05%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369,346,428.65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21.95%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-24.07%</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合同能源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94,618,676.21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280,947,749.79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16.70%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-66.32%</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199,500,036.61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14.97%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283,465,857.83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16.85%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-29.62%</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自助服务终端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245,424,724.08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18.42%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323,413,362.04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19.22%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-24.11%</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96,254,231.73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109,998,963.69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6.54%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-12.50%</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加密键盘</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61,991,568.27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93,011,676.61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-33.35%</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及云计算业务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348,008,828.82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26.12%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215,277,731.95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12.79%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61.66%</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及相关贸易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280,431,418.00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21.05%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369,346,428.65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21.95%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-24.07%</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合同能源管理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94,618,676.21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280,947,749.79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16.70%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-66.32%</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电子产品贸易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13,410,768.68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93,252,467.50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-85.62%</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192,258,293.16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14.43%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197,344,788.06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11.73%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1,304,430,863.16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97.90%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1,535,083,687.12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91.23%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-15.03%</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27,967,645.79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147,509,481.17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8.77%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-81.04%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4"/>
        <w:rPr>
          <w:rFonts w:ascii="宋体" w:hAnsi="宋体" w:cs="宋体" w:eastAsia="宋体" w:hint="default"/>
          <w:b/>
          <w:bCs/>
          <w:sz w:val="26"/>
          <w:szCs w:val="26"/>
        </w:rPr>
      </w:pPr>
    </w:p>
    <w:p>
      <w:pPr>
        <w:pStyle w:val="BodyText"/>
        <w:spacing w:line="348"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公司是否需要遵守特殊行业的披露要求 否</w:t>
      </w:r>
    </w:p>
    <w:p>
      <w:pPr>
        <w:spacing w:after="0" w:line="348"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金融电子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409,839,549.31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332,873,975.12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-23.19%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及云计算业 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348,008,828.82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262,365,842.27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61.66%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53.66%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照明电子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280,431,418.00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214,589,147.52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-24.07%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合同能源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94,618,676.21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80,179,732.76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-66.32%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-48.89%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-28.90%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199,500,036.61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142,490,394.78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0.08%</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自助服务终端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245,424,724.08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205,371,356.84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-24.11%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96,254,231.73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77,623,108.74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加密键盘</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61,991,568.27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44,039,377.96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-12.75%</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及云计算业 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348,008,828.82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262,365,842.27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61.66%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53.66%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及相关贸易</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280,431,418.00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214,589,147.52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-24.07%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合同能源管理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94,618,676.21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80,179,732.76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-66.32%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-48.89%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-28.90%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电子产品贸易</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13,410,768.68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8,750,570.26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-85.62%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-89.87%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27.43%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192,258,293.16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139,579,956.10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-10.22%</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1,304,430,863.16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1,015,581,252.64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-15.03%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27,967,645.79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16,917,839.80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-81.04%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-84.25%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12.32%</w:t>
            </w:r>
          </w:p>
        </w:tc>
      </w:tr>
    </w:tbl>
    <w:p>
      <w:pPr>
        <w:pStyle w:val="BodyText"/>
        <w:spacing w:line="240" w:lineRule="auto" w:before="49"/>
        <w:ind w:right="1133"/>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338" w:lineRule="auto" w:before="103"/>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主要产品变动原因说明如下：</w:t>
      </w:r>
    </w:p>
    <w:p>
      <w:pPr>
        <w:pStyle w:val="BodyText"/>
        <w:spacing w:line="468" w:lineRule="auto" w:before="123"/>
        <w:ind w:right="1034" w:firstLine="360"/>
        <w:jc w:val="left"/>
      </w:pPr>
      <w:r>
        <w:rPr>
          <w:rFonts w:ascii="Times New Roman" w:hAnsi="Times New Roman" w:cs="Times New Roman" w:eastAsia="Times New Roman" w:hint="default"/>
        </w:rPr>
        <w:t>1</w:t>
      </w:r>
      <w:r>
        <w:rPr/>
        <w:t>、报告期内公司自助服务终端实现销售收入</w:t>
      </w:r>
      <w:r>
        <w:rPr>
          <w:spacing w:val="-46"/>
        </w:rPr>
        <w:t> </w:t>
      </w:r>
      <w:r>
        <w:rPr>
          <w:rFonts w:ascii="Times New Roman" w:hAnsi="Times New Roman" w:cs="Times New Roman" w:eastAsia="Times New Roman" w:hint="default"/>
        </w:rPr>
        <w:t>24,542.47</w:t>
      </w:r>
      <w:r>
        <w:rPr>
          <w:rFonts w:ascii="Times New Roman" w:hAnsi="Times New Roman" w:cs="Times New Roman" w:eastAsia="Times New Roman" w:hint="default"/>
          <w:spacing w:val="-1"/>
        </w:rPr>
        <w:t> </w:t>
      </w:r>
      <w:r>
        <w:rPr/>
        <w:t>万元，较上年同期下降</w:t>
      </w:r>
      <w:r>
        <w:rPr>
          <w:spacing w:val="-47"/>
        </w:rPr>
        <w:t> </w:t>
      </w:r>
      <w:r>
        <w:rPr>
          <w:rFonts w:ascii="Times New Roman" w:hAnsi="Times New Roman" w:cs="Times New Roman" w:eastAsia="Times New Roman" w:hint="default"/>
        </w:rPr>
        <w:t>24.11%</w:t>
      </w:r>
      <w:r>
        <w:rPr/>
        <w:t>，主要原因系公司报告期内虽在 </w:t>
      </w:r>
      <w:r>
        <w:rPr>
          <w:spacing w:val="-2"/>
        </w:rPr>
        <w:t>公安、政务、影视、地产行业等自助应用行业领域销售有所增长及新零售销售所有突破，但因互联网和移动支付等技术迅速</w:t>
      </w:r>
      <w:r>
        <w:rPr>
          <w:spacing w:val="-66"/>
        </w:rPr>
        <w:t> </w:t>
      </w:r>
      <w:r>
        <w:rPr>
          <w:spacing w:val="-66"/>
        </w:rPr>
      </w:r>
      <w:r>
        <w:rPr/>
        <w:t>发展，伴随着互联网金融的冲击，及国有大型银行智能网点转型的硬件建设阶段性需求回落，中小行城商行需求增量较小，</w:t>
      </w:r>
      <w:r>
        <w:rPr>
          <w:spacing w:val="-86"/>
        </w:rPr>
        <w:t> </w:t>
      </w:r>
      <w:r>
        <w:rPr>
          <w:spacing w:val="-86"/>
        </w:rPr>
      </w:r>
      <w:r>
        <w:rPr/>
        <w:t>相关业务开展不及预期，导致公司自助终端设备销售大幅下降。</w:t>
      </w:r>
    </w:p>
    <w:p>
      <w:pPr>
        <w:pStyle w:val="BodyText"/>
        <w:spacing w:line="463" w:lineRule="auto" w:before="61"/>
        <w:ind w:right="1131" w:firstLine="360"/>
        <w:jc w:val="both"/>
      </w:pPr>
      <w:r>
        <w:rPr/>
        <w:t>报告期内自助终端产品毛利率为</w:t>
      </w:r>
      <w:r>
        <w:rPr>
          <w:spacing w:val="-48"/>
        </w:rPr>
        <w:t> </w:t>
      </w:r>
      <w:r>
        <w:rPr>
          <w:rFonts w:ascii="Times New Roman" w:hAnsi="Times New Roman" w:cs="Times New Roman" w:eastAsia="Times New Roman" w:hint="default"/>
        </w:rPr>
        <w:t>16.32%</w:t>
      </w:r>
      <w:r>
        <w:rPr/>
        <w:t>，较上年同期下降</w:t>
      </w:r>
      <w:r>
        <w:rPr>
          <w:spacing w:val="-51"/>
        </w:rPr>
        <w:t> </w:t>
      </w:r>
      <w:r>
        <w:rPr>
          <w:rFonts w:ascii="Times New Roman" w:hAnsi="Times New Roman" w:cs="Times New Roman" w:eastAsia="Times New Roman" w:hint="default"/>
        </w:rPr>
        <w:t>0.52</w:t>
      </w:r>
      <w:r>
        <w:rPr>
          <w:rFonts w:ascii="Times New Roman" w:hAnsi="Times New Roman" w:cs="Times New Roman" w:eastAsia="Times New Roman" w:hint="default"/>
          <w:spacing w:val="-2"/>
        </w:rPr>
        <w:t> </w:t>
      </w:r>
      <w:r>
        <w:rPr/>
        <w:t>个百分点，主要原因系报告期内，公司虽面对融资成本 </w:t>
      </w:r>
      <w:r>
        <w:rPr>
          <w:spacing w:val="-2"/>
        </w:rPr>
        <w:t>提高和人员成本增长等挑战，但通过销售订单前端管理及方案优化的成本管控手段，使得公司该业务毛利与去年同期基本持</w:t>
      </w:r>
      <w:r>
        <w:rPr>
          <w:spacing w:val="-62"/>
        </w:rPr>
        <w:t> </w:t>
      </w:r>
      <w:r>
        <w:rPr>
          <w:spacing w:val="-62"/>
        </w:rPr>
      </w:r>
      <w:r>
        <w:rPr/>
        <w:t>平。</w:t>
      </w:r>
    </w:p>
    <w:p>
      <w:pPr>
        <w:pStyle w:val="BodyText"/>
        <w:spacing w:line="240" w:lineRule="auto" w:before="65"/>
        <w:ind w:left="513" w:right="1133"/>
        <w:jc w:val="left"/>
      </w:pPr>
      <w:r>
        <w:rPr>
          <w:rFonts w:ascii="Times New Roman" w:hAnsi="Times New Roman" w:cs="Times New Roman" w:eastAsia="Times New Roman" w:hint="default"/>
        </w:rPr>
        <w:t>2</w:t>
      </w:r>
      <w:r>
        <w:rPr/>
        <w:t>、报告期内公司支付产品实现销售收入</w:t>
      </w:r>
      <w:r>
        <w:rPr>
          <w:spacing w:val="-46"/>
        </w:rPr>
        <w:t> </w:t>
      </w:r>
      <w:r>
        <w:rPr>
          <w:rFonts w:ascii="Times New Roman" w:hAnsi="Times New Roman" w:cs="Times New Roman" w:eastAsia="Times New Roman" w:hint="default"/>
        </w:rPr>
        <w:t>9,625.42 </w:t>
      </w:r>
      <w:r>
        <w:rPr/>
        <w:t>万元，较上年同期下降</w:t>
      </w:r>
      <w:r>
        <w:rPr>
          <w:spacing w:val="-47"/>
        </w:rPr>
        <w:t> </w:t>
      </w:r>
      <w:r>
        <w:rPr>
          <w:rFonts w:ascii="Times New Roman" w:hAnsi="Times New Roman" w:cs="Times New Roman" w:eastAsia="Times New Roman" w:hint="default"/>
        </w:rPr>
        <w:t>12.50%</w:t>
      </w:r>
      <w:r>
        <w:rPr/>
        <w:t>，主要原因系虽公司智能</w:t>
      </w:r>
      <w:r>
        <w:rPr>
          <w:spacing w:val="-46"/>
        </w:rPr>
        <w:t> </w:t>
      </w:r>
      <w:r>
        <w:rPr>
          <w:rFonts w:ascii="Times New Roman" w:hAnsi="Times New Roman" w:cs="Times New Roman" w:eastAsia="Times New Roman" w:hint="default"/>
        </w:rPr>
        <w:t>POS</w:t>
      </w:r>
      <w:r>
        <w:rPr>
          <w:rFonts w:ascii="Times New Roman" w:hAnsi="Times New Roman" w:cs="Times New Roman" w:eastAsia="Times New Roman" w:hint="default"/>
          <w:spacing w:val="-1"/>
        </w:rPr>
        <w:t> </w:t>
      </w:r>
      <w:r>
        <w:rPr/>
        <w:t>和移动</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133"/>
        <w:jc w:val="left"/>
      </w:pPr>
      <w:r>
        <w:rPr>
          <w:spacing w:val="-2"/>
        </w:rPr>
        <w:t>支付扫描设备产品在移动支付市场、加油机市场、彩票行业销售有所突破，及海外非洲、南美、中东市场的销售较上年同期</w:t>
      </w:r>
      <w:r>
        <w:rPr>
          <w:spacing w:val="-67"/>
        </w:rPr>
        <w:t> </w:t>
      </w:r>
      <w:r>
        <w:rPr>
          <w:spacing w:val="-67"/>
        </w:rPr>
      </w:r>
      <w:r>
        <w:rPr/>
        <w:t>有所增长，但因新兴金融支付业态的快速发展迭代及移动支付的迅猛发展，导致在银行领域的销售有所下降，及传统电话 </w:t>
      </w:r>
      <w:r>
        <w:rPr>
          <w:rFonts w:ascii="Times New Roman" w:hAnsi="Times New Roman" w:cs="Times New Roman" w:eastAsia="Times New Roman" w:hint="default"/>
        </w:rPr>
        <w:t>EPOS</w:t>
      </w:r>
      <w:r>
        <w:rPr>
          <w:rFonts w:ascii="Times New Roman" w:hAnsi="Times New Roman" w:cs="Times New Roman" w:eastAsia="Times New Roman" w:hint="default"/>
          <w:spacing w:val="-2"/>
        </w:rPr>
        <w:t> </w:t>
      </w:r>
      <w:r>
        <w:rPr/>
        <w:t>库存品滞销，加之海外支付市场销售部分项目落地不及预期，导致公司</w:t>
      </w:r>
      <w:r>
        <w:rPr>
          <w:spacing w:val="-47"/>
        </w:rPr>
        <w:t> </w:t>
      </w:r>
      <w:r>
        <w:rPr>
          <w:rFonts w:ascii="Times New Roman" w:hAnsi="Times New Roman" w:cs="Times New Roman" w:eastAsia="Times New Roman" w:hint="default"/>
        </w:rPr>
        <w:t>POS</w:t>
      </w:r>
      <w:r>
        <w:rPr>
          <w:rFonts w:ascii="Times New Roman" w:hAnsi="Times New Roman" w:cs="Times New Roman" w:eastAsia="Times New Roman" w:hint="default"/>
          <w:spacing w:val="-2"/>
        </w:rPr>
        <w:t> </w:t>
      </w:r>
      <w:r>
        <w:rPr/>
        <w:t>产品销售下降。</w:t>
      </w:r>
    </w:p>
    <w:p>
      <w:pPr>
        <w:pStyle w:val="BodyText"/>
        <w:spacing w:line="451" w:lineRule="auto" w:before="21"/>
        <w:ind w:right="1132" w:firstLine="360"/>
        <w:jc w:val="both"/>
      </w:pPr>
      <w:r>
        <w:rPr/>
        <w:t>支付产品毛利率为</w:t>
      </w:r>
      <w:r>
        <w:rPr>
          <w:spacing w:val="-50"/>
        </w:rPr>
        <w:t> </w:t>
      </w:r>
      <w:r>
        <w:rPr>
          <w:rFonts w:ascii="Times New Roman" w:hAnsi="Times New Roman" w:cs="Times New Roman" w:eastAsia="Times New Roman" w:hint="default"/>
        </w:rPr>
        <w:t>19.36%</w:t>
      </w:r>
      <w:r>
        <w:rPr/>
        <w:t>，较上年同期提升</w:t>
      </w:r>
      <w:r>
        <w:rPr>
          <w:spacing w:val="-49"/>
        </w:rPr>
        <w:t> </w:t>
      </w:r>
      <w:r>
        <w:rPr>
          <w:rFonts w:ascii="Times New Roman" w:hAnsi="Times New Roman" w:cs="Times New Roman" w:eastAsia="Times New Roman" w:hint="default"/>
        </w:rPr>
        <w:t>7.22</w:t>
      </w:r>
      <w:r>
        <w:rPr>
          <w:rFonts w:ascii="Times New Roman" w:hAnsi="Times New Roman" w:cs="Times New Roman" w:eastAsia="Times New Roman" w:hint="default"/>
          <w:spacing w:val="-3"/>
        </w:rPr>
        <w:t> </w:t>
      </w:r>
      <w:r>
        <w:rPr/>
        <w:t>个百分点，主要原因系报告期内公司通过贯彻落实业务费用与规模相 匹配的管控营业方针，加强供应链及采购管控，通过研发调整产品结构和精益生产提高该业务的产品毛利率所致。</w:t>
      </w:r>
    </w:p>
    <w:p>
      <w:pPr>
        <w:pStyle w:val="BodyText"/>
        <w:spacing w:line="460" w:lineRule="auto" w:before="74"/>
        <w:ind w:right="1117" w:firstLine="360"/>
        <w:jc w:val="left"/>
      </w:pPr>
      <w:r>
        <w:rPr>
          <w:rFonts w:ascii="Times New Roman" w:hAnsi="Times New Roman" w:cs="Times New Roman" w:eastAsia="Times New Roman" w:hint="default"/>
        </w:rPr>
        <w:t>3</w:t>
      </w:r>
      <w:r>
        <w:rPr/>
        <w:t>、报告期内公司加密键盘实现销售收入</w:t>
      </w:r>
      <w:r>
        <w:rPr>
          <w:spacing w:val="-46"/>
        </w:rPr>
        <w:t> </w:t>
      </w:r>
      <w:r>
        <w:rPr>
          <w:rFonts w:ascii="Times New Roman" w:hAnsi="Times New Roman" w:cs="Times New Roman" w:eastAsia="Times New Roman" w:hint="default"/>
        </w:rPr>
        <w:t>6,199.16 </w:t>
      </w:r>
      <w:r>
        <w:rPr/>
        <w:t>万元，较上年同期下降</w:t>
      </w:r>
      <w:r>
        <w:rPr>
          <w:spacing w:val="-47"/>
        </w:rPr>
        <w:t> </w:t>
      </w:r>
      <w:r>
        <w:rPr>
          <w:rFonts w:ascii="Times New Roman" w:hAnsi="Times New Roman" w:cs="Times New Roman" w:eastAsia="Times New Roman" w:hint="default"/>
        </w:rPr>
        <w:t>33.35%</w:t>
      </w:r>
      <w:r>
        <w:rPr/>
        <w:t>，毛利率较上年同期下降</w:t>
      </w:r>
      <w:r>
        <w:rPr>
          <w:spacing w:val="-46"/>
        </w:rPr>
        <w:t> </w:t>
      </w:r>
      <w:r>
        <w:rPr>
          <w:rFonts w:ascii="Times New Roman" w:hAnsi="Times New Roman" w:cs="Times New Roman" w:eastAsia="Times New Roman" w:hint="default"/>
        </w:rPr>
        <w:t>12.75%</w:t>
      </w:r>
      <w:r>
        <w:rPr/>
        <w:t>，主 </w:t>
      </w:r>
      <w:r>
        <w:rPr>
          <w:spacing w:val="-2"/>
        </w:rPr>
        <w:t>要原因系虽公司新型加密键盘在加油机防爆市场销售布局有所突破，但受到国家在银行业网络安全和信息化建设领域应用安</w:t>
      </w:r>
      <w:r>
        <w:rPr>
          <w:spacing w:val="-64"/>
        </w:rPr>
        <w:t> </w:t>
      </w:r>
      <w:r>
        <w:rPr>
          <w:spacing w:val="-64"/>
        </w:rPr>
      </w:r>
      <w:r>
        <w:rPr/>
        <w:t>全可控信息技术的影响，外资</w:t>
      </w:r>
      <w:r>
        <w:rPr>
          <w:spacing w:val="-50"/>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4"/>
        </w:rPr>
        <w:t> </w:t>
      </w:r>
      <w:r>
        <w:rPr/>
        <w:t>厂商在中国市场订单下降，加之受新兴金融支付业态的快速发展的冲击，导致加密键盘 市场需求大幅缩减，相应公司加密键盘销售下降。另因客户压缩采购成本，导致加密键盘毛利下降。</w:t>
      </w:r>
    </w:p>
    <w:p>
      <w:pPr>
        <w:pStyle w:val="BodyText"/>
        <w:spacing w:line="463" w:lineRule="auto" w:before="67"/>
        <w:ind w:right="1128" w:firstLine="360"/>
        <w:jc w:val="both"/>
      </w:pPr>
      <w:r>
        <w:rPr>
          <w:rFonts w:ascii="Times New Roman" w:hAnsi="Times New Roman" w:cs="Times New Roman" w:eastAsia="Times New Roman" w:hint="default"/>
        </w:rPr>
        <w:t>4</w:t>
      </w:r>
      <w:r>
        <w:rPr/>
        <w:t>、报告期内公司</w:t>
      </w:r>
      <w:r>
        <w:rPr>
          <w:spacing w:val="-46"/>
        </w:rPr>
        <w:t> </w:t>
      </w:r>
      <w:r>
        <w:rPr>
          <w:rFonts w:ascii="Times New Roman" w:hAnsi="Times New Roman" w:cs="Times New Roman" w:eastAsia="Times New Roman" w:hint="default"/>
        </w:rPr>
        <w:t>IDC</w:t>
      </w:r>
      <w:r>
        <w:rPr>
          <w:rFonts w:ascii="Times New Roman" w:hAnsi="Times New Roman" w:cs="Times New Roman" w:eastAsia="Times New Roman" w:hint="default"/>
          <w:spacing w:val="-1"/>
        </w:rPr>
        <w:t> </w:t>
      </w:r>
      <w:r>
        <w:rPr/>
        <w:t>及云计算业务实现销售收入</w:t>
      </w:r>
      <w:r>
        <w:rPr>
          <w:spacing w:val="-45"/>
        </w:rPr>
        <w:t> </w:t>
      </w:r>
      <w:r>
        <w:rPr>
          <w:rFonts w:ascii="Times New Roman" w:hAnsi="Times New Roman" w:cs="Times New Roman" w:eastAsia="Times New Roman" w:hint="default"/>
        </w:rPr>
        <w:t>34,800.88</w:t>
      </w:r>
      <w:r>
        <w:rPr>
          <w:rFonts w:ascii="Times New Roman" w:hAnsi="Times New Roman" w:cs="Times New Roman" w:eastAsia="Times New Roman" w:hint="default"/>
          <w:spacing w:val="-1"/>
        </w:rPr>
        <w:t> </w:t>
      </w:r>
      <w:r>
        <w:rPr/>
        <w:t>万元，较上年同期增长</w:t>
      </w:r>
      <w:r>
        <w:rPr>
          <w:spacing w:val="-45"/>
        </w:rPr>
        <w:t> </w:t>
      </w:r>
      <w:r>
        <w:rPr>
          <w:rFonts w:ascii="Times New Roman" w:hAnsi="Times New Roman" w:cs="Times New Roman" w:eastAsia="Times New Roman" w:hint="default"/>
        </w:rPr>
        <w:t>61.66%</w:t>
      </w:r>
      <w:r>
        <w:rPr/>
        <w:t>，主要原因系随着公司</w:t>
      </w:r>
      <w:r>
        <w:rPr>
          <w:spacing w:val="-45"/>
        </w:rPr>
        <w:t> </w:t>
      </w:r>
      <w:r>
        <w:rPr>
          <w:rFonts w:ascii="Times New Roman" w:hAnsi="Times New Roman" w:cs="Times New Roman" w:eastAsia="Times New Roman" w:hint="default"/>
        </w:rPr>
        <w:t>IDC</w:t>
      </w:r>
      <w:r>
        <w:rPr>
          <w:rFonts w:ascii="Times New Roman" w:hAnsi="Times New Roman" w:cs="Times New Roman" w:eastAsia="Times New Roman" w:hint="default"/>
          <w:w w:val="99"/>
        </w:rPr>
        <w:t> </w:t>
      </w:r>
      <w:r>
        <w:rPr>
          <w:spacing w:val="-2"/>
        </w:rPr>
        <w:t>数据中心逐步投入运营，该业务进入收获期，报告期内机柜上架率、出租率及带宽增值服务收入稳定提升，同时公司着力垂</w:t>
      </w:r>
      <w:r>
        <w:rPr>
          <w:spacing w:val="-65"/>
        </w:rPr>
        <w:t> </w:t>
      </w:r>
      <w:r>
        <w:rPr>
          <w:spacing w:val="-65"/>
        </w:rPr>
      </w:r>
      <w:r>
        <w:rPr>
          <w:spacing w:val="-2"/>
        </w:rPr>
        <w:t>直布局云服务产业链，加大布局智慧城市市场布局，公司云计算及软件服务收入增加，新增在湖南地区的智慧园区、智慧产</w:t>
      </w:r>
      <w:r>
        <w:rPr>
          <w:spacing w:val="-65"/>
        </w:rPr>
        <w:t> </w:t>
      </w:r>
      <w:r>
        <w:rPr>
          <w:spacing w:val="-65"/>
        </w:rPr>
      </w:r>
      <w:r>
        <w:rPr/>
        <w:t>业园建设项目的工程收入。报告期内公司</w:t>
      </w:r>
      <w:r>
        <w:rPr>
          <w:spacing w:val="-50"/>
        </w:rPr>
        <w:t> </w:t>
      </w:r>
      <w:r>
        <w:rPr>
          <w:rFonts w:ascii="Times New Roman" w:hAnsi="Times New Roman" w:cs="Times New Roman" w:eastAsia="Times New Roman" w:hint="default"/>
        </w:rPr>
        <w:t>IDC</w:t>
      </w:r>
      <w:r>
        <w:rPr>
          <w:rFonts w:ascii="Times New Roman" w:hAnsi="Times New Roman" w:cs="Times New Roman" w:eastAsia="Times New Roman" w:hint="default"/>
          <w:spacing w:val="-6"/>
        </w:rPr>
        <w:t> </w:t>
      </w:r>
      <w:r>
        <w:rPr/>
        <w:t>及云计算业务综合毛利率为</w:t>
      </w:r>
      <w:r>
        <w:rPr>
          <w:spacing w:val="-50"/>
        </w:rPr>
        <w:t> </w:t>
      </w:r>
      <w:r>
        <w:rPr>
          <w:rFonts w:ascii="Times New Roman" w:hAnsi="Times New Roman" w:cs="Times New Roman" w:eastAsia="Times New Roman" w:hint="default"/>
        </w:rPr>
        <w:t>24.61%</w:t>
      </w:r>
      <w:r>
        <w:rPr/>
        <w:t>，较上年同期提升</w:t>
      </w:r>
      <w:r>
        <w:rPr>
          <w:spacing w:val="-50"/>
        </w:rPr>
        <w:t> </w:t>
      </w:r>
      <w:r>
        <w:rPr>
          <w:rFonts w:ascii="Times New Roman" w:hAnsi="Times New Roman" w:cs="Times New Roman" w:eastAsia="Times New Roman" w:hint="default"/>
        </w:rPr>
        <w:t>3.92</w:t>
      </w:r>
      <w:r>
        <w:rPr>
          <w:rFonts w:ascii="Times New Roman" w:hAnsi="Times New Roman" w:cs="Times New Roman" w:eastAsia="Times New Roman" w:hint="default"/>
          <w:spacing w:val="-4"/>
        </w:rPr>
        <w:t> </w:t>
      </w:r>
      <w:r>
        <w:rPr>
          <w:spacing w:val="-3"/>
        </w:rPr>
        <w:t>百分点，主要原因</w:t>
      </w:r>
      <w:r>
        <w:rPr/>
        <w:t> 系公司毛利率较高的云计算、软件服务收及智慧园区收入较去年同期增加所致。</w:t>
      </w:r>
    </w:p>
    <w:p>
      <w:pPr>
        <w:pStyle w:val="BodyText"/>
        <w:spacing w:line="458" w:lineRule="auto" w:before="65"/>
        <w:ind w:right="1131" w:firstLine="360"/>
        <w:jc w:val="both"/>
      </w:pPr>
      <w:r>
        <w:rPr>
          <w:rFonts w:ascii="Times New Roman" w:hAnsi="Times New Roman" w:cs="Times New Roman" w:eastAsia="Times New Roman" w:hint="default"/>
        </w:rPr>
        <w:t>5</w:t>
      </w:r>
      <w:r>
        <w:rPr/>
        <w:t>、报告期内公司</w:t>
      </w:r>
      <w:r>
        <w:rPr>
          <w:spacing w:val="-55"/>
        </w:rPr>
        <w:t> </w:t>
      </w:r>
      <w:r>
        <w:rPr>
          <w:rFonts w:ascii="Times New Roman" w:hAnsi="Times New Roman" w:cs="Times New Roman" w:eastAsia="Times New Roman" w:hint="default"/>
        </w:rPr>
        <w:t>LED</w:t>
      </w:r>
      <w:r>
        <w:rPr>
          <w:rFonts w:ascii="Times New Roman" w:hAnsi="Times New Roman" w:cs="Times New Roman" w:eastAsia="Times New Roman" w:hint="default"/>
          <w:spacing w:val="-10"/>
        </w:rPr>
        <w:t> </w:t>
      </w:r>
      <w:r>
        <w:rPr/>
        <w:t>及相关贸易业务实现销售收入</w:t>
      </w:r>
      <w:r>
        <w:rPr>
          <w:spacing w:val="-54"/>
        </w:rPr>
        <w:t> </w:t>
      </w:r>
      <w:r>
        <w:rPr>
          <w:rFonts w:ascii="Times New Roman" w:hAnsi="Times New Roman" w:cs="Times New Roman" w:eastAsia="Times New Roman" w:hint="default"/>
        </w:rPr>
        <w:t>28,043.14</w:t>
      </w:r>
      <w:r>
        <w:rPr>
          <w:rFonts w:ascii="Times New Roman" w:hAnsi="Times New Roman" w:cs="Times New Roman" w:eastAsia="Times New Roman" w:hint="default"/>
          <w:spacing w:val="-8"/>
        </w:rPr>
        <w:t> </w:t>
      </w:r>
      <w:r>
        <w:rPr/>
        <w:t>万元，较上年同期下降</w:t>
      </w:r>
      <w:r>
        <w:rPr>
          <w:spacing w:val="-56"/>
        </w:rPr>
        <w:t> </w:t>
      </w:r>
      <w:r>
        <w:rPr>
          <w:rFonts w:ascii="Times New Roman" w:hAnsi="Times New Roman" w:cs="Times New Roman" w:eastAsia="Times New Roman" w:hint="default"/>
        </w:rPr>
        <w:t>24.07%</w:t>
      </w:r>
      <w:r>
        <w:rPr/>
        <w:t>，公司合同能源管理业务 实现销售收入</w:t>
      </w:r>
      <w:r>
        <w:rPr>
          <w:spacing w:val="-47"/>
        </w:rPr>
        <w:t> </w:t>
      </w:r>
      <w:r>
        <w:rPr>
          <w:rFonts w:ascii="Times New Roman" w:hAnsi="Times New Roman" w:cs="Times New Roman" w:eastAsia="Times New Roman" w:hint="default"/>
        </w:rPr>
        <w:t>9,461.87</w:t>
      </w:r>
      <w:r>
        <w:rPr>
          <w:rFonts w:ascii="Times New Roman" w:hAnsi="Times New Roman" w:cs="Times New Roman" w:eastAsia="Times New Roman" w:hint="default"/>
          <w:spacing w:val="-1"/>
        </w:rPr>
        <w:t> </w:t>
      </w:r>
      <w:r>
        <w:rPr/>
        <w:t>万元，较上年同期下降</w:t>
      </w:r>
      <w:r>
        <w:rPr>
          <w:spacing w:val="-47"/>
        </w:rPr>
        <w:t> </w:t>
      </w:r>
      <w:r>
        <w:rPr>
          <w:rFonts w:ascii="Times New Roman" w:hAnsi="Times New Roman" w:cs="Times New Roman" w:eastAsia="Times New Roman" w:hint="default"/>
        </w:rPr>
        <w:t>66.32%</w:t>
      </w:r>
      <w:r>
        <w:rPr/>
        <w:t>，主要原因系报告期内考虑到全球经济下行、宏观经济增长乏力引发 的地方政策问题、国内紧信用导致社融环比大降及照明工程类业务相关政策变动等方面的影响，公司主动加强</w:t>
      </w:r>
      <w:r>
        <w:rPr>
          <w:spacing w:val="-44"/>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工程类 </w:t>
      </w:r>
      <w:r>
        <w:rPr>
          <w:spacing w:val="-2"/>
        </w:rPr>
        <w:t>项目的筛选及风险把控，本着年中提出的“控制风险、稳健经营、提升效益、构建能力”指导思想，公司放缓照明工程类业</w:t>
      </w:r>
      <w:r>
        <w:rPr>
          <w:spacing w:val="-72"/>
        </w:rPr>
        <w:t> </w:t>
      </w:r>
      <w:r>
        <w:rPr>
          <w:spacing w:val="-72"/>
        </w:rPr>
      </w:r>
      <w:r>
        <w:rPr/>
        <w:t>务拓展，导致公司照明类业务的收入大幅下降。</w:t>
      </w:r>
    </w:p>
    <w:p>
      <w:pPr>
        <w:spacing w:line="240" w:lineRule="auto" w:before="7"/>
        <w:rPr>
          <w:rFonts w:ascii="宋体" w:hAnsi="宋体" w:cs="宋体" w:eastAsia="宋体" w:hint="default"/>
          <w:sz w:val="20"/>
          <w:szCs w:val="20"/>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08"/>
        <w:gridCol w:w="1571"/>
        <w:gridCol w:w="1604"/>
        <w:gridCol w:w="1596"/>
        <w:gridCol w:w="1594"/>
        <w:gridCol w:w="1594"/>
      </w:tblGrid>
      <w:tr>
        <w:trPr>
          <w:trHeight w:val="403"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金融电子</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252,088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265,735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-26.03%</w:t>
            </w:r>
          </w:p>
        </w:tc>
      </w:tr>
      <w:tr>
        <w:trPr>
          <w:trHeight w:val="403"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276,197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297,847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-7.27%</w:t>
            </w:r>
          </w:p>
        </w:tc>
      </w:tr>
      <w:tr>
        <w:trPr>
          <w:trHeight w:val="401"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106,593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91,180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16.90%</w:t>
            </w:r>
          </w:p>
        </w:tc>
      </w:tr>
      <w:tr>
        <w:trPr>
          <w:trHeight w:val="403"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灯具</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-36.19%</w:t>
            </w:r>
          </w:p>
        </w:tc>
      </w:tr>
    </w:tbl>
    <w:p>
      <w:pPr>
        <w:pStyle w:val="BodyText"/>
        <w:spacing w:line="240" w:lineRule="auto" w:before="49"/>
        <w:ind w:right="1133"/>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240" w:lineRule="auto" w:before="10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right="1132" w:firstLine="360"/>
        <w:jc w:val="both"/>
        <w:rPr>
          <w:rFonts w:ascii="Times New Roman" w:hAnsi="Times New Roman" w:cs="Times New Roman" w:eastAsia="Times New Roman" w:hint="default"/>
        </w:rPr>
      </w:pPr>
      <w:r>
        <w:rPr>
          <w:spacing w:val="-1"/>
        </w:rPr>
        <w:t>报告期内，公司将</w:t>
      </w:r>
      <w:r>
        <w:rPr>
          <w:rFonts w:ascii="Times New Roman" w:hAnsi="Times New Roman" w:cs="Times New Roman" w:eastAsia="Times New Roman" w:hint="default"/>
          <w:spacing w:val="-1"/>
        </w:rPr>
        <w:t>LED</w:t>
      </w:r>
      <w:r>
        <w:rPr>
          <w:spacing w:val="-1"/>
        </w:rPr>
        <w:t>照明业务的运作模式从</w:t>
      </w:r>
      <w:r>
        <w:rPr>
          <w:rFonts w:ascii="Times New Roman" w:hAnsi="Times New Roman" w:cs="Times New Roman" w:eastAsia="Times New Roman" w:hint="default"/>
          <w:spacing w:val="-1"/>
        </w:rPr>
        <w:t>LED</w:t>
      </w:r>
      <w:r>
        <w:rPr>
          <w:spacing w:val="-1"/>
        </w:rPr>
        <w:t>路灯销售进一步调整到</w:t>
      </w:r>
      <w:r>
        <w:rPr>
          <w:rFonts w:ascii="Times New Roman" w:hAnsi="Times New Roman" w:cs="Times New Roman" w:eastAsia="Times New Roman" w:hint="default"/>
          <w:spacing w:val="-1"/>
        </w:rPr>
        <w:t>LED</w:t>
      </w:r>
      <w:r>
        <w:rPr>
          <w:spacing w:val="-1"/>
        </w:rPr>
        <w:t>照明相关的整体解决方案、景观亮化工程</w:t>
      </w:r>
      <w:r>
        <w:rPr/>
        <w:t> </w:t>
      </w:r>
      <w:r>
        <w:rPr>
          <w:spacing w:val="-2"/>
        </w:rPr>
        <w:t>设计、施工等综合服务，取消了公司</w:t>
      </w:r>
      <w:r>
        <w:rPr>
          <w:rFonts w:ascii="Times New Roman" w:hAnsi="Times New Roman" w:cs="Times New Roman" w:eastAsia="Times New Roman" w:hint="default"/>
          <w:spacing w:val="-2"/>
        </w:rPr>
        <w:t>LED</w:t>
      </w:r>
      <w:r>
        <w:rPr>
          <w:spacing w:val="-2"/>
        </w:rPr>
        <w:t>照明灯具生产，另公司原库存的</w:t>
      </w:r>
      <w:r>
        <w:rPr>
          <w:rFonts w:ascii="Times New Roman" w:hAnsi="Times New Roman" w:cs="Times New Roman" w:eastAsia="Times New Roman" w:hint="default"/>
          <w:spacing w:val="-2"/>
        </w:rPr>
        <w:t>LED</w:t>
      </w:r>
      <w:r>
        <w:rPr>
          <w:spacing w:val="-2"/>
        </w:rPr>
        <w:t>灯具因用于部分亮化工程及照工程维护，较去</w:t>
      </w:r>
      <w:r>
        <w:rPr>
          <w:spacing w:val="-44"/>
        </w:rPr>
        <w:t> </w:t>
      </w:r>
      <w:r>
        <w:rPr>
          <w:spacing w:val="-44"/>
        </w:rPr>
      </w:r>
      <w:r>
        <w:rPr/>
        <w:t>年同期下降</w:t>
      </w:r>
      <w:r>
        <w:rPr>
          <w:rFonts w:ascii="Times New Roman" w:hAnsi="Times New Roman" w:cs="Times New Roman" w:eastAsia="Times New Roman" w:hint="default"/>
        </w:rPr>
        <w:t>36.19%</w:t>
      </w:r>
    </w:p>
    <w:p>
      <w:pPr>
        <w:spacing w:line="240" w:lineRule="auto" w:before="2"/>
        <w:rPr>
          <w:rFonts w:ascii="Times New Roman" w:hAnsi="Times New Roman" w:cs="Times New Roman" w:eastAsia="Times New Roman" w:hint="default"/>
          <w:sz w:val="21"/>
          <w:szCs w:val="21"/>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pStyle w:val="BodyText"/>
        <w:spacing w:line="348"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公司是否需要遵守特殊行业的披露要求 否</w:t>
      </w:r>
    </w:p>
    <w:p>
      <w:pPr>
        <w:pStyle w:val="BodyText"/>
        <w:spacing w:line="451" w:lineRule="auto" w:before="116"/>
        <w:ind w:right="1043" w:firstLine="36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日，公司与深圳平安通信科技有限公司（以下简称</w:t>
      </w:r>
      <w:r>
        <w:rPr>
          <w:rFonts w:ascii="Times New Roman" w:hAnsi="Times New Roman" w:cs="Times New Roman" w:eastAsia="Times New Roman" w:hint="default"/>
        </w:rPr>
        <w:t>“</w:t>
      </w:r>
      <w:r>
        <w:rPr/>
        <w:t>平安通信</w:t>
      </w:r>
      <w:r>
        <w:rPr>
          <w:rFonts w:ascii="Times New Roman" w:hAnsi="Times New Roman" w:cs="Times New Roman" w:eastAsia="Times New Roman" w:hint="default"/>
        </w:rPr>
        <w:t>”</w:t>
      </w:r>
      <w:r>
        <w:rPr/>
        <w:t>）签署了《</w:t>
      </w:r>
      <w:r>
        <w:rPr>
          <w:rFonts w:ascii="Times New Roman" w:hAnsi="Times New Roman" w:cs="Times New Roman" w:eastAsia="Times New Roman" w:hint="default"/>
        </w:rPr>
        <w:t>IDC</w:t>
      </w:r>
      <w:r>
        <w:rPr/>
        <w:t>基础业务服务合同书》，</w:t>
      </w:r>
      <w:r>
        <w:rPr>
          <w:spacing w:val="2"/>
        </w:rPr>
        <w:t> </w:t>
      </w:r>
      <w:r>
        <w:rPr/>
        <w:t>公司将为其提供数据中心场地服务，服务内容包括</w:t>
      </w:r>
      <w:r>
        <w:rPr>
          <w:rFonts w:ascii="Times New Roman" w:hAnsi="Times New Roman" w:cs="Times New Roman" w:eastAsia="Times New Roman" w:hint="default"/>
        </w:rPr>
        <w:t>IDC</w:t>
      </w:r>
      <w:r>
        <w:rPr/>
        <w:t>数据中心场地租赁、机柜托管及相关软硬件设备与服务等，总金额约 为人民币</w:t>
      </w:r>
      <w:r>
        <w:rPr>
          <w:rFonts w:ascii="Times New Roman" w:hAnsi="Times New Roman" w:cs="Times New Roman" w:eastAsia="Times New Roman" w:hint="default"/>
        </w:rPr>
        <w:t>8.85</w:t>
      </w:r>
      <w:r>
        <w:rPr/>
        <w:t>亿元（含税），服务期自场地交付之日起八年有效。报告期内，公司按合同中的要求完成机房定制化改造，并 </w:t>
      </w:r>
      <w:r>
        <w:rPr>
          <w:spacing w:val="-2"/>
        </w:rPr>
        <w:t>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月建设完成，截止</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日，机架上架运营数量为</w:t>
      </w:r>
      <w:r>
        <w:rPr>
          <w:rFonts w:ascii="Times New Roman" w:hAnsi="Times New Roman" w:cs="Times New Roman" w:eastAsia="Times New Roman" w:hint="default"/>
          <w:spacing w:val="-2"/>
        </w:rPr>
        <w:t>317</w:t>
      </w:r>
      <w:r>
        <w:rPr>
          <w:spacing w:val="-2"/>
        </w:rPr>
        <w:t>个，该数据中心机柜托管上架进度快于合同计划约定</w:t>
      </w:r>
      <w:r>
        <w:rPr>
          <w:spacing w:val="-59"/>
        </w:rPr>
        <w:t> </w:t>
      </w:r>
      <w:r>
        <w:rPr>
          <w:spacing w:val="-59"/>
        </w:rPr>
      </w:r>
      <w:r>
        <w:rPr/>
        <w:t>进度，项目效益逐步释放。相关事项详见于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日披露于《证券时报》</w:t>
      </w:r>
      <w:r>
        <w:rPr>
          <w:spacing w:val="-52"/>
        </w:rPr>
        <w:t> </w:t>
      </w:r>
      <w:r>
        <w:rPr/>
        <w:t>及巨潮资讯网上的《公司关于签订重大合同</w:t>
      </w:r>
      <w:r>
        <w:rPr/>
        <w:t> 的公告》（编号：</w:t>
      </w:r>
      <w:r>
        <w:rPr>
          <w:rFonts w:ascii="Times New Roman" w:hAnsi="Times New Roman" w:cs="Times New Roman" w:eastAsia="Times New Roman" w:hint="default"/>
        </w:rPr>
        <w:t>2018-026</w:t>
      </w:r>
      <w:r>
        <w:rPr/>
        <w:t>号）。</w:t>
      </w:r>
    </w:p>
    <w:p>
      <w:pPr>
        <w:pStyle w:val="BodyText"/>
        <w:spacing w:line="451" w:lineRule="auto" w:before="43"/>
        <w:ind w:right="1130" w:firstLine="36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日，公司与湖南昭山未名生物医学有限公司（以下简称</w:t>
      </w:r>
      <w:r>
        <w:rPr>
          <w:rFonts w:ascii="Times New Roman" w:hAnsi="Times New Roman" w:cs="Times New Roman" w:eastAsia="Times New Roman" w:hint="default"/>
        </w:rPr>
        <w:t>“</w:t>
      </w:r>
      <w:r>
        <w:rPr/>
        <w:t>未名医学</w:t>
      </w:r>
      <w:r>
        <w:rPr>
          <w:rFonts w:ascii="Times New Roman" w:hAnsi="Times New Roman" w:cs="Times New Roman" w:eastAsia="Times New Roman" w:hint="default"/>
        </w:rPr>
        <w:t>”</w:t>
      </w:r>
      <w:r>
        <w:rPr/>
        <w:t>）、湖南北大未名生物科技有限公 司签订了《</w:t>
      </w:r>
      <w:r>
        <w:rPr>
          <w:rFonts w:ascii="Times New Roman" w:hAnsi="Times New Roman" w:cs="Times New Roman" w:eastAsia="Times New Roman" w:hint="default"/>
        </w:rPr>
        <w:t>“</w:t>
      </w:r>
      <w:r>
        <w:rPr/>
        <w:t>北大未名（昭山）生物医学创新示范园</w:t>
      </w:r>
      <w:r>
        <w:rPr>
          <w:rFonts w:ascii="Times New Roman" w:hAnsi="Times New Roman" w:cs="Times New Roman" w:eastAsia="Times New Roman" w:hint="default"/>
        </w:rPr>
        <w:t>”</w:t>
      </w:r>
      <w:r>
        <w:rPr/>
        <w:t>项目合作协议》，未名医学承诺在其投资建设的</w:t>
      </w:r>
      <w:r>
        <w:rPr>
          <w:rFonts w:ascii="Times New Roman" w:hAnsi="Times New Roman" w:cs="Times New Roman" w:eastAsia="Times New Roman" w:hint="default"/>
        </w:rPr>
        <w:t>“</w:t>
      </w:r>
      <w:r>
        <w:rPr/>
        <w:t>北大未名（昭山）生 </w:t>
      </w:r>
      <w:r>
        <w:rPr>
          <w:spacing w:val="-2"/>
        </w:rPr>
        <w:t>物医学创新示范园</w:t>
      </w:r>
      <w:r>
        <w:rPr>
          <w:rFonts w:ascii="Times New Roman" w:hAnsi="Times New Roman" w:cs="Times New Roman" w:eastAsia="Times New Roman" w:hint="default"/>
          <w:spacing w:val="-2"/>
        </w:rPr>
        <w:t>”</w:t>
      </w:r>
      <w:r>
        <w:rPr>
          <w:spacing w:val="-2"/>
        </w:rPr>
        <w:t>项目中子项目直接发包给公司或公司下属子公司实施，所实施工程量按实结算不低于</w:t>
      </w:r>
      <w:r>
        <w:rPr>
          <w:rFonts w:ascii="Times New Roman" w:hAnsi="Times New Roman" w:cs="Times New Roman" w:eastAsia="Times New Roman" w:hint="default"/>
          <w:spacing w:val="-2"/>
        </w:rPr>
        <w:t>4</w:t>
      </w:r>
      <w:r>
        <w:rPr>
          <w:spacing w:val="-2"/>
        </w:rPr>
        <w:t>亿元，同时未名医</w:t>
      </w:r>
      <w:r>
        <w:rPr>
          <w:spacing w:val="-51"/>
        </w:rPr>
        <w:t> </w:t>
      </w:r>
      <w:r>
        <w:rPr>
          <w:spacing w:val="-51"/>
        </w:rPr>
      </w:r>
      <w:r>
        <w:rPr>
          <w:spacing w:val="-2"/>
        </w:rPr>
        <w:t>学向公司收取协议履约保证金</w:t>
      </w:r>
      <w:r>
        <w:rPr>
          <w:rFonts w:ascii="Times New Roman" w:hAnsi="Times New Roman" w:cs="Times New Roman" w:eastAsia="Times New Roman" w:hint="default"/>
          <w:spacing w:val="-2"/>
        </w:rPr>
        <w:t>4,000.00</w:t>
      </w:r>
      <w:r>
        <w:rPr>
          <w:spacing w:val="-2"/>
        </w:rPr>
        <w:t>万元。公司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19</w:t>
      </w:r>
      <w:r>
        <w:rPr>
          <w:spacing w:val="-2"/>
        </w:rPr>
        <w:t>日与未名医学签署了《北大未名（昭山）生物医学创新示范园</w:t>
      </w:r>
      <w:r>
        <w:rPr>
          <w:spacing w:val="-54"/>
        </w:rPr>
        <w:t> </w:t>
      </w:r>
      <w:r>
        <w:rPr>
          <w:spacing w:val="-54"/>
        </w:rPr>
      </w:r>
      <w:r>
        <w:rPr>
          <w:spacing w:val="-2"/>
        </w:rPr>
        <w:t>智慧健康产业园一期项目承接合同》合同金额为</w:t>
      </w:r>
      <w:r>
        <w:rPr>
          <w:rFonts w:ascii="Times New Roman" w:hAnsi="Times New Roman" w:cs="Times New Roman" w:eastAsia="Times New Roman" w:hint="default"/>
          <w:spacing w:val="-2"/>
        </w:rPr>
        <w:t>13,500.00</w:t>
      </w:r>
      <w:r>
        <w:rPr>
          <w:spacing w:val="-2"/>
        </w:rPr>
        <w:t>万元。报告期内，因受总包方施工暂缓的影响，该项目工程建设进</w:t>
      </w:r>
      <w:r>
        <w:rPr>
          <w:spacing w:val="-55"/>
        </w:rPr>
        <w:t> </w:t>
      </w:r>
      <w:r>
        <w:rPr>
          <w:spacing w:val="-55"/>
        </w:rPr>
      </w:r>
      <w:r>
        <w:rPr>
          <w:spacing w:val="-1"/>
        </w:rPr>
        <w:t>度晚于原合同计划进度。相关事项详见于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20</w:t>
      </w:r>
      <w:r>
        <w:rPr>
          <w:spacing w:val="-1"/>
        </w:rPr>
        <w:t>日披露于《证券时报》</w:t>
      </w:r>
      <w:r>
        <w:rPr>
          <w:spacing w:val="-31"/>
        </w:rPr>
        <w:t> </w:t>
      </w:r>
      <w:r>
        <w:rPr>
          <w:spacing w:val="-1"/>
        </w:rPr>
        <w:t>及巨潮资讯网上的《公司关于重大项目进展的</w:t>
      </w:r>
      <w:r>
        <w:rPr/>
        <w:t> 公告》（编号：</w:t>
      </w:r>
      <w:r>
        <w:rPr>
          <w:rFonts w:ascii="Times New Roman" w:hAnsi="Times New Roman" w:cs="Times New Roman" w:eastAsia="Times New Roman" w:hint="default"/>
        </w:rPr>
        <w:t>2018-066</w:t>
      </w:r>
      <w:r>
        <w:rPr/>
        <w:t>号）。</w:t>
      </w:r>
    </w:p>
    <w:p>
      <w:pPr>
        <w:pStyle w:val="BodyText"/>
        <w:spacing w:line="451" w:lineRule="auto" w:before="43"/>
        <w:ind w:right="1124" w:firstLine="36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22</w:t>
      </w:r>
      <w:r>
        <w:rPr/>
        <w:t>日，公司与中国移动通信集团湖南有限公司长沙分公司（以下简称</w:t>
      </w:r>
      <w:r>
        <w:rPr>
          <w:rFonts w:ascii="Times New Roman" w:hAnsi="Times New Roman" w:cs="Times New Roman" w:eastAsia="Times New Roman" w:hint="default"/>
        </w:rPr>
        <w:t>“</w:t>
      </w:r>
      <w:r>
        <w:rPr/>
        <w:t>长沙移动</w:t>
      </w:r>
      <w:r>
        <w:rPr>
          <w:rFonts w:ascii="Times New Roman" w:hAnsi="Times New Roman" w:cs="Times New Roman" w:eastAsia="Times New Roman" w:hint="default"/>
        </w:rPr>
        <w:t>”</w:t>
      </w:r>
      <w:r>
        <w:rPr/>
        <w:t>）签署了《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IDC</w:t>
      </w:r>
      <w:r>
        <w:rPr>
          <w:rFonts w:ascii="Times New Roman" w:hAnsi="Times New Roman" w:cs="Times New Roman" w:eastAsia="Times New Roman" w:hint="default"/>
          <w:w w:val="99"/>
        </w:rPr>
        <w:t> </w:t>
      </w:r>
      <w:r>
        <w:rPr>
          <w:spacing w:val="-1"/>
        </w:rPr>
        <w:t>机房租赁服务框架合同（深圳证通）》（以下简称</w:t>
      </w:r>
      <w:r>
        <w:rPr>
          <w:rFonts w:ascii="Times New Roman" w:hAnsi="Times New Roman" w:cs="Times New Roman" w:eastAsia="Times New Roman" w:hint="default"/>
          <w:spacing w:val="-1"/>
        </w:rPr>
        <w:t>“</w:t>
      </w:r>
      <w:r>
        <w:rPr>
          <w:spacing w:val="-1"/>
        </w:rPr>
        <w:t>合同</w:t>
      </w:r>
      <w:r>
        <w:rPr>
          <w:rFonts w:ascii="Times New Roman" w:hAnsi="Times New Roman" w:cs="Times New Roman" w:eastAsia="Times New Roman" w:hint="default"/>
          <w:spacing w:val="-1"/>
        </w:rPr>
        <w:t>”</w:t>
      </w:r>
      <w:r>
        <w:rPr>
          <w:spacing w:val="-1"/>
        </w:rPr>
        <w:t>），服务内容为</w:t>
      </w:r>
      <w:r>
        <w:rPr>
          <w:rFonts w:ascii="Times New Roman" w:hAnsi="Times New Roman" w:cs="Times New Roman" w:eastAsia="Times New Roman" w:hint="default"/>
          <w:spacing w:val="-1"/>
        </w:rPr>
        <w:t>IDC</w:t>
      </w:r>
      <w:r>
        <w:rPr>
          <w:spacing w:val="-1"/>
        </w:rPr>
        <w:t>机房建设、租赁及运维服务，即公司将按照长</w:t>
      </w:r>
      <w:r>
        <w:rPr>
          <w:spacing w:val="-51"/>
        </w:rPr>
        <w:t> </w:t>
      </w:r>
      <w:r>
        <w:rPr>
          <w:spacing w:val="-51"/>
        </w:rPr>
      </w:r>
      <w:r>
        <w:rPr>
          <w:spacing w:val="-1"/>
        </w:rPr>
        <w:t>沙移动要求进行</w:t>
      </w:r>
      <w:r>
        <w:rPr>
          <w:rFonts w:ascii="Times New Roman" w:hAnsi="Times New Roman" w:cs="Times New Roman" w:eastAsia="Times New Roman" w:hint="default"/>
          <w:spacing w:val="-1"/>
        </w:rPr>
        <w:t>IDC</w:t>
      </w:r>
      <w:r>
        <w:rPr>
          <w:spacing w:val="-1"/>
        </w:rPr>
        <w:t>机房建设，建设完成后出租给长沙移动使用，并按要求进行运行维护和机房管理，合同总金额上限约为</w:t>
      </w:r>
      <w:r>
        <w:rPr>
          <w:spacing w:val="-67"/>
        </w:rPr>
        <w:t> </w:t>
      </w:r>
      <w:r>
        <w:rPr>
          <w:spacing w:val="-67"/>
        </w:rPr>
      </w:r>
      <w:r>
        <w:rPr>
          <w:spacing w:val="-1"/>
        </w:rPr>
        <w:t>人民币</w:t>
      </w:r>
      <w:r>
        <w:rPr>
          <w:rFonts w:ascii="Times New Roman" w:hAnsi="Times New Roman" w:cs="Times New Roman" w:eastAsia="Times New Roman" w:hint="default"/>
          <w:spacing w:val="-1"/>
        </w:rPr>
        <w:t>711,178,221.6</w:t>
      </w:r>
      <w:r>
        <w:rPr>
          <w:spacing w:val="-1"/>
        </w:rPr>
        <w:t>元（含税），项目在湖南省长沙市望城经济开发区的证通长沙云谷二号楼数据中心实施，公司需在合同</w:t>
      </w:r>
      <w:r>
        <w:rPr>
          <w:spacing w:val="-74"/>
        </w:rPr>
        <w:t> </w:t>
      </w:r>
      <w:r>
        <w:rPr>
          <w:spacing w:val="-74"/>
        </w:rPr>
      </w:r>
      <w:r>
        <w:rPr/>
        <w:t>签订后</w:t>
      </w:r>
      <w:r>
        <w:rPr>
          <w:rFonts w:ascii="Times New Roman" w:hAnsi="Times New Roman" w:cs="Times New Roman" w:eastAsia="Times New Roman" w:hint="default"/>
        </w:rPr>
        <w:t>6</w:t>
      </w:r>
      <w:r>
        <w:rPr/>
        <w:t>个月完成机房建设，分批次交付</w:t>
      </w:r>
      <w:r>
        <w:rPr>
          <w:rFonts w:ascii="Times New Roman" w:hAnsi="Times New Roman" w:cs="Times New Roman" w:eastAsia="Times New Roman" w:hint="default"/>
        </w:rPr>
        <w:t>1500</w:t>
      </w:r>
      <w:r>
        <w:rPr/>
        <w:t>个机柜，服务期限为</w:t>
      </w:r>
      <w:r>
        <w:rPr>
          <w:rFonts w:ascii="Times New Roman" w:hAnsi="Times New Roman" w:cs="Times New Roman" w:eastAsia="Times New Roman" w:hint="default"/>
        </w:rPr>
        <w:t>10</w:t>
      </w:r>
      <w:r>
        <w:rPr/>
        <w:t>年，合同自签订生效之日起十年有效。截止本公告披露 </w:t>
      </w:r>
      <w:r>
        <w:rPr>
          <w:spacing w:val="-2"/>
        </w:rPr>
        <w:t>日，公司按合同约定推进相关数据中心工程建设。已建设完成</w:t>
      </w:r>
      <w:r>
        <w:rPr>
          <w:rFonts w:ascii="Times New Roman" w:hAnsi="Times New Roman" w:cs="Times New Roman" w:eastAsia="Times New Roman" w:hint="default"/>
          <w:spacing w:val="-2"/>
        </w:rPr>
        <w:t>1321</w:t>
      </w:r>
      <w:r>
        <w:rPr>
          <w:spacing w:val="-2"/>
        </w:rPr>
        <w:t>个机架，相关事项详见于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23</w:t>
      </w:r>
      <w:r>
        <w:rPr>
          <w:spacing w:val="-2"/>
        </w:rPr>
        <w:t>日披露于《证券时</w:t>
      </w:r>
      <w:r>
        <w:rPr>
          <w:spacing w:val="-56"/>
        </w:rPr>
        <w:t> </w:t>
      </w:r>
      <w:r>
        <w:rPr>
          <w:spacing w:val="-56"/>
        </w:rPr>
      </w:r>
      <w:r>
        <w:rPr/>
        <w:t>报》</w:t>
      </w:r>
      <w:r>
        <w:rPr>
          <w:spacing w:val="-17"/>
        </w:rPr>
        <w:t> </w:t>
      </w:r>
      <w:r>
        <w:rPr/>
        <w:t>及巨潮资讯网上的《公司关于签订重大合同的公告》（编号：</w:t>
      </w:r>
      <w:r>
        <w:rPr>
          <w:rFonts w:ascii="Times New Roman" w:hAnsi="Times New Roman" w:cs="Times New Roman" w:eastAsia="Times New Roman" w:hint="default"/>
        </w:rPr>
        <w:t>2018-130</w:t>
      </w:r>
      <w:r>
        <w:rPr/>
        <w:t>号）。</w:t>
      </w:r>
    </w:p>
    <w:p>
      <w:pPr>
        <w:pStyle w:val="BodyText"/>
        <w:spacing w:line="451" w:lineRule="auto" w:before="43"/>
        <w:ind w:right="1129" w:firstLine="360"/>
        <w:jc w:val="left"/>
      </w:pP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8</w:t>
      </w:r>
      <w:r>
        <w:rPr>
          <w:spacing w:val="-2"/>
        </w:rPr>
        <w:t>日，公司与深圳市永联科技股份有限公司（以下简称</w:t>
      </w:r>
      <w:r>
        <w:rPr>
          <w:rFonts w:ascii="Times New Roman" w:hAnsi="Times New Roman" w:cs="Times New Roman" w:eastAsia="Times New Roman" w:hint="default"/>
          <w:spacing w:val="-2"/>
        </w:rPr>
        <w:t>“</w:t>
      </w:r>
      <w:r>
        <w:rPr>
          <w:spacing w:val="-2"/>
        </w:rPr>
        <w:t>永联科技</w:t>
      </w:r>
      <w:r>
        <w:rPr>
          <w:rFonts w:ascii="Times New Roman" w:hAnsi="Times New Roman" w:cs="Times New Roman" w:eastAsia="Times New Roman" w:hint="default"/>
          <w:spacing w:val="-2"/>
        </w:rPr>
        <w:t>”</w:t>
      </w:r>
      <w:r>
        <w:rPr>
          <w:spacing w:val="-2"/>
        </w:rPr>
        <w:t>）签订了《关于充电桩业务战略合作框</w:t>
      </w:r>
      <w:r>
        <w:rPr/>
        <w:t> 架协议》，双方约定在</w:t>
      </w:r>
      <w:r>
        <w:rPr>
          <w:rFonts w:ascii="Times New Roman" w:hAnsi="Times New Roman" w:cs="Times New Roman" w:eastAsia="Times New Roman" w:hint="default"/>
        </w:rPr>
        <w:t>2018-2020</w:t>
      </w:r>
      <w:r>
        <w:rPr/>
        <w:t>年度期间：永联科技将充电桩整机生产环节委托给公司，永联科技负责研发及生产充电模</w:t>
      </w:r>
    </w:p>
    <w:p>
      <w:pPr>
        <w:spacing w:after="0" w:line="451"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right="1047"/>
        <w:jc w:val="both"/>
      </w:pPr>
      <w:r>
        <w:rPr/>
        <w:t>块，生产充电桩约为</w:t>
      </w:r>
      <w:r>
        <w:rPr>
          <w:rFonts w:ascii="Times New Roman" w:hAnsi="Times New Roman" w:cs="Times New Roman" w:eastAsia="Times New Roman" w:hint="default"/>
        </w:rPr>
        <w:t>20,000</w:t>
      </w:r>
      <w:r>
        <w:rPr/>
        <w:t>万元，委托生产充电桩设备约</w:t>
      </w:r>
      <w:r>
        <w:rPr>
          <w:rFonts w:ascii="Times New Roman" w:hAnsi="Times New Roman" w:cs="Times New Roman" w:eastAsia="Times New Roman" w:hint="default"/>
        </w:rPr>
        <w:t>3</w:t>
      </w:r>
      <w:r>
        <w:rPr/>
        <w:t>万台；以永联科技或双方组建成联合体方式向外投标，参与充电 站建设工作，预计可完成</w:t>
      </w:r>
      <w:r>
        <w:rPr>
          <w:rFonts w:ascii="Times New Roman" w:hAnsi="Times New Roman" w:cs="Times New Roman" w:eastAsia="Times New Roman" w:hint="default"/>
        </w:rPr>
        <w:t>10,000</w:t>
      </w:r>
      <w:r>
        <w:rPr/>
        <w:t>万元工程建设工作，后续具体项目的推进和执行均在此战略合作框架协议下展开，截止本公 告披露日，公司在前述框架协议下，公司与永联科技签订充电桩项目相关合同，金额约</w:t>
      </w:r>
      <w:r>
        <w:rPr>
          <w:rFonts w:ascii="Times New Roman" w:hAnsi="Times New Roman" w:cs="Times New Roman" w:eastAsia="Times New Roman" w:hint="default"/>
        </w:rPr>
        <w:t>20,369</w:t>
      </w:r>
      <w:r>
        <w:rPr/>
        <w:t>万元，目前按合同约定推进充 电站建设等工作。相关事项详见于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9</w:t>
      </w:r>
      <w:r>
        <w:rPr/>
        <w:t>日披露于《证券时报》</w:t>
      </w:r>
      <w:r>
        <w:rPr>
          <w:spacing w:val="-2"/>
        </w:rPr>
        <w:t> </w:t>
      </w:r>
      <w:r>
        <w:rPr/>
        <w:t>及巨潮资讯网上的《公司关于签订框架协议的公告》</w:t>
      </w:r>
    </w:p>
    <w:p>
      <w:pPr>
        <w:pStyle w:val="BodyText"/>
        <w:spacing w:line="240" w:lineRule="auto" w:before="43"/>
        <w:ind w:right="0"/>
        <w:jc w:val="both"/>
      </w:pPr>
      <w:r>
        <w:rPr/>
        <w:t>（编号：</w:t>
      </w:r>
      <w:r>
        <w:rPr>
          <w:rFonts w:ascii="Times New Roman" w:hAnsi="Times New Roman" w:cs="Times New Roman" w:eastAsia="Times New Roman" w:hint="default"/>
        </w:rPr>
        <w:t>2018-127</w:t>
      </w:r>
      <w:r>
        <w:rPr/>
        <w:t>号）。</w:t>
      </w:r>
    </w:p>
    <w:p>
      <w:pPr>
        <w:spacing w:line="240" w:lineRule="auto" w:before="9"/>
        <w:rPr>
          <w:rFonts w:ascii="宋体" w:hAnsi="宋体" w:cs="宋体" w:eastAsia="宋体" w:hint="default"/>
          <w:sz w:val="16"/>
          <w:szCs w:val="16"/>
        </w:rPr>
      </w:pPr>
    </w:p>
    <w:p>
      <w:pPr>
        <w:pStyle w:val="BodyText"/>
        <w:spacing w:line="451" w:lineRule="auto"/>
        <w:ind w:right="1131" w:firstLine="360"/>
        <w:jc w:val="left"/>
      </w:pPr>
      <w:r>
        <w:rPr>
          <w:rFonts w:ascii="Times New Roman" w:hAnsi="Times New Roman" w:cs="Times New Roman" w:eastAsia="Times New Roman" w:hint="default"/>
          <w:spacing w:val="-3"/>
        </w:rPr>
        <w:t>5</w:t>
      </w:r>
      <w:r>
        <w:rPr>
          <w:spacing w:val="-3"/>
        </w:rPr>
        <w:t>、</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28</w:t>
      </w:r>
      <w:r>
        <w:rPr>
          <w:spacing w:val="-3"/>
        </w:rPr>
        <w:t>日，公司中选中国邮政集团公司的</w:t>
      </w:r>
      <w:r>
        <w:rPr>
          <w:rFonts w:ascii="Times New Roman" w:hAnsi="Times New Roman" w:cs="Times New Roman" w:eastAsia="Times New Roman" w:hint="default"/>
          <w:spacing w:val="-3"/>
        </w:rPr>
        <w:t>“</w:t>
      </w:r>
      <w:r>
        <w:rPr>
          <w:spacing w:val="-3"/>
        </w:rPr>
        <w:t>中国邮政集团公司</w:t>
      </w:r>
      <w:r>
        <w:rPr>
          <w:rFonts w:ascii="Times New Roman" w:hAnsi="Times New Roman" w:cs="Times New Roman" w:eastAsia="Times New Roman" w:hint="default"/>
          <w:spacing w:val="-3"/>
        </w:rPr>
        <w:t>2018</w:t>
      </w:r>
      <w:r>
        <w:rPr>
          <w:spacing w:val="-3"/>
        </w:rPr>
        <w:t>年智能柜员机（</w:t>
      </w:r>
      <w:r>
        <w:rPr>
          <w:rFonts w:ascii="Times New Roman" w:hAnsi="Times New Roman" w:cs="Times New Roman" w:eastAsia="Times New Roman" w:hint="default"/>
          <w:spacing w:val="-3"/>
        </w:rPr>
        <w:t>ITM</w:t>
      </w:r>
      <w:r>
        <w:rPr>
          <w:spacing w:val="-3"/>
        </w:rPr>
        <w:t>）设备集中采购项目</w:t>
      </w:r>
      <w:r>
        <w:rPr>
          <w:rFonts w:ascii="Times New Roman" w:hAnsi="Times New Roman" w:cs="Times New Roman" w:eastAsia="Times New Roman" w:hint="default"/>
          <w:spacing w:val="-3"/>
        </w:rPr>
        <w:t>”</w:t>
      </w:r>
      <w:r>
        <w:rPr>
          <w:spacing w:val="-3"/>
        </w:rPr>
        <w:t>，</w:t>
      </w:r>
      <w:r>
        <w:rPr/>
        <w:t> </w:t>
      </w:r>
      <w:r>
        <w:rPr>
          <w:spacing w:val="-1"/>
        </w:rPr>
        <w:t>中标设备大综合智能柜员机（</w:t>
      </w:r>
      <w:r>
        <w:rPr>
          <w:rFonts w:ascii="Times New Roman" w:hAnsi="Times New Roman" w:cs="Times New Roman" w:eastAsia="Times New Roman" w:hint="default"/>
          <w:spacing w:val="-1"/>
        </w:rPr>
        <w:t>ITM</w:t>
      </w:r>
      <w:r>
        <w:rPr>
          <w:spacing w:val="-1"/>
        </w:rPr>
        <w:t>）和标准智能柜员机（</w:t>
      </w:r>
      <w:r>
        <w:rPr>
          <w:rFonts w:ascii="Times New Roman" w:hAnsi="Times New Roman" w:cs="Times New Roman" w:eastAsia="Times New Roman" w:hint="default"/>
          <w:spacing w:val="-1"/>
        </w:rPr>
        <w:t>ITM</w:t>
      </w:r>
      <w:r>
        <w:rPr>
          <w:spacing w:val="-1"/>
        </w:rPr>
        <w:t>），金额以实际签署的合同为准。截止</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w:t>
      </w:r>
      <w:r>
        <w:rPr>
          <w:spacing w:val="-68"/>
        </w:rPr>
        <w:t> </w:t>
      </w:r>
      <w:r>
        <w:rPr/>
        <w:t>与中国邮政集团公司下属分公司签署合同金额为</w:t>
      </w:r>
      <w:r>
        <w:rPr>
          <w:rFonts w:ascii="Times New Roman" w:hAnsi="Times New Roman" w:cs="Times New Roman" w:eastAsia="Times New Roman" w:hint="default"/>
        </w:rPr>
        <w:t>270</w:t>
      </w:r>
      <w:r>
        <w:rPr/>
        <w:t>万。截止本公告披露日，公司与中国邮政集团公司全资子公司中国邮政 储蓄银行股份有限公司部分分行签订合同金额总计</w:t>
      </w:r>
      <w:r>
        <w:rPr>
          <w:rFonts w:ascii="Times New Roman" w:hAnsi="Times New Roman" w:cs="Times New Roman" w:eastAsia="Times New Roman" w:hint="default"/>
        </w:rPr>
        <w:t>259.95</w:t>
      </w:r>
      <w:r>
        <w:rPr/>
        <w:t>万元。相关事项详见于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29</w:t>
      </w:r>
      <w:r>
        <w:rPr/>
        <w:t>日披露于《证券时报》</w:t>
      </w:r>
      <w:r>
        <w:rPr>
          <w:spacing w:val="-20"/>
        </w:rPr>
        <w:t> </w:t>
      </w:r>
      <w:r>
        <w:rPr>
          <w:spacing w:val="-3"/>
        </w:rPr>
        <w:t>及巨</w:t>
      </w:r>
      <w:r>
        <w:rPr>
          <w:spacing w:val="-3"/>
        </w:rPr>
        <w:t> </w:t>
      </w:r>
      <w:r>
        <w:rPr>
          <w:spacing w:val="-7"/>
          <w:w w:val="99"/>
        </w:rPr>
        <w:t>潮资讯网上的《公司关于中标中国邮政集团公司</w:t>
      </w:r>
      <w:r>
        <w:rPr>
          <w:rFonts w:ascii="Times New Roman" w:hAnsi="Times New Roman" w:cs="Times New Roman" w:eastAsia="Times New Roman" w:hint="default"/>
          <w:spacing w:val="-7"/>
          <w:w w:val="99"/>
        </w:rPr>
        <w:t>2018</w:t>
      </w:r>
      <w:r>
        <w:rPr>
          <w:spacing w:val="-7"/>
          <w:w w:val="99"/>
        </w:rPr>
        <w:t>年智能柜员机（</w:t>
      </w:r>
      <w:r>
        <w:rPr>
          <w:rFonts w:ascii="Times New Roman" w:hAnsi="Times New Roman" w:cs="Times New Roman" w:eastAsia="Times New Roman" w:hint="default"/>
          <w:spacing w:val="-7"/>
          <w:w w:val="99"/>
        </w:rPr>
        <w:t>ITM</w:t>
      </w:r>
      <w:r>
        <w:rPr>
          <w:spacing w:val="-7"/>
          <w:w w:val="99"/>
        </w:rPr>
        <w:t>）设备集中采购项目的公告》（编号：</w:t>
      </w:r>
      <w:r>
        <w:rPr>
          <w:rFonts w:ascii="Times New Roman" w:hAnsi="Times New Roman" w:cs="Times New Roman" w:eastAsia="Times New Roman" w:hint="default"/>
          <w:spacing w:val="-7"/>
          <w:w w:val="99"/>
        </w:rPr>
        <w:t>2018-132</w:t>
      </w:r>
      <w:r>
        <w:rPr>
          <w:spacing w:val="-7"/>
          <w:w w:val="99"/>
        </w:rPr>
        <w:t>号）。</w:t>
      </w:r>
    </w:p>
    <w:p>
      <w:pPr>
        <w:spacing w:line="240" w:lineRule="auto" w:before="8"/>
        <w:rPr>
          <w:rFonts w:ascii="宋体" w:hAnsi="宋体" w:cs="宋体" w:eastAsia="宋体" w:hint="default"/>
          <w:sz w:val="18"/>
          <w:szCs w:val="18"/>
        </w:rPr>
      </w:pPr>
    </w:p>
    <w:p>
      <w:pPr>
        <w:pStyle w:val="Heading3"/>
        <w:spacing w:line="240" w:lineRule="auto"/>
        <w:ind w:right="0"/>
        <w:jc w:val="both"/>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行业和产品分类</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60"/>
        <w:gridCol w:w="1177"/>
        <w:gridCol w:w="1368"/>
        <w:gridCol w:w="1366"/>
        <w:gridCol w:w="1368"/>
        <w:gridCol w:w="1366"/>
        <w:gridCol w:w="1368"/>
      </w:tblGrid>
      <w:tr>
        <w:trPr>
          <w:trHeight w:val="402"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1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177"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金融电子</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332,873,975.12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426,636,004.97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-21.98%</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及云计算业务</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262,365,842.27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25.41%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170,743,308.08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13.72%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53.66%</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照明电子</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214,589,147.52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287,792,435.65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-25.44%</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合同能源管理</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80,179,732.76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156,891,818.32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-48.89%</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142,490,394.78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202,689,091.83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-29.70%</w:t>
            </w:r>
          </w:p>
        </w:tc>
      </w:tr>
    </w:tbl>
    <w:p>
      <w:pPr>
        <w:pStyle w:val="BodyText"/>
        <w:spacing w:line="240" w:lineRule="auto" w:before="49"/>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60"/>
        <w:gridCol w:w="1177"/>
        <w:gridCol w:w="1368"/>
        <w:gridCol w:w="1366"/>
        <w:gridCol w:w="1368"/>
        <w:gridCol w:w="1366"/>
        <w:gridCol w:w="1368"/>
      </w:tblGrid>
      <w:tr>
        <w:trPr>
          <w:trHeight w:val="401"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1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4"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177"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自助服务终端</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205,371,356.84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268,938,450.65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-23.64%</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支付产品</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77,623,108.74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96,645,592.23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-19.68%</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加密键盘</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44,039,377.96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54,220,120.24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-18.78%</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及云计算业务</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262,365,842.27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170,743,308.08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53.66%</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及相关贸易</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214,589,147.52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287,792,435.65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-25.44%</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合同能源管理</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80,179,732.76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156,891,818.32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-48.89%</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电子产品贸易</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8,750,570.26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86,422,369.34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-89.87%</w:t>
            </w:r>
          </w:p>
        </w:tc>
      </w:tr>
      <w:tr>
        <w:trPr>
          <w:trHeight w:val="40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139,579,956.10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123,098,564.34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13.39%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1133"/>
        <w:jc w:val="left"/>
      </w:pPr>
      <w:r>
        <w:rPr/>
        <w:t>说明：</w:t>
      </w:r>
    </w:p>
    <w:p>
      <w:pPr>
        <w:spacing w:line="240" w:lineRule="auto" w:before="4"/>
        <w:rPr>
          <w:rFonts w:ascii="宋体" w:hAnsi="宋体" w:cs="宋体" w:eastAsia="宋体" w:hint="default"/>
          <w:sz w:val="8"/>
          <w:szCs w:val="8"/>
        </w:rPr>
      </w:pPr>
    </w:p>
    <w:tbl>
      <w:tblPr>
        <w:tblW w:w="0" w:type="auto"/>
        <w:jc w:val="left"/>
        <w:tblInd w:w="136" w:type="dxa"/>
        <w:tblLayout w:type="fixed"/>
        <w:tblCellMar>
          <w:top w:w="0" w:type="dxa"/>
          <w:left w:w="0" w:type="dxa"/>
          <w:bottom w:w="0" w:type="dxa"/>
          <w:right w:w="0" w:type="dxa"/>
        </w:tblCellMar>
        <w:tblLook w:val="01E0"/>
      </w:tblPr>
      <w:tblGrid>
        <w:gridCol w:w="2352"/>
        <w:gridCol w:w="2350"/>
        <w:gridCol w:w="2604"/>
        <w:gridCol w:w="2353"/>
      </w:tblGrid>
      <w:tr>
        <w:trPr>
          <w:trHeight w:val="346" w:hRule="exact"/>
        </w:trPr>
        <w:tc>
          <w:tcPr>
            <w:tcW w:w="2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行业分类</w:t>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c>
          <w:tcPr>
            <w:tcW w:w="2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r>
      <w:tr>
        <w:trPr>
          <w:trHeight w:val="348" w:hRule="exact"/>
        </w:trPr>
        <w:tc>
          <w:tcPr>
            <w:tcW w:w="2352" w:type="dxa"/>
            <w:vMerge w:val="restart"/>
            <w:tcBorders>
              <w:top w:val="single" w:sz="6" w:space="0" w:color="000000"/>
              <w:left w:val="single" w:sz="6" w:space="0" w:color="000000"/>
              <w:right w:val="single" w:sz="6" w:space="0" w:color="000000"/>
            </w:tcBorders>
          </w:tcPr>
          <w:p>
            <w:pPr>
              <w:pStyle w:val="TableParagraph"/>
              <w:spacing w:line="316" w:lineRule="auto" w:before="20"/>
              <w:ind w:left="809" w:right="806" w:firstLine="89"/>
              <w:jc w:val="center"/>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金融电子</w:t>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材料</w:t>
            </w:r>
          </w:p>
        </w:tc>
        <w:tc>
          <w:tcPr>
            <w:tcW w:w="2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z w:val="18"/>
              </w:rPr>
              <w:t>81.46%</w:t>
            </w:r>
          </w:p>
        </w:tc>
        <w:tc>
          <w:tcPr>
            <w:tcW w:w="2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80.50%</w:t>
            </w:r>
          </w:p>
        </w:tc>
      </w:tr>
      <w:tr>
        <w:trPr>
          <w:trHeight w:val="346" w:hRule="exact"/>
        </w:trPr>
        <w:tc>
          <w:tcPr>
            <w:tcW w:w="2352" w:type="dxa"/>
            <w:vMerge/>
            <w:tcBorders>
              <w:left w:val="single" w:sz="6" w:space="0" w:color="000000"/>
              <w:right w:val="single" w:sz="6" w:space="0" w:color="000000"/>
            </w:tcBorders>
          </w:tcPr>
          <w:p>
            <w:pP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直接人工</w:t>
            </w:r>
          </w:p>
        </w:tc>
        <w:tc>
          <w:tcPr>
            <w:tcW w:w="2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7.32%</w:t>
            </w:r>
          </w:p>
        </w:tc>
        <w:tc>
          <w:tcPr>
            <w:tcW w:w="2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6.40%</w:t>
            </w:r>
          </w:p>
        </w:tc>
      </w:tr>
      <w:tr>
        <w:trPr>
          <w:trHeight w:val="348" w:hRule="exact"/>
        </w:trPr>
        <w:tc>
          <w:tcPr>
            <w:tcW w:w="2352" w:type="dxa"/>
            <w:vMerge/>
            <w:tcBorders>
              <w:left w:val="single" w:sz="6" w:space="0" w:color="000000"/>
              <w:bottom w:val="single" w:sz="6" w:space="0" w:color="000000"/>
              <w:right w:val="single" w:sz="6" w:space="0" w:color="000000"/>
            </w:tcBorders>
          </w:tcPr>
          <w:p>
            <w:pP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制造费用</w:t>
            </w:r>
          </w:p>
        </w:tc>
        <w:tc>
          <w:tcPr>
            <w:tcW w:w="2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z w:val="18"/>
              </w:rPr>
              <w:t>11.22%</w:t>
            </w:r>
          </w:p>
        </w:tc>
        <w:tc>
          <w:tcPr>
            <w:tcW w:w="2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13.10%</w:t>
            </w:r>
          </w:p>
        </w:tc>
      </w:tr>
      <w:tr>
        <w:trPr>
          <w:trHeight w:val="348" w:hRule="exact"/>
        </w:trPr>
        <w:tc>
          <w:tcPr>
            <w:tcW w:w="235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IDC</w:t>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713"/>
              <w:jc w:val="right"/>
              <w:rPr>
                <w:rFonts w:ascii="宋体" w:hAnsi="宋体" w:cs="宋体" w:eastAsia="宋体" w:hint="default"/>
                <w:sz w:val="18"/>
                <w:szCs w:val="18"/>
              </w:rPr>
            </w:pPr>
            <w:r>
              <w:rPr>
                <w:rFonts w:ascii="宋体" w:hAnsi="宋体" w:cs="宋体" w:eastAsia="宋体" w:hint="default"/>
                <w:sz w:val="18"/>
                <w:szCs w:val="18"/>
              </w:rPr>
              <w:t>折旧及摊销</w:t>
            </w:r>
          </w:p>
        </w:tc>
        <w:tc>
          <w:tcPr>
            <w:tcW w:w="2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47.42%</w:t>
            </w:r>
          </w:p>
        </w:tc>
        <w:tc>
          <w:tcPr>
            <w:tcW w:w="2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33.30%</w:t>
            </w:r>
          </w:p>
        </w:tc>
      </w:tr>
      <w:tr>
        <w:trPr>
          <w:trHeight w:val="346" w:hRule="exact"/>
        </w:trPr>
        <w:tc>
          <w:tcPr>
            <w:tcW w:w="2352" w:type="dxa"/>
            <w:vMerge/>
            <w:tcBorders>
              <w:left w:val="single" w:sz="6" w:space="0" w:color="000000"/>
              <w:right w:val="single" w:sz="6" w:space="0" w:color="000000"/>
            </w:tcBorders>
          </w:tcPr>
          <w:p>
            <w:pP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水电燃费</w:t>
            </w:r>
          </w:p>
        </w:tc>
        <w:tc>
          <w:tcPr>
            <w:tcW w:w="2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19.94%</w:t>
            </w:r>
          </w:p>
        </w:tc>
        <w:tc>
          <w:tcPr>
            <w:tcW w:w="2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26.00%</w:t>
            </w:r>
          </w:p>
        </w:tc>
      </w:tr>
      <w:tr>
        <w:trPr>
          <w:trHeight w:val="348" w:hRule="exact"/>
        </w:trPr>
        <w:tc>
          <w:tcPr>
            <w:tcW w:w="2352" w:type="dxa"/>
            <w:vMerge/>
            <w:tcBorders>
              <w:left w:val="single" w:sz="6" w:space="0" w:color="000000"/>
              <w:right w:val="single" w:sz="6" w:space="0" w:color="000000"/>
            </w:tcBorders>
          </w:tcPr>
          <w:p>
            <w:pP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人工费</w:t>
            </w:r>
          </w:p>
        </w:tc>
        <w:tc>
          <w:tcPr>
            <w:tcW w:w="2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3.65%</w:t>
            </w:r>
          </w:p>
        </w:tc>
        <w:tc>
          <w:tcPr>
            <w:tcW w:w="2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0.30%</w:t>
            </w:r>
          </w:p>
        </w:tc>
      </w:tr>
      <w:tr>
        <w:trPr>
          <w:trHeight w:val="346" w:hRule="exact"/>
        </w:trPr>
        <w:tc>
          <w:tcPr>
            <w:tcW w:w="2352" w:type="dxa"/>
            <w:vMerge/>
            <w:tcBorders>
              <w:left w:val="single" w:sz="6" w:space="0" w:color="000000"/>
              <w:right w:val="single" w:sz="6" w:space="0" w:color="000000"/>
            </w:tcBorders>
          </w:tcPr>
          <w:p>
            <w:pP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运维费</w:t>
            </w:r>
          </w:p>
        </w:tc>
        <w:tc>
          <w:tcPr>
            <w:tcW w:w="2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15.77%</w:t>
            </w:r>
          </w:p>
        </w:tc>
        <w:tc>
          <w:tcPr>
            <w:tcW w:w="2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12.20%</w:t>
            </w:r>
          </w:p>
        </w:tc>
      </w:tr>
      <w:tr>
        <w:trPr>
          <w:trHeight w:val="349" w:hRule="exact"/>
        </w:trPr>
        <w:tc>
          <w:tcPr>
            <w:tcW w:w="2352" w:type="dxa"/>
            <w:vMerge/>
            <w:tcBorders>
              <w:left w:val="single" w:sz="6" w:space="0" w:color="000000"/>
              <w:right w:val="single" w:sz="6" w:space="0" w:color="000000"/>
            </w:tcBorders>
          </w:tcPr>
          <w:p>
            <w:pP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服务费</w:t>
            </w:r>
          </w:p>
        </w:tc>
        <w:tc>
          <w:tcPr>
            <w:tcW w:w="2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7.44%</w:t>
            </w:r>
          </w:p>
        </w:tc>
        <w:tc>
          <w:tcPr>
            <w:tcW w:w="2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19.50%</w:t>
            </w:r>
          </w:p>
        </w:tc>
      </w:tr>
      <w:tr>
        <w:trPr>
          <w:trHeight w:val="348" w:hRule="exact"/>
        </w:trPr>
        <w:tc>
          <w:tcPr>
            <w:tcW w:w="2352" w:type="dxa"/>
            <w:vMerge/>
            <w:tcBorders>
              <w:left w:val="single" w:sz="6" w:space="0" w:color="000000"/>
              <w:right w:val="single" w:sz="6" w:space="0" w:color="000000"/>
            </w:tcBorders>
          </w:tcPr>
          <w:p>
            <w:pP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624"/>
              <w:jc w:val="right"/>
              <w:rPr>
                <w:rFonts w:ascii="宋体" w:hAnsi="宋体" w:cs="宋体" w:eastAsia="宋体" w:hint="default"/>
                <w:sz w:val="18"/>
                <w:szCs w:val="18"/>
              </w:rPr>
            </w:pPr>
            <w:r>
              <w:rPr>
                <w:rFonts w:ascii="宋体" w:hAnsi="宋体" w:cs="宋体" w:eastAsia="宋体" w:hint="default"/>
                <w:sz w:val="18"/>
                <w:szCs w:val="18"/>
              </w:rPr>
              <w:t>租金及管理费</w:t>
            </w:r>
          </w:p>
        </w:tc>
        <w:tc>
          <w:tcPr>
            <w:tcW w:w="2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4.76%</w:t>
            </w:r>
          </w:p>
        </w:tc>
        <w:tc>
          <w:tcPr>
            <w:tcW w:w="2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5.40%</w:t>
            </w:r>
          </w:p>
        </w:tc>
      </w:tr>
      <w:tr>
        <w:trPr>
          <w:trHeight w:val="346" w:hRule="exact"/>
        </w:trPr>
        <w:tc>
          <w:tcPr>
            <w:tcW w:w="2352" w:type="dxa"/>
            <w:vMerge/>
            <w:tcBorders>
              <w:left w:val="single" w:sz="6" w:space="0" w:color="000000"/>
              <w:bottom w:val="single" w:sz="6" w:space="0" w:color="000000"/>
              <w:right w:val="single" w:sz="6" w:space="0" w:color="000000"/>
            </w:tcBorders>
          </w:tcPr>
          <w:p>
            <w:pP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2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1.02%</w:t>
            </w:r>
          </w:p>
        </w:tc>
        <w:tc>
          <w:tcPr>
            <w:tcW w:w="2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3.20%</w:t>
            </w:r>
          </w:p>
        </w:tc>
      </w:tr>
      <w:tr>
        <w:trPr>
          <w:trHeight w:val="348" w:hRule="exact"/>
        </w:trPr>
        <w:tc>
          <w:tcPr>
            <w:tcW w:w="2352" w:type="dxa"/>
            <w:vMerge w:val="restart"/>
            <w:tcBorders>
              <w:top w:val="single" w:sz="6" w:space="0" w:color="000000"/>
              <w:left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宋体" w:hAnsi="宋体" w:cs="宋体" w:eastAsia="宋体" w:hint="default"/>
                <w:sz w:val="18"/>
                <w:szCs w:val="18"/>
              </w:rPr>
              <w:t>工程</w:t>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77"/>
              <w:jc w:val="right"/>
              <w:rPr>
                <w:rFonts w:ascii="宋体" w:hAnsi="宋体" w:cs="宋体" w:eastAsia="宋体" w:hint="default"/>
                <w:sz w:val="18"/>
                <w:szCs w:val="18"/>
              </w:rPr>
            </w:pPr>
            <w:r>
              <w:rPr>
                <w:rFonts w:ascii="宋体" w:hAnsi="宋体" w:cs="宋体" w:eastAsia="宋体" w:hint="default"/>
                <w:sz w:val="18"/>
                <w:szCs w:val="18"/>
              </w:rPr>
              <w:t>工程设计费</w:t>
            </w:r>
          </w:p>
        </w:tc>
        <w:tc>
          <w:tcPr>
            <w:tcW w:w="2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7.83%</w:t>
            </w:r>
          </w:p>
        </w:tc>
        <w:tc>
          <w:tcPr>
            <w:tcW w:w="2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8.26%</w:t>
            </w:r>
          </w:p>
        </w:tc>
      </w:tr>
      <w:tr>
        <w:trPr>
          <w:trHeight w:val="346" w:hRule="exact"/>
        </w:trPr>
        <w:tc>
          <w:tcPr>
            <w:tcW w:w="2352" w:type="dxa"/>
            <w:vMerge/>
            <w:tcBorders>
              <w:left w:val="single" w:sz="6" w:space="0" w:color="000000"/>
              <w:right w:val="single" w:sz="6" w:space="0" w:color="000000"/>
            </w:tcBorders>
          </w:tcPr>
          <w:p>
            <w:pP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677"/>
              <w:jc w:val="right"/>
              <w:rPr>
                <w:rFonts w:ascii="宋体" w:hAnsi="宋体" w:cs="宋体" w:eastAsia="宋体" w:hint="default"/>
                <w:sz w:val="18"/>
                <w:szCs w:val="18"/>
              </w:rPr>
            </w:pPr>
            <w:r>
              <w:rPr>
                <w:rFonts w:ascii="宋体" w:hAnsi="宋体" w:cs="宋体" w:eastAsia="宋体" w:hint="default"/>
                <w:sz w:val="18"/>
                <w:szCs w:val="18"/>
              </w:rPr>
              <w:t>工程建设费</w:t>
            </w:r>
          </w:p>
        </w:tc>
        <w:tc>
          <w:tcPr>
            <w:tcW w:w="2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85.09%</w:t>
            </w:r>
          </w:p>
        </w:tc>
        <w:tc>
          <w:tcPr>
            <w:tcW w:w="2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83.28%</w:t>
            </w:r>
          </w:p>
        </w:tc>
      </w:tr>
      <w:tr>
        <w:trPr>
          <w:trHeight w:val="348" w:hRule="exact"/>
        </w:trPr>
        <w:tc>
          <w:tcPr>
            <w:tcW w:w="2352" w:type="dxa"/>
            <w:vMerge/>
            <w:tcBorders>
              <w:left w:val="single" w:sz="6" w:space="0" w:color="000000"/>
              <w:right w:val="single" w:sz="6" w:space="0" w:color="000000"/>
            </w:tcBorders>
          </w:tcPr>
          <w:p>
            <w:pP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77"/>
              <w:jc w:val="right"/>
              <w:rPr>
                <w:rFonts w:ascii="宋体" w:hAnsi="宋体" w:cs="宋体" w:eastAsia="宋体" w:hint="default"/>
                <w:sz w:val="18"/>
                <w:szCs w:val="18"/>
              </w:rPr>
            </w:pPr>
            <w:r>
              <w:rPr>
                <w:rFonts w:ascii="宋体" w:hAnsi="宋体" w:cs="宋体" w:eastAsia="宋体" w:hint="default"/>
                <w:sz w:val="18"/>
                <w:szCs w:val="18"/>
              </w:rPr>
              <w:t>工程维护费</w:t>
            </w:r>
          </w:p>
        </w:tc>
        <w:tc>
          <w:tcPr>
            <w:tcW w:w="2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5.81%</w:t>
            </w:r>
          </w:p>
        </w:tc>
        <w:tc>
          <w:tcPr>
            <w:tcW w:w="2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6.64%</w:t>
            </w:r>
          </w:p>
        </w:tc>
      </w:tr>
      <w:tr>
        <w:trPr>
          <w:trHeight w:val="348" w:hRule="exact"/>
        </w:trPr>
        <w:tc>
          <w:tcPr>
            <w:tcW w:w="2352" w:type="dxa"/>
            <w:vMerge/>
            <w:tcBorders>
              <w:left w:val="single" w:sz="6" w:space="0" w:color="000000"/>
              <w:bottom w:val="single" w:sz="6" w:space="0" w:color="000000"/>
              <w:right w:val="single" w:sz="6" w:space="0" w:color="000000"/>
            </w:tcBorders>
          </w:tcPr>
          <w:p>
            <w:pP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2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1.27%</w:t>
            </w:r>
          </w:p>
        </w:tc>
        <w:tc>
          <w:tcPr>
            <w:tcW w:w="2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1.83%</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pStyle w:val="BodyText"/>
        <w:spacing w:line="316" w:lineRule="auto" w:before="103"/>
        <w:ind w:right="1133" w:firstLine="360"/>
        <w:jc w:val="left"/>
      </w:pPr>
      <w:r>
        <w:rPr>
          <w:spacing w:val="-2"/>
        </w:rPr>
        <w:t>本报告期内，公司因对外转让股权，合并范围减少控股子公司证通邦客（广州）信息科技有限公司。证通邦客现已更名</w:t>
      </w:r>
      <w:r>
        <w:rPr/>
        <w:t> 为广州水晶智联科技有限公司，公司占其</w:t>
      </w:r>
      <w:r>
        <w:rPr>
          <w:rFonts w:ascii="Times New Roman" w:hAnsi="Times New Roman" w:cs="Times New Roman" w:eastAsia="Times New Roman" w:hint="default"/>
        </w:rPr>
        <w:t>15%</w:t>
      </w:r>
      <w:r>
        <w:rPr/>
        <w:t>持股比例。</w:t>
      </w:r>
    </w:p>
    <w:p>
      <w:pPr>
        <w:spacing w:line="240" w:lineRule="auto" w:before="4"/>
        <w:rPr>
          <w:rFonts w:ascii="宋体" w:hAnsi="宋体" w:cs="宋体" w:eastAsia="宋体" w:hint="default"/>
          <w:sz w:val="21"/>
          <w:szCs w:val="21"/>
        </w:rPr>
      </w:pPr>
    </w:p>
    <w:p>
      <w:pPr>
        <w:pStyle w:val="Heading3"/>
        <w:spacing w:line="240" w:lineRule="auto"/>
        <w:ind w:right="1133"/>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454,940,266.90</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34.14%</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158,180,091.44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11.87%</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139,514,335.31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10.47%</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79,429,369.13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46,889,395.56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3.52%</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30,927,075.46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2.32%</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454,940,266.90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34.14%</w:t>
            </w:r>
          </w:p>
        </w:tc>
      </w:tr>
    </w:tbl>
    <w:p>
      <w:pPr>
        <w:pStyle w:val="BodyText"/>
        <w:spacing w:line="240" w:lineRule="auto" w:before="49"/>
        <w:ind w:right="1133"/>
        <w:jc w:val="left"/>
      </w:pPr>
      <w:r>
        <w:rPr/>
        <w:t>主要客户其他情况说明</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140,583,500.72</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13.41%</w:t>
            </w:r>
          </w:p>
        </w:tc>
      </w:tr>
      <w:tr>
        <w:trPr>
          <w:trHeight w:val="716"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70,224,046.93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6.70%</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20,844,827.59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20,433,961.70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15,059,204.93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14,021,459.57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w:t>
            </w:r>
          </w:p>
        </w:tc>
      </w:tr>
      <w:tr>
        <w:trPr>
          <w:trHeight w:val="40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140,583,500.72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13.41%</w:t>
            </w:r>
          </w:p>
        </w:tc>
      </w:tr>
    </w:tbl>
    <w:p>
      <w:pPr>
        <w:pStyle w:val="BodyText"/>
        <w:spacing w:line="240" w:lineRule="auto" w:before="49"/>
        <w:ind w:right="1133"/>
        <w:jc w:val="left"/>
      </w:pPr>
      <w:r>
        <w:rPr/>
        <w:t>主要供应商其他情况说明</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48"/>
        <w:gridCol w:w="1637"/>
        <w:gridCol w:w="1462"/>
        <w:gridCol w:w="2919"/>
      </w:tblGrid>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121,694,738.75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137,795,980.69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-11.68%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99,208,677.11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83,136,548.93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19.33%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5" w:right="0"/>
              <w:jc w:val="left"/>
              <w:rPr>
                <w:rFonts w:ascii="Times New Roman" w:hAnsi="Times New Roman" w:cs="Times New Roman" w:eastAsia="Times New Roman" w:hint="default"/>
                <w:sz w:val="18"/>
                <w:szCs w:val="18"/>
              </w:rPr>
            </w:pPr>
            <w:r>
              <w:rPr>
                <w:rFonts w:ascii="Times New Roman"/>
                <w:sz w:val="18"/>
              </w:rPr>
              <w:t>76,387,859.64</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36,478,668.95</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82" w:right="0"/>
              <w:jc w:val="left"/>
              <w:rPr>
                <w:rFonts w:ascii="Times New Roman" w:hAnsi="Times New Roman" w:cs="Times New Roman" w:eastAsia="Times New Roman" w:hint="default"/>
                <w:sz w:val="18"/>
                <w:szCs w:val="18"/>
              </w:rPr>
            </w:pPr>
            <w:r>
              <w:rPr>
                <w:rFonts w:ascii="Times New Roman"/>
                <w:sz w:val="18"/>
              </w:rPr>
              <w:t>109.40%</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83"/>
              <w:jc w:val="both"/>
              <w:rPr>
                <w:rFonts w:ascii="宋体" w:hAnsi="宋体" w:cs="宋体" w:eastAsia="宋体" w:hint="default"/>
                <w:sz w:val="18"/>
                <w:szCs w:val="18"/>
              </w:rPr>
            </w:pPr>
            <w:r>
              <w:rPr>
                <w:rFonts w:ascii="宋体" w:hAnsi="宋体" w:cs="宋体" w:eastAsia="宋体" w:hint="default"/>
                <w:sz w:val="18"/>
                <w:szCs w:val="18"/>
              </w:rPr>
              <w:t>公司短期借款增加及银行贷款利息 率提高，相应借款利息支出增加所 致；</w:t>
            </w:r>
          </w:p>
        </w:tc>
      </w:tr>
      <w:tr>
        <w:trPr>
          <w:trHeight w:val="394"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8"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8"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5" w:right="0"/>
              <w:jc w:val="left"/>
              <w:rPr>
                <w:rFonts w:ascii="Times New Roman" w:hAnsi="Times New Roman" w:cs="Times New Roman" w:eastAsia="Times New Roman" w:hint="default"/>
                <w:sz w:val="18"/>
                <w:szCs w:val="18"/>
              </w:rPr>
            </w:pPr>
            <w:r>
              <w:rPr>
                <w:rFonts w:ascii="Times New Roman"/>
                <w:sz w:val="18"/>
              </w:rPr>
              <w:t>88,279,549.20</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74,554,690.97</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18.41%</w:t>
            </w:r>
          </w:p>
        </w:tc>
        <w:tc>
          <w:tcPr>
            <w:tcW w:w="2919" w:type="dxa"/>
            <w:vMerge w:val="restart"/>
            <w:tcBorders>
              <w:top w:val="single" w:sz="4" w:space="0" w:color="000000"/>
              <w:left w:val="single" w:sz="4" w:space="0" w:color="000000"/>
              <w:right w:val="single" w:sz="4" w:space="0" w:color="000000"/>
            </w:tcBorders>
          </w:tcPr>
          <w:p>
            <w:pPr/>
          </w:p>
        </w:tc>
      </w:tr>
      <w:tr>
        <w:trPr>
          <w:trHeight w:val="391"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48"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8"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left="513" w:right="1034"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公司一贯重视技术研发与创新能力建设，</w:t>
      </w:r>
      <w:r>
        <w:rPr>
          <w:rFonts w:ascii="Times New Roman" w:hAnsi="Times New Roman" w:cs="Times New Roman" w:eastAsia="Times New Roman" w:hint="default"/>
          <w:spacing w:val="-2"/>
        </w:rPr>
        <w:t>2018</w:t>
      </w:r>
      <w:r>
        <w:rPr>
          <w:spacing w:val="-2"/>
        </w:rPr>
        <w:t>年度公司聚焦主营业务进行研发资源的继续投入，推进技术创新、升级和</w:t>
      </w:r>
    </w:p>
    <w:p>
      <w:pPr>
        <w:pStyle w:val="BodyText"/>
        <w:spacing w:line="217" w:lineRule="exact"/>
        <w:ind w:right="1133"/>
        <w:jc w:val="left"/>
      </w:pPr>
      <w:r>
        <w:rPr/>
        <w:t>产品优化，全面提升公司综合竞争力。</w:t>
      </w:r>
    </w:p>
    <w:p>
      <w:pPr>
        <w:spacing w:after="0" w:line="217" w:lineRule="exact"/>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2" w:lineRule="auto" w:before="44"/>
        <w:ind w:right="1114" w:firstLine="360"/>
        <w:jc w:val="left"/>
      </w:pPr>
      <w:r>
        <w:rPr>
          <w:rFonts w:ascii="Times New Roman" w:hAnsi="Times New Roman" w:cs="Times New Roman" w:eastAsia="Times New Roman" w:hint="default"/>
          <w:spacing w:val="-2"/>
        </w:rPr>
        <w:t>2018</w:t>
      </w:r>
      <w:r>
        <w:rPr>
          <w:spacing w:val="-2"/>
        </w:rPr>
        <w:t>年度，公司在金融电子业务领域投入资源进行了自助终端、服务机器人、智能</w:t>
      </w:r>
      <w:r>
        <w:rPr>
          <w:rFonts w:ascii="Times New Roman" w:hAnsi="Times New Roman" w:cs="Times New Roman" w:eastAsia="Times New Roman" w:hint="default"/>
          <w:spacing w:val="-2"/>
        </w:rPr>
        <w:t>POS</w:t>
      </w:r>
      <w:r>
        <w:rPr>
          <w:spacing w:val="-2"/>
        </w:rPr>
        <w:t>、移动支付终端等产品的开发和</w:t>
      </w:r>
      <w:r>
        <w:rPr/>
        <w:t> </w:t>
      </w:r>
      <w:r>
        <w:rPr>
          <w:spacing w:val="-3"/>
        </w:rPr>
        <w:t>升级工作并取得成就，公司加强与新零售行业客户的合作，共同研发自助终端产品</w:t>
      </w:r>
      <w:r>
        <w:rPr>
          <w:spacing w:val="-9"/>
        </w:rPr>
        <w:t> </w:t>
      </w:r>
      <w:r>
        <w:rPr>
          <w:spacing w:val="-3"/>
        </w:rPr>
        <w:t>，在椰子机等方面取得成效并形成交付；</w:t>
      </w:r>
      <w:r>
        <w:rPr/>
        <w:t> 完成了首款业务办理机器人（小僮）的产品化工作和新款引导机器人（</w:t>
      </w:r>
      <w:r>
        <w:rPr>
          <w:rFonts w:ascii="Times New Roman" w:hAnsi="Times New Roman" w:cs="Times New Roman" w:eastAsia="Times New Roman" w:hint="default"/>
        </w:rPr>
        <w:t>idol</w:t>
      </w:r>
      <w:r>
        <w:rPr/>
        <w:t>）的研发设计及成果化工作，目前已在进入场景 </w:t>
      </w:r>
      <w:r>
        <w:rPr>
          <w:spacing w:val="-1"/>
        </w:rPr>
        <w:t>试点和上线应用阶段；安全支付方面，基于银行、移动支付第三方客户、海外客户等多样化需求，继续强化智能</w:t>
      </w:r>
      <w:r>
        <w:rPr>
          <w:rFonts w:ascii="Times New Roman" w:hAnsi="Times New Roman" w:cs="Times New Roman" w:eastAsia="Times New Roman" w:hint="default"/>
          <w:spacing w:val="-1"/>
        </w:rPr>
        <w:t>POS</w:t>
      </w:r>
      <w:r>
        <w:rPr>
          <w:spacing w:val="-1"/>
        </w:rPr>
        <w:t>的差异</w:t>
      </w:r>
      <w:r>
        <w:rPr/>
        <w:t> 化定制和延展创新能力，并重构优化</w:t>
      </w:r>
      <w:r>
        <w:rPr>
          <w:rFonts w:ascii="Times New Roman" w:hAnsi="Times New Roman" w:cs="Times New Roman" w:eastAsia="Times New Roman" w:hint="default"/>
        </w:rPr>
        <w:t>TMS</w:t>
      </w:r>
      <w:r>
        <w:rPr/>
        <w:t>平台，有效支撑客户对设备管理的个性化定制需求，针对移动支付市场，投入资 源研发并推出了闪付扫码枪、闪付扫码盒、闪付扫码牌等新型支付产品并获得</w:t>
      </w:r>
      <w:r>
        <w:rPr>
          <w:rFonts w:ascii="Times New Roman" w:hAnsi="Times New Roman" w:cs="Times New Roman" w:eastAsia="Times New Roman" w:hint="default"/>
        </w:rPr>
        <w:t>CCC</w:t>
      </w:r>
      <w:r>
        <w:rPr/>
        <w:t>认证，结合加油机市场客户对智能</w:t>
      </w:r>
      <w:r>
        <w:rPr>
          <w:rFonts w:ascii="Times New Roman" w:hAnsi="Times New Roman" w:cs="Times New Roman" w:eastAsia="Times New Roman" w:hint="default"/>
        </w:rPr>
        <w:t>POS</w:t>
      </w:r>
      <w:r>
        <w:rPr>
          <w:rFonts w:ascii="Times New Roman" w:hAnsi="Times New Roman" w:cs="Times New Roman" w:eastAsia="Times New Roman" w:hint="default"/>
          <w:w w:val="99"/>
        </w:rPr>
        <w:t> </w:t>
      </w:r>
      <w:r>
        <w:rPr/>
        <w:t>的安全性特殊需求，取得了防爆认证并植入了新型加密键盘方案。</w:t>
      </w:r>
    </w:p>
    <w:p>
      <w:pPr>
        <w:pStyle w:val="BodyText"/>
        <w:spacing w:line="300" w:lineRule="auto" w:before="29"/>
        <w:ind w:right="1131" w:firstLine="360"/>
        <w:jc w:val="both"/>
      </w:pPr>
      <w:r>
        <w:rPr/>
        <w:t>在</w:t>
      </w:r>
      <w:r>
        <w:rPr>
          <w:rFonts w:ascii="Times New Roman" w:hAnsi="Times New Roman" w:cs="Times New Roman" w:eastAsia="Times New Roman" w:hint="default"/>
        </w:rPr>
        <w:t>IDC</w:t>
      </w:r>
      <w:r>
        <w:rPr/>
        <w:t>及云计算领域， </w:t>
      </w:r>
      <w:r>
        <w:rPr>
          <w:rFonts w:ascii="Times New Roman" w:hAnsi="Times New Roman" w:cs="Times New Roman" w:eastAsia="Times New Roman" w:hint="default"/>
        </w:rPr>
        <w:t>2018</w:t>
      </w:r>
      <w:r>
        <w:rPr/>
        <w:t>年度，公司基于</w:t>
      </w:r>
      <w:r>
        <w:rPr>
          <w:rFonts w:ascii="Times New Roman" w:hAnsi="Times New Roman" w:cs="Times New Roman" w:eastAsia="Times New Roman" w:hint="default"/>
        </w:rPr>
        <w:t>”IDC+</w:t>
      </w:r>
      <w:r>
        <w:rPr/>
        <w:t>生态</w:t>
      </w:r>
      <w:r>
        <w:rPr>
          <w:rFonts w:ascii="Times New Roman" w:hAnsi="Times New Roman" w:cs="Times New Roman" w:eastAsia="Times New Roman" w:hint="default"/>
        </w:rPr>
        <w:t>“</w:t>
      </w:r>
      <w:r>
        <w:rPr>
          <w:rFonts w:ascii="Times New Roman" w:hAnsi="Times New Roman" w:cs="Times New Roman" w:eastAsia="Times New Roman" w:hint="default"/>
          <w:spacing w:val="3"/>
        </w:rPr>
        <w:t> </w:t>
      </w:r>
      <w:r>
        <w:rPr/>
        <w:t>的战略定位在</w:t>
      </w:r>
      <w:r>
        <w:rPr>
          <w:rFonts w:ascii="Times New Roman" w:hAnsi="Times New Roman" w:cs="Times New Roman" w:eastAsia="Times New Roman" w:hint="default"/>
        </w:rPr>
        <w:t>IDC</w:t>
      </w:r>
      <w:r>
        <w:rPr/>
        <w:t>基础服务和增值服务方面提升能力，公司及 子公司长沙证通云计算获得增值电信业务经营许可证，子公司云硕科技获</w:t>
      </w:r>
      <w:r>
        <w:rPr>
          <w:rFonts w:ascii="Times New Roman" w:hAnsi="Times New Roman" w:cs="Times New Roman" w:eastAsia="Times New Roman" w:hint="default"/>
        </w:rPr>
        <w:t>CDN</w:t>
      </w:r>
      <w:r>
        <w:rPr>
          <w:rFonts w:ascii="Times New Roman" w:hAnsi="Times New Roman" w:cs="Times New Roman" w:eastAsia="Times New Roman" w:hint="default"/>
          <w:spacing w:val="26"/>
        </w:rPr>
        <w:t> </w:t>
      </w:r>
      <w:r>
        <w:rPr/>
        <w:t>牌照，公司研发的证通云平台获得可信云云 </w:t>
      </w:r>
      <w:r>
        <w:rPr>
          <w:spacing w:val="-1"/>
        </w:rPr>
        <w:t>主机认证，证通七大云产品（云固、云台、云监、云池、云数、云栈、云管）获得软件产品证书，为公司全面做好</w:t>
      </w:r>
      <w:r>
        <w:rPr>
          <w:rFonts w:ascii="Times New Roman" w:hAnsi="Times New Roman" w:cs="Times New Roman" w:eastAsia="Times New Roman" w:hint="default"/>
          <w:spacing w:val="-1"/>
        </w:rPr>
        <w:t>IDC</w:t>
      </w:r>
      <w:r>
        <w:rPr>
          <w:spacing w:val="-1"/>
        </w:rPr>
        <w:t>及云</w:t>
      </w:r>
      <w:r>
        <w:rPr>
          <w:spacing w:val="-74"/>
        </w:rPr>
        <w:t> </w:t>
      </w:r>
      <w:r>
        <w:rPr/>
        <w:t>计算产业布局、抢得市场先机，构建领先的服务能力奠定了基础，满足客户多样化的需求。</w:t>
      </w:r>
    </w:p>
    <w:p>
      <w:pPr>
        <w:pStyle w:val="BodyText"/>
        <w:spacing w:line="300" w:lineRule="auto" w:before="32"/>
        <w:ind w:right="1131" w:firstLine="360"/>
        <w:jc w:val="both"/>
      </w:pPr>
      <w:r>
        <w:rPr>
          <w:spacing w:val="-2"/>
        </w:rPr>
        <w:t>在</w:t>
      </w:r>
      <w:r>
        <w:rPr>
          <w:rFonts w:ascii="Times New Roman" w:hAnsi="Times New Roman" w:cs="Times New Roman" w:eastAsia="Times New Roman" w:hint="default"/>
          <w:spacing w:val="-2"/>
        </w:rPr>
        <w:t>LED</w:t>
      </w:r>
      <w:r>
        <w:rPr>
          <w:spacing w:val="-2"/>
        </w:rPr>
        <w:t>照明业务领域，</w:t>
      </w:r>
      <w:r>
        <w:rPr>
          <w:rFonts w:ascii="Times New Roman" w:hAnsi="Times New Roman" w:cs="Times New Roman" w:eastAsia="Times New Roman" w:hint="default"/>
          <w:spacing w:val="-2"/>
        </w:rPr>
        <w:t>2018</w:t>
      </w:r>
      <w:r>
        <w:rPr>
          <w:spacing w:val="-2"/>
        </w:rPr>
        <w:t>年，公司持续在照明工程设计领域、施工领域、照明产品研发生产领域进行投入，新增道路</w:t>
      </w:r>
      <w:r>
        <w:rPr/>
        <w:t> </w:t>
      </w:r>
      <w:r>
        <w:rPr>
          <w:spacing w:val="-1"/>
        </w:rPr>
        <w:t>照明相关实用新型专利</w:t>
      </w:r>
      <w:r>
        <w:rPr>
          <w:rFonts w:ascii="Times New Roman" w:hAnsi="Times New Roman" w:cs="Times New Roman" w:eastAsia="Times New Roman" w:hint="default"/>
          <w:spacing w:val="-1"/>
        </w:rPr>
        <w:t>4</w:t>
      </w:r>
      <w:r>
        <w:rPr>
          <w:spacing w:val="-1"/>
        </w:rPr>
        <w:t>项，外观专利</w:t>
      </w:r>
      <w:r>
        <w:rPr>
          <w:rFonts w:ascii="Times New Roman" w:hAnsi="Times New Roman" w:cs="Times New Roman" w:eastAsia="Times New Roman" w:hint="default"/>
          <w:spacing w:val="-1"/>
        </w:rPr>
        <w:t>14</w:t>
      </w:r>
      <w:r>
        <w:rPr>
          <w:spacing w:val="-1"/>
        </w:rPr>
        <w:t>项，公司获得了由住建部颁发的</w:t>
      </w:r>
      <w:r>
        <w:rPr>
          <w:rFonts w:ascii="Times New Roman" w:hAnsi="Times New Roman" w:cs="Times New Roman" w:eastAsia="Times New Roman" w:hint="default"/>
          <w:spacing w:val="-1"/>
        </w:rPr>
        <w:t>“</w:t>
      </w:r>
      <w:r>
        <w:rPr>
          <w:spacing w:val="-1"/>
        </w:rPr>
        <w:t>照明工程设计专项甲级资质</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城市及道路照明工</w:t>
      </w:r>
      <w:r>
        <w:rPr>
          <w:spacing w:val="-88"/>
        </w:rPr>
        <w:t> </w:t>
      </w:r>
      <w:r>
        <w:rPr>
          <w:spacing w:val="-88"/>
        </w:rPr>
      </w:r>
      <w:r>
        <w:rPr/>
        <w:t>程专业承包壹级资质</w:t>
      </w:r>
      <w:r>
        <w:rPr>
          <w:rFonts w:ascii="Times New Roman" w:hAnsi="Times New Roman" w:cs="Times New Roman" w:eastAsia="Times New Roman" w:hint="default"/>
        </w:rPr>
        <w:t>”</w:t>
      </w:r>
      <w:r>
        <w:rPr/>
        <w:t>，进一步提升了公司承接高质量照明工程项目的能力。</w:t>
      </w:r>
    </w:p>
    <w:p>
      <w:pPr>
        <w:pStyle w:val="BodyText"/>
        <w:spacing w:line="307" w:lineRule="auto" w:before="13"/>
        <w:ind w:right="1132" w:firstLine="360"/>
        <w:jc w:val="both"/>
      </w:pPr>
      <w:r>
        <w:rPr>
          <w:spacing w:val="-2"/>
        </w:rPr>
        <w:t>公司全资子公司长沙证通云计算获得国家高新技术企业认证，是公司自主创新能力的证明，长沙证通云和广州云硕分别</w:t>
      </w:r>
      <w:r>
        <w:rPr/>
        <w:t> 获得</w:t>
      </w:r>
      <w:r>
        <w:rPr>
          <w:rFonts w:ascii="Times New Roman" w:hAnsi="Times New Roman" w:cs="Times New Roman" w:eastAsia="Times New Roman" w:hint="default"/>
        </w:rPr>
        <w:t>“</w:t>
      </w:r>
      <w:r>
        <w:rPr/>
        <w:t>湖南省工程研究中心</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广东省工程技术研究中心，研发与创新能力获省级政府部门认可，为公司技术工作开展提供 支撑，公司自主研发的机器人同时荣获深圳市机器人协会</w:t>
      </w:r>
      <w:r>
        <w:rPr>
          <w:rFonts w:ascii="Times New Roman" w:hAnsi="Times New Roman" w:cs="Times New Roman" w:eastAsia="Times New Roman" w:hint="default"/>
        </w:rPr>
        <w:t>2018</w:t>
      </w:r>
      <w:r>
        <w:rPr/>
        <w:t>年度</w:t>
      </w:r>
      <w:r>
        <w:rPr>
          <w:rFonts w:ascii="Times New Roman" w:hAnsi="Times New Roman" w:cs="Times New Roman" w:eastAsia="Times New Roman" w:hint="default"/>
        </w:rPr>
        <w:t>“</w:t>
      </w:r>
      <w:r>
        <w:rPr/>
        <w:t>机器人技术创新企业奖</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深圳机器人十大集成应用企 业奖</w:t>
      </w:r>
      <w:r>
        <w:rPr>
          <w:rFonts w:ascii="Times New Roman" w:hAnsi="Times New Roman" w:cs="Times New Roman" w:eastAsia="Times New Roman" w:hint="default"/>
        </w:rPr>
        <w:t>”</w:t>
      </w:r>
      <w:r>
        <w:rPr/>
        <w:t>。</w:t>
      </w:r>
    </w:p>
    <w:p>
      <w:pPr>
        <w:pStyle w:val="BodyText"/>
        <w:spacing w:line="300" w:lineRule="auto" w:before="7"/>
        <w:ind w:right="1169" w:firstLine="360"/>
        <w:jc w:val="both"/>
      </w:pP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日，公司共取得有效专利</w:t>
      </w:r>
      <w:r>
        <w:rPr>
          <w:rFonts w:ascii="Times New Roman" w:hAnsi="Times New Roman" w:cs="Times New Roman" w:eastAsia="Times New Roman" w:hint="default"/>
        </w:rPr>
        <w:t>174</w:t>
      </w:r>
      <w:r>
        <w:rPr/>
        <w:t>件，其中发明</w:t>
      </w:r>
      <w:r>
        <w:rPr>
          <w:rFonts w:ascii="Times New Roman" w:hAnsi="Times New Roman" w:cs="Times New Roman" w:eastAsia="Times New Roman" w:hint="default"/>
        </w:rPr>
        <w:t>34</w:t>
      </w:r>
      <w:r>
        <w:rPr/>
        <w:t>件，国外授权专利</w:t>
      </w:r>
      <w:r>
        <w:rPr>
          <w:rFonts w:ascii="Times New Roman" w:hAnsi="Times New Roman" w:cs="Times New Roman" w:eastAsia="Times New Roman" w:hint="default"/>
        </w:rPr>
        <w:t>3</w:t>
      </w:r>
      <w:r>
        <w:rPr/>
        <w:t>件、实用新型</w:t>
      </w:r>
      <w:r>
        <w:rPr>
          <w:rFonts w:ascii="Times New Roman" w:hAnsi="Times New Roman" w:cs="Times New Roman" w:eastAsia="Times New Roman" w:hint="default"/>
        </w:rPr>
        <w:t>102 </w:t>
      </w:r>
      <w:r>
        <w:rPr/>
        <w:t>件、外观</w:t>
      </w:r>
      <w:r>
        <w:rPr>
          <w:spacing w:val="-38"/>
        </w:rPr>
        <w:t> </w:t>
      </w:r>
      <w:r>
        <w:rPr>
          <w:rFonts w:ascii="Times New Roman" w:hAnsi="Times New Roman" w:cs="Times New Roman" w:eastAsia="Times New Roman" w:hint="default"/>
        </w:rPr>
        <w:t>35</w:t>
      </w:r>
      <w:r>
        <w:rPr/>
        <w:t>件； 计算机软件著作权登记</w:t>
      </w:r>
      <w:r>
        <w:rPr>
          <w:rFonts w:ascii="Times New Roman" w:hAnsi="Times New Roman" w:cs="Times New Roman" w:eastAsia="Times New Roman" w:hint="default"/>
        </w:rPr>
        <w:t>197</w:t>
      </w:r>
      <w:r>
        <w:rPr>
          <w:rFonts w:ascii="Times New Roman" w:hAnsi="Times New Roman" w:cs="Times New Roman" w:eastAsia="Times New Roman" w:hint="default"/>
          <w:spacing w:val="28"/>
        </w:rPr>
        <w:t> </w:t>
      </w:r>
      <w:r>
        <w:rPr/>
        <w:t>件；在审专利共</w:t>
      </w:r>
      <w:r>
        <w:rPr>
          <w:rFonts w:ascii="Times New Roman" w:hAnsi="Times New Roman" w:cs="Times New Roman" w:eastAsia="Times New Roman" w:hint="default"/>
        </w:rPr>
        <w:t>67</w:t>
      </w:r>
      <w:r>
        <w:rPr/>
        <w:t>件，其中发明</w:t>
      </w:r>
      <w:r>
        <w:rPr>
          <w:rFonts w:ascii="Times New Roman" w:hAnsi="Times New Roman" w:cs="Times New Roman" w:eastAsia="Times New Roman" w:hint="default"/>
        </w:rPr>
        <w:t>49</w:t>
      </w:r>
      <w:r>
        <w:rPr/>
        <w:t>件、实用新型</w:t>
      </w:r>
      <w:r>
        <w:rPr>
          <w:rFonts w:ascii="Times New Roman" w:hAnsi="Times New Roman" w:cs="Times New Roman" w:eastAsia="Times New Roman" w:hint="default"/>
        </w:rPr>
        <w:t>12</w:t>
      </w:r>
      <w:r>
        <w:rPr/>
        <w:t>件，外观设计</w:t>
      </w:r>
      <w:r>
        <w:rPr>
          <w:rFonts w:ascii="Times New Roman" w:hAnsi="Times New Roman" w:cs="Times New Roman" w:eastAsia="Times New Roman" w:hint="default"/>
        </w:rPr>
        <w:t>6</w:t>
      </w:r>
      <w:r>
        <w:rPr/>
        <w:t>件。</w:t>
      </w:r>
    </w:p>
    <w:p>
      <w:pPr>
        <w:pStyle w:val="BodyText"/>
        <w:spacing w:line="300" w:lineRule="auto" w:before="13"/>
        <w:ind w:right="1128" w:firstLine="360"/>
        <w:jc w:val="both"/>
      </w:pPr>
      <w:r>
        <w:rPr>
          <w:rFonts w:ascii="Times New Roman" w:hAnsi="Times New Roman" w:cs="Times New Roman" w:eastAsia="Times New Roman" w:hint="default"/>
        </w:rPr>
        <w:t>2018</w:t>
      </w:r>
      <w:r>
        <w:rPr/>
        <w:t>年公司新申请专利受理总数</w:t>
      </w:r>
      <w:r>
        <w:rPr>
          <w:rFonts w:ascii="Times New Roman" w:hAnsi="Times New Roman" w:cs="Times New Roman" w:eastAsia="Times New Roman" w:hint="default"/>
        </w:rPr>
        <w:t>42</w:t>
      </w:r>
      <w:r>
        <w:rPr/>
        <w:t>件，其中发明专利</w:t>
      </w:r>
      <w:r>
        <w:rPr>
          <w:rFonts w:ascii="Times New Roman" w:hAnsi="Times New Roman" w:cs="Times New Roman" w:eastAsia="Times New Roman" w:hint="default"/>
        </w:rPr>
        <w:t>13 </w:t>
      </w:r>
      <w:r>
        <w:rPr/>
        <w:t>件，实用新型专利 </w:t>
      </w:r>
      <w:r>
        <w:rPr>
          <w:rFonts w:ascii="Times New Roman" w:hAnsi="Times New Roman" w:cs="Times New Roman" w:eastAsia="Times New Roman" w:hint="default"/>
        </w:rPr>
        <w:t>19 </w:t>
      </w:r>
      <w:r>
        <w:rPr/>
        <w:t>项，外观专利</w:t>
      </w:r>
      <w:r>
        <w:rPr>
          <w:spacing w:val="3"/>
        </w:rPr>
        <w:t> </w:t>
      </w:r>
      <w:r>
        <w:rPr>
          <w:rFonts w:ascii="Times New Roman" w:hAnsi="Times New Roman" w:cs="Times New Roman" w:eastAsia="Times New Roman" w:hint="default"/>
        </w:rPr>
        <w:t>10</w:t>
      </w:r>
      <w:r>
        <w:rPr/>
        <w:t>项，受理计算机软件著 作权</w:t>
      </w:r>
      <w:r>
        <w:rPr>
          <w:rFonts w:ascii="Times New Roman" w:hAnsi="Times New Roman" w:cs="Times New Roman" w:eastAsia="Times New Roman" w:hint="default"/>
        </w:rPr>
        <w:t>50</w:t>
      </w:r>
      <w:r>
        <w:rPr/>
        <w:t>件。</w:t>
      </w:r>
    </w:p>
    <w:p>
      <w:pPr>
        <w:pStyle w:val="BodyText"/>
        <w:spacing w:line="300" w:lineRule="auto" w:before="13"/>
        <w:ind w:right="1138" w:firstLine="360"/>
        <w:jc w:val="both"/>
      </w:pPr>
      <w:r>
        <w:rPr>
          <w:rFonts w:ascii="Times New Roman" w:hAnsi="Times New Roman" w:cs="Times New Roman" w:eastAsia="Times New Roman" w:hint="default"/>
        </w:rPr>
        <w:t>2018</w:t>
      </w:r>
      <w:r>
        <w:rPr/>
        <w:t>年公司取得专利证书总数</w:t>
      </w:r>
      <w:r>
        <w:rPr>
          <w:rFonts w:ascii="Times New Roman" w:hAnsi="Times New Roman" w:cs="Times New Roman" w:eastAsia="Times New Roman" w:hint="default"/>
        </w:rPr>
        <w:t>33</w:t>
      </w:r>
      <w:r>
        <w:rPr/>
        <w:t>件，其中发明专利</w:t>
      </w:r>
      <w:r>
        <w:rPr>
          <w:rFonts w:ascii="Times New Roman" w:hAnsi="Times New Roman" w:cs="Times New Roman" w:eastAsia="Times New Roman" w:hint="default"/>
        </w:rPr>
        <w:t>3</w:t>
      </w:r>
      <w:r>
        <w:rPr/>
        <w:t>件，实用新型专利</w:t>
      </w:r>
      <w:r>
        <w:rPr>
          <w:rFonts w:ascii="Times New Roman" w:hAnsi="Times New Roman" w:cs="Times New Roman" w:eastAsia="Times New Roman" w:hint="default"/>
        </w:rPr>
        <w:t>15</w:t>
      </w:r>
      <w:r>
        <w:rPr/>
        <w:t>件，外观专利</w:t>
      </w:r>
      <w:r>
        <w:rPr>
          <w:rFonts w:ascii="Times New Roman" w:hAnsi="Times New Roman" w:cs="Times New Roman" w:eastAsia="Times New Roman" w:hint="default"/>
        </w:rPr>
        <w:t>15</w:t>
      </w:r>
      <w:r>
        <w:rPr/>
        <w:t>件；取得计算机软件著作权证 书</w:t>
      </w:r>
      <w:r>
        <w:rPr>
          <w:rFonts w:ascii="Times New Roman" w:hAnsi="Times New Roman" w:cs="Times New Roman" w:eastAsia="Times New Roman" w:hint="default"/>
        </w:rPr>
        <w:t>50</w:t>
      </w:r>
      <w:r>
        <w:rPr>
          <w:rFonts w:ascii="Times New Roman" w:hAnsi="Times New Roman" w:cs="Times New Roman" w:eastAsia="Times New Roman" w:hint="default"/>
          <w:spacing w:val="29"/>
        </w:rPr>
        <w:t> </w:t>
      </w:r>
      <w:r>
        <w:rPr/>
        <w:t>件。</w:t>
      </w:r>
    </w:p>
    <w:p>
      <w:pPr>
        <w:pStyle w:val="BodyText"/>
        <w:spacing w:line="316" w:lineRule="auto" w:before="13"/>
        <w:ind w:right="1045" w:firstLine="360"/>
        <w:jc w:val="both"/>
      </w:pPr>
      <w:r>
        <w:rPr>
          <w:spacing w:val="-2"/>
        </w:rPr>
        <w:t>报告期内，随着公司技术研发能力和产品的升级，公司主动放弃了部分实用新型和外观设计专利权利，因此本报告期末</w:t>
      </w:r>
      <w:r>
        <w:rPr/>
        <w:t> 专利总数相较上一报告期末有所下降。该些专利已实现技术替代，公司放弃其权利不会对自身的核心竞争力造成不良影响。</w:t>
      </w:r>
    </w:p>
    <w:p>
      <w:pPr>
        <w:pStyle w:val="BodyText"/>
        <w:spacing w:line="300" w:lineRule="auto" w:before="19"/>
        <w:ind w:right="1215" w:firstLine="360"/>
        <w:jc w:val="both"/>
      </w:pPr>
      <w:r>
        <w:rPr/>
        <w:t>截止</w:t>
      </w:r>
      <w:r>
        <w:rPr>
          <w:rFonts w:ascii="Times New Roman" w:hAnsi="Times New Roman" w:cs="Times New Roman" w:eastAsia="Times New Roman" w:hint="default"/>
        </w:rPr>
        <w:t>2018</w:t>
      </w:r>
      <w:r>
        <w:rPr/>
        <w:t>年度公司累计共计有</w:t>
      </w:r>
      <w:r>
        <w:rPr>
          <w:rFonts w:ascii="Times New Roman" w:hAnsi="Times New Roman" w:cs="Times New Roman" w:eastAsia="Times New Roman" w:hint="default"/>
        </w:rPr>
        <w:t>6</w:t>
      </w:r>
      <w:r>
        <w:rPr/>
        <w:t>款产品取得</w:t>
      </w:r>
      <w:r>
        <w:rPr>
          <w:rFonts w:ascii="Times New Roman" w:hAnsi="Times New Roman" w:cs="Times New Roman" w:eastAsia="Times New Roman" w:hint="default"/>
        </w:rPr>
        <w:t>PCI4.X</w:t>
      </w:r>
      <w:r>
        <w:rPr/>
        <w:t>认证，</w:t>
      </w:r>
      <w:r>
        <w:rPr>
          <w:rFonts w:ascii="Times New Roman" w:hAnsi="Times New Roman" w:cs="Times New Roman" w:eastAsia="Times New Roman" w:hint="default"/>
        </w:rPr>
        <w:t>6</w:t>
      </w:r>
      <w:r>
        <w:rPr/>
        <w:t>款产品取得</w:t>
      </w:r>
      <w:r>
        <w:rPr>
          <w:rFonts w:ascii="Times New Roman" w:hAnsi="Times New Roman" w:cs="Times New Roman" w:eastAsia="Times New Roman" w:hint="default"/>
        </w:rPr>
        <w:t>PCI5.X</w:t>
      </w:r>
      <w:r>
        <w:rPr/>
        <w:t>认证，</w:t>
      </w:r>
      <w:r>
        <w:rPr>
          <w:rFonts w:ascii="Times New Roman" w:hAnsi="Times New Roman" w:cs="Times New Roman" w:eastAsia="Times New Roman" w:hint="default"/>
        </w:rPr>
        <w:t>16</w:t>
      </w:r>
      <w:r>
        <w:rPr/>
        <w:t>款产品获得国密认证，</w:t>
      </w:r>
      <w:r>
        <w:rPr>
          <w:rFonts w:ascii="Times New Roman" w:hAnsi="Times New Roman" w:cs="Times New Roman" w:eastAsia="Times New Roman" w:hint="default"/>
        </w:rPr>
        <w:t>14</w:t>
      </w:r>
      <w:r>
        <w:rPr/>
        <w:t>款产品 获得银联终端安全认证，</w:t>
      </w:r>
      <w:r>
        <w:rPr>
          <w:rFonts w:ascii="Times New Roman" w:hAnsi="Times New Roman" w:cs="Times New Roman" w:eastAsia="Times New Roman" w:hint="default"/>
        </w:rPr>
        <w:t>1</w:t>
      </w:r>
      <w:r>
        <w:rPr/>
        <w:t>款产品获得银联入网认证。</w:t>
      </w:r>
    </w:p>
    <w:p>
      <w:pPr>
        <w:pStyle w:val="BodyText"/>
        <w:spacing w:line="240" w:lineRule="auto" w:before="53"/>
        <w:ind w:right="1133"/>
        <w:jc w:val="left"/>
      </w:pPr>
      <w:r>
        <w:rPr/>
        <w:t>公司研发投入情况</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-1.82%</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0.15%</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83,860,304.90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100,221,574.75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-16.33%</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0.33%</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1,468,384.79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25,666,883.78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-94.28%</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-23.86%</w:t>
            </w:r>
          </w:p>
        </w:tc>
      </w:tr>
    </w:tbl>
    <w:p>
      <w:pPr>
        <w:pStyle w:val="BodyText"/>
        <w:spacing w:line="240" w:lineRule="auto" w:before="49"/>
        <w:ind w:right="1133"/>
        <w:jc w:val="left"/>
      </w:pPr>
      <w:r>
        <w:rPr/>
        <w:t>研发投入总额占营业收入的比重较上年发生显著变化的原因</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42"/>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034" w:firstLine="360"/>
        <w:jc w:val="left"/>
      </w:pPr>
      <w:r>
        <w:rPr/>
        <w:t>公司以前年度的研发项目中满足资本化条件的支出已于本年度转入无形资产，本期对相关项目的资本化投入相应减少， 本报告期内新投入的研究开发项目，根据项目的进展情况，截止报告期末尚未满足会计准则所规定的资本化条件。</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1,514,271,397.81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1,292,063,345.62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17.20%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1,490,317,966.28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2,016,736,737.09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-26.10%</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23,953,431.53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-724,673,391.47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-103.31%</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418,048,505.75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9,527,235.16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4,287.93%</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546,176,827.68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937,310,247.96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-41.73%</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-128,128,321.93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-927,783,012.80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-86.19%</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2,214,422,349.46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1,691,260,753.80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30.93%</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2,301,840,888.71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885,985,690.41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159.81%</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-87,418,539.25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805,275,063.39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-110.86%</w:t>
            </w:r>
            <w:r>
              <w:rPr>
                <w:rFonts w:ascii="Times New Roman"/>
                <w:spacing w:val="-1"/>
                <w:sz w:val="18"/>
              </w:rPr>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-190,181,195.48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-856,240,733.06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-79.07%</w:t>
            </w:r>
          </w:p>
        </w:tc>
      </w:tr>
    </w:tbl>
    <w:p>
      <w:pPr>
        <w:pStyle w:val="BodyText"/>
        <w:spacing w:line="240" w:lineRule="auto" w:before="49"/>
        <w:ind w:right="1133"/>
        <w:jc w:val="left"/>
      </w:pPr>
      <w:r>
        <w:rPr/>
        <w:t>相关数据同比发生重大变动的主要影响因素说明</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141" w:firstLine="360"/>
        <w:jc w:val="both"/>
      </w:pPr>
      <w:r>
        <w:rPr/>
        <w:t>（</w:t>
      </w:r>
      <w:r>
        <w:rPr>
          <w:rFonts w:ascii="Times New Roman" w:hAnsi="Times New Roman" w:cs="Times New Roman" w:eastAsia="Times New Roman" w:hint="default"/>
        </w:rPr>
        <w:t>1</w:t>
      </w:r>
      <w:r>
        <w:rPr/>
        <w:t>）报告期内公司经营活动产生的现金流量净额为</w:t>
      </w:r>
      <w:r>
        <w:rPr>
          <w:rFonts w:ascii="Times New Roman" w:hAnsi="Times New Roman" w:cs="Times New Roman" w:eastAsia="Times New Roman" w:hint="default"/>
        </w:rPr>
        <w:t>2,395.34</w:t>
      </w:r>
      <w:r>
        <w:rPr/>
        <w:t>万元</w:t>
      </w:r>
      <w:r>
        <w:rPr>
          <w:rFonts w:ascii="Times New Roman" w:hAnsi="Times New Roman" w:cs="Times New Roman" w:eastAsia="Times New Roman" w:hint="default"/>
        </w:rPr>
        <w:t>,</w:t>
      </w:r>
      <w:r>
        <w:rPr>
          <w:rFonts w:ascii="Times New Roman" w:hAnsi="Times New Roman" w:cs="Times New Roman" w:eastAsia="Times New Roman" w:hint="default"/>
          <w:spacing w:val="22"/>
        </w:rPr>
        <w:t> </w:t>
      </w:r>
      <w:r>
        <w:rPr/>
        <w:t>较上年同期上升</w:t>
      </w:r>
      <w:r>
        <w:rPr>
          <w:rFonts w:ascii="Times New Roman" w:hAnsi="Times New Roman" w:cs="Times New Roman" w:eastAsia="Times New Roman" w:hint="default"/>
        </w:rPr>
        <w:t>103.31%,</w:t>
      </w:r>
      <w:r>
        <w:rPr/>
        <w:t>主要原因是报告期内公司生 产经营原材料采购支出减少及加强应收款项管理及催收工作，资金回款增加及收到政府补助所致；</w:t>
      </w:r>
    </w:p>
    <w:p>
      <w:pPr>
        <w:pStyle w:val="BodyText"/>
        <w:spacing w:line="300" w:lineRule="auto" w:before="31"/>
        <w:ind w:right="1131" w:firstLine="360"/>
        <w:jc w:val="both"/>
      </w:pPr>
      <w:r>
        <w:rPr>
          <w:spacing w:val="-2"/>
        </w:rPr>
        <w:t>（</w:t>
      </w:r>
      <w:r>
        <w:rPr>
          <w:rFonts w:ascii="Times New Roman" w:hAnsi="Times New Roman" w:cs="Times New Roman" w:eastAsia="Times New Roman" w:hint="default"/>
          <w:spacing w:val="-2"/>
        </w:rPr>
        <w:t>2</w:t>
      </w:r>
      <w:r>
        <w:rPr>
          <w:spacing w:val="-2"/>
        </w:rPr>
        <w:t>）报告期内公司投资活动产生的现金流量净额为</w:t>
      </w:r>
      <w:r>
        <w:rPr>
          <w:rFonts w:ascii="Times New Roman" w:hAnsi="Times New Roman" w:cs="Times New Roman" w:eastAsia="Times New Roman" w:hint="default"/>
          <w:spacing w:val="-2"/>
        </w:rPr>
        <w:t>-12,812.83</w:t>
      </w:r>
      <w:r>
        <w:rPr>
          <w:spacing w:val="-2"/>
        </w:rPr>
        <w:t>万元，较上年同期下降</w:t>
      </w:r>
      <w:r>
        <w:rPr>
          <w:rFonts w:ascii="Times New Roman" w:hAnsi="Times New Roman" w:cs="Times New Roman" w:eastAsia="Times New Roman" w:hint="default"/>
          <w:spacing w:val="-2"/>
        </w:rPr>
        <w:t>86.19%</w:t>
      </w:r>
      <w:r>
        <w:rPr>
          <w:spacing w:val="-2"/>
        </w:rPr>
        <w:t>，主要原因是报告期内公司</w:t>
      </w:r>
      <w:r>
        <w:rPr/>
        <w:t> </w:t>
      </w:r>
      <w:r>
        <w:rPr>
          <w:spacing w:val="-1"/>
        </w:rPr>
        <w:t>深圳、长沙及东莞的部分</w:t>
      </w:r>
      <w:r>
        <w:rPr>
          <w:rFonts w:ascii="Times New Roman" w:hAnsi="Times New Roman" w:cs="Times New Roman" w:eastAsia="Times New Roman" w:hint="default"/>
          <w:spacing w:val="-1"/>
        </w:rPr>
        <w:t>IDC</w:t>
      </w:r>
      <w:r>
        <w:rPr>
          <w:spacing w:val="-1"/>
        </w:rPr>
        <w:t>数据中心建设工程完成建设或接近尾声，报告期内支付相关工程尾款，总体投入减少，加之公</w:t>
      </w:r>
      <w:r>
        <w:rPr>
          <w:spacing w:val="-71"/>
        </w:rPr>
        <w:t> </w:t>
      </w:r>
      <w:r>
        <w:rPr>
          <w:spacing w:val="-71"/>
        </w:rPr>
      </w:r>
      <w:r>
        <w:rPr/>
        <w:t>司结构性存款到期转入货币资金所致；</w:t>
      </w:r>
    </w:p>
    <w:p>
      <w:pPr>
        <w:pStyle w:val="BodyText"/>
        <w:spacing w:line="300" w:lineRule="auto" w:before="31"/>
        <w:ind w:right="1129" w:firstLine="360"/>
        <w:jc w:val="both"/>
      </w:pPr>
      <w:r>
        <w:rPr>
          <w:spacing w:val="-2"/>
        </w:rPr>
        <w:t>（</w:t>
      </w:r>
      <w:r>
        <w:rPr>
          <w:rFonts w:ascii="Times New Roman" w:hAnsi="Times New Roman" w:cs="Times New Roman" w:eastAsia="Times New Roman" w:hint="default"/>
          <w:spacing w:val="-2"/>
        </w:rPr>
        <w:t>3</w:t>
      </w:r>
      <w:r>
        <w:rPr>
          <w:spacing w:val="-2"/>
        </w:rPr>
        <w:t>）报告期内公司筹资活动产生的现金流量净额为</w:t>
      </w:r>
      <w:r>
        <w:rPr>
          <w:rFonts w:ascii="Times New Roman" w:hAnsi="Times New Roman" w:cs="Times New Roman" w:eastAsia="Times New Roman" w:hint="default"/>
          <w:spacing w:val="-2"/>
        </w:rPr>
        <w:t>-8,741.85</w:t>
      </w:r>
      <w:r>
        <w:rPr>
          <w:spacing w:val="-2"/>
        </w:rPr>
        <w:t>万元，较上年同期下降</w:t>
      </w:r>
      <w:r>
        <w:rPr>
          <w:rFonts w:ascii="Times New Roman" w:hAnsi="Times New Roman" w:cs="Times New Roman" w:eastAsia="Times New Roman" w:hint="default"/>
          <w:spacing w:val="-2"/>
        </w:rPr>
        <w:t>110.86%</w:t>
      </w:r>
      <w:r>
        <w:rPr>
          <w:spacing w:val="-2"/>
        </w:rPr>
        <w:t>，主要原因是报告期内公司</w:t>
      </w:r>
      <w:r>
        <w:rPr/>
        <w:t> 偿还贷款、支付银行承兑汇票及履约保函保证金增加及新增股份回购现金支出所致。</w:t>
      </w:r>
    </w:p>
    <w:p>
      <w:pPr>
        <w:pStyle w:val="BodyText"/>
        <w:spacing w:line="240" w:lineRule="auto" w:before="72"/>
        <w:ind w:right="1133"/>
        <w:jc w:val="left"/>
      </w:pPr>
      <w:r>
        <w:rPr/>
        <w:t>报告期内公司经营活动产生的现金净流量与本年度净利润存在重大差异的原因说明</w:t>
      </w:r>
    </w:p>
    <w:p>
      <w:pPr>
        <w:pStyle w:val="BodyText"/>
        <w:spacing w:line="340" w:lineRule="auto" w:before="115"/>
        <w:ind w:left="513" w:right="112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报告期内公司经营活动产生的现金流量净额为</w:t>
      </w:r>
      <w:r>
        <w:rPr>
          <w:rFonts w:ascii="Times New Roman" w:hAnsi="Times New Roman" w:cs="Times New Roman" w:eastAsia="Times New Roman" w:hint="default"/>
        </w:rPr>
        <w:t>2,395.34</w:t>
      </w:r>
      <w:r>
        <w:rPr/>
        <w:t>万元，与本年度净利润存在差异的主要原因系报告期内公司公司</w:t>
      </w:r>
    </w:p>
    <w:p>
      <w:pPr>
        <w:pStyle w:val="BodyText"/>
        <w:spacing w:line="215" w:lineRule="exact"/>
        <w:ind w:right="1133"/>
        <w:jc w:val="left"/>
      </w:pPr>
      <w:r>
        <w:rPr/>
        <w:t>加强供应链、采购及费用管控的同时，加强应收账款管理及催收管理工作，资金回款增加所致。</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r>
        <w:rPr/>
        <w:t>三、非主营业务分析</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12"/>
        <w:gridCol w:w="1916"/>
        <w:gridCol w:w="1622"/>
        <w:gridCol w:w="2254"/>
        <w:gridCol w:w="2254"/>
      </w:tblGrid>
      <w:tr>
        <w:trPr>
          <w:trHeight w:val="401"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1"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3"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317"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25,434,643.87</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65" w:right="0"/>
              <w:jc w:val="left"/>
              <w:rPr>
                <w:rFonts w:ascii="Times New Roman" w:hAnsi="Times New Roman" w:cs="Times New Roman" w:eastAsia="Times New Roman" w:hint="default"/>
                <w:sz w:val="18"/>
                <w:szCs w:val="18"/>
              </w:rPr>
            </w:pPr>
            <w:r>
              <w:rPr>
                <w:rFonts w:ascii="Times New Roman"/>
                <w:sz w:val="18"/>
              </w:rPr>
              <w:t>-8.79%</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58"/>
              <w:jc w:val="both"/>
              <w:rPr>
                <w:rFonts w:ascii="宋体" w:hAnsi="宋体" w:cs="宋体" w:eastAsia="宋体" w:hint="default"/>
                <w:sz w:val="18"/>
                <w:szCs w:val="18"/>
              </w:rPr>
            </w:pPr>
            <w:r>
              <w:rPr>
                <w:rFonts w:ascii="宋体" w:hAnsi="宋体" w:cs="宋体" w:eastAsia="宋体" w:hint="default"/>
                <w:sz w:val="18"/>
                <w:szCs w:val="18"/>
              </w:rPr>
              <w:t>主要系公司报告期内出售参 股公司鹏鼎创盈公司股权获 得收益所致</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4"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317"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785"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225,894,610.76</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76" w:right="0"/>
              <w:jc w:val="left"/>
              <w:rPr>
                <w:rFonts w:ascii="Times New Roman" w:hAnsi="Times New Roman" w:cs="Times New Roman" w:eastAsia="Times New Roman" w:hint="default"/>
                <w:sz w:val="18"/>
                <w:szCs w:val="18"/>
              </w:rPr>
            </w:pPr>
            <w:r>
              <w:rPr>
                <w:rFonts w:ascii="Times New Roman"/>
                <w:sz w:val="18"/>
              </w:rPr>
              <w:t>-78.09%</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58"/>
              <w:jc w:val="both"/>
              <w:rPr>
                <w:rFonts w:ascii="宋体" w:hAnsi="宋体" w:cs="宋体" w:eastAsia="宋体" w:hint="default"/>
                <w:sz w:val="18"/>
                <w:szCs w:val="18"/>
              </w:rPr>
            </w:pPr>
            <w:r>
              <w:rPr>
                <w:rFonts w:ascii="宋体" w:hAnsi="宋体" w:cs="宋体" w:eastAsia="宋体" w:hint="default"/>
                <w:sz w:val="18"/>
                <w:szCs w:val="18"/>
              </w:rPr>
              <w:t>主要系公司根据外部市场环 境、客户回款情况和公司当 前业务结构的实际情况等因 素的影响，加大应收款项和 金融电子产品存货计提减值 所致</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785"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6,374,216.64</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5" w:right="0"/>
              <w:jc w:val="left"/>
              <w:rPr>
                <w:rFonts w:ascii="Times New Roman" w:hAnsi="Times New Roman" w:cs="Times New Roman" w:eastAsia="Times New Roman" w:hint="default"/>
                <w:sz w:val="18"/>
                <w:szCs w:val="18"/>
              </w:rPr>
            </w:pPr>
            <w:r>
              <w:rPr>
                <w:rFonts w:ascii="Times New Roman"/>
                <w:sz w:val="18"/>
              </w:rPr>
              <w:t>-2.20%</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58"/>
              <w:jc w:val="left"/>
              <w:rPr>
                <w:rFonts w:ascii="宋体" w:hAnsi="宋体" w:cs="宋体" w:eastAsia="宋体" w:hint="default"/>
                <w:sz w:val="18"/>
                <w:szCs w:val="18"/>
              </w:rPr>
            </w:pPr>
            <w:r>
              <w:rPr>
                <w:rFonts w:ascii="宋体" w:hAnsi="宋体" w:cs="宋体" w:eastAsia="宋体" w:hint="default"/>
                <w:sz w:val="18"/>
                <w:szCs w:val="18"/>
              </w:rPr>
              <w:t>主要系公司取得交易对手方 违约和赔偿款所致</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4"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22,627,005.33</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5" w:right="0"/>
              <w:jc w:val="left"/>
              <w:rPr>
                <w:rFonts w:ascii="Times New Roman" w:hAnsi="Times New Roman" w:cs="Times New Roman" w:eastAsia="Times New Roman" w:hint="default"/>
                <w:sz w:val="18"/>
                <w:szCs w:val="18"/>
              </w:rPr>
            </w:pPr>
            <w:r>
              <w:rPr>
                <w:rFonts w:ascii="Times New Roman"/>
                <w:sz w:val="18"/>
              </w:rPr>
              <w:t>-7.82%</w:t>
            </w:r>
          </w:p>
        </w:tc>
        <w:tc>
          <w:tcPr>
            <w:tcW w:w="2254" w:type="dxa"/>
            <w:vMerge w:val="restart"/>
            <w:tcBorders>
              <w:top w:val="single" w:sz="4" w:space="0" w:color="000000"/>
              <w:left w:val="single" w:sz="4" w:space="0" w:color="000000"/>
              <w:right w:val="single" w:sz="4" w:space="0" w:color="000000"/>
            </w:tcBorders>
          </w:tcPr>
          <w:p>
            <w:pPr>
              <w:pStyle w:val="TableParagraph"/>
              <w:spacing w:line="314" w:lineRule="auto" w:before="49"/>
              <w:ind w:left="24" w:right="58"/>
              <w:jc w:val="left"/>
              <w:rPr>
                <w:rFonts w:ascii="宋体" w:hAnsi="宋体" w:cs="宋体" w:eastAsia="宋体" w:hint="default"/>
                <w:sz w:val="18"/>
                <w:szCs w:val="18"/>
              </w:rPr>
            </w:pPr>
            <w:r>
              <w:rPr>
                <w:rFonts w:ascii="宋体" w:hAnsi="宋体" w:cs="宋体" w:eastAsia="宋体" w:hint="default"/>
                <w:sz w:val="18"/>
                <w:szCs w:val="18"/>
              </w:rPr>
              <w:t>主要系公司补提云硕科技诉 讼费用及工程款利息款所致</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1027"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9" w:right="0"/>
              <w:jc w:val="left"/>
              <w:rPr>
                <w:rFonts w:ascii="Times New Roman" w:hAnsi="Times New Roman" w:cs="Times New Roman" w:eastAsia="Times New Roman" w:hint="default"/>
                <w:sz w:val="18"/>
                <w:szCs w:val="18"/>
              </w:rPr>
            </w:pPr>
            <w:r>
              <w:rPr>
                <w:rFonts w:ascii="Times New Roman"/>
                <w:sz w:val="18"/>
              </w:rPr>
              <w:t>20,737,843.96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65" w:right="0"/>
              <w:jc w:val="left"/>
              <w:rPr>
                <w:rFonts w:ascii="Times New Roman" w:hAnsi="Times New Roman" w:cs="Times New Roman" w:eastAsia="Times New Roman" w:hint="default"/>
                <w:sz w:val="18"/>
                <w:szCs w:val="18"/>
              </w:rPr>
            </w:pPr>
            <w:r>
              <w:rPr>
                <w:rFonts w:ascii="Times New Roman"/>
                <w:sz w:val="18"/>
              </w:rPr>
              <w:t>-7.17%</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8"/>
              <w:jc w:val="both"/>
              <w:rPr>
                <w:rFonts w:ascii="宋体" w:hAnsi="宋体" w:cs="宋体" w:eastAsia="宋体" w:hint="default"/>
                <w:sz w:val="18"/>
                <w:szCs w:val="18"/>
              </w:rPr>
            </w:pPr>
            <w:r>
              <w:rPr>
                <w:rFonts w:ascii="宋体" w:hAnsi="宋体" w:cs="宋体" w:eastAsia="宋体" w:hint="default"/>
                <w:sz w:val="18"/>
                <w:szCs w:val="18"/>
              </w:rPr>
              <w:t>主要原因系报告期内公司取 得政府补助项目验收，将其 递延收入转入所致</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四、资产及负债状况分析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271"/>
        <w:gridCol w:w="917"/>
        <w:gridCol w:w="1342"/>
        <w:gridCol w:w="1064"/>
        <w:gridCol w:w="799"/>
        <w:gridCol w:w="2919"/>
      </w:tblGrid>
      <w:tr>
        <w:trPr>
          <w:trHeight w:val="383"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2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40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271" w:type="dxa"/>
            <w:tcBorders>
              <w:top w:val="single" w:sz="4" w:space="0" w:color="000000"/>
              <w:left w:val="single" w:sz="4" w:space="0" w:color="000000"/>
              <w:bottom w:val="nil" w:sz="6" w:space="0" w:color="auto"/>
              <w:right w:val="single" w:sz="4" w:space="0" w:color="000000"/>
            </w:tcBorders>
            <w:shd w:val="clear" w:color="auto" w:fill="D2D2D2"/>
          </w:tcPr>
          <w:p>
            <w:pPr/>
          </w:p>
        </w:tc>
        <w:tc>
          <w:tcPr>
            <w:tcW w:w="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7"/>
              <w:ind w:left="276" w:right="8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34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7"/>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2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17" w:type="dxa"/>
            <w:vMerge/>
            <w:tcBorders>
              <w:left w:val="single" w:sz="4" w:space="0" w:color="000000"/>
              <w:right w:val="single" w:sz="4" w:space="0" w:color="000000"/>
            </w:tcBorders>
            <w:shd w:val="clear" w:color="auto" w:fill="D2D2D2"/>
          </w:tcPr>
          <w:p>
            <w:pPr/>
          </w:p>
        </w:tc>
        <w:tc>
          <w:tcPr>
            <w:tcW w:w="13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271" w:type="dxa"/>
            <w:vMerge/>
            <w:tcBorders>
              <w:left w:val="single" w:sz="4" w:space="0" w:color="000000"/>
              <w:bottom w:val="nil" w:sz="6" w:space="0" w:color="auto"/>
              <w:right w:val="single" w:sz="4" w:space="0" w:color="000000"/>
            </w:tcBorders>
            <w:shd w:val="clear" w:color="auto" w:fill="D2D2D2"/>
          </w:tcPr>
          <w:p>
            <w:pPr/>
          </w:p>
        </w:tc>
        <w:tc>
          <w:tcPr>
            <w:tcW w:w="917" w:type="dxa"/>
            <w:vMerge/>
            <w:tcBorders>
              <w:left w:val="single" w:sz="4" w:space="0" w:color="000000"/>
              <w:right w:val="single" w:sz="4" w:space="0" w:color="000000"/>
            </w:tcBorders>
            <w:shd w:val="clear" w:color="auto" w:fill="D2D2D2"/>
          </w:tcPr>
          <w:p>
            <w:pPr/>
          </w:p>
        </w:tc>
        <w:tc>
          <w:tcPr>
            <w:tcW w:w="1342"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271" w:type="dxa"/>
            <w:tcBorders>
              <w:top w:val="nil" w:sz="6" w:space="0" w:color="auto"/>
              <w:left w:val="single" w:sz="4" w:space="0" w:color="000000"/>
              <w:bottom w:val="single" w:sz="4" w:space="0" w:color="000000"/>
              <w:right w:val="single" w:sz="4" w:space="0" w:color="000000"/>
            </w:tcBorders>
            <w:shd w:val="clear" w:color="auto" w:fill="D2D2D2"/>
          </w:tcPr>
          <w:p>
            <w:pPr/>
          </w:p>
        </w:tc>
        <w:tc>
          <w:tcPr>
            <w:tcW w:w="917" w:type="dxa"/>
            <w:vMerge/>
            <w:tcBorders>
              <w:left w:val="single" w:sz="4" w:space="0" w:color="000000"/>
              <w:bottom w:val="single" w:sz="4" w:space="0" w:color="000000"/>
              <w:right w:val="single" w:sz="4" w:space="0" w:color="000000"/>
            </w:tcBorders>
            <w:shd w:val="clear" w:color="auto" w:fill="D2D2D2"/>
          </w:tcPr>
          <w:p>
            <w:pPr/>
          </w:p>
        </w:tc>
        <w:tc>
          <w:tcPr>
            <w:tcW w:w="134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1"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397,697,481.18</w:t>
            </w:r>
          </w:p>
        </w:tc>
        <w:tc>
          <w:tcPr>
            <w:tcW w:w="9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20" w:right="0"/>
              <w:jc w:val="left"/>
              <w:rPr>
                <w:rFonts w:ascii="Times New Roman" w:hAnsi="Times New Roman" w:cs="Times New Roman" w:eastAsia="Times New Roman" w:hint="default"/>
                <w:sz w:val="18"/>
                <w:szCs w:val="18"/>
              </w:rPr>
            </w:pPr>
            <w:r>
              <w:rPr>
                <w:rFonts w:ascii="Times New Roman"/>
                <w:sz w:val="18"/>
              </w:rPr>
              <w:t>7.61%</w:t>
            </w:r>
          </w:p>
        </w:tc>
        <w:tc>
          <w:tcPr>
            <w:tcW w:w="13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420,947,286.79</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7.91%</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-0.30%</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183"/>
              <w:jc w:val="both"/>
              <w:rPr>
                <w:rFonts w:ascii="宋体" w:hAnsi="宋体" w:cs="宋体" w:eastAsia="宋体" w:hint="default"/>
                <w:sz w:val="18"/>
                <w:szCs w:val="18"/>
              </w:rPr>
            </w:pPr>
            <w:r>
              <w:rPr>
                <w:rFonts w:ascii="宋体" w:hAnsi="宋体" w:cs="宋体" w:eastAsia="宋体" w:hint="default"/>
                <w:sz w:val="18"/>
                <w:szCs w:val="18"/>
              </w:rPr>
              <w:t>主要系公司短期借款增加及公司银 行结构性存款到期由其他流动资产 转货币资金所致。</w:t>
            </w: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71" w:type="dxa"/>
            <w:vMerge/>
            <w:tcBorders>
              <w:left w:val="single" w:sz="9" w:space="0" w:color="D2D2D2"/>
              <w:right w:val="single" w:sz="4" w:space="0" w:color="000000"/>
            </w:tcBorders>
          </w:tcPr>
          <w:p>
            <w:pPr/>
          </w:p>
        </w:tc>
        <w:tc>
          <w:tcPr>
            <w:tcW w:w="917" w:type="dxa"/>
            <w:vMerge/>
            <w:tcBorders>
              <w:left w:val="single" w:sz="4" w:space="0" w:color="000000"/>
              <w:right w:val="single" w:sz="4" w:space="0" w:color="000000"/>
            </w:tcBorders>
          </w:tcPr>
          <w:p>
            <w:pPr/>
          </w:p>
        </w:tc>
        <w:tc>
          <w:tcPr>
            <w:tcW w:w="1342"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1" w:type="dxa"/>
            <w:vMerge/>
            <w:tcBorders>
              <w:left w:val="single" w:sz="9" w:space="0" w:color="D2D2D2"/>
              <w:bottom w:val="single" w:sz="4" w:space="0" w:color="000000"/>
              <w:right w:val="single" w:sz="4" w:space="0" w:color="000000"/>
            </w:tcBorders>
          </w:tcPr>
          <w:p>
            <w:pPr/>
          </w:p>
        </w:tc>
        <w:tc>
          <w:tcPr>
            <w:tcW w:w="917" w:type="dxa"/>
            <w:vMerge/>
            <w:tcBorders>
              <w:left w:val="single" w:sz="4" w:space="0" w:color="000000"/>
              <w:bottom w:val="single" w:sz="4" w:space="0" w:color="000000"/>
              <w:right w:val="single" w:sz="4" w:space="0" w:color="000000"/>
            </w:tcBorders>
          </w:tcPr>
          <w:p>
            <w:pPr/>
          </w:p>
        </w:tc>
        <w:tc>
          <w:tcPr>
            <w:tcW w:w="1342"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317"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1"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1,322,015,249.4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9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31" w:right="0"/>
              <w:jc w:val="left"/>
              <w:rPr>
                <w:rFonts w:ascii="Times New Roman" w:hAnsi="Times New Roman" w:cs="Times New Roman" w:eastAsia="Times New Roman" w:hint="default"/>
                <w:sz w:val="18"/>
                <w:szCs w:val="18"/>
              </w:rPr>
            </w:pPr>
            <w:r>
              <w:rPr>
                <w:rFonts w:ascii="Times New Roman"/>
                <w:sz w:val="18"/>
              </w:rPr>
              <w:t>25.30%</w:t>
            </w:r>
          </w:p>
        </w:tc>
        <w:tc>
          <w:tcPr>
            <w:tcW w:w="13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1,148,233,852.21</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21.58%</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3.72%</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20"/>
              <w:jc w:val="both"/>
              <w:rPr>
                <w:rFonts w:ascii="宋体" w:hAnsi="宋体" w:cs="宋体" w:eastAsia="宋体" w:hint="default"/>
                <w:sz w:val="18"/>
                <w:szCs w:val="18"/>
              </w:rPr>
            </w:pPr>
            <w:r>
              <w:rPr>
                <w:rFonts w:ascii="宋体" w:hAnsi="宋体" w:cs="宋体" w:eastAsia="宋体" w:hint="default"/>
                <w:spacing w:val="-2"/>
                <w:sz w:val="18"/>
                <w:szCs w:val="18"/>
              </w:rPr>
              <w:t>主要系受宏观经济影响，公司部分客</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户融资难度增加，资金周转紧张，年</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底回款预期未实现所致。</w:t>
            </w:r>
          </w:p>
        </w:tc>
      </w:tr>
      <w:tr>
        <w:trPr>
          <w:trHeight w:val="394"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71" w:type="dxa"/>
            <w:vMerge/>
            <w:tcBorders>
              <w:left w:val="single" w:sz="9" w:space="0" w:color="D2D2D2"/>
              <w:right w:val="single" w:sz="4" w:space="0" w:color="000000"/>
            </w:tcBorders>
          </w:tcPr>
          <w:p>
            <w:pPr/>
          </w:p>
        </w:tc>
        <w:tc>
          <w:tcPr>
            <w:tcW w:w="917" w:type="dxa"/>
            <w:vMerge/>
            <w:tcBorders>
              <w:left w:val="single" w:sz="4" w:space="0" w:color="000000"/>
              <w:right w:val="single" w:sz="4" w:space="0" w:color="000000"/>
            </w:tcBorders>
          </w:tcPr>
          <w:p>
            <w:pPr/>
          </w:p>
        </w:tc>
        <w:tc>
          <w:tcPr>
            <w:tcW w:w="1342"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1" w:type="dxa"/>
            <w:vMerge/>
            <w:tcBorders>
              <w:left w:val="single" w:sz="9" w:space="0" w:color="D2D2D2"/>
              <w:bottom w:val="single" w:sz="4" w:space="0" w:color="000000"/>
              <w:right w:val="single" w:sz="4" w:space="0" w:color="000000"/>
            </w:tcBorders>
          </w:tcPr>
          <w:p>
            <w:pPr/>
          </w:p>
        </w:tc>
        <w:tc>
          <w:tcPr>
            <w:tcW w:w="917" w:type="dxa"/>
            <w:vMerge/>
            <w:tcBorders>
              <w:left w:val="single" w:sz="4" w:space="0" w:color="000000"/>
              <w:bottom w:val="single" w:sz="4" w:space="0" w:color="000000"/>
              <w:right w:val="single" w:sz="4" w:space="0" w:color="000000"/>
            </w:tcBorders>
          </w:tcPr>
          <w:p>
            <w:pPr/>
          </w:p>
        </w:tc>
        <w:tc>
          <w:tcPr>
            <w:tcW w:w="1342"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73"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1"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217,870,389.04</w:t>
            </w:r>
          </w:p>
        </w:tc>
        <w:tc>
          <w:tcPr>
            <w:tcW w:w="9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20" w:right="0"/>
              <w:jc w:val="left"/>
              <w:rPr>
                <w:rFonts w:ascii="Times New Roman" w:hAnsi="Times New Roman" w:cs="Times New Roman" w:eastAsia="Times New Roman" w:hint="default"/>
                <w:sz w:val="18"/>
                <w:szCs w:val="18"/>
              </w:rPr>
            </w:pPr>
            <w:r>
              <w:rPr>
                <w:rFonts w:ascii="Times New Roman"/>
                <w:sz w:val="18"/>
              </w:rPr>
              <w:t>4.17%</w:t>
            </w:r>
          </w:p>
        </w:tc>
        <w:tc>
          <w:tcPr>
            <w:tcW w:w="13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313,907,328.33</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5.90%</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-1.73%</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主要系报告期内公司根据外部市场 环境和公司当前业务结构的实际情 </w:t>
            </w:r>
            <w:r>
              <w:rPr>
                <w:rFonts w:ascii="宋体" w:hAnsi="宋体" w:cs="宋体" w:eastAsia="宋体" w:hint="default"/>
                <w:spacing w:val="-2"/>
                <w:sz w:val="18"/>
                <w:szCs w:val="18"/>
              </w:rPr>
              <w:t>况，基于谨慎性原则，增加金融电子</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库存品相关的存货跌价准备所致。</w:t>
            </w: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71" w:type="dxa"/>
            <w:vMerge/>
            <w:tcBorders>
              <w:left w:val="single" w:sz="9" w:space="0" w:color="D2D2D2"/>
              <w:right w:val="single" w:sz="4" w:space="0" w:color="000000"/>
            </w:tcBorders>
          </w:tcPr>
          <w:p>
            <w:pPr/>
          </w:p>
        </w:tc>
        <w:tc>
          <w:tcPr>
            <w:tcW w:w="917" w:type="dxa"/>
            <w:vMerge/>
            <w:tcBorders>
              <w:left w:val="single" w:sz="4" w:space="0" w:color="000000"/>
              <w:right w:val="single" w:sz="4" w:space="0" w:color="000000"/>
            </w:tcBorders>
          </w:tcPr>
          <w:p>
            <w:pPr/>
          </w:p>
        </w:tc>
        <w:tc>
          <w:tcPr>
            <w:tcW w:w="1342"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473"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1" w:type="dxa"/>
            <w:vMerge/>
            <w:tcBorders>
              <w:left w:val="single" w:sz="9" w:space="0" w:color="D2D2D2"/>
              <w:bottom w:val="single" w:sz="4" w:space="0" w:color="000000"/>
              <w:right w:val="single" w:sz="4" w:space="0" w:color="000000"/>
            </w:tcBorders>
          </w:tcPr>
          <w:p>
            <w:pPr/>
          </w:p>
        </w:tc>
        <w:tc>
          <w:tcPr>
            <w:tcW w:w="917" w:type="dxa"/>
            <w:vMerge/>
            <w:tcBorders>
              <w:left w:val="single" w:sz="4" w:space="0" w:color="000000"/>
              <w:bottom w:val="single" w:sz="4" w:space="0" w:color="000000"/>
              <w:right w:val="single" w:sz="4" w:space="0" w:color="000000"/>
            </w:tcBorders>
          </w:tcPr>
          <w:p>
            <w:pPr/>
          </w:p>
        </w:tc>
        <w:tc>
          <w:tcPr>
            <w:tcW w:w="1342"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94" w:right="0"/>
              <w:jc w:val="left"/>
              <w:rPr>
                <w:rFonts w:ascii="Times New Roman" w:hAnsi="Times New Roman" w:cs="Times New Roman" w:eastAsia="Times New Roman" w:hint="default"/>
                <w:sz w:val="18"/>
                <w:szCs w:val="18"/>
              </w:rPr>
            </w:pPr>
            <w:r>
              <w:rPr>
                <w:rFonts w:ascii="Times New Roman"/>
                <w:sz w:val="18"/>
              </w:rPr>
              <w:t>42,624,513.81</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0" w:right="0"/>
              <w:jc w:val="left"/>
              <w:rPr>
                <w:rFonts w:ascii="Times New Roman" w:hAnsi="Times New Roman" w:cs="Times New Roman" w:eastAsia="Times New Roman" w:hint="default"/>
                <w:sz w:val="18"/>
                <w:szCs w:val="18"/>
              </w:rPr>
            </w:pPr>
            <w:r>
              <w:rPr>
                <w:rFonts w:ascii="Times New Roman"/>
                <w:sz w:val="18"/>
              </w:rPr>
              <w:t>0.82%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5" w:right="0"/>
              <w:jc w:val="left"/>
              <w:rPr>
                <w:rFonts w:ascii="Times New Roman" w:hAnsi="Times New Roman" w:cs="Times New Roman" w:eastAsia="Times New Roman" w:hint="default"/>
                <w:sz w:val="18"/>
                <w:szCs w:val="18"/>
              </w:rPr>
            </w:pPr>
            <w:r>
              <w:rPr>
                <w:rFonts w:ascii="Times New Roman"/>
                <w:sz w:val="18"/>
              </w:rPr>
              <w:t>43,991,918.76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6" w:right="0"/>
              <w:jc w:val="left"/>
              <w:rPr>
                <w:rFonts w:ascii="Times New Roman" w:hAnsi="Times New Roman" w:cs="Times New Roman" w:eastAsia="Times New Roman" w:hint="default"/>
                <w:sz w:val="18"/>
                <w:szCs w:val="18"/>
              </w:rPr>
            </w:pPr>
            <w:r>
              <w:rPr>
                <w:rFonts w:ascii="Times New Roman"/>
                <w:sz w:val="18"/>
              </w:rPr>
              <w:t>0.83%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9" w:right="0"/>
              <w:jc w:val="left"/>
              <w:rPr>
                <w:rFonts w:ascii="Times New Roman" w:hAnsi="Times New Roman" w:cs="Times New Roman" w:eastAsia="Times New Roman" w:hint="default"/>
                <w:sz w:val="18"/>
                <w:szCs w:val="18"/>
              </w:rPr>
            </w:pPr>
            <w:r>
              <w:rPr>
                <w:rFonts w:ascii="Times New Roman"/>
                <w:sz w:val="18"/>
              </w:rPr>
              <w:t>-0.01%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39"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1" w:type="dxa"/>
            <w:vMerge w:val="restart"/>
            <w:tcBorders>
              <w:top w:val="single" w:sz="4" w:space="0" w:color="000000"/>
              <w:left w:val="single" w:sz="12" w:space="0" w:color="D2D2D2"/>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79,950,665.12</w:t>
            </w:r>
          </w:p>
        </w:tc>
        <w:tc>
          <w:tcPr>
            <w:tcW w:w="917"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420" w:right="0"/>
              <w:jc w:val="left"/>
              <w:rPr>
                <w:rFonts w:ascii="Times New Roman" w:hAnsi="Times New Roman" w:cs="Times New Roman" w:eastAsia="Times New Roman" w:hint="default"/>
                <w:sz w:val="18"/>
                <w:szCs w:val="18"/>
              </w:rPr>
            </w:pPr>
            <w:r>
              <w:rPr>
                <w:rFonts w:ascii="Times New Roman"/>
                <w:sz w:val="18"/>
              </w:rPr>
              <w:t>1.53%</w:t>
            </w:r>
          </w:p>
        </w:tc>
        <w:tc>
          <w:tcPr>
            <w:tcW w:w="134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75" w:right="0"/>
              <w:jc w:val="left"/>
              <w:rPr>
                <w:rFonts w:ascii="Times New Roman" w:hAnsi="Times New Roman" w:cs="Times New Roman" w:eastAsia="Times New Roman" w:hint="default"/>
                <w:sz w:val="18"/>
                <w:szCs w:val="18"/>
              </w:rPr>
            </w:pPr>
            <w:r>
              <w:rPr>
                <w:rFonts w:ascii="Times New Roman"/>
                <w:sz w:val="18"/>
              </w:rPr>
              <w:t>24,661,070.83</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0.46%</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1.07%</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主要系报告期内公司对参股公司盛 </w:t>
            </w:r>
            <w:r>
              <w:rPr>
                <w:rFonts w:ascii="宋体" w:hAnsi="宋体" w:cs="宋体" w:eastAsia="宋体" w:hint="default"/>
                <w:spacing w:val="-2"/>
                <w:sz w:val="18"/>
                <w:szCs w:val="18"/>
              </w:rPr>
              <w:t>灿科技进行增资，并派驻董事。由成</w:t>
            </w:r>
          </w:p>
        </w:tc>
      </w:tr>
      <w:tr>
        <w:trPr>
          <w:trHeight w:val="53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271" w:type="dxa"/>
            <w:vMerge/>
            <w:tcBorders>
              <w:left w:val="single" w:sz="12" w:space="0" w:color="D2D2D2"/>
              <w:bottom w:val="single" w:sz="4" w:space="0" w:color="000000"/>
              <w:right w:val="single" w:sz="4" w:space="0" w:color="000000"/>
            </w:tcBorders>
          </w:tcPr>
          <w:p>
            <w:pPr/>
          </w:p>
        </w:tc>
        <w:tc>
          <w:tcPr>
            <w:tcW w:w="917" w:type="dxa"/>
            <w:vMerge/>
            <w:tcBorders>
              <w:left w:val="single" w:sz="4" w:space="0" w:color="000000"/>
              <w:bottom w:val="single" w:sz="4" w:space="0" w:color="000000"/>
              <w:right w:val="single" w:sz="4" w:space="0" w:color="000000"/>
            </w:tcBorders>
          </w:tcPr>
          <w:p>
            <w:pPr/>
          </w:p>
        </w:tc>
        <w:tc>
          <w:tcPr>
            <w:tcW w:w="1342"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260"/>
        <w:gridCol w:w="917"/>
        <w:gridCol w:w="1342"/>
        <w:gridCol w:w="1064"/>
        <w:gridCol w:w="799"/>
        <w:gridCol w:w="2919"/>
      </w:tblGrid>
      <w:tr>
        <w:trPr>
          <w:trHeight w:val="67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83"/>
              <w:jc w:val="left"/>
              <w:rPr>
                <w:rFonts w:ascii="宋体" w:hAnsi="宋体" w:cs="宋体" w:eastAsia="宋体" w:hint="default"/>
                <w:sz w:val="18"/>
                <w:szCs w:val="18"/>
              </w:rPr>
            </w:pPr>
            <w:r>
              <w:rPr>
                <w:rFonts w:ascii="宋体" w:hAnsi="宋体" w:cs="宋体" w:eastAsia="宋体" w:hint="default"/>
                <w:sz w:val="18"/>
                <w:szCs w:val="18"/>
              </w:rPr>
              <w:t>本法转权益法至长期股权投资进行 核算所致。</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1,339,127,830.8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25.63%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851,226,705.92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主要系因报告期内长沙和深圳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IDC</w:t>
            </w:r>
            <w:r>
              <w:rPr>
                <w:rFonts w:ascii="Times New Roman" w:hAnsi="Times New Roman" w:cs="Times New Roman" w:eastAsia="Times New Roman" w:hint="default"/>
                <w:w w:val="99"/>
                <w:sz w:val="18"/>
                <w:szCs w:val="18"/>
              </w:rPr>
              <w:t> </w:t>
            </w:r>
            <w:r>
              <w:rPr>
                <w:rFonts w:ascii="宋体" w:hAnsi="宋体" w:cs="宋体" w:eastAsia="宋体" w:hint="default"/>
                <w:spacing w:val="-2"/>
                <w:sz w:val="18"/>
                <w:szCs w:val="18"/>
              </w:rPr>
              <w:t>数据中心部分在建工程建设完成，转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入固定资产所致。</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370,019,094.58</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619,163,657.50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11.64%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主要系报告期内公司长沙和深圳</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IDC</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数据中心部分在建工程转入固定资 </w:t>
            </w:r>
            <w:r>
              <w:rPr>
                <w:rFonts w:ascii="宋体" w:hAnsi="宋体" w:cs="宋体" w:eastAsia="宋体" w:hint="default"/>
                <w:spacing w:val="-9"/>
                <w:sz w:val="18"/>
                <w:szCs w:val="18"/>
              </w:rPr>
              <w:t>产，及本期新增</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在建工程投入较 上期减少所致。</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1,473,345,712.4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28.20%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961,233,510.40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18.06%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10.14%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主要系报告期内公司因生产经营需 </w:t>
            </w:r>
            <w:r>
              <w:rPr>
                <w:rFonts w:ascii="宋体" w:hAnsi="宋体" w:cs="宋体" w:eastAsia="宋体" w:hint="default"/>
                <w:spacing w:val="-2"/>
                <w:sz w:val="18"/>
                <w:szCs w:val="18"/>
              </w:rPr>
              <w:t>要，为补充流动资金增加银行短期贷</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款所致。</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33,333,333.32</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161,600,000.00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both"/>
              <w:rPr>
                <w:rFonts w:ascii="宋体" w:hAnsi="宋体" w:cs="宋体" w:eastAsia="宋体" w:hint="default"/>
                <w:sz w:val="18"/>
                <w:szCs w:val="18"/>
              </w:rPr>
            </w:pPr>
            <w:r>
              <w:rPr>
                <w:rFonts w:ascii="宋体" w:hAnsi="宋体" w:cs="宋体" w:eastAsia="宋体" w:hint="default"/>
                <w:sz w:val="18"/>
                <w:szCs w:val="18"/>
              </w:rPr>
              <w:t>主要系报告期内公司长期借款偿还 及重分类至一年内到期的非流动负 债所致。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35,023,029.21</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100,543,282.24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主要原因系报告期内公司工程项目 完工后结转至成本所致。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211,898,681.18</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157,761,683.50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2"/>
                <w:sz w:val="18"/>
                <w:szCs w:val="18"/>
              </w:rPr>
              <w:t>主要系报告期内投标，履约保证金增</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加所致。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185,961,404.20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467,168,728.13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1"/>
              <w:jc w:val="left"/>
              <w:rPr>
                <w:rFonts w:ascii="宋体" w:hAnsi="宋体" w:cs="宋体" w:eastAsia="宋体" w:hint="default"/>
                <w:sz w:val="18"/>
                <w:szCs w:val="18"/>
              </w:rPr>
            </w:pPr>
            <w:r>
              <w:rPr>
                <w:rFonts w:ascii="宋体" w:hAnsi="宋体" w:cs="宋体" w:eastAsia="宋体" w:hint="default"/>
                <w:sz w:val="18"/>
                <w:szCs w:val="18"/>
              </w:rPr>
              <w:t>主要系报告期内公司持有的结构性 存款产品相较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年度减少所致。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418,409,643.06</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498,009,380.29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主要系报告期内公司分期收款销售 款项收回所致。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83,803,047.07</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23,579,236.01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2"/>
                <w:sz w:val="18"/>
                <w:szCs w:val="18"/>
              </w:rPr>
              <w:t>主要系报告期内，公司应付诉讼利息</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增加所致。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一年内到期的非 流动负债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92,400,000.00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38,400,000.00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2"/>
                <w:sz w:val="18"/>
                <w:szCs w:val="18"/>
              </w:rPr>
              <w:t>主要系报告期内，长期借款重分类转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入一年内到期的非流动负债所致。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199,310,965.21</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397,985,675.62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2"/>
                <w:sz w:val="18"/>
                <w:szCs w:val="18"/>
              </w:rPr>
              <w:t>主要原因系本报告期内，公司债券部</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分实施回售所致。</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53,790,893.91</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85,928,008.10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both"/>
              <w:rPr>
                <w:rFonts w:ascii="宋体" w:hAnsi="宋体" w:cs="宋体" w:eastAsia="宋体" w:hint="default"/>
                <w:sz w:val="18"/>
                <w:szCs w:val="18"/>
              </w:rPr>
            </w:pPr>
            <w:r>
              <w:rPr>
                <w:rFonts w:ascii="宋体" w:hAnsi="宋体" w:cs="宋体" w:eastAsia="宋体" w:hint="default"/>
                <w:sz w:val="18"/>
                <w:szCs w:val="18"/>
              </w:rPr>
              <w:t>主要原因系因报告期内公司支付融 资租赁款本息致长期应付款减少所 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28,847,160.34</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24,005,666.67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主要原因系公司于报告期内取得与 资产相关的政府补贴所致。</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left="232" w:right="0"/>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3"/>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3287"/>
        <w:gridCol w:w="3286"/>
        <w:gridCol w:w="3284"/>
      </w:tblGrid>
      <w:tr>
        <w:trPr>
          <w:trHeight w:val="331" w:hRule="exact"/>
        </w:trPr>
        <w:tc>
          <w:tcPr>
            <w:tcW w:w="32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1360"/>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2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1091" w:right="0"/>
              <w:jc w:val="left"/>
              <w:rPr>
                <w:rFonts w:ascii="宋体" w:hAnsi="宋体" w:cs="宋体" w:eastAsia="宋体" w:hint="default"/>
                <w:sz w:val="18"/>
                <w:szCs w:val="18"/>
              </w:rPr>
            </w:pPr>
            <w:r>
              <w:rPr>
                <w:rFonts w:ascii="宋体" w:hAnsi="宋体" w:cs="宋体" w:eastAsia="宋体" w:hint="default"/>
                <w:b/>
                <w:bCs/>
                <w:sz w:val="18"/>
                <w:szCs w:val="18"/>
              </w:rPr>
              <w:t>期末账面价值</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2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88" w:right="0"/>
              <w:jc w:val="center"/>
              <w:rPr>
                <w:rFonts w:ascii="宋体" w:hAnsi="宋体" w:cs="宋体" w:eastAsia="宋体" w:hint="default"/>
                <w:sz w:val="18"/>
                <w:szCs w:val="18"/>
              </w:rPr>
            </w:pPr>
            <w:r>
              <w:rPr>
                <w:rFonts w:ascii="宋体" w:hAnsi="宋体" w:cs="宋体" w:eastAsia="宋体" w:hint="default"/>
                <w:b/>
                <w:bCs/>
                <w:sz w:val="18"/>
                <w:szCs w:val="18"/>
              </w:rPr>
              <w:t>受限原因</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31" w:hRule="exact"/>
        </w:trPr>
        <w:tc>
          <w:tcPr>
            <w:tcW w:w="32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宋体" w:hAnsi="宋体" w:cs="宋体" w:eastAsia="宋体" w:hint="default"/>
                <w:sz w:val="18"/>
                <w:szCs w:val="18"/>
              </w:rPr>
              <w:t> </w:t>
            </w:r>
          </w:p>
        </w:tc>
        <w:tc>
          <w:tcPr>
            <w:tcW w:w="32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178,855,704.13</w:t>
            </w:r>
          </w:p>
        </w:tc>
        <w:tc>
          <w:tcPr>
            <w:tcW w:w="32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保证金</w:t>
            </w:r>
            <w:r>
              <w:rPr>
                <w:rFonts w:ascii="宋体" w:hAnsi="宋体" w:cs="宋体" w:eastAsia="宋体" w:hint="default"/>
                <w:sz w:val="18"/>
                <w:szCs w:val="18"/>
              </w:rPr>
              <w:t> </w:t>
            </w:r>
          </w:p>
        </w:tc>
      </w:tr>
      <w:tr>
        <w:trPr>
          <w:trHeight w:val="334" w:hRule="exact"/>
        </w:trPr>
        <w:tc>
          <w:tcPr>
            <w:tcW w:w="32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其他流动资产</w:t>
            </w:r>
            <w:r>
              <w:rPr>
                <w:rFonts w:ascii="宋体" w:hAnsi="宋体" w:cs="宋体" w:eastAsia="宋体" w:hint="default"/>
                <w:sz w:val="18"/>
                <w:szCs w:val="18"/>
              </w:rPr>
              <w:t> </w:t>
            </w:r>
          </w:p>
        </w:tc>
        <w:tc>
          <w:tcPr>
            <w:tcW w:w="32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33,000,000.00</w:t>
            </w:r>
          </w:p>
        </w:tc>
        <w:tc>
          <w:tcPr>
            <w:tcW w:w="32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一年期的结构性存款</w:t>
            </w:r>
            <w:r>
              <w:rPr>
                <w:rFonts w:ascii="宋体" w:hAnsi="宋体" w:cs="宋体" w:eastAsia="宋体" w:hint="default"/>
                <w:sz w:val="18"/>
                <w:szCs w:val="18"/>
              </w:rPr>
              <w:t> </w:t>
            </w:r>
          </w:p>
        </w:tc>
      </w:tr>
      <w:tr>
        <w:trPr>
          <w:trHeight w:val="331" w:hRule="exact"/>
        </w:trPr>
        <w:tc>
          <w:tcPr>
            <w:tcW w:w="32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固定资产</w:t>
            </w:r>
            <w:r>
              <w:rPr>
                <w:rFonts w:ascii="宋体" w:hAnsi="宋体" w:cs="宋体" w:eastAsia="宋体" w:hint="default"/>
                <w:sz w:val="18"/>
                <w:szCs w:val="18"/>
              </w:rPr>
              <w:t> </w:t>
            </w:r>
          </w:p>
        </w:tc>
        <w:tc>
          <w:tcPr>
            <w:tcW w:w="32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110,782,488.68</w:t>
            </w:r>
          </w:p>
        </w:tc>
        <w:tc>
          <w:tcPr>
            <w:tcW w:w="32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抵押借款</w:t>
            </w:r>
            <w:r>
              <w:rPr>
                <w:rFonts w:ascii="宋体" w:hAnsi="宋体" w:cs="宋体" w:eastAsia="宋体" w:hint="default"/>
                <w:sz w:val="18"/>
                <w:szCs w:val="18"/>
              </w:rPr>
              <w:t> </w:t>
            </w:r>
          </w:p>
        </w:tc>
      </w:tr>
      <w:tr>
        <w:trPr>
          <w:trHeight w:val="334" w:hRule="exact"/>
        </w:trPr>
        <w:tc>
          <w:tcPr>
            <w:tcW w:w="32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1364"/>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2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322,638,192.81</w:t>
            </w:r>
          </w:p>
        </w:tc>
        <w:tc>
          <w:tcPr>
            <w:tcW w:w="3284" w:type="dxa"/>
            <w:tcBorders>
              <w:top w:val="single" w:sz="8" w:space="0" w:color="000000"/>
              <w:left w:val="single" w:sz="8" w:space="0" w:color="000000"/>
              <w:bottom w:val="single" w:sz="8" w:space="0" w:color="000000"/>
              <w:right w:val="single" w:sz="8" w:space="0" w:color="000000"/>
            </w:tcBorders>
          </w:tcPr>
          <w:p>
            <w:pPr/>
          </w:p>
        </w:tc>
      </w:tr>
    </w:tbl>
    <w:p>
      <w:pPr>
        <w:pStyle w:val="BodyText"/>
        <w:spacing w:line="240" w:lineRule="auto" w:before="8"/>
        <w:ind w:left="593" w:right="0"/>
        <w:jc w:val="left"/>
      </w:pPr>
      <w:r>
        <w:rPr/>
        <w:t>（</w:t>
      </w:r>
      <w:r>
        <w:rPr>
          <w:rFonts w:ascii="Times New Roman" w:hAnsi="Times New Roman" w:cs="Times New Roman" w:eastAsia="Times New Roman" w:hint="default"/>
        </w:rPr>
        <w:t>1</w:t>
      </w:r>
      <w:r>
        <w:rPr/>
        <w:t>）公司因开具银行承兑汇票及保函保证金等，导致货币资金受限。</w:t>
      </w:r>
    </w:p>
    <w:p>
      <w:pPr>
        <w:pStyle w:val="BodyText"/>
        <w:spacing w:line="240" w:lineRule="auto" w:before="63"/>
        <w:ind w:left="593" w:right="0"/>
        <w:jc w:val="left"/>
      </w:pPr>
      <w:r>
        <w:rPr/>
        <w:t>（</w:t>
      </w:r>
      <w:r>
        <w:rPr>
          <w:rFonts w:ascii="Times New Roman" w:hAnsi="Times New Roman" w:cs="Times New Roman" w:eastAsia="Times New Roman" w:hint="default"/>
        </w:rPr>
        <w:t>2</w:t>
      </w:r>
      <w:r>
        <w:rPr/>
        <w:t>）公司因使用货币资金办理结构性存款，转入其他流动资产，导致资金受限。</w:t>
      </w:r>
    </w:p>
    <w:p>
      <w:pPr>
        <w:pStyle w:val="BodyText"/>
        <w:spacing w:line="300" w:lineRule="auto" w:before="63"/>
        <w:ind w:left="232" w:right="1133" w:firstLine="360"/>
        <w:jc w:val="both"/>
      </w:pPr>
      <w:r>
        <w:rPr/>
        <w:t>（</w:t>
      </w:r>
      <w:r>
        <w:rPr>
          <w:rFonts w:ascii="Times New Roman" w:hAnsi="Times New Roman" w:cs="Times New Roman" w:eastAsia="Times New Roman" w:hint="default"/>
        </w:rPr>
        <w:t>3</w:t>
      </w:r>
      <w:r>
        <w:rPr/>
        <w:t>）公司控股子公司云硕科技以其账面价值为</w:t>
      </w:r>
      <w:r>
        <w:rPr>
          <w:rFonts w:ascii="Times New Roman" w:hAnsi="Times New Roman" w:cs="Times New Roman" w:eastAsia="Times New Roman" w:hint="default"/>
        </w:rPr>
        <w:t>14,462.46</w:t>
      </w:r>
      <w:r>
        <w:rPr/>
        <w:t>万元的部分设备作为标的物，与远东国际租赁有限公司开展售 </w:t>
      </w:r>
      <w:r>
        <w:rPr>
          <w:spacing w:val="-2"/>
        </w:rPr>
        <w:t>后回租融资租赁业务，租赁期间为</w:t>
      </w:r>
      <w:r>
        <w:rPr>
          <w:rFonts w:ascii="Times New Roman" w:hAnsi="Times New Roman" w:cs="Times New Roman" w:eastAsia="Times New Roman" w:hint="default"/>
          <w:spacing w:val="-2"/>
        </w:rPr>
        <w:t>48</w:t>
      </w:r>
      <w:r>
        <w:rPr>
          <w:spacing w:val="-2"/>
        </w:rPr>
        <w:t>个月。相关事项详见公司于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5</w:t>
      </w:r>
      <w:r>
        <w:rPr>
          <w:spacing w:val="-2"/>
        </w:rPr>
        <w:t>日披露于《证券时报》及巨潮资讯网上的《公司</w:t>
      </w:r>
      <w:r>
        <w:rPr>
          <w:spacing w:val="-64"/>
        </w:rPr>
        <w:t> </w:t>
      </w:r>
      <w:r>
        <w:rPr>
          <w:spacing w:val="-64"/>
        </w:rPr>
      </w:r>
      <w:r>
        <w:rPr/>
        <w:t>关于控股子公司开展售后回租融资租赁业务的公告》（公告编号：</w:t>
      </w:r>
      <w:r>
        <w:rPr>
          <w:rFonts w:ascii="Times New Roman" w:hAnsi="Times New Roman" w:cs="Times New Roman" w:eastAsia="Times New Roman" w:hint="default"/>
        </w:rPr>
        <w:t>2016-066</w:t>
      </w:r>
      <w:r>
        <w:rPr/>
        <w:t>号）。</w:t>
      </w:r>
    </w:p>
    <w:p>
      <w:pPr>
        <w:spacing w:line="240" w:lineRule="auto" w:before="5"/>
        <w:rPr>
          <w:rFonts w:ascii="宋体" w:hAnsi="宋体" w:cs="宋体" w:eastAsia="宋体" w:hint="default"/>
          <w:sz w:val="20"/>
          <w:szCs w:val="20"/>
        </w:rPr>
      </w:pPr>
    </w:p>
    <w:p>
      <w:pPr>
        <w:pStyle w:val="Heading2"/>
        <w:spacing w:line="240" w:lineRule="auto"/>
        <w:ind w:left="232" w:right="0"/>
        <w:jc w:val="left"/>
        <w:rPr>
          <w:b w:val="0"/>
          <w:bCs w:val="0"/>
        </w:rPr>
      </w:pP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232"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227"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170,604,091.23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248,100,001.00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-31.24%</w:t>
            </w:r>
          </w:p>
        </w:tc>
      </w:tr>
    </w:tbl>
    <w:p>
      <w:pPr>
        <w:spacing w:line="240" w:lineRule="auto" w:before="3"/>
        <w:rPr>
          <w:rFonts w:ascii="宋体" w:hAnsi="宋体" w:cs="宋体" w:eastAsia="宋体" w:hint="default"/>
          <w:sz w:val="19"/>
          <w:szCs w:val="19"/>
        </w:rPr>
      </w:pPr>
    </w:p>
    <w:p>
      <w:pPr>
        <w:pStyle w:val="Heading3"/>
        <w:spacing w:line="240" w:lineRule="auto" w:before="36"/>
        <w:ind w:left="232"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2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656"/>
        <w:gridCol w:w="650"/>
        <w:gridCol w:w="622"/>
        <w:gridCol w:w="624"/>
        <w:gridCol w:w="622"/>
        <w:gridCol w:w="622"/>
        <w:gridCol w:w="617"/>
        <w:gridCol w:w="617"/>
        <w:gridCol w:w="620"/>
        <w:gridCol w:w="590"/>
        <w:gridCol w:w="593"/>
        <w:gridCol w:w="694"/>
        <w:gridCol w:w="689"/>
        <w:gridCol w:w="691"/>
        <w:gridCol w:w="667"/>
      </w:tblGrid>
      <w:tr>
        <w:trPr>
          <w:trHeight w:val="2276" w:hRule="exact"/>
        </w:trPr>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52" w:right="5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0" w:right="48"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5" w:right="3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5" w:right="36"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6" w:right="34" w:hanging="181"/>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5" w:right="35"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合作方</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3" w:right="31"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3" w:right="34" w:hanging="181"/>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10" w:right="108"/>
              <w:jc w:val="both"/>
              <w:rPr>
                <w:rFonts w:ascii="宋体" w:hAnsi="宋体" w:cs="宋体" w:eastAsia="宋体" w:hint="default"/>
                <w:sz w:val="18"/>
                <w:szCs w:val="18"/>
              </w:rPr>
            </w:pPr>
            <w:r>
              <w:rPr>
                <w:rFonts w:ascii="宋体" w:hAnsi="宋体" w:cs="宋体" w:eastAsia="宋体" w:hint="default"/>
                <w:sz w:val="18"/>
                <w:szCs w:val="18"/>
              </w:rPr>
              <w:t>截至 资产 负债 表日 的进 展情 况</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10" w:right="110"/>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71" w:right="71"/>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50" w:right="68" w:hanging="181"/>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0" w:right="55"/>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3171"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314" w:lineRule="auto"/>
              <w:ind w:left="24" w:right="80"/>
              <w:jc w:val="left"/>
              <w:rPr>
                <w:rFonts w:ascii="宋体" w:hAnsi="宋体" w:cs="宋体" w:eastAsia="宋体" w:hint="default"/>
                <w:sz w:val="18"/>
                <w:szCs w:val="18"/>
              </w:rPr>
            </w:pPr>
            <w:r>
              <w:rPr>
                <w:rFonts w:ascii="宋体" w:hAnsi="宋体" w:cs="宋体" w:eastAsia="宋体" w:hint="default"/>
                <w:sz w:val="18"/>
                <w:szCs w:val="18"/>
              </w:rPr>
              <w:t>江苏睿 博</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6" w:lineRule="auto"/>
              <w:ind w:left="23" w:right="74"/>
              <w:jc w:val="both"/>
              <w:rPr>
                <w:rFonts w:ascii="宋体" w:hAnsi="宋体" w:cs="宋体" w:eastAsia="宋体" w:hint="default"/>
                <w:sz w:val="18"/>
                <w:szCs w:val="18"/>
              </w:rPr>
            </w:pPr>
            <w:r>
              <w:rPr>
                <w:rFonts w:ascii="宋体" w:hAnsi="宋体" w:cs="宋体" w:eastAsia="宋体" w:hint="default"/>
                <w:sz w:val="18"/>
                <w:szCs w:val="18"/>
              </w:rPr>
              <w:t>商业信 息化解 决方案</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26" w:right="0"/>
              <w:jc w:val="center"/>
              <w:rPr>
                <w:rFonts w:ascii="Times New Roman" w:hAnsi="Times New Roman" w:cs="Times New Roman" w:eastAsia="Times New Roman" w:hint="default"/>
                <w:sz w:val="18"/>
                <w:szCs w:val="18"/>
              </w:rPr>
            </w:pPr>
            <w:r>
              <w:rPr>
                <w:rFonts w:ascii="Times New Roman"/>
                <w:sz w:val="18"/>
              </w:rPr>
              <w:t>1,250,0</w:t>
            </w:r>
          </w:p>
          <w:p>
            <w:pPr>
              <w:pStyle w:val="TableParagraph"/>
              <w:spacing w:line="240" w:lineRule="auto" w:before="102"/>
              <w:ind w:left="161" w:right="0"/>
              <w:jc w:val="center"/>
              <w:rPr>
                <w:rFonts w:ascii="Times New Roman" w:hAnsi="Times New Roman" w:cs="Times New Roman" w:eastAsia="Times New Roman" w:hint="default"/>
                <w:sz w:val="18"/>
                <w:szCs w:val="18"/>
              </w:rPr>
            </w:pPr>
            <w:r>
              <w:rPr>
                <w:rFonts w:ascii="Times New Roman"/>
                <w:sz w:val="18"/>
              </w:rPr>
              <w:t>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15.65%</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314"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威富通</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6" w:lineRule="auto"/>
              <w:ind w:left="23" w:right="45"/>
              <w:jc w:val="both"/>
              <w:rPr>
                <w:rFonts w:ascii="宋体" w:hAnsi="宋体" w:cs="宋体" w:eastAsia="宋体" w:hint="default"/>
                <w:sz w:val="18"/>
                <w:szCs w:val="18"/>
              </w:rPr>
            </w:pPr>
            <w:r>
              <w:rPr>
                <w:rFonts w:ascii="宋体" w:hAnsi="宋体" w:cs="宋体" w:eastAsia="宋体" w:hint="default"/>
                <w:sz w:val="18"/>
                <w:szCs w:val="18"/>
              </w:rPr>
              <w:t>商业信 息化解 决方案</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193"/>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 已于 </w:t>
            </w:r>
            <w:r>
              <w:rPr>
                <w:rFonts w:ascii="Times New Roman" w:hAnsi="Times New Roman" w:cs="Times New Roman" w:eastAsia="Times New Roman" w:hint="default"/>
                <w:sz w:val="18"/>
                <w:szCs w:val="18"/>
              </w:rPr>
              <w:t>2018</w:t>
            </w:r>
          </w:p>
          <w:p>
            <w:pPr>
              <w:pStyle w:val="TableParagraph"/>
              <w:spacing w:line="230" w:lineRule="exact"/>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6" w:lineRule="auto" w:before="63"/>
              <w:ind w:left="23" w:right="14"/>
              <w:jc w:val="left"/>
              <w:rPr>
                <w:rFonts w:ascii="宋体" w:hAnsi="宋体" w:cs="宋体" w:eastAsia="宋体" w:hint="default"/>
                <w:sz w:val="18"/>
                <w:szCs w:val="18"/>
              </w:rPr>
            </w:pPr>
            <w:r>
              <w:rPr>
                <w:rFonts w:ascii="宋体" w:hAnsi="宋体" w:cs="宋体" w:eastAsia="宋体" w:hint="default"/>
                <w:sz w:val="18"/>
                <w:szCs w:val="18"/>
              </w:rPr>
              <w:t>完成 增资 款缴 款和 工商 变更，</w:t>
            </w:r>
          </w:p>
        </w:tc>
        <w:tc>
          <w:tcPr>
            <w:tcW w:w="593"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讯网刊 登的 </w:t>
            </w:r>
            <w:r>
              <w:rPr>
                <w:rFonts w:ascii="Times New Roman" w:hAnsi="Times New Roman" w:cs="Times New Roman" w:eastAsia="Times New Roman" w:hint="default"/>
                <w:sz w:val="18"/>
                <w:szCs w:val="18"/>
              </w:rPr>
              <w:t>2018-00</w:t>
            </w:r>
          </w:p>
          <w:p>
            <w:pPr>
              <w:pStyle w:val="TableParagraph"/>
              <w:spacing w:line="314" w:lineRule="auto" w:before="39"/>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《公司</w:t>
            </w:r>
            <w:r>
              <w:rPr>
                <w:rFonts w:ascii="宋体" w:hAnsi="宋体" w:cs="宋体" w:eastAsia="宋体" w:hint="default"/>
                <w:sz w:val="18"/>
                <w:szCs w:val="18"/>
              </w:rPr>
              <w:t> 关于增 资参股 江苏睿 博数据 技术有</w:t>
            </w:r>
          </w:p>
        </w:tc>
      </w:tr>
    </w:tbl>
    <w:p>
      <w:pPr>
        <w:spacing w:after="0" w:line="314" w:lineRule="auto"/>
        <w:jc w:val="left"/>
        <w:rPr>
          <w:rFonts w:ascii="宋体" w:hAnsi="宋体" w:cs="宋体" w:eastAsia="宋体" w:hint="default"/>
          <w:sz w:val="18"/>
          <w:szCs w:val="18"/>
        </w:rPr>
        <w:sectPr>
          <w:pgSz w:w="11910" w:h="16840"/>
          <w:pgMar w:header="745" w:footer="979" w:top="1060" w:bottom="1160" w:left="90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56"/>
        <w:gridCol w:w="650"/>
        <w:gridCol w:w="622"/>
        <w:gridCol w:w="624"/>
        <w:gridCol w:w="622"/>
        <w:gridCol w:w="622"/>
        <w:gridCol w:w="617"/>
        <w:gridCol w:w="617"/>
        <w:gridCol w:w="620"/>
        <w:gridCol w:w="590"/>
        <w:gridCol w:w="593"/>
        <w:gridCol w:w="694"/>
        <w:gridCol w:w="689"/>
        <w:gridCol w:w="691"/>
        <w:gridCol w:w="667"/>
      </w:tblGrid>
      <w:tr>
        <w:trPr>
          <w:trHeight w:val="2235" w:hRule="exact"/>
        </w:trPr>
        <w:tc>
          <w:tcPr>
            <w:tcW w:w="65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48"/>
              <w:jc w:val="both"/>
              <w:rPr>
                <w:rFonts w:ascii="宋体" w:hAnsi="宋体" w:cs="宋体" w:eastAsia="宋体" w:hint="default"/>
                <w:sz w:val="18"/>
                <w:szCs w:val="18"/>
              </w:rPr>
            </w:pPr>
            <w:r>
              <w:rPr>
                <w:rFonts w:ascii="宋体" w:hAnsi="宋体" w:cs="宋体" w:eastAsia="宋体" w:hint="default"/>
                <w:sz w:val="18"/>
                <w:szCs w:val="18"/>
              </w:rPr>
              <w:t>持股 比例 由</w:t>
            </w:r>
          </w:p>
          <w:p>
            <w:pPr>
              <w:pStyle w:val="TableParagraph"/>
              <w:spacing w:line="240" w:lineRule="auto" w:before="61"/>
              <w:ind w:left="23" w:right="0"/>
              <w:jc w:val="both"/>
              <w:rPr>
                <w:rFonts w:ascii="Times New Roman" w:hAnsi="Times New Roman" w:cs="Times New Roman" w:eastAsia="Times New Roman" w:hint="default"/>
                <w:sz w:val="18"/>
                <w:szCs w:val="18"/>
              </w:rPr>
            </w:pPr>
            <w:r>
              <w:rPr>
                <w:rFonts w:ascii="Times New Roman"/>
                <w:sz w:val="18"/>
              </w:rPr>
              <w:t>14.52</w:t>
            </w:r>
          </w:p>
          <w:p>
            <w:pPr>
              <w:pStyle w:val="TableParagraph"/>
              <w:spacing w:line="340" w:lineRule="auto" w:before="63"/>
              <w:ind w:left="23" w:right="4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增至</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15.65</w:t>
            </w:r>
          </w:p>
          <w:p>
            <w:pPr>
              <w:pStyle w:val="TableParagraph"/>
              <w:spacing w:line="228"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93"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91"/>
              <w:jc w:val="both"/>
              <w:rPr>
                <w:rFonts w:ascii="宋体" w:hAnsi="宋体" w:cs="宋体" w:eastAsia="宋体" w:hint="default"/>
                <w:sz w:val="18"/>
                <w:szCs w:val="18"/>
              </w:rPr>
            </w:pPr>
            <w:r>
              <w:rPr>
                <w:rFonts w:ascii="宋体" w:hAnsi="宋体" w:cs="宋体" w:eastAsia="宋体" w:hint="default"/>
                <w:sz w:val="18"/>
                <w:szCs w:val="18"/>
              </w:rPr>
              <w:t>限公司 的对外 投资公 告》</w:t>
            </w:r>
          </w:p>
        </w:tc>
      </w:tr>
      <w:tr>
        <w:trPr>
          <w:trHeight w:val="4770"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24" w:right="80"/>
              <w:jc w:val="left"/>
              <w:rPr>
                <w:rFonts w:ascii="宋体" w:hAnsi="宋体" w:cs="宋体" w:eastAsia="宋体" w:hint="default"/>
                <w:sz w:val="18"/>
                <w:szCs w:val="18"/>
              </w:rPr>
            </w:pPr>
            <w:r>
              <w:rPr>
                <w:rFonts w:ascii="宋体" w:hAnsi="宋体" w:cs="宋体" w:eastAsia="宋体" w:hint="default"/>
                <w:sz w:val="18"/>
                <w:szCs w:val="18"/>
              </w:rPr>
              <w:t>前海友 胜</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3" w:right="74"/>
              <w:jc w:val="left"/>
              <w:rPr>
                <w:rFonts w:ascii="宋体" w:hAnsi="宋体" w:cs="宋体" w:eastAsia="宋体" w:hint="default"/>
                <w:sz w:val="18"/>
                <w:szCs w:val="18"/>
              </w:rPr>
            </w:pPr>
            <w:r>
              <w:rPr>
                <w:rFonts w:ascii="宋体" w:hAnsi="宋体" w:cs="宋体" w:eastAsia="宋体" w:hint="default"/>
                <w:sz w:val="18"/>
                <w:szCs w:val="18"/>
              </w:rPr>
              <w:t>受托资 产管 理；投 资管理</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161" w:right="0"/>
              <w:jc w:val="center"/>
              <w:rPr>
                <w:rFonts w:ascii="Times New Roman" w:hAnsi="Times New Roman" w:cs="Times New Roman" w:eastAsia="Times New Roman" w:hint="default"/>
                <w:sz w:val="18"/>
                <w:szCs w:val="18"/>
              </w:rPr>
            </w:pPr>
            <w:r>
              <w:rPr>
                <w:rFonts w:ascii="Times New Roman"/>
                <w:sz w:val="18"/>
              </w:rPr>
              <w:t>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4" w:right="41"/>
              <w:jc w:val="both"/>
              <w:rPr>
                <w:rFonts w:ascii="宋体" w:hAnsi="宋体" w:cs="宋体" w:eastAsia="宋体" w:hint="default"/>
                <w:sz w:val="18"/>
                <w:szCs w:val="18"/>
              </w:rPr>
            </w:pPr>
            <w:r>
              <w:rPr>
                <w:rFonts w:ascii="宋体" w:hAnsi="宋体" w:cs="宋体" w:eastAsia="宋体" w:hint="default"/>
                <w:sz w:val="18"/>
                <w:szCs w:val="18"/>
              </w:rPr>
              <w:t>和盛资 本、吴 钢</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23" w:right="45"/>
              <w:jc w:val="left"/>
              <w:rPr>
                <w:rFonts w:ascii="宋体" w:hAnsi="宋体" w:cs="宋体" w:eastAsia="宋体" w:hint="default"/>
                <w:sz w:val="18"/>
                <w:szCs w:val="18"/>
              </w:rPr>
            </w:pPr>
            <w:r>
              <w:rPr>
                <w:rFonts w:ascii="宋体" w:hAnsi="宋体" w:cs="宋体" w:eastAsia="宋体" w:hint="default"/>
                <w:sz w:val="18"/>
                <w:szCs w:val="18"/>
              </w:rPr>
              <w:t>基金管 理</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40" w:lineRule="auto"/>
              <w:ind w:left="23" w:right="193"/>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 已于 </w:t>
            </w:r>
            <w:r>
              <w:rPr>
                <w:rFonts w:ascii="Times New Roman" w:hAnsi="Times New Roman" w:cs="Times New Roman" w:eastAsia="Times New Roman" w:hint="default"/>
                <w:sz w:val="18"/>
                <w:szCs w:val="18"/>
              </w:rPr>
              <w:t>2018</w:t>
            </w:r>
          </w:p>
          <w:p>
            <w:pPr>
              <w:pStyle w:val="TableParagraph"/>
              <w:spacing w:line="228"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3-4</w:t>
            </w:r>
          </w:p>
          <w:p>
            <w:pPr>
              <w:pStyle w:val="TableParagraph"/>
              <w:spacing w:line="316" w:lineRule="auto" w:before="63"/>
              <w:ind w:left="23" w:right="14"/>
              <w:jc w:val="left"/>
              <w:rPr>
                <w:rFonts w:ascii="宋体" w:hAnsi="宋体" w:cs="宋体" w:eastAsia="宋体" w:hint="default"/>
                <w:sz w:val="18"/>
                <w:szCs w:val="18"/>
              </w:rPr>
            </w:pPr>
            <w:r>
              <w:rPr>
                <w:rFonts w:ascii="宋体" w:hAnsi="宋体" w:cs="宋体" w:eastAsia="宋体" w:hint="default"/>
                <w:sz w:val="18"/>
                <w:szCs w:val="18"/>
              </w:rPr>
              <w:t>月完 成注 册资 本缴 款及 工商 变更。</w:t>
            </w:r>
          </w:p>
        </w:tc>
        <w:tc>
          <w:tcPr>
            <w:tcW w:w="593"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讯网刊 登的 </w:t>
            </w:r>
            <w:r>
              <w:rPr>
                <w:rFonts w:ascii="Times New Roman" w:hAnsi="Times New Roman" w:cs="Times New Roman" w:eastAsia="Times New Roman" w:hint="default"/>
                <w:sz w:val="18"/>
                <w:szCs w:val="18"/>
              </w:rPr>
              <w:t>2018-02</w:t>
            </w:r>
          </w:p>
          <w:p>
            <w:pPr>
              <w:pStyle w:val="TableParagraph"/>
              <w:spacing w:line="316" w:lineRule="auto" w:before="40"/>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w:t>
            </w:r>
            <w:r>
              <w:rPr>
                <w:rFonts w:ascii="宋体" w:hAnsi="宋体" w:cs="宋体" w:eastAsia="宋体" w:hint="default"/>
                <w:sz w:val="18"/>
                <w:szCs w:val="18"/>
              </w:rPr>
              <w:t> 关于参 股深圳 市前海 友胜资 本管理 有限公 司暨对 外投资 的公 告》</w:t>
            </w:r>
          </w:p>
        </w:tc>
      </w:tr>
      <w:tr>
        <w:trPr>
          <w:trHeight w:val="4460"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4" w:right="80"/>
              <w:jc w:val="left"/>
              <w:rPr>
                <w:rFonts w:ascii="宋体" w:hAnsi="宋体" w:cs="宋体" w:eastAsia="宋体" w:hint="default"/>
                <w:sz w:val="18"/>
                <w:szCs w:val="18"/>
              </w:rPr>
            </w:pPr>
            <w:r>
              <w:rPr>
                <w:rFonts w:ascii="宋体" w:hAnsi="宋体" w:cs="宋体" w:eastAsia="宋体" w:hint="default"/>
                <w:sz w:val="18"/>
                <w:szCs w:val="18"/>
              </w:rPr>
              <w:t>湖北神 狐</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业</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务</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000.00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18.75%</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业</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务</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38" w:lineRule="auto"/>
              <w:ind w:left="23" w:right="193"/>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 于 </w:t>
            </w:r>
            <w:r>
              <w:rPr>
                <w:rFonts w:ascii="Times New Roman" w:hAnsi="Times New Roman" w:cs="Times New Roman" w:eastAsia="Times New Roman" w:hint="default"/>
                <w:sz w:val="18"/>
                <w:szCs w:val="18"/>
              </w:rPr>
              <w:t>2018</w:t>
            </w:r>
          </w:p>
          <w:p>
            <w:pPr>
              <w:pStyle w:val="TableParagraph"/>
              <w:spacing w:line="230" w:lineRule="exact"/>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2" w:lineRule="exact" w:before="23"/>
              <w:ind w:left="23" w:right="14"/>
              <w:jc w:val="left"/>
              <w:rPr>
                <w:rFonts w:ascii="Times New Roman" w:hAnsi="Times New Roman" w:cs="Times New Roman" w:eastAsia="Times New Roman" w:hint="default"/>
                <w:sz w:val="18"/>
                <w:szCs w:val="18"/>
              </w:rPr>
            </w:pPr>
            <w:r>
              <w:rPr>
                <w:rFonts w:ascii="宋体" w:hAnsi="宋体" w:cs="宋体" w:eastAsia="宋体" w:hint="default"/>
                <w:sz w:val="18"/>
                <w:szCs w:val="18"/>
              </w:rPr>
              <w:t>完成 工商 变更， </w:t>
            </w:r>
            <w:r>
              <w:rPr>
                <w:rFonts w:ascii="Times New Roman" w:hAnsi="Times New Roman" w:cs="Times New Roman" w:eastAsia="Times New Roman" w:hint="default"/>
                <w:sz w:val="18"/>
                <w:szCs w:val="18"/>
              </w:rPr>
              <w:t>2018</w:t>
            </w:r>
          </w:p>
          <w:p>
            <w:pPr>
              <w:pStyle w:val="TableParagraph"/>
              <w:spacing w:line="314" w:lineRule="auto" w:before="39"/>
              <w:ind w:left="23" w:right="17"/>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已完 成增 资款 缴纳</w:t>
            </w:r>
          </w:p>
        </w:tc>
        <w:tc>
          <w:tcPr>
            <w:tcW w:w="593"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讯网刊 登的 </w:t>
            </w:r>
            <w:r>
              <w:rPr>
                <w:rFonts w:ascii="Times New Roman" w:hAnsi="Times New Roman" w:cs="Times New Roman" w:eastAsia="Times New Roman" w:hint="default"/>
                <w:sz w:val="18"/>
                <w:szCs w:val="18"/>
              </w:rPr>
              <w:t>2018-05</w:t>
            </w:r>
          </w:p>
          <w:p>
            <w:pPr>
              <w:pStyle w:val="TableParagraph"/>
              <w:spacing w:line="316" w:lineRule="auto" w:before="39"/>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《公司</w:t>
            </w:r>
            <w:r>
              <w:rPr>
                <w:rFonts w:ascii="宋体" w:hAnsi="宋体" w:cs="宋体" w:eastAsia="宋体" w:hint="default"/>
                <w:sz w:val="18"/>
                <w:szCs w:val="18"/>
              </w:rPr>
              <w:t> 关于增 资参股 湖北神 狐时代 云科技 有限公 司的对 外投资 公告》</w:t>
            </w:r>
          </w:p>
        </w:tc>
      </w:tr>
      <w:tr>
        <w:trPr>
          <w:trHeight w:val="2235"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4" w:lineRule="auto"/>
              <w:ind w:left="24" w:right="80"/>
              <w:jc w:val="left"/>
              <w:rPr>
                <w:rFonts w:ascii="宋体" w:hAnsi="宋体" w:cs="宋体" w:eastAsia="宋体" w:hint="default"/>
                <w:sz w:val="18"/>
                <w:szCs w:val="18"/>
              </w:rPr>
            </w:pPr>
            <w:r>
              <w:rPr>
                <w:rFonts w:ascii="宋体" w:hAnsi="宋体" w:cs="宋体" w:eastAsia="宋体" w:hint="default"/>
                <w:sz w:val="18"/>
                <w:szCs w:val="18"/>
              </w:rPr>
              <w:t>盛灿科 技</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34"/>
              <w:ind w:left="23" w:right="74"/>
              <w:jc w:val="left"/>
              <w:rPr>
                <w:rFonts w:ascii="宋体" w:hAnsi="宋体" w:cs="宋体" w:eastAsia="宋体" w:hint="default"/>
                <w:sz w:val="18"/>
                <w:szCs w:val="18"/>
              </w:rPr>
            </w:pPr>
            <w:r>
              <w:rPr>
                <w:rFonts w:ascii="宋体" w:hAnsi="宋体" w:cs="宋体" w:eastAsia="宋体" w:hint="default"/>
                <w:sz w:val="18"/>
                <w:szCs w:val="18"/>
              </w:rPr>
              <w:t>定制化 的</w:t>
            </w:r>
            <w:r>
              <w:rPr>
                <w:rFonts w:ascii="Times New Roman" w:hAnsi="Times New Roman" w:cs="Times New Roman" w:eastAsia="Times New Roman" w:hint="default"/>
                <w:sz w:val="18"/>
                <w:szCs w:val="18"/>
              </w:rPr>
              <w:t>“</w:t>
            </w:r>
            <w:r>
              <w:rPr>
                <w:rFonts w:ascii="宋体" w:hAnsi="宋体" w:cs="宋体" w:eastAsia="宋体" w:hint="default"/>
                <w:sz w:val="18"/>
                <w:szCs w:val="18"/>
              </w:rPr>
              <w:t>互 联网</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w w:val="100"/>
                <w:sz w:val="18"/>
                <w:szCs w:val="18"/>
              </w:rPr>
              <w:t> </w:t>
            </w:r>
            <w:r>
              <w:rPr>
                <w:rFonts w:ascii="宋体" w:hAnsi="宋体" w:cs="宋体" w:eastAsia="宋体" w:hint="default"/>
                <w:sz w:val="18"/>
                <w:szCs w:val="18"/>
              </w:rPr>
              <w:t>解决方 案</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20,002,</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921.23</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12.58%</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4"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4" w:lineRule="auto"/>
              <w:ind w:left="24" w:right="41"/>
              <w:jc w:val="left"/>
              <w:rPr>
                <w:rFonts w:ascii="宋体" w:hAnsi="宋体" w:cs="宋体" w:eastAsia="宋体" w:hint="default"/>
                <w:sz w:val="18"/>
                <w:szCs w:val="18"/>
              </w:rPr>
            </w:pPr>
            <w:r>
              <w:rPr>
                <w:rFonts w:ascii="宋体" w:hAnsi="宋体" w:cs="宋体" w:eastAsia="宋体" w:hint="default"/>
                <w:sz w:val="18"/>
                <w:szCs w:val="18"/>
              </w:rPr>
              <w:t>林芝腾 讯</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34"/>
              <w:ind w:left="23" w:right="43"/>
              <w:jc w:val="left"/>
              <w:rPr>
                <w:rFonts w:ascii="宋体" w:hAnsi="宋体" w:cs="宋体" w:eastAsia="宋体" w:hint="default"/>
                <w:sz w:val="18"/>
                <w:szCs w:val="18"/>
              </w:rPr>
            </w:pPr>
            <w:r>
              <w:rPr>
                <w:rFonts w:ascii="宋体" w:hAnsi="宋体" w:cs="宋体" w:eastAsia="宋体" w:hint="default"/>
                <w:sz w:val="18"/>
                <w:szCs w:val="18"/>
              </w:rPr>
              <w:t>定制化 的</w:t>
            </w:r>
            <w:r>
              <w:rPr>
                <w:rFonts w:ascii="Times New Roman" w:hAnsi="Times New Roman" w:cs="Times New Roman" w:eastAsia="Times New Roman" w:hint="default"/>
                <w:sz w:val="18"/>
                <w:szCs w:val="18"/>
              </w:rPr>
              <w:t>“</w:t>
            </w:r>
            <w:r>
              <w:rPr>
                <w:rFonts w:ascii="宋体" w:hAnsi="宋体" w:cs="宋体" w:eastAsia="宋体" w:hint="default"/>
                <w:sz w:val="18"/>
                <w:szCs w:val="18"/>
              </w:rPr>
              <w:t>互 联网</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w w:val="100"/>
                <w:sz w:val="18"/>
                <w:szCs w:val="18"/>
              </w:rPr>
              <w:t> </w:t>
            </w:r>
            <w:r>
              <w:rPr>
                <w:rFonts w:ascii="宋体" w:hAnsi="宋体" w:cs="宋体" w:eastAsia="宋体" w:hint="default"/>
                <w:sz w:val="18"/>
                <w:szCs w:val="18"/>
              </w:rPr>
              <w:t>解决方 案</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193"/>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 已于 </w:t>
            </w:r>
            <w:r>
              <w:rPr>
                <w:rFonts w:ascii="Times New Roman" w:hAnsi="Times New Roman" w:cs="Times New Roman" w:eastAsia="Times New Roman" w:hint="default"/>
                <w:sz w:val="18"/>
                <w:szCs w:val="18"/>
              </w:rPr>
              <w:t>2018</w:t>
            </w:r>
          </w:p>
          <w:p>
            <w:pPr>
              <w:pStyle w:val="TableParagraph"/>
              <w:spacing w:line="230" w:lineRule="exact"/>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319" w:lineRule="auto" w:before="63"/>
              <w:ind w:left="23" w:right="194"/>
              <w:jc w:val="both"/>
              <w:rPr>
                <w:rFonts w:ascii="宋体" w:hAnsi="宋体" w:cs="宋体" w:eastAsia="宋体" w:hint="default"/>
                <w:sz w:val="18"/>
                <w:szCs w:val="18"/>
              </w:rPr>
            </w:pPr>
            <w:r>
              <w:rPr>
                <w:rFonts w:ascii="宋体" w:hAnsi="宋体" w:cs="宋体" w:eastAsia="宋体" w:hint="default"/>
                <w:sz w:val="18"/>
                <w:szCs w:val="18"/>
              </w:rPr>
              <w:t>月完 成注 册资</w:t>
            </w:r>
          </w:p>
        </w:tc>
        <w:tc>
          <w:tcPr>
            <w:tcW w:w="593"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338,023.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71</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讯网刊 登的 </w:t>
            </w:r>
            <w:r>
              <w:rPr>
                <w:rFonts w:ascii="Times New Roman" w:hAnsi="Times New Roman" w:cs="Times New Roman" w:eastAsia="Times New Roman" w:hint="default"/>
                <w:sz w:val="18"/>
                <w:szCs w:val="18"/>
              </w:rPr>
              <w:t>2018-12</w:t>
            </w:r>
          </w:p>
          <w:p>
            <w:pPr>
              <w:pStyle w:val="TableParagraph"/>
              <w:spacing w:line="309" w:lineRule="auto" w:before="39"/>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《公司</w:t>
            </w:r>
            <w:r>
              <w:rPr>
                <w:rFonts w:ascii="宋体" w:hAnsi="宋体" w:cs="宋体" w:eastAsia="宋体" w:hint="default"/>
                <w:sz w:val="18"/>
                <w:szCs w:val="18"/>
              </w:rPr>
              <w:t> 关于增 资参股</w:t>
            </w:r>
          </w:p>
        </w:tc>
      </w:tr>
    </w:tbl>
    <w:p>
      <w:pPr>
        <w:spacing w:after="0" w:line="309"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56"/>
        <w:gridCol w:w="650"/>
        <w:gridCol w:w="622"/>
        <w:gridCol w:w="624"/>
        <w:gridCol w:w="622"/>
        <w:gridCol w:w="622"/>
        <w:gridCol w:w="617"/>
        <w:gridCol w:w="617"/>
        <w:gridCol w:w="620"/>
        <w:gridCol w:w="590"/>
        <w:gridCol w:w="593"/>
        <w:gridCol w:w="694"/>
        <w:gridCol w:w="689"/>
        <w:gridCol w:w="691"/>
        <w:gridCol w:w="667"/>
      </w:tblGrid>
      <w:tr>
        <w:trPr>
          <w:trHeight w:val="5043" w:hRule="exact"/>
        </w:trPr>
        <w:tc>
          <w:tcPr>
            <w:tcW w:w="65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8"/>
              <w:ind w:left="23" w:right="193"/>
              <w:jc w:val="both"/>
              <w:rPr>
                <w:rFonts w:ascii="Times New Roman" w:hAnsi="Times New Roman" w:cs="Times New Roman" w:eastAsia="Times New Roman" w:hint="default"/>
                <w:sz w:val="18"/>
                <w:szCs w:val="18"/>
              </w:rPr>
            </w:pPr>
            <w:r>
              <w:rPr>
                <w:rFonts w:ascii="宋体" w:hAnsi="宋体" w:cs="宋体" w:eastAsia="宋体" w:hint="default"/>
                <w:sz w:val="18"/>
                <w:szCs w:val="18"/>
              </w:rPr>
              <w:t>本缴 款， </w:t>
            </w:r>
            <w:r>
              <w:rPr>
                <w:rFonts w:ascii="Times New Roman" w:hAnsi="Times New Roman" w:cs="Times New Roman" w:eastAsia="Times New Roman" w:hint="default"/>
                <w:sz w:val="18"/>
                <w:szCs w:val="18"/>
              </w:rPr>
              <w:t>2019</w:t>
            </w:r>
          </w:p>
          <w:p>
            <w:pPr>
              <w:pStyle w:val="TableParagraph"/>
              <w:spacing w:line="230" w:lineRule="exact"/>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6" w:lineRule="auto" w:before="63"/>
              <w:ind w:left="23" w:right="14"/>
              <w:jc w:val="left"/>
              <w:rPr>
                <w:rFonts w:ascii="宋体" w:hAnsi="宋体" w:cs="宋体" w:eastAsia="宋体" w:hint="default"/>
                <w:sz w:val="18"/>
                <w:szCs w:val="18"/>
              </w:rPr>
            </w:pPr>
            <w:r>
              <w:rPr>
                <w:rFonts w:ascii="宋体" w:hAnsi="宋体" w:cs="宋体" w:eastAsia="宋体" w:hint="default"/>
                <w:sz w:val="18"/>
                <w:szCs w:val="18"/>
              </w:rPr>
              <w:t>完成 工商 变更。 增资 完成 后持 股比 例由</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8.33%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增至</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12.58</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93"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91"/>
              <w:jc w:val="left"/>
              <w:rPr>
                <w:rFonts w:ascii="宋体" w:hAnsi="宋体" w:cs="宋体" w:eastAsia="宋体" w:hint="default"/>
                <w:sz w:val="18"/>
                <w:szCs w:val="18"/>
              </w:rPr>
            </w:pPr>
            <w:r>
              <w:rPr>
                <w:rFonts w:ascii="宋体" w:hAnsi="宋体" w:cs="宋体" w:eastAsia="宋体" w:hint="default"/>
                <w:sz w:val="18"/>
                <w:szCs w:val="18"/>
              </w:rPr>
              <w:t>深圳盛 灿科技 股份有 限公司 的公 告》</w:t>
            </w:r>
          </w:p>
        </w:tc>
      </w:tr>
      <w:tr>
        <w:trPr>
          <w:trHeight w:val="3521"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9" w:lineRule="auto"/>
              <w:ind w:left="24" w:right="80"/>
              <w:jc w:val="both"/>
              <w:rPr>
                <w:rFonts w:ascii="宋体" w:hAnsi="宋体" w:cs="宋体" w:eastAsia="宋体" w:hint="default"/>
                <w:sz w:val="18"/>
                <w:szCs w:val="18"/>
              </w:rPr>
            </w:pPr>
            <w:r>
              <w:rPr>
                <w:rFonts w:ascii="宋体" w:hAnsi="宋体" w:cs="宋体" w:eastAsia="宋体" w:hint="default"/>
                <w:sz w:val="18"/>
                <w:szCs w:val="18"/>
              </w:rPr>
              <w:t>长沙证 通云计 算</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w:t>
            </w:r>
          </w:p>
          <w:p>
            <w:pPr>
              <w:pStyle w:val="TableParagraph"/>
              <w:spacing w:line="316" w:lineRule="auto" w:before="63"/>
              <w:ind w:left="23" w:right="74"/>
              <w:jc w:val="left"/>
              <w:rPr>
                <w:rFonts w:ascii="宋体" w:hAnsi="宋体" w:cs="宋体" w:eastAsia="宋体" w:hint="default"/>
                <w:sz w:val="18"/>
                <w:szCs w:val="18"/>
              </w:rPr>
            </w:pPr>
            <w:r>
              <w:rPr>
                <w:rFonts w:ascii="宋体" w:hAnsi="宋体" w:cs="宋体" w:eastAsia="宋体" w:hint="default"/>
                <w:sz w:val="18"/>
                <w:szCs w:val="18"/>
              </w:rPr>
              <w:t>云计算 业务</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000.00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w:t>
            </w:r>
          </w:p>
          <w:p>
            <w:pPr>
              <w:pStyle w:val="TableParagraph"/>
              <w:spacing w:line="316" w:lineRule="auto" w:before="63"/>
              <w:ind w:left="23" w:right="45"/>
              <w:jc w:val="left"/>
              <w:rPr>
                <w:rFonts w:ascii="宋体" w:hAnsi="宋体" w:cs="宋体" w:eastAsia="宋体" w:hint="default"/>
                <w:sz w:val="18"/>
                <w:szCs w:val="18"/>
              </w:rPr>
            </w:pPr>
            <w:r>
              <w:rPr>
                <w:rFonts w:ascii="宋体" w:hAnsi="宋体" w:cs="宋体" w:eastAsia="宋体" w:hint="default"/>
                <w:sz w:val="18"/>
                <w:szCs w:val="18"/>
              </w:rPr>
              <w:t>云计算 业务</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38" w:lineRule="auto"/>
              <w:ind w:left="23" w:right="193"/>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 已于 </w:t>
            </w:r>
            <w:r>
              <w:rPr>
                <w:rFonts w:ascii="Times New Roman" w:hAnsi="Times New Roman" w:cs="Times New Roman" w:eastAsia="Times New Roman" w:hint="default"/>
                <w:sz w:val="18"/>
                <w:szCs w:val="18"/>
              </w:rPr>
              <w:t>2018</w:t>
            </w:r>
          </w:p>
          <w:p>
            <w:pPr>
              <w:pStyle w:val="TableParagraph"/>
              <w:spacing w:line="230" w:lineRule="exact"/>
              <w:ind w:left="23"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6" w:lineRule="auto" w:before="63"/>
              <w:ind w:left="23" w:right="194"/>
              <w:jc w:val="both"/>
              <w:rPr>
                <w:rFonts w:ascii="宋体" w:hAnsi="宋体" w:cs="宋体" w:eastAsia="宋体" w:hint="default"/>
                <w:sz w:val="18"/>
                <w:szCs w:val="18"/>
              </w:rPr>
            </w:pPr>
            <w:r>
              <w:rPr>
                <w:rFonts w:ascii="宋体" w:hAnsi="宋体" w:cs="宋体" w:eastAsia="宋体" w:hint="default"/>
                <w:sz w:val="18"/>
                <w:szCs w:val="18"/>
              </w:rPr>
              <w:t>完成 增资 款缴 纳。</w:t>
            </w:r>
          </w:p>
        </w:tc>
        <w:tc>
          <w:tcPr>
            <w:tcW w:w="593"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859,668.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03</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讯网刊 登的 </w:t>
            </w:r>
            <w:r>
              <w:rPr>
                <w:rFonts w:ascii="Times New Roman" w:hAnsi="Times New Roman" w:cs="Times New Roman" w:eastAsia="Times New Roman" w:hint="default"/>
                <w:sz w:val="18"/>
                <w:szCs w:val="18"/>
              </w:rPr>
              <w:t>2017-00</w:t>
            </w:r>
          </w:p>
          <w:p>
            <w:pPr>
              <w:pStyle w:val="TableParagraph"/>
              <w:spacing w:line="314" w:lineRule="auto" w:before="39"/>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7</w:t>
            </w:r>
            <w:r>
              <w:rPr>
                <w:rFonts w:ascii="宋体" w:hAnsi="宋体" w:cs="宋体" w:eastAsia="宋体" w:hint="default"/>
                <w:spacing w:val="-4"/>
                <w:sz w:val="18"/>
                <w:szCs w:val="18"/>
              </w:rPr>
              <w:t>《公司</w:t>
            </w:r>
            <w:r>
              <w:rPr>
                <w:rFonts w:ascii="宋体" w:hAnsi="宋体" w:cs="宋体" w:eastAsia="宋体" w:hint="default"/>
                <w:sz w:val="18"/>
                <w:szCs w:val="18"/>
              </w:rPr>
              <w:t> 关于使 用募集 资金对 子公司 增资的 公告》</w:t>
            </w:r>
          </w:p>
        </w:tc>
      </w:tr>
      <w:tr>
        <w:trPr>
          <w:trHeight w:val="5043"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4"/>
              <w:ind w:left="24" w:right="80"/>
              <w:jc w:val="left"/>
              <w:rPr>
                <w:rFonts w:ascii="宋体" w:hAnsi="宋体" w:cs="宋体" w:eastAsia="宋体" w:hint="default"/>
                <w:sz w:val="18"/>
                <w:szCs w:val="18"/>
              </w:rPr>
            </w:pPr>
            <w:r>
              <w:rPr>
                <w:rFonts w:ascii="宋体" w:hAnsi="宋体" w:cs="宋体" w:eastAsia="宋体" w:hint="default"/>
                <w:sz w:val="18"/>
                <w:szCs w:val="18"/>
              </w:rPr>
              <w:t>证通网 络</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社区</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O2O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金</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融服务</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000.00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4"/>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社区</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O2O</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金</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融服务</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38" w:lineRule="auto"/>
              <w:ind w:left="23" w:right="193"/>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 已于 </w:t>
            </w:r>
            <w:r>
              <w:rPr>
                <w:rFonts w:ascii="Times New Roman" w:hAnsi="Times New Roman" w:cs="Times New Roman" w:eastAsia="Times New Roman" w:hint="default"/>
                <w:sz w:val="18"/>
                <w:szCs w:val="18"/>
              </w:rPr>
              <w:t>2018</w:t>
            </w:r>
          </w:p>
          <w:p>
            <w:pPr>
              <w:pStyle w:val="TableParagraph"/>
              <w:spacing w:line="231" w:lineRule="exact"/>
              <w:ind w:left="23"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2" w:lineRule="exact" w:before="23"/>
              <w:ind w:left="23" w:right="146"/>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缴纳 剩余 未支 付的 注册 资本 </w:t>
            </w:r>
            <w:r>
              <w:rPr>
                <w:rFonts w:ascii="Times New Roman" w:hAnsi="Times New Roman" w:cs="Times New Roman" w:eastAsia="Times New Roman" w:hint="default"/>
                <w:sz w:val="18"/>
                <w:szCs w:val="18"/>
              </w:rPr>
              <w:t>2000</w:t>
            </w:r>
          </w:p>
          <w:p>
            <w:pPr>
              <w:pStyle w:val="TableParagraph"/>
              <w:spacing w:line="240" w:lineRule="auto" w:before="39"/>
              <w:ind w:left="23" w:right="0"/>
              <w:jc w:val="both"/>
              <w:rPr>
                <w:rFonts w:ascii="宋体" w:hAnsi="宋体" w:cs="宋体" w:eastAsia="宋体" w:hint="default"/>
                <w:sz w:val="18"/>
                <w:szCs w:val="18"/>
              </w:rPr>
            </w:pPr>
            <w:r>
              <w:rPr>
                <w:rFonts w:ascii="宋体" w:hAnsi="宋体" w:cs="宋体" w:eastAsia="宋体" w:hint="default"/>
                <w:sz w:val="18"/>
                <w:szCs w:val="18"/>
              </w:rPr>
              <w:t>万。</w:t>
            </w:r>
          </w:p>
        </w:tc>
        <w:tc>
          <w:tcPr>
            <w:tcW w:w="593"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-4,942,3</w:t>
            </w:r>
          </w:p>
          <w:p>
            <w:pPr>
              <w:pStyle w:val="TableParagraph"/>
              <w:spacing w:line="240" w:lineRule="auto" w:before="105"/>
              <w:ind w:left="231" w:right="0"/>
              <w:jc w:val="center"/>
              <w:rPr>
                <w:rFonts w:ascii="Times New Roman" w:hAnsi="Times New Roman" w:cs="Times New Roman" w:eastAsia="Times New Roman" w:hint="default"/>
                <w:sz w:val="18"/>
                <w:szCs w:val="18"/>
              </w:rPr>
            </w:pPr>
            <w:r>
              <w:rPr>
                <w:rFonts w:ascii="Times New Roman"/>
                <w:sz w:val="18"/>
              </w:rPr>
              <w:t>46.84</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讯网刊 登的 </w:t>
            </w:r>
            <w:r>
              <w:rPr>
                <w:rFonts w:ascii="Times New Roman" w:hAnsi="Times New Roman" w:cs="Times New Roman" w:eastAsia="Times New Roman" w:hint="default"/>
                <w:sz w:val="18"/>
                <w:szCs w:val="18"/>
              </w:rPr>
              <w:t>2015-05</w:t>
            </w:r>
          </w:p>
          <w:p>
            <w:pPr>
              <w:pStyle w:val="TableParagraph"/>
              <w:spacing w:line="316" w:lineRule="auto" w:before="40"/>
              <w:ind w:left="2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pacing w:val="-21"/>
                <w:sz w:val="18"/>
                <w:szCs w:val="18"/>
              </w:rPr>
              <w:t>号《公</w:t>
            </w:r>
            <w:r>
              <w:rPr>
                <w:rFonts w:ascii="宋体" w:hAnsi="宋体" w:cs="宋体" w:eastAsia="宋体" w:hint="default"/>
                <w:sz w:val="18"/>
                <w:szCs w:val="18"/>
              </w:rPr>
              <w:t> 司关于 对广州 佩博利 思电子 科技有 限公司 增资并 设立孙 公司的 对外投 资公</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56"/>
        <w:gridCol w:w="650"/>
        <w:gridCol w:w="622"/>
        <w:gridCol w:w="624"/>
        <w:gridCol w:w="622"/>
        <w:gridCol w:w="622"/>
        <w:gridCol w:w="617"/>
        <w:gridCol w:w="617"/>
        <w:gridCol w:w="620"/>
        <w:gridCol w:w="590"/>
        <w:gridCol w:w="593"/>
        <w:gridCol w:w="694"/>
        <w:gridCol w:w="689"/>
        <w:gridCol w:w="691"/>
        <w:gridCol w:w="667"/>
      </w:tblGrid>
      <w:tr>
        <w:trPr>
          <w:trHeight w:val="363" w:hRule="exact"/>
        </w:trPr>
        <w:tc>
          <w:tcPr>
            <w:tcW w:w="65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71"/>
              <w:jc w:val="right"/>
              <w:rPr>
                <w:rFonts w:ascii="宋体" w:hAnsi="宋体" w:cs="宋体" w:eastAsia="宋体" w:hint="default"/>
                <w:sz w:val="18"/>
                <w:szCs w:val="18"/>
              </w:rPr>
            </w:pPr>
            <w:r>
              <w:rPr>
                <w:rFonts w:ascii="宋体" w:hAnsi="宋体" w:cs="宋体" w:eastAsia="宋体" w:hint="default"/>
                <w:sz w:val="18"/>
                <w:szCs w:val="18"/>
              </w:rPr>
              <w:t>告》</w:t>
            </w:r>
          </w:p>
        </w:tc>
      </w:tr>
      <w:tr>
        <w:trPr>
          <w:trHeight w:val="5705"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4" w:right="80"/>
              <w:jc w:val="left"/>
              <w:rPr>
                <w:rFonts w:ascii="宋体" w:hAnsi="宋体" w:cs="宋体" w:eastAsia="宋体" w:hint="default"/>
                <w:sz w:val="18"/>
                <w:szCs w:val="18"/>
              </w:rPr>
            </w:pPr>
            <w:r>
              <w:rPr>
                <w:rFonts w:ascii="宋体" w:hAnsi="宋体" w:cs="宋体" w:eastAsia="宋体" w:hint="default"/>
                <w:sz w:val="18"/>
                <w:szCs w:val="18"/>
              </w:rPr>
              <w:t>云硕科 技</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w:t>
            </w:r>
          </w:p>
          <w:p>
            <w:pPr>
              <w:pStyle w:val="TableParagraph"/>
              <w:spacing w:line="319" w:lineRule="auto" w:before="63"/>
              <w:ind w:left="23" w:right="74"/>
              <w:jc w:val="left"/>
              <w:rPr>
                <w:rFonts w:ascii="宋体" w:hAnsi="宋体" w:cs="宋体" w:eastAsia="宋体" w:hint="default"/>
                <w:sz w:val="18"/>
                <w:szCs w:val="18"/>
              </w:rPr>
            </w:pPr>
            <w:r>
              <w:rPr>
                <w:rFonts w:ascii="宋体" w:hAnsi="宋体" w:cs="宋体" w:eastAsia="宋体" w:hint="default"/>
                <w:sz w:val="18"/>
                <w:szCs w:val="18"/>
              </w:rPr>
              <w:t>云计算 业务</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其他</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75,300,</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000.00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21"/>
              <w:jc w:val="right"/>
              <w:rPr>
                <w:rFonts w:ascii="宋体" w:hAnsi="宋体" w:cs="宋体" w:eastAsia="宋体" w:hint="default"/>
                <w:sz w:val="18"/>
                <w:szCs w:val="18"/>
              </w:rPr>
            </w:pPr>
            <w:r>
              <w:rPr>
                <w:rFonts w:ascii="宋体" w:hAnsi="宋体" w:cs="宋体" w:eastAsia="宋体" w:hint="default"/>
                <w:sz w:val="18"/>
                <w:szCs w:val="18"/>
              </w:rPr>
              <w:t>长期</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w:t>
            </w:r>
          </w:p>
          <w:p>
            <w:pPr>
              <w:pStyle w:val="TableParagraph"/>
              <w:spacing w:line="319" w:lineRule="auto" w:before="63"/>
              <w:ind w:left="23" w:right="45"/>
              <w:jc w:val="left"/>
              <w:rPr>
                <w:rFonts w:ascii="宋体" w:hAnsi="宋体" w:cs="宋体" w:eastAsia="宋体" w:hint="default"/>
                <w:sz w:val="18"/>
                <w:szCs w:val="18"/>
              </w:rPr>
            </w:pPr>
            <w:r>
              <w:rPr>
                <w:rFonts w:ascii="宋体" w:hAnsi="宋体" w:cs="宋体" w:eastAsia="宋体" w:hint="default"/>
                <w:sz w:val="18"/>
                <w:szCs w:val="18"/>
              </w:rPr>
              <w:t>云计算 业务</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193"/>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 已于 </w:t>
            </w:r>
            <w:r>
              <w:rPr>
                <w:rFonts w:ascii="Times New Roman" w:hAnsi="Times New Roman" w:cs="Times New Roman" w:eastAsia="Times New Roman" w:hint="default"/>
                <w:sz w:val="18"/>
                <w:szCs w:val="18"/>
              </w:rPr>
              <w:t>2018</w:t>
            </w:r>
          </w:p>
          <w:p>
            <w:pPr>
              <w:pStyle w:val="TableParagraph"/>
              <w:spacing w:line="230"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316" w:lineRule="auto" w:before="63"/>
              <w:ind w:left="23" w:right="14"/>
              <w:jc w:val="left"/>
              <w:rPr>
                <w:rFonts w:ascii="宋体" w:hAnsi="宋体" w:cs="宋体" w:eastAsia="宋体" w:hint="default"/>
                <w:sz w:val="18"/>
                <w:szCs w:val="18"/>
              </w:rPr>
            </w:pPr>
            <w:r>
              <w:rPr>
                <w:rFonts w:ascii="宋体" w:hAnsi="宋体" w:cs="宋体" w:eastAsia="宋体" w:hint="default"/>
                <w:sz w:val="18"/>
                <w:szCs w:val="18"/>
              </w:rPr>
              <w:t>月已 完成 股权 受让 款的 划拨。 收购 完成 后持 股比 例由 </w:t>
            </w:r>
            <w:r>
              <w:rPr>
                <w:rFonts w:ascii="Times New Roman" w:hAnsi="Times New Roman" w:cs="Times New Roman" w:eastAsia="Times New Roman" w:hint="default"/>
                <w:sz w:val="18"/>
                <w:szCs w:val="18"/>
              </w:rPr>
              <w:t>70%</w:t>
            </w:r>
            <w:r>
              <w:rPr>
                <w:rFonts w:ascii="宋体" w:hAnsi="宋体" w:cs="宋体" w:eastAsia="宋体" w:hint="default"/>
                <w:sz w:val="18"/>
                <w:szCs w:val="18"/>
              </w:rPr>
              <w:t>增</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76"/>
              <w:ind w:left="23"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652"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2"/>
                <w:sz w:val="20"/>
                <w:szCs w:val="20"/>
              </w:rPr>
              <w:pict>
                <v:group style="width:29.05pt;height:132.65pt;mso-position-horizontal-relative:char;mso-position-vertical-relative:line" coordorigin="0,0" coordsize="581,2653">
                  <v:group style="position:absolute;left:0;top:0;width:581;height:2653" coordorigin="0,0" coordsize="581,2653">
                    <v:shape style="position:absolute;left:0;top:0;width:581;height:2653" coordorigin="0,0" coordsize="581,2653" path="m0,2652l581,2652,581,0,0,0,0,2652xe" filled="true" fillcolor="#ffffff" stroked="false">
                      <v:path arrowok="t"/>
                      <v:fill type="solid"/>
                    </v:shape>
                  </v:group>
                </v:group>
              </w:pict>
            </w:r>
            <w:r>
              <w:rPr>
                <w:rFonts w:ascii="Times New Roman" w:hAnsi="Times New Roman" w:cs="Times New Roman" w:eastAsia="Times New Roman" w:hint="default"/>
                <w:position w:val="-52"/>
                <w:sz w:val="20"/>
                <w:szCs w:val="20"/>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-12,903,</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250.35</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exact" w:before="114"/>
              <w:ind w:left="24"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讯网刊 登的 </w:t>
            </w:r>
            <w:r>
              <w:rPr>
                <w:rFonts w:ascii="Times New Roman" w:hAnsi="Times New Roman" w:cs="Times New Roman" w:eastAsia="Times New Roman" w:hint="default"/>
                <w:sz w:val="18"/>
                <w:szCs w:val="18"/>
              </w:rPr>
              <w:t>2018-13</w:t>
            </w:r>
          </w:p>
          <w:p>
            <w:pPr>
              <w:pStyle w:val="TableParagraph"/>
              <w:spacing w:line="316" w:lineRule="auto" w:before="39"/>
              <w:ind w:left="2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pacing w:val="-21"/>
                <w:sz w:val="18"/>
                <w:szCs w:val="18"/>
              </w:rPr>
              <w:t>号《公</w:t>
            </w:r>
            <w:r>
              <w:rPr>
                <w:rFonts w:ascii="宋体" w:hAnsi="宋体" w:cs="宋体" w:eastAsia="宋体" w:hint="default"/>
                <w:sz w:val="18"/>
                <w:szCs w:val="18"/>
              </w:rPr>
              <w:t> 司关于 收购控 股子公 司广州 云硕科 技发展 有限公 司剩余 </w:t>
            </w:r>
            <w:r>
              <w:rPr>
                <w:rFonts w:ascii="Times New Roman" w:hAnsi="Times New Roman" w:cs="Times New Roman" w:eastAsia="Times New Roman" w:hint="default"/>
                <w:sz w:val="18"/>
                <w:szCs w:val="18"/>
              </w:rPr>
              <w:t>30%</w:t>
            </w:r>
            <w:r>
              <w:rPr>
                <w:rFonts w:ascii="宋体" w:hAnsi="宋体" w:cs="宋体" w:eastAsia="宋体" w:hint="default"/>
                <w:sz w:val="18"/>
                <w:szCs w:val="18"/>
              </w:rPr>
              <w:t>股</w:t>
            </w:r>
          </w:p>
          <w:p>
            <w:pPr>
              <w:pStyle w:val="TableParagraph"/>
              <w:spacing w:line="316" w:lineRule="auto"/>
              <w:ind w:left="24" w:right="91"/>
              <w:jc w:val="left"/>
              <w:rPr>
                <w:rFonts w:ascii="宋体" w:hAnsi="宋体" w:cs="宋体" w:eastAsia="宋体" w:hint="default"/>
                <w:sz w:val="18"/>
                <w:szCs w:val="18"/>
              </w:rPr>
            </w:pPr>
            <w:r>
              <w:rPr>
                <w:rFonts w:ascii="宋体" w:hAnsi="宋体" w:cs="宋体" w:eastAsia="宋体" w:hint="default"/>
                <w:sz w:val="18"/>
                <w:szCs w:val="18"/>
              </w:rPr>
              <w:t>权的公 告》</w:t>
            </w:r>
          </w:p>
        </w:tc>
      </w:tr>
      <w:tr>
        <w:trPr>
          <w:trHeight w:val="6020"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24" w:right="80"/>
              <w:jc w:val="left"/>
              <w:rPr>
                <w:rFonts w:ascii="宋体" w:hAnsi="宋体" w:cs="宋体" w:eastAsia="宋体" w:hint="default"/>
                <w:sz w:val="18"/>
                <w:szCs w:val="18"/>
              </w:rPr>
            </w:pPr>
            <w:r>
              <w:rPr>
                <w:rFonts w:ascii="宋体" w:hAnsi="宋体" w:cs="宋体" w:eastAsia="宋体" w:hint="default"/>
                <w:sz w:val="18"/>
                <w:szCs w:val="18"/>
              </w:rPr>
              <w:t>证通南 非</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3" w:right="74"/>
              <w:jc w:val="both"/>
              <w:rPr>
                <w:rFonts w:ascii="宋体" w:hAnsi="宋体" w:cs="宋体" w:eastAsia="宋体" w:hint="default"/>
                <w:sz w:val="18"/>
                <w:szCs w:val="18"/>
              </w:rPr>
            </w:pPr>
            <w:r>
              <w:rPr>
                <w:rFonts w:ascii="宋体" w:hAnsi="宋体" w:cs="宋体" w:eastAsia="宋体" w:hint="default"/>
                <w:sz w:val="18"/>
                <w:szCs w:val="18"/>
              </w:rPr>
              <w:t>照明相 关商贸 业</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其他</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1,051,1</w:t>
            </w:r>
          </w:p>
          <w:p>
            <w:pPr>
              <w:pStyle w:val="TableParagraph"/>
              <w:spacing w:line="240" w:lineRule="auto" w:before="105"/>
              <w:ind w:left="161" w:right="0"/>
              <w:jc w:val="center"/>
              <w:rPr>
                <w:rFonts w:ascii="Times New Roman" w:hAnsi="Times New Roman" w:cs="Times New Roman" w:eastAsia="Times New Roman" w:hint="default"/>
                <w:sz w:val="18"/>
                <w:szCs w:val="18"/>
              </w:rPr>
            </w:pPr>
            <w:r>
              <w:rPr>
                <w:rFonts w:ascii="Times New Roman"/>
                <w:sz w:val="18"/>
              </w:rPr>
              <w:t>70.00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1"/>
              <w:jc w:val="right"/>
              <w:rPr>
                <w:rFonts w:ascii="宋体" w:hAnsi="宋体" w:cs="宋体" w:eastAsia="宋体" w:hint="default"/>
                <w:sz w:val="18"/>
                <w:szCs w:val="18"/>
              </w:rPr>
            </w:pPr>
            <w:r>
              <w:rPr>
                <w:rFonts w:ascii="宋体" w:hAnsi="宋体" w:cs="宋体" w:eastAsia="宋体" w:hint="default"/>
                <w:sz w:val="18"/>
                <w:szCs w:val="18"/>
              </w:rPr>
              <w:t>长期</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3" w:right="45"/>
              <w:jc w:val="both"/>
              <w:rPr>
                <w:rFonts w:ascii="宋体" w:hAnsi="宋体" w:cs="宋体" w:eastAsia="宋体" w:hint="default"/>
                <w:sz w:val="18"/>
                <w:szCs w:val="18"/>
              </w:rPr>
            </w:pPr>
            <w:r>
              <w:rPr>
                <w:rFonts w:ascii="宋体" w:hAnsi="宋体" w:cs="宋体" w:eastAsia="宋体" w:hint="default"/>
                <w:sz w:val="18"/>
                <w:szCs w:val="18"/>
              </w:rPr>
              <w:t>照明相 关商贸 业</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3"/>
              <w:jc w:val="left"/>
              <w:rPr>
                <w:rFonts w:ascii="宋体" w:hAnsi="宋体" w:cs="宋体" w:eastAsia="宋体" w:hint="default"/>
                <w:sz w:val="18"/>
                <w:szCs w:val="18"/>
              </w:rPr>
            </w:pPr>
            <w:r>
              <w:rPr>
                <w:rFonts w:ascii="宋体" w:hAnsi="宋体" w:cs="宋体" w:eastAsia="宋体" w:hint="default"/>
                <w:sz w:val="18"/>
                <w:szCs w:val="18"/>
              </w:rPr>
              <w:t>公司 全资 子公 司佳 明光 电收 购证 通南 非剩 余的 </w:t>
            </w:r>
            <w:r>
              <w:rPr>
                <w:rFonts w:ascii="Times New Roman" w:hAnsi="Times New Roman" w:cs="Times New Roman" w:eastAsia="Times New Roman" w:hint="default"/>
                <w:sz w:val="18"/>
                <w:szCs w:val="18"/>
              </w:rPr>
              <w:t>30%</w:t>
            </w:r>
            <w:r>
              <w:rPr>
                <w:rFonts w:ascii="宋体" w:hAnsi="宋体" w:cs="宋体" w:eastAsia="宋体" w:hint="default"/>
                <w:sz w:val="18"/>
                <w:szCs w:val="18"/>
              </w:rPr>
              <w:t>股</w:t>
            </w:r>
          </w:p>
          <w:p>
            <w:pPr>
              <w:pStyle w:val="TableParagraph"/>
              <w:spacing w:line="319" w:lineRule="auto"/>
              <w:ind w:left="23" w:right="14"/>
              <w:jc w:val="left"/>
              <w:rPr>
                <w:rFonts w:ascii="Times New Roman" w:hAnsi="Times New Roman" w:cs="Times New Roman" w:eastAsia="Times New Roman" w:hint="default"/>
                <w:sz w:val="18"/>
                <w:szCs w:val="18"/>
              </w:rPr>
            </w:pPr>
            <w:r>
              <w:rPr>
                <w:rFonts w:ascii="宋体" w:hAnsi="宋体" w:cs="宋体" w:eastAsia="宋体" w:hint="default"/>
                <w:sz w:val="18"/>
                <w:szCs w:val="18"/>
              </w:rPr>
              <w:t>权，收 购完 成后 持股 比例 由</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70%</w:t>
            </w:r>
          </w:p>
          <w:p>
            <w:pPr>
              <w:pStyle w:val="TableParagraph"/>
              <w:spacing w:line="233" w:lineRule="exact"/>
              <w:ind w:left="23" w:right="0"/>
              <w:jc w:val="left"/>
              <w:rPr>
                <w:rFonts w:ascii="宋体" w:hAnsi="宋体" w:cs="宋体" w:eastAsia="宋体" w:hint="default"/>
                <w:sz w:val="18"/>
                <w:szCs w:val="18"/>
              </w:rPr>
            </w:pPr>
            <w:r>
              <w:rPr>
                <w:rFonts w:ascii="宋体" w:hAnsi="宋体" w:cs="宋体" w:eastAsia="宋体" w:hint="default"/>
                <w:sz w:val="18"/>
                <w:szCs w:val="18"/>
              </w:rPr>
              <w:t>增至</w:t>
            </w:r>
          </w:p>
          <w:p>
            <w:pPr>
              <w:pStyle w:val="TableParagraph"/>
              <w:spacing w:line="240" w:lineRule="auto" w:before="76"/>
              <w:ind w:left="23"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808"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5"/>
                <w:sz w:val="20"/>
                <w:szCs w:val="20"/>
              </w:rPr>
              <w:pict>
                <v:group style="width:29.05pt;height:140.450pt;mso-position-horizontal-relative:char;mso-position-vertical-relative:line" coordorigin="0,0" coordsize="581,2809">
                  <v:group style="position:absolute;left:0;top:0;width:581;height:2809" coordorigin="0,0" coordsize="581,2809">
                    <v:shape style="position:absolute;left:0;top:0;width:581;height:2809" coordorigin="0,0" coordsize="581,2809" path="m0,2808l581,2808,581,0,0,0,0,2808xe" filled="true" fillcolor="#ffffff" stroked="false">
                      <v:path arrowok="t"/>
                      <v:fill type="solid"/>
                    </v:shape>
                  </v:group>
                </v:group>
              </w:pict>
            </w:r>
            <w:r>
              <w:rPr>
                <w:rFonts w:ascii="Times New Roman" w:hAnsi="Times New Roman" w:cs="Times New Roman" w:eastAsia="Times New Roman" w:hint="default"/>
                <w:position w:val="-55"/>
                <w:sz w:val="20"/>
                <w:szCs w:val="20"/>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-5,485,8</w:t>
            </w:r>
          </w:p>
          <w:p>
            <w:pPr>
              <w:pStyle w:val="TableParagraph"/>
              <w:spacing w:line="240" w:lineRule="auto" w:before="105"/>
              <w:ind w:left="231" w:right="0"/>
              <w:jc w:val="center"/>
              <w:rPr>
                <w:rFonts w:ascii="Times New Roman" w:hAnsi="Times New Roman" w:cs="Times New Roman" w:eastAsia="Times New Roman" w:hint="default"/>
                <w:sz w:val="18"/>
                <w:szCs w:val="18"/>
              </w:rPr>
            </w:pPr>
            <w:r>
              <w:rPr>
                <w:rFonts w:ascii="Times New Roman"/>
                <w:sz w:val="18"/>
              </w:rPr>
              <w:t>32.18</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2"/>
              <w:jc w:val="right"/>
              <w:rPr>
                <w:rFonts w:ascii="Times New Roman" w:hAnsi="Times New Roman" w:cs="Times New Roman" w:eastAsia="Times New Roman" w:hint="default"/>
                <w:sz w:val="18"/>
                <w:szCs w:val="18"/>
              </w:rPr>
            </w:pPr>
            <w:r>
              <w:rPr>
                <w:rFonts w:ascii="Times New Roman"/>
                <w:sz w:val="18"/>
              </w:rPr>
              <w:t>--</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170,60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4,091.2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2"/>
              <w:jc w:val="right"/>
              <w:rPr>
                <w:rFonts w:ascii="Times New Roman" w:hAnsi="Times New Roman" w:cs="Times New Roman" w:eastAsia="Times New Roman" w:hint="default"/>
                <w:sz w:val="18"/>
                <w:szCs w:val="18"/>
              </w:rPr>
            </w:pPr>
            <w:r>
              <w:rPr>
                <w:rFonts w:ascii="Times New Roman"/>
                <w:sz w:val="18"/>
              </w:rPr>
              <w:t>--</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0.00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-22,136,</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095.94</w:t>
            </w:r>
          </w:p>
        </w:tc>
        <w:tc>
          <w:tcPr>
            <w:tcW w:w="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66"/>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3"/>
        <w:rPr>
          <w:rFonts w:ascii="Times New Roman" w:hAnsi="Times New Roman" w:cs="Times New Roman" w:eastAsia="Times New Roman" w:hint="default"/>
          <w:sz w:val="28"/>
          <w:szCs w:val="28"/>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649"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71"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89"/>
              <w:jc w:val="both"/>
              <w:rPr>
                <w:rFonts w:ascii="宋体" w:hAnsi="宋体" w:cs="宋体" w:eastAsia="宋体" w:hint="default"/>
                <w:sz w:val="18"/>
                <w:szCs w:val="18"/>
              </w:rPr>
            </w:pPr>
            <w:r>
              <w:rPr>
                <w:rFonts w:ascii="宋体" w:hAnsi="宋体" w:cs="宋体" w:eastAsia="宋体" w:hint="default"/>
                <w:sz w:val="18"/>
                <w:szCs w:val="18"/>
              </w:rPr>
              <w:t>是否为 固定资 产投资</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2"/>
              <w:jc w:val="both"/>
              <w:rPr>
                <w:rFonts w:ascii="宋体" w:hAnsi="宋体" w:cs="宋体" w:eastAsia="宋体" w:hint="default"/>
                <w:sz w:val="18"/>
                <w:szCs w:val="18"/>
              </w:rPr>
            </w:pPr>
            <w:r>
              <w:rPr>
                <w:rFonts w:ascii="宋体" w:hAnsi="宋体" w:cs="宋体" w:eastAsia="宋体" w:hint="default"/>
                <w:sz w:val="18"/>
                <w:szCs w:val="18"/>
              </w:rPr>
              <w:t>投资项 目涉及 行业</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1"/>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89"/>
              <w:jc w:val="both"/>
              <w:rPr>
                <w:rFonts w:ascii="宋体" w:hAnsi="宋体" w:cs="宋体" w:eastAsia="宋体" w:hint="default"/>
                <w:sz w:val="18"/>
                <w:szCs w:val="18"/>
              </w:rPr>
            </w:pPr>
            <w:r>
              <w:rPr>
                <w:rFonts w:ascii="宋体" w:hAnsi="宋体" w:cs="宋体" w:eastAsia="宋体" w:hint="default"/>
                <w:sz w:val="18"/>
                <w:szCs w:val="18"/>
              </w:rPr>
              <w:t>截至报 告期末 累计实 际投入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73" w:right="89"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截止报 告期末 累计实 现的收 益</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2"/>
              <w:jc w:val="both"/>
              <w:rPr>
                <w:rFonts w:ascii="宋体" w:hAnsi="宋体" w:cs="宋体" w:eastAsia="宋体" w:hint="default"/>
                <w:sz w:val="18"/>
                <w:szCs w:val="18"/>
              </w:rPr>
            </w:pPr>
            <w:r>
              <w:rPr>
                <w:rFonts w:ascii="宋体" w:hAnsi="宋体" w:cs="宋体" w:eastAsia="宋体" w:hint="default"/>
                <w:sz w:val="18"/>
                <w:szCs w:val="18"/>
              </w:rPr>
              <w:t>未达到 计划进 度和预 计收益 的原因</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89"/>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1"/>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02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东莞</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数</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据中心</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自建</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IDC</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85,224,0</w:t>
            </w:r>
          </w:p>
          <w:p>
            <w:pPr>
              <w:pStyle w:val="TableParagraph"/>
              <w:spacing w:line="240" w:lineRule="auto" w:before="103"/>
              <w:ind w:left="297" w:right="0"/>
              <w:jc w:val="left"/>
              <w:rPr>
                <w:rFonts w:ascii="Times New Roman" w:hAnsi="Times New Roman" w:cs="Times New Roman" w:eastAsia="Times New Roman" w:hint="default"/>
                <w:sz w:val="18"/>
                <w:szCs w:val="18"/>
              </w:rPr>
            </w:pPr>
            <w:r>
              <w:rPr>
                <w:rFonts w:ascii="Times New Roman"/>
                <w:sz w:val="18"/>
              </w:rPr>
              <w:t>13.82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172,948,</w:t>
            </w:r>
          </w:p>
          <w:p>
            <w:pPr>
              <w:pStyle w:val="TableParagraph"/>
              <w:spacing w:line="240" w:lineRule="auto" w:before="103"/>
              <w:ind w:left="187" w:right="0"/>
              <w:jc w:val="center"/>
              <w:rPr>
                <w:rFonts w:ascii="Times New Roman" w:hAnsi="Times New Roman" w:cs="Times New Roman" w:eastAsia="Times New Roman" w:hint="default"/>
                <w:sz w:val="18"/>
                <w:szCs w:val="18"/>
              </w:rPr>
            </w:pPr>
            <w:r>
              <w:rPr>
                <w:rFonts w:ascii="Times New Roman"/>
                <w:sz w:val="18"/>
              </w:rPr>
              <w:t>410.84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62.53%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42,000,0</w:t>
            </w:r>
          </w:p>
          <w:p>
            <w:pPr>
              <w:pStyle w:val="TableParagraph"/>
              <w:spacing w:line="240" w:lineRule="auto" w:before="103"/>
              <w:ind w:left="297"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85,224,0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13.82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172,948,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410.84</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42,000,0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7"/>
        <w:gridCol w:w="862"/>
        <w:gridCol w:w="878"/>
        <w:gridCol w:w="869"/>
        <w:gridCol w:w="871"/>
        <w:gridCol w:w="869"/>
        <w:gridCol w:w="869"/>
        <w:gridCol w:w="871"/>
        <w:gridCol w:w="869"/>
        <w:gridCol w:w="871"/>
        <w:gridCol w:w="869"/>
      </w:tblGrid>
      <w:tr>
        <w:trPr>
          <w:trHeight w:val="1339"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56" w:right="71"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0"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1" w:right="67"/>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2" w:right="67"/>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5"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2013</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非公开发 行</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52,390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2,102.96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43,219.05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24,337.95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46.46%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342.91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3"/>
              <w:jc w:val="both"/>
              <w:rPr>
                <w:rFonts w:ascii="宋体" w:hAnsi="宋体" w:cs="宋体" w:eastAsia="宋体" w:hint="default"/>
                <w:sz w:val="18"/>
                <w:szCs w:val="18"/>
              </w:rPr>
            </w:pPr>
            <w:r>
              <w:rPr>
                <w:rFonts w:ascii="宋体" w:hAnsi="宋体" w:cs="宋体" w:eastAsia="宋体" w:hint="default"/>
                <w:sz w:val="18"/>
                <w:szCs w:val="18"/>
              </w:rPr>
              <w:t>存放于募 集资金专 户银行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2015</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公司债</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39,749.02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0.18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113"/>
              <w:jc w:val="both"/>
              <w:rPr>
                <w:rFonts w:ascii="宋体" w:hAnsi="宋体" w:cs="宋体" w:eastAsia="宋体" w:hint="default"/>
                <w:sz w:val="18"/>
                <w:szCs w:val="18"/>
              </w:rPr>
            </w:pPr>
            <w:r>
              <w:rPr>
                <w:rFonts w:ascii="宋体" w:hAnsi="宋体" w:cs="宋体" w:eastAsia="宋体" w:hint="default"/>
                <w:sz w:val="18"/>
                <w:szCs w:val="18"/>
              </w:rPr>
              <w:t>存放于募 集资金专 户银行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2015</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非公开发 行股票</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151,160.19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14,409.17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83,306.3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56,026.4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56,026.4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37.06%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10,860.95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3"/>
              <w:jc w:val="both"/>
              <w:rPr>
                <w:rFonts w:ascii="宋体" w:hAnsi="宋体" w:cs="宋体" w:eastAsia="宋体" w:hint="default"/>
                <w:sz w:val="18"/>
                <w:szCs w:val="18"/>
              </w:rPr>
            </w:pPr>
            <w:r>
              <w:rPr>
                <w:rFonts w:ascii="宋体" w:hAnsi="宋体" w:cs="宋体" w:eastAsia="宋体" w:hint="default"/>
                <w:sz w:val="18"/>
                <w:szCs w:val="18"/>
              </w:rPr>
              <w:t>存放于募 集资金专 户银行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243,550.19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16,512.13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166,274.37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56,026.4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80,364.35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33.00%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w w:val="95"/>
                <w:sz w:val="18"/>
              </w:rPr>
              <w:t>11,204.04</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left="0" w:right="1153"/>
        <w:jc w:val="right"/>
      </w:pPr>
      <w:r>
        <w:rPr/>
        <w:pict>
          <v:shape style="position:absolute;margin-left:56.400002pt;margin-top:-69.788284pt;width:479.05pt;height:639.6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66"/>
                  </w:tblGrid>
                  <w:tr>
                    <w:trPr>
                      <w:trHeight w:val="401" w:hRule="exact"/>
                    </w:trPr>
                    <w:tc>
                      <w:tcPr>
                        <w:tcW w:w="9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2381" w:hRule="exact"/>
                    </w:trPr>
                    <w:tc>
                      <w:tcPr>
                        <w:tcW w:w="9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年度非公开发行股票：经中国证券监督管理委员会</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2013</w:t>
                        </w:r>
                        <w:r>
                          <w:rPr>
                            <w:rFonts w:ascii="宋体" w:hAnsi="宋体" w:cs="宋体" w:eastAsia="宋体" w:hint="default"/>
                            <w:sz w:val="18"/>
                            <w:szCs w:val="18"/>
                          </w:rPr>
                          <w:t>〕</w:t>
                        </w:r>
                        <w:r>
                          <w:rPr>
                            <w:rFonts w:ascii="Times New Roman" w:hAnsi="Times New Roman" w:cs="Times New Roman" w:eastAsia="Times New Roman" w:hint="default"/>
                            <w:sz w:val="18"/>
                            <w:szCs w:val="18"/>
                          </w:rPr>
                          <w:t>1195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文件许可，公司于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4" w:right="0"/>
                          <w:jc w:val="both"/>
                          <w:rPr>
                            <w:rFonts w:ascii="宋体" w:hAnsi="宋体" w:cs="宋体" w:eastAsia="宋体" w:hint="default"/>
                            <w:sz w:val="18"/>
                            <w:szCs w:val="18"/>
                          </w:rPr>
                        </w:pPr>
                        <w:r>
                          <w:rPr>
                            <w:rFonts w:ascii="宋体" w:hAnsi="宋体" w:cs="宋体" w:eastAsia="宋体" w:hint="default"/>
                            <w:sz w:val="18"/>
                            <w:szCs w:val="18"/>
                          </w:rPr>
                          <w:t>月向特定投资者非公开发行</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36</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股人民币普通</w:t>
                        </w:r>
                        <w:r>
                          <w:rPr>
                            <w:rFonts w:ascii="宋体" w:hAnsi="宋体" w:cs="宋体" w:eastAsia="宋体" w:hint="default"/>
                            <w:spacing w:val="-24"/>
                            <w:sz w:val="18"/>
                            <w:szCs w:val="18"/>
                          </w:rPr>
                          <w:t>股</w:t>
                        </w:r>
                        <w:r>
                          <w:rPr>
                            <w:rFonts w:ascii="宋体" w:hAnsi="宋体" w:cs="宋体" w:eastAsia="宋体" w:hint="default"/>
                            <w:spacing w:val="-1"/>
                            <w:sz w:val="18"/>
                            <w:szCs w:val="18"/>
                          </w:rPr>
                          <w:t>（</w:t>
                        </w:r>
                        <w:r>
                          <w:rPr>
                            <w:rFonts w:ascii="Times New Roman" w:hAnsi="Times New Roman" w:cs="Times New Roman" w:eastAsia="Times New Roman" w:hint="default"/>
                            <w:w w:val="99"/>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股</w:t>
                        </w:r>
                        <w:r>
                          <w:rPr>
                            <w:rFonts w:ascii="宋体" w:hAnsi="宋体" w:cs="宋体" w:eastAsia="宋体" w:hint="default"/>
                            <w:spacing w:val="-92"/>
                            <w:sz w:val="18"/>
                            <w:szCs w:val="18"/>
                          </w:rPr>
                          <w:t>）</w:t>
                        </w:r>
                        <w:r>
                          <w:rPr>
                            <w:rFonts w:ascii="宋体" w:hAnsi="宋体" w:cs="宋体" w:eastAsia="宋体" w:hint="default"/>
                            <w:spacing w:val="-24"/>
                            <w:sz w:val="18"/>
                            <w:szCs w:val="18"/>
                          </w:rPr>
                          <w:t>，</w:t>
                        </w:r>
                        <w:r>
                          <w:rPr>
                            <w:rFonts w:ascii="宋体" w:hAnsi="宋体" w:cs="宋体" w:eastAsia="宋体" w:hint="default"/>
                            <w:sz w:val="18"/>
                            <w:szCs w:val="18"/>
                          </w:rPr>
                          <w:t>每股发行认购价格为人民币</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宋体" w:hAnsi="宋体" w:cs="宋体" w:eastAsia="宋体" w:hint="default"/>
                            <w:spacing w:val="-24"/>
                            <w:sz w:val="18"/>
                            <w:szCs w:val="18"/>
                          </w:rPr>
                          <w:t>，</w:t>
                        </w:r>
                        <w:r>
                          <w:rPr>
                            <w:rFonts w:ascii="宋体" w:hAnsi="宋体" w:cs="宋体" w:eastAsia="宋体" w:hint="default"/>
                            <w:sz w:val="18"/>
                            <w:szCs w:val="18"/>
                          </w:rPr>
                          <w:t>本次发行募集资金</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总额为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523,899,999.00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元，扣除发行费用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29,046,120.59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元后，实际募集资金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494,853,878.41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元。以上募集资金到位情况于</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日业经立信会计师事务所（特殊普通合伙）出具的信会师报字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310518 </w:t>
                        </w:r>
                        <w:r>
                          <w:rPr>
                            <w:rFonts w:ascii="宋体" w:hAnsi="宋体" w:cs="宋体" w:eastAsia="宋体" w:hint="default"/>
                            <w:sz w:val="18"/>
                            <w:szCs w:val="18"/>
                          </w:rPr>
                          <w:t>号《验资报告》验证确认</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日，公司累计投入募集资金总额人民币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50,591.26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万元（其中公司累计投入募集资金总额人民币</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43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宋体" w:hAnsi="宋体" w:cs="宋体" w:eastAsia="宋体" w:hint="default"/>
                            <w:spacing w:val="-39"/>
                            <w:sz w:val="18"/>
                            <w:szCs w:val="18"/>
                          </w:rPr>
                          <w:t>，</w:t>
                        </w:r>
                        <w:r>
                          <w:rPr>
                            <w:rFonts w:ascii="宋体" w:hAnsi="宋体" w:cs="宋体" w:eastAsia="宋体" w:hint="default"/>
                            <w:sz w:val="18"/>
                            <w:szCs w:val="18"/>
                          </w:rPr>
                          <w:t>变更部分募</w:t>
                        </w:r>
                        <w:r>
                          <w:rPr>
                            <w:rFonts w:ascii="宋体" w:hAnsi="宋体" w:cs="宋体" w:eastAsia="宋体" w:hint="default"/>
                            <w:spacing w:val="-3"/>
                            <w:sz w:val="18"/>
                            <w:szCs w:val="18"/>
                          </w:rPr>
                          <w:t>集</w:t>
                        </w:r>
                        <w:r>
                          <w:rPr>
                            <w:rFonts w:ascii="宋体" w:hAnsi="宋体" w:cs="宋体" w:eastAsia="宋体" w:hint="default"/>
                            <w:sz w:val="18"/>
                            <w:szCs w:val="18"/>
                          </w:rPr>
                          <w:t>资金用途并永久补充流动资金金额为</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pacing w:val="-39"/>
                            <w:sz w:val="18"/>
                            <w:szCs w:val="18"/>
                          </w:rPr>
                          <w:t>。</w:t>
                        </w:r>
                        <w:r>
                          <w:rPr>
                            <w:rFonts w:ascii="宋体" w:hAnsi="宋体" w:cs="宋体" w:eastAsia="宋体" w:hint="default"/>
                            <w:sz w:val="18"/>
                            <w:szCs w:val="18"/>
                          </w:rPr>
                          <w:t>其中</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年度募集资金投入项目金额</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2,102.96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万元。扣除上述已使用资金后，公司募集资金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日应存余额为人民币</w:t>
                        </w:r>
                        <w:r>
                          <w:rPr>
                            <w:rFonts w:ascii="Times New Roman" w:hAnsi="Times New Roman" w:cs="Times New Roman" w:eastAsia="Times New Roman" w:hint="default"/>
                            <w:sz w:val="18"/>
                            <w:szCs w:val="18"/>
                          </w:rPr>
                          <w:t>-1,105.87 </w:t>
                        </w:r>
                        <w:r>
                          <w:rPr>
                            <w:rFonts w:ascii="宋体" w:hAnsi="宋体" w:cs="宋体" w:eastAsia="宋体" w:hint="default"/>
                            <w:sz w:val="18"/>
                            <w:szCs w:val="18"/>
                          </w:rPr>
                          <w:t>万元，公司的募</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集资金存储专户实际余额为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342.91</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万元，实际余额比应存余额多人民币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1,448.78</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万元，系银行存款利息收入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1,449.58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w:t>
                        </w:r>
                        <w:r>
                          <w:rPr>
                            <w:rFonts w:ascii="宋体" w:hAnsi="宋体" w:cs="宋体" w:eastAsia="宋体" w:hint="default"/>
                            <w:sz w:val="18"/>
                            <w:szCs w:val="18"/>
                          </w:rPr>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扣除银行手续费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万元后的净额。</w:t>
                        </w:r>
                      </w:p>
                      <w:p>
                        <w:pPr>
                          <w:pStyle w:val="TableParagraph"/>
                          <w:spacing w:line="300" w:lineRule="auto" w:before="104"/>
                          <w:ind w:left="24" w:right="3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年面向合格投资者公开发行公司债：经中国证券监督管理委员会《关于核准深圳市证通电子股份有限公司向 </w:t>
                        </w:r>
                        <w:r>
                          <w:rPr>
                            <w:rFonts w:ascii="宋体" w:hAnsi="宋体" w:cs="宋体" w:eastAsia="宋体" w:hint="default"/>
                            <w:spacing w:val="-3"/>
                            <w:sz w:val="18"/>
                            <w:szCs w:val="18"/>
                          </w:rPr>
                          <w:t>合格投资者公开发行公司债券的批复》（证监许可</w:t>
                        </w:r>
                        <w:r>
                          <w:rPr>
                            <w:rFonts w:ascii="Times New Roman" w:hAnsi="Times New Roman" w:cs="Times New Roman" w:eastAsia="Times New Roman" w:hint="default"/>
                            <w:spacing w:val="-3"/>
                            <w:sz w:val="18"/>
                            <w:szCs w:val="18"/>
                          </w:rPr>
                          <w:t>[2015]2035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号）核准，公司于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10 </w:t>
                        </w:r>
                        <w:r>
                          <w:rPr>
                            <w:rFonts w:ascii="宋体" w:hAnsi="宋体" w:cs="宋体" w:eastAsia="宋体" w:hint="default"/>
                            <w:sz w:val="18"/>
                            <w:szCs w:val="18"/>
                          </w:rPr>
                          <w:t>月向合格投资者分两期公开发</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行公司债，债券面值为人民币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元，债券期限为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年。根据公司于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日发布的《公开发行</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年公司债券募集说明书</w:t>
                        </w:r>
                        <w:r>
                          <w:rPr>
                            <w:rFonts w:ascii="宋体" w:hAnsi="宋体" w:cs="宋体" w:eastAsia="宋体" w:hint="default"/>
                            <w:spacing w:val="-96"/>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pacing w:val="-4"/>
                            <w:w w:val="100"/>
                            <w:sz w:val="18"/>
                            <w:szCs w:val="18"/>
                          </w:rPr>
                          <w:t>“</w:t>
                        </w:r>
                        <w:r>
                          <w:rPr>
                            <w:rFonts w:ascii="宋体" w:hAnsi="宋体" w:cs="宋体" w:eastAsia="宋体" w:hint="default"/>
                            <w:sz w:val="18"/>
                            <w:szCs w:val="18"/>
                          </w:rPr>
                          <w:t>《募集说明书》</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中约定的回售条款</w:t>
                        </w:r>
                        <w:r>
                          <w:rPr>
                            <w:rFonts w:ascii="Times New Roman" w:hAnsi="Times New Roman" w:cs="Times New Roman" w:eastAsia="Times New Roman" w:hint="default"/>
                            <w:w w:val="100"/>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投资者有权选择在本期债券存续期内第</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个计息年度的投资者回售登记期内进行登记，将持有的本期债券按面值全部或部分回售给发行人或选择继续持有本期债</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券。本次发行公司债共募集资金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40,000.00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万元，扣除承销、律师和评估费用后募集资金净额为人民币</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39,663.00</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万元。公</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年面向合格投资者公开发行公司债券（第一期）的募集资金到位情况业经中勤万信会计师事务所（特殊普通合伙</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验证，并出具了勤信验字【</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宋体" w:hAnsi="宋体" w:cs="宋体" w:eastAsia="宋体" w:hint="default"/>
                            <w:spacing w:val="-50"/>
                            <w:sz w:val="18"/>
                            <w:szCs w:val="18"/>
                          </w:rPr>
                          <w:t> </w:t>
                        </w:r>
                        <w:r>
                          <w:rPr>
                            <w:rFonts w:ascii="Times New Roman" w:hAnsi="Times New Roman" w:cs="Times New Roman" w:eastAsia="Times New Roman" w:hint="default"/>
                            <w:spacing w:val="-5"/>
                            <w:sz w:val="18"/>
                            <w:szCs w:val="18"/>
                          </w:rPr>
                          <w:t>1118 </w:t>
                        </w:r>
                        <w:r>
                          <w:rPr>
                            <w:rFonts w:ascii="宋体" w:hAnsi="宋体" w:cs="宋体" w:eastAsia="宋体" w:hint="default"/>
                            <w:sz w:val="18"/>
                            <w:szCs w:val="18"/>
                          </w:rPr>
                          <w:t>号验资报告；公司</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年面向合格投资者公开发行公司债券（第二期）的募集</w:t>
                        </w:r>
                      </w:p>
                      <w:p>
                        <w:pPr>
                          <w:pStyle w:val="TableParagraph"/>
                          <w:spacing w:line="340" w:lineRule="auto" w:before="63"/>
                          <w:ind w:left="384" w:right="107" w:hanging="361"/>
                          <w:jc w:val="left"/>
                          <w:rPr>
                            <w:rFonts w:ascii="Times New Roman" w:hAnsi="Times New Roman" w:cs="Times New Roman" w:eastAsia="Times New Roman" w:hint="default"/>
                            <w:sz w:val="18"/>
                            <w:szCs w:val="18"/>
                          </w:rPr>
                        </w:pPr>
                        <w:r>
                          <w:rPr>
                            <w:rFonts w:ascii="宋体" w:hAnsi="宋体" w:cs="宋体" w:eastAsia="宋体" w:hint="default"/>
                            <w:sz w:val="18"/>
                            <w:szCs w:val="18"/>
                          </w:rPr>
                          <w:t>资金到位情况业经中勤万信会计师事务所（特殊普通合伙）验证，并出具了勤信验字【</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号验资报告。</w:t>
                        </w:r>
                        <w:r>
                          <w:rPr>
                            <w:rFonts w:ascii="宋体" w:hAnsi="宋体" w:cs="宋体" w:eastAsia="宋体" w:hint="default"/>
                            <w:spacing w:val="-87"/>
                            <w:sz w:val="18"/>
                            <w:szCs w:val="18"/>
                          </w:rPr>
                          <w:t> </w:t>
                        </w:r>
                        <w:r>
                          <w:rPr>
                            <w:rFonts w:ascii="宋体" w:hAnsi="宋体" w:cs="宋体" w:eastAsia="宋体" w:hint="default"/>
                            <w:sz w:val="18"/>
                            <w:szCs w:val="18"/>
                          </w:rPr>
                          <w:t>本报告期内，公司根据《公开发行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年公司债券募集说明书》中约定的回售条款，发布了关于</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证通</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p>
                        <w:pPr>
                          <w:pStyle w:val="TableParagraph"/>
                          <w:spacing w:line="228" w:lineRule="exact"/>
                          <w:ind w:left="24" w:right="0"/>
                          <w:jc w:val="both"/>
                          <w:rPr>
                            <w:rFonts w:ascii="宋体" w:hAnsi="宋体" w:cs="宋体" w:eastAsia="宋体" w:hint="default"/>
                            <w:sz w:val="18"/>
                            <w:szCs w:val="18"/>
                          </w:rPr>
                        </w:pPr>
                        <w:r>
                          <w:rPr>
                            <w:rFonts w:ascii="宋体" w:hAnsi="宋体" w:cs="宋体" w:eastAsia="宋体" w:hint="default"/>
                            <w:sz w:val="18"/>
                            <w:szCs w:val="18"/>
                          </w:rPr>
                          <w:t>证通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票面利率调整和回售实施办法的提示性公告，根据中国证券登记结算有限责任公司深圳分公司提供的债券回售申</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报数据，</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证通</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证通</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债券回售申报数量合计为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张，回售申报金额合计为人民币</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212,560,000.00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w:t>
                        </w:r>
                      </w:p>
                      <w:p>
                        <w:pPr>
                          <w:pStyle w:val="TableParagraph"/>
                          <w:spacing w:line="300" w:lineRule="auto" w:before="63"/>
                          <w:ind w:left="24" w:right="17"/>
                          <w:jc w:val="both"/>
                          <w:rPr>
                            <w:rFonts w:ascii="宋体" w:hAnsi="宋体" w:cs="宋体" w:eastAsia="宋体" w:hint="default"/>
                            <w:sz w:val="18"/>
                            <w:szCs w:val="18"/>
                          </w:rPr>
                        </w:pPr>
                        <w:r>
                          <w:rPr>
                            <w:rFonts w:ascii="宋体" w:hAnsi="宋体" w:cs="宋体" w:eastAsia="宋体" w:hint="default"/>
                            <w:spacing w:val="-6"/>
                            <w:sz w:val="18"/>
                            <w:szCs w:val="18"/>
                          </w:rPr>
                          <w:t>（包含利息），剩余托管数量合计为</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2,000,000.00</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张，剩余托管金额合计为</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200,000,000.00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22</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日、</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8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日，公司分别完成上述</w:t>
                        </w:r>
                        <w:r>
                          <w:rPr>
                            <w:rFonts w:ascii="Times New Roman" w:hAnsi="Times New Roman" w:cs="Times New Roman" w:eastAsia="Times New Roman" w:hint="default"/>
                            <w:spacing w:val="-3"/>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证通</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01”</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证通</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公司债券回售部分本金和利息的支付工作。根据本公司公开发行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年公司债券募集说明书，本次发行公司债券的募集资金全部用于偿还银行借款、补充流动资金等用途。截止</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1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日，公司已使用募集资金用于偿还银行借款、补充公司流动资金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39,749.02 </w:t>
                        </w:r>
                        <w:r>
                          <w:rPr>
                            <w:rFonts w:ascii="宋体" w:hAnsi="宋体" w:cs="宋体" w:eastAsia="宋体" w:hint="default"/>
                            <w:sz w:val="18"/>
                            <w:szCs w:val="18"/>
                          </w:rPr>
                          <w:t>万元。扣除上述已使用资金后，公司募集资</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日应存余额为人民币</w:t>
                        </w:r>
                        <w:r>
                          <w:rPr>
                            <w:rFonts w:ascii="Times New Roman" w:hAnsi="Times New Roman" w:cs="Times New Roman" w:eastAsia="Times New Roman" w:hint="default"/>
                            <w:sz w:val="18"/>
                            <w:szCs w:val="18"/>
                          </w:rPr>
                          <w:t>-86.02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万元，公司的募集资金存储专户实际余额为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万元，实际余额比应存余</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额多人民币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86.20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万元，主要系银行存款利息收入扣除银行手续费后的净额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万元，及公司尚未从募集资金账户中转</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出的律师费和评估师费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57.00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before="101"/>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年度非公开发行股票：经中国证券监督管理委员会</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r>
                          <w:rPr>
                            <w:rFonts w:ascii="Times New Roman" w:hAnsi="Times New Roman" w:cs="Times New Roman" w:eastAsia="Times New Roman" w:hint="default"/>
                            <w:sz w:val="18"/>
                            <w:szCs w:val="18"/>
                          </w:rPr>
                          <w:t>1348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文件许可，公司于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月向特定投资者非公开发行</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93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88</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股人民币普通</w:t>
                        </w:r>
                        <w:r>
                          <w:rPr>
                            <w:rFonts w:ascii="宋体" w:hAnsi="宋体" w:cs="宋体" w:eastAsia="宋体" w:hint="default"/>
                            <w:spacing w:val="-24"/>
                            <w:sz w:val="18"/>
                            <w:szCs w:val="18"/>
                          </w:rPr>
                          <w:t>股</w:t>
                        </w:r>
                        <w:r>
                          <w:rPr>
                            <w:rFonts w:ascii="宋体" w:hAnsi="宋体" w:cs="宋体" w:eastAsia="宋体" w:hint="default"/>
                            <w:spacing w:val="-1"/>
                            <w:sz w:val="18"/>
                            <w:szCs w:val="18"/>
                          </w:rPr>
                          <w:t>（</w:t>
                        </w:r>
                        <w:r>
                          <w:rPr>
                            <w:rFonts w:ascii="Times New Roman" w:hAnsi="Times New Roman" w:cs="Times New Roman" w:eastAsia="Times New Roman" w:hint="default"/>
                            <w:w w:val="99"/>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股</w:t>
                        </w:r>
                        <w:r>
                          <w:rPr>
                            <w:rFonts w:ascii="宋体" w:hAnsi="宋体" w:cs="宋体" w:eastAsia="宋体" w:hint="default"/>
                            <w:spacing w:val="-92"/>
                            <w:sz w:val="18"/>
                            <w:szCs w:val="18"/>
                          </w:rPr>
                          <w:t>）</w:t>
                        </w:r>
                        <w:r>
                          <w:rPr>
                            <w:rFonts w:ascii="宋体" w:hAnsi="宋体" w:cs="宋体" w:eastAsia="宋体" w:hint="default"/>
                            <w:spacing w:val="-24"/>
                            <w:sz w:val="18"/>
                            <w:szCs w:val="18"/>
                          </w:rPr>
                          <w:t>，</w:t>
                        </w:r>
                        <w:r>
                          <w:rPr>
                            <w:rFonts w:ascii="宋体" w:hAnsi="宋体" w:cs="宋体" w:eastAsia="宋体" w:hint="default"/>
                            <w:sz w:val="18"/>
                            <w:szCs w:val="18"/>
                          </w:rPr>
                          <w:t>每股发行认购价格为人民币</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宋体" w:hAnsi="宋体" w:cs="宋体" w:eastAsia="宋体" w:hint="default"/>
                            <w:spacing w:val="-24"/>
                            <w:sz w:val="18"/>
                            <w:szCs w:val="18"/>
                          </w:rPr>
                          <w:t>，</w:t>
                        </w:r>
                        <w:r>
                          <w:rPr>
                            <w:rFonts w:ascii="宋体" w:hAnsi="宋体" w:cs="宋体" w:eastAsia="宋体" w:hint="default"/>
                            <w:sz w:val="18"/>
                            <w:szCs w:val="18"/>
                          </w:rPr>
                          <w:t>本次发行募集资金</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总额为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1,511,601,887.60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元，扣除发行费用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34,351,175.42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元（含可抵扣增值税进项税额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1,943,737.76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元）后，募集资金净</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额为</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1,477,250,712.18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元。募集资金净额加上本次非公开发行股票发行费用可抵扣的增值税进项税额</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1,943,737.76</w:t>
                        </w:r>
                        <w:r>
                          <w:rPr>
                            <w:rFonts w:ascii="Times New Roman" w:hAnsi="Times New Roman" w:cs="Times New Roman" w:eastAsia="Times New Roman" w:hint="default"/>
                            <w:spacing w:val="-11"/>
                            <w:sz w:val="18"/>
                            <w:szCs w:val="18"/>
                          </w:rPr>
                          <w:t> </w:t>
                        </w:r>
                        <w:r>
                          <w:rPr>
                            <w:rFonts w:ascii="宋体" w:hAnsi="宋体" w:cs="宋体" w:eastAsia="宋体" w:hint="default"/>
                            <w:spacing w:val="-10"/>
                            <w:sz w:val="18"/>
                            <w:szCs w:val="18"/>
                          </w:rPr>
                          <w:t>元，实际</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总募集资金净额为人民币</w:t>
                        </w:r>
                        <w:r>
                          <w:rPr>
                            <w:rFonts w:ascii="宋体" w:hAnsi="宋体" w:cs="宋体" w:eastAsia="宋体" w:hint="default"/>
                            <w:spacing w:val="-49"/>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以上募集资金到位情况于</w:t>
                        </w:r>
                        <w:r>
                          <w:rPr>
                            <w:rFonts w:ascii="宋体" w:hAnsi="宋体" w:cs="宋体" w:eastAsia="宋体" w:hint="default"/>
                            <w:spacing w:val="-49"/>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业</w:t>
                        </w:r>
                        <w:r>
                          <w:rPr>
                            <w:rFonts w:ascii="宋体" w:hAnsi="宋体" w:cs="宋体" w:eastAsia="宋体" w:hint="default"/>
                            <w:sz w:val="18"/>
                            <w:szCs w:val="18"/>
                          </w:rPr>
                          <w:t>经中勤万信会计师事务</w:t>
                        </w:r>
                        <w:r>
                          <w:rPr>
                            <w:rFonts w:ascii="宋体" w:hAnsi="宋体" w:cs="宋体" w:eastAsia="宋体" w:hint="default"/>
                            <w:spacing w:val="-92"/>
                            <w:sz w:val="18"/>
                            <w:szCs w:val="18"/>
                          </w:rPr>
                          <w:t>所</w:t>
                        </w:r>
                        <w:r>
                          <w:rPr>
                            <w:rFonts w:ascii="宋体" w:hAnsi="宋体" w:cs="宋体" w:eastAsia="宋体" w:hint="default"/>
                            <w:sz w:val="18"/>
                            <w:szCs w:val="18"/>
                          </w:rPr>
                          <w:t>（特</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殊普通合伙）验证，并出具了勤信验字【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1116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号验资报告。截止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日，公司累计投入募集资金投</w:t>
                        </w:r>
                      </w:p>
                      <w:p>
                        <w:pPr>
                          <w:pStyle w:val="TableParagraph"/>
                          <w:spacing w:line="240" w:lineRule="auto" w:before="63"/>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资项目总额为人民币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83,306.30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万元。其中，</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年度募集资金投入项目金额为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14,409.17</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pacing w:val="-5"/>
                            <w:sz w:val="18"/>
                            <w:szCs w:val="18"/>
                          </w:rPr>
                          <w:t>月，公司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年第四次临时股东大会审议通</w:t>
                        </w:r>
                        <w:r>
                          <w:rPr>
                            <w:rFonts w:ascii="宋体" w:hAnsi="宋体" w:cs="宋体" w:eastAsia="宋体" w:hint="default"/>
                            <w:spacing w:val="-17"/>
                            <w:sz w:val="18"/>
                            <w:szCs w:val="18"/>
                          </w:rPr>
                          <w:t>过</w:t>
                        </w:r>
                        <w:r>
                          <w:rPr>
                            <w:rFonts w:ascii="宋体" w:hAnsi="宋体" w:cs="宋体" w:eastAsia="宋体" w:hint="default"/>
                            <w:sz w:val="18"/>
                            <w:szCs w:val="18"/>
                          </w:rPr>
                          <w:t>《关于公司变更部分募集资金用途并永久补充流动资金的议案</w:t>
                        </w:r>
                        <w:r>
                          <w:rPr>
                            <w:rFonts w:ascii="宋体" w:hAnsi="宋体" w:cs="宋体" w:eastAsia="宋体" w:hint="default"/>
                            <w:spacing w:val="-92"/>
                            <w:sz w:val="18"/>
                            <w:szCs w:val="18"/>
                          </w:rPr>
                          <w:t>》</w:t>
                        </w:r>
                        <w:r>
                          <w:rPr>
                            <w:rFonts w:ascii="宋体" w:hAnsi="宋体" w:cs="宋体" w:eastAsia="宋体" w:hint="default"/>
                            <w:spacing w:val="-17"/>
                            <w:sz w:val="18"/>
                            <w:szCs w:val="18"/>
                          </w:rPr>
                          <w:t>，</w:t>
                        </w:r>
                        <w:r>
                          <w:rPr>
                            <w:rFonts w:ascii="宋体" w:hAnsi="宋体" w:cs="宋体" w:eastAsia="宋体" w:hint="default"/>
                            <w:sz w:val="18"/>
                            <w:szCs w:val="18"/>
                          </w:rPr>
                          <w:t>截止</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变更部分募集资金用途并永久补充流动资金金额为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56,026.40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万元。扣除上述已使用资金后，公司募集资金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日应存余额为人民币</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8,586.75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万元，公司的募集资金存储专户实际余额为</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10,860.95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实际余额比应存余额多人民币</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2,274.20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万元，系银行存款利息收入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2,313.25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万元扣除银行手续费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39.05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万元后的净额。</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BodyText"/>
        <w:spacing w:line="240" w:lineRule="auto" w:before="44"/>
        <w:ind w:left="0" w:right="1142"/>
        <w:jc w:val="right"/>
      </w:pPr>
      <w:r>
        <w:rPr/>
        <w:t>）</w:t>
      </w:r>
    </w:p>
    <w:p>
      <w:pPr>
        <w:spacing w:after="0" w:line="240" w:lineRule="auto"/>
        <w:jc w:val="right"/>
        <w:sectPr>
          <w:pgSz w:w="11910" w:h="16840"/>
          <w:pgMar w:header="745" w:footer="979" w:top="1060" w:bottom="1160" w:left="980" w:right="0"/>
        </w:sectPr>
      </w:pPr>
    </w:p>
    <w:p>
      <w:pPr>
        <w:spacing w:line="240" w:lineRule="auto" w:before="10"/>
        <w:rPr>
          <w:rFonts w:ascii="宋体" w:hAnsi="宋体" w:cs="宋体" w:eastAsia="宋体" w:hint="default"/>
          <w:sz w:val="24"/>
          <w:szCs w:val="24"/>
        </w:rPr>
      </w:pPr>
      <w:r>
        <w:rPr/>
        <w:pict>
          <v:group style="position:absolute;margin-left:145.460007pt;margin-top:669.700012pt;width:38.4pt;height:28.1pt;mso-position-horizontal-relative:page;mso-position-vertical-relative:page;z-index:-1203448" coordorigin="2909,13394" coordsize="768,562">
            <v:group style="position:absolute;left:2921;top:13406;width:2;height:394" coordorigin="2921,13406" coordsize="2,394">
              <v:shape style="position:absolute;left:2921;top:13406;width:2;height:394" coordorigin="2921,13406" coordsize="0,394" path="m2921,13406l2921,13800e" filled="false" stroked="true" strokeweight="1.2pt" strokecolor="#ffffff">
                <v:path arrowok="t"/>
              </v:shape>
            </v:group>
            <v:group style="position:absolute;left:2909;top:13800;width:768;height:156" coordorigin="2909,13800" coordsize="768,156">
              <v:shape style="position:absolute;left:2909;top:13800;width:768;height:156" coordorigin="2909,13800" coordsize="768,156" path="m2909,13956l3677,13956,3677,13800,2909,13800,2909,13956xe" filled="true" fillcolor="#ffffff" stroked="false">
                <v:path arrowok="t"/>
                <v:fill type="solid"/>
              </v:shape>
            </v:group>
            <v:group style="position:absolute;left:2933;top:13406;width:723;height:394" coordorigin="2933,13406" coordsize="723,394">
              <v:shape style="position:absolute;left:2933;top:13406;width:723;height:394" coordorigin="2933,13406" coordsize="723,394" path="m2933,13800l3656,13800,3656,13406,2933,13406,2933,13800xe" filled="true" fillcolor="#ffffff" stroked="false">
                <v:path arrowok="t"/>
                <v:fill type="solid"/>
              </v:shape>
            </v:group>
            <w10:wrap type="none"/>
          </v:group>
        </w:pict>
      </w: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1337"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1"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49"/>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3"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961"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 </w:t>
            </w:r>
            <w:r>
              <w:rPr>
                <w:rFonts w:ascii="宋体" w:hAnsi="宋体" w:cs="宋体" w:eastAsia="宋体" w:hint="default"/>
                <w:sz w:val="18"/>
                <w:szCs w:val="18"/>
              </w:rPr>
              <w:t>万台符合中</w:t>
            </w:r>
            <w:r>
              <w:rPr>
                <w:rFonts w:ascii="宋体" w:hAnsi="宋体" w:cs="宋体" w:eastAsia="宋体" w:hint="default"/>
                <w:w w:val="99"/>
                <w:sz w:val="18"/>
                <w:szCs w:val="18"/>
              </w:rPr>
              <w:t> </w:t>
            </w:r>
            <w:r>
              <w:rPr>
                <w:rFonts w:ascii="宋体" w:hAnsi="宋体" w:cs="宋体" w:eastAsia="宋体" w:hint="default"/>
                <w:sz w:val="18"/>
                <w:szCs w:val="18"/>
              </w:rPr>
              <w:t>国人民银行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PBOC2.0</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新标准的金融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POS </w:t>
            </w:r>
            <w:r>
              <w:rPr>
                <w:rFonts w:ascii="宋体" w:hAnsi="宋体" w:cs="宋体" w:eastAsia="宋体" w:hint="default"/>
                <w:sz w:val="18"/>
                <w:szCs w:val="18"/>
              </w:rPr>
              <w:t>终端产能建设项 目（</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年度非公开 发行）</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9,589</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年产 </w:t>
            </w:r>
            <w:r>
              <w:rPr>
                <w:rFonts w:ascii="Times New Roman" w:hAnsi="Times New Roman" w:cs="Times New Roman" w:eastAsia="Times New Roman" w:hint="default"/>
                <w:sz w:val="18"/>
                <w:szCs w:val="18"/>
              </w:rPr>
              <w:t>6 </w:t>
            </w:r>
            <w:r>
              <w:rPr>
                <w:rFonts w:ascii="宋体" w:hAnsi="宋体" w:cs="宋体" w:eastAsia="宋体" w:hint="default"/>
                <w:sz w:val="18"/>
                <w:szCs w:val="18"/>
              </w:rPr>
              <w:t>万台惠农通</w:t>
            </w:r>
            <w:r>
              <w:rPr>
                <w:rFonts w:ascii="宋体" w:hAnsi="宋体" w:cs="宋体" w:eastAsia="宋体" w:hint="default"/>
                <w:w w:val="99"/>
                <w:sz w:val="18"/>
                <w:szCs w:val="18"/>
              </w:rPr>
              <w:t> </w:t>
            </w:r>
            <w:r>
              <w:rPr>
                <w:rFonts w:ascii="宋体" w:hAnsi="宋体" w:cs="宋体" w:eastAsia="宋体" w:hint="default"/>
                <w:sz w:val="18"/>
                <w:szCs w:val="18"/>
              </w:rPr>
              <w:t>农村电子商务专用终</w:t>
            </w:r>
            <w:r>
              <w:rPr>
                <w:rFonts w:ascii="宋体" w:hAnsi="宋体" w:cs="宋体" w:eastAsia="宋体" w:hint="default"/>
                <w:w w:val="99"/>
                <w:sz w:val="18"/>
                <w:szCs w:val="18"/>
              </w:rPr>
              <w:t> </w:t>
            </w:r>
            <w:r>
              <w:rPr>
                <w:rFonts w:ascii="宋体" w:hAnsi="宋体" w:cs="宋体" w:eastAsia="宋体" w:hint="default"/>
                <w:sz w:val="18"/>
                <w:szCs w:val="18"/>
              </w:rPr>
              <w:t>端产能建设项目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7,656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67"/>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证通电子大数据云</w:t>
            </w:r>
            <w:r>
              <w:rPr>
                <w:rFonts w:ascii="宋体" w:hAnsi="宋体" w:cs="宋体" w:eastAsia="宋体" w:hint="default"/>
                <w:w w:val="99"/>
                <w:sz w:val="18"/>
                <w:szCs w:val="18"/>
              </w:rPr>
              <w:t> </w:t>
            </w:r>
            <w:r>
              <w:rPr>
                <w:rFonts w:ascii="宋体" w:hAnsi="宋体" w:cs="宋体" w:eastAsia="宋体" w:hint="default"/>
                <w:sz w:val="18"/>
                <w:szCs w:val="18"/>
              </w:rPr>
              <w:t>计算产业园（光明云</w:t>
            </w:r>
            <w:r>
              <w:rPr>
                <w:rFonts w:ascii="宋体" w:hAnsi="宋体" w:cs="宋体" w:eastAsia="宋体" w:hint="default"/>
                <w:w w:val="99"/>
                <w:sz w:val="18"/>
                <w:szCs w:val="18"/>
              </w:rPr>
              <w:t> </w:t>
            </w:r>
            <w:r>
              <w:rPr>
                <w:rFonts w:ascii="宋体" w:hAnsi="宋体" w:cs="宋体" w:eastAsia="宋体" w:hint="default"/>
                <w:sz w:val="18"/>
                <w:szCs w:val="18"/>
              </w:rPr>
              <w:t>谷）项目（</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宋体" w:hAnsi="宋体" w:cs="宋体" w:eastAsia="宋体" w:hint="default"/>
                <w:w w:val="99"/>
                <w:sz w:val="18"/>
                <w:szCs w:val="18"/>
              </w:rPr>
              <w:t> </w:t>
            </w:r>
            <w:r>
              <w:rPr>
                <w:rFonts w:ascii="宋体" w:hAnsi="宋体" w:cs="宋体" w:eastAsia="宋体" w:hint="default"/>
                <w:sz w:val="18"/>
                <w:szCs w:val="18"/>
              </w:rPr>
              <w:t>非公开发行）</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17,245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1,832.12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18,093.64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137.43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9"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万台自助服</w:t>
            </w:r>
            <w:r>
              <w:rPr>
                <w:rFonts w:ascii="宋体" w:hAnsi="宋体" w:cs="宋体" w:eastAsia="宋体" w:hint="default"/>
                <w:w w:val="99"/>
                <w:sz w:val="18"/>
                <w:szCs w:val="18"/>
              </w:rPr>
              <w:t> </w:t>
            </w:r>
            <w:r>
              <w:rPr>
                <w:rFonts w:ascii="宋体" w:hAnsi="宋体" w:cs="宋体" w:eastAsia="宋体" w:hint="default"/>
                <w:sz w:val="18"/>
                <w:szCs w:val="18"/>
              </w:rPr>
              <w:t>务终端产能扩建项目</w:t>
            </w:r>
          </w:p>
          <w:p>
            <w:pPr>
              <w:pStyle w:val="TableParagraph"/>
              <w:spacing w:line="300" w:lineRule="auto" w:before="33"/>
              <w:ind w:left="24" w:right="6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年度非公开发 行）</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7,119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5,209.61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5,209.61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研发中心扩建项目</w:t>
            </w:r>
          </w:p>
          <w:p>
            <w:pPr>
              <w:pStyle w:val="TableParagraph"/>
              <w:spacing w:line="300" w:lineRule="auto" w:before="63"/>
              <w:ind w:left="24" w:right="6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年度非公开发 行）</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7,516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7,516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7,493.97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99.71%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4"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支付卡行业安全芯</w:t>
            </w:r>
            <w:r>
              <w:rPr>
                <w:rFonts w:ascii="宋体" w:hAnsi="宋体" w:cs="宋体" w:eastAsia="宋体" w:hint="default"/>
                <w:w w:val="99"/>
                <w:sz w:val="18"/>
                <w:szCs w:val="18"/>
              </w:rPr>
              <w:t> </w:t>
            </w:r>
            <w:r>
              <w:rPr>
                <w:rFonts w:ascii="宋体" w:hAnsi="宋体" w:cs="宋体" w:eastAsia="宋体" w:hint="default"/>
                <w:sz w:val="18"/>
                <w:szCs w:val="18"/>
              </w:rPr>
              <w:t>片项目（</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年度非</w:t>
            </w:r>
            <w:r>
              <w:rPr>
                <w:rFonts w:ascii="宋体" w:hAnsi="宋体" w:cs="宋体" w:eastAsia="宋体" w:hint="default"/>
                <w:w w:val="99"/>
                <w:sz w:val="18"/>
                <w:szCs w:val="18"/>
              </w:rPr>
              <w:t> </w:t>
            </w:r>
            <w:r>
              <w:rPr>
                <w:rFonts w:ascii="宋体" w:hAnsi="宋体" w:cs="宋体" w:eastAsia="宋体" w:hint="default"/>
                <w:sz w:val="18"/>
                <w:szCs w:val="18"/>
              </w:rPr>
              <w:t>公开发行）</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5,510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326.44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326.44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偿还银行贷款及补</w:t>
            </w:r>
            <w:r>
              <w:rPr>
                <w:rFonts w:ascii="宋体" w:hAnsi="宋体" w:cs="宋体" w:eastAsia="宋体" w:hint="default"/>
                <w:w w:val="99"/>
                <w:sz w:val="18"/>
                <w:szCs w:val="18"/>
              </w:rPr>
              <w:t> </w:t>
            </w:r>
            <w:r>
              <w:rPr>
                <w:rFonts w:ascii="宋体" w:hAnsi="宋体" w:cs="宋体" w:eastAsia="宋体" w:hint="default"/>
                <w:spacing w:val="-8"/>
                <w:w w:val="99"/>
                <w:sz w:val="18"/>
                <w:szCs w:val="18"/>
              </w:rPr>
              <w:t>充流动资金项目（</w:t>
            </w:r>
            <w:r>
              <w:rPr>
                <w:rFonts w:ascii="Times New Roman" w:hAnsi="Times New Roman" w:cs="Times New Roman" w:eastAsia="Times New Roman" w:hint="default"/>
                <w:spacing w:val="-8"/>
                <w:w w:val="99"/>
                <w:sz w:val="18"/>
                <w:szCs w:val="18"/>
              </w:rPr>
              <w:t>2013</w:t>
            </w:r>
            <w:r>
              <w:rPr>
                <w:rFonts w:ascii="Times New Roman" w:hAnsi="Times New Roman" w:cs="Times New Roman" w:eastAsia="Times New Roman" w:hint="default"/>
                <w:spacing w:val="-36"/>
                <w:w w:val="99"/>
                <w:sz w:val="18"/>
                <w:szCs w:val="18"/>
              </w:rPr>
              <w:t> </w:t>
            </w:r>
            <w:r>
              <w:rPr>
                <w:rFonts w:ascii="Times New Roman" w:hAnsi="Times New Roman" w:cs="Times New Roman" w:eastAsia="Times New Roman" w:hint="default"/>
                <w:spacing w:val="-36"/>
                <w:w w:val="99"/>
                <w:sz w:val="18"/>
                <w:szCs w:val="18"/>
              </w:rPr>
            </w:r>
            <w:r>
              <w:rPr>
                <w:rFonts w:ascii="宋体" w:hAnsi="宋体" w:cs="宋体" w:eastAsia="宋体" w:hint="default"/>
                <w:sz w:val="18"/>
                <w:szCs w:val="18"/>
              </w:rPr>
              <w:t>年度非公开发行）</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12,095.39</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12,095.39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）偿还银行贷款及补 充流动资金（公司债</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196" w:lineRule="exact"/>
              <w:ind w:left="24" w:right="0"/>
              <w:jc w:val="left"/>
              <w:rPr>
                <w:rFonts w:ascii="宋体" w:hAnsi="宋体" w:cs="宋体" w:eastAsia="宋体" w:hint="default"/>
                <w:sz w:val="18"/>
                <w:szCs w:val="18"/>
              </w:rPr>
            </w:pPr>
            <w:r>
              <w:rPr>
                <w:rFonts w:ascii="宋体" w:hAnsi="宋体" w:cs="宋体" w:eastAsia="宋体" w:hint="default"/>
                <w:sz w:val="18"/>
                <w:szCs w:val="18"/>
              </w:rPr>
              <w:t>是</w:t>
            </w:r>
          </w:p>
          <w:p>
            <w:pPr>
              <w:pStyle w:val="TableParagraph"/>
              <w:spacing w:line="196" w:lineRule="exact"/>
              <w:ind w:left="-128" w:right="0"/>
              <w:jc w:val="left"/>
              <w:rPr>
                <w:rFonts w:ascii="宋体" w:hAnsi="宋体" w:cs="宋体" w:eastAsia="宋体" w:hint="default"/>
                <w:sz w:val="18"/>
                <w:szCs w:val="18"/>
              </w:rPr>
            </w:pPr>
            <w:r>
              <w:rPr>
                <w:rFonts w:ascii="宋体" w:hAnsi="宋体" w:cs="宋体" w:eastAsia="宋体"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39,749.02</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4"/>
              <w:jc w:val="both"/>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）长沙云谷数据中心 项目（</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年度非公 开发行）</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72,802.55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41,438.22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7,399.79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32,653.89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78.80%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341.32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10</w:t>
            </w:r>
            <w:r>
              <w:rPr>
                <w:rFonts w:ascii="宋体" w:hAnsi="宋体" w:cs="宋体" w:eastAsia="宋体" w:hint="default"/>
                <w:spacing w:val="-87"/>
                <w:sz w:val="18"/>
                <w:szCs w:val="18"/>
              </w:rPr>
              <w:t>）</w:t>
            </w:r>
            <w:r>
              <w:rPr>
                <w:rFonts w:ascii="宋体" w:hAnsi="宋体" w:cs="宋体" w:eastAsia="宋体" w:hint="default"/>
                <w:sz w:val="18"/>
                <w:szCs w:val="18"/>
              </w:rPr>
              <w:t>证通长沙软件研发</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33,357.64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8,695.58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7,009.38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8,795.14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00002pt;margin-top:71.999985pt;width:479.3pt;height:695.8pt;mso-position-horizontal-relative:page;mso-position-vertical-relative:page;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67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67"/>
                          <w:jc w:val="left"/>
                          <w:rPr>
                            <w:rFonts w:ascii="宋体" w:hAnsi="宋体" w:cs="宋体" w:eastAsia="宋体" w:hint="default"/>
                            <w:sz w:val="18"/>
                            <w:szCs w:val="18"/>
                          </w:rPr>
                        </w:pPr>
                        <w:r>
                          <w:rPr>
                            <w:rFonts w:ascii="宋体" w:hAnsi="宋体" w:cs="宋体" w:eastAsia="宋体" w:hint="default"/>
                            <w:sz w:val="18"/>
                            <w:szCs w:val="18"/>
                          </w:rPr>
                          <w:t>中心项目（</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非公开发行）</w:t>
                        </w:r>
                      </w:p>
                    </w:tc>
                    <w:tc>
                      <w:tcPr>
                        <w:tcW w:w="7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both"/>
                          <w:rPr>
                            <w:rFonts w:ascii="宋体" w:hAnsi="宋体" w:cs="宋体" w:eastAsia="宋体" w:hint="default"/>
                            <w:sz w:val="18"/>
                            <w:szCs w:val="18"/>
                          </w:rPr>
                        </w:pPr>
                        <w:r>
                          <w:rPr>
                            <w:rFonts w:ascii="Times New Roman" w:hAnsi="Times New Roman" w:cs="Times New Roman" w:eastAsia="Times New Roman" w:hint="default"/>
                            <w:spacing w:val="-8"/>
                            <w:sz w:val="18"/>
                            <w:szCs w:val="18"/>
                          </w:rPr>
                          <w:t>11</w:t>
                        </w:r>
                        <w:r>
                          <w:rPr>
                            <w:rFonts w:ascii="宋体" w:hAnsi="宋体" w:cs="宋体" w:eastAsia="宋体" w:hint="default"/>
                            <w:spacing w:val="-8"/>
                            <w:sz w:val="18"/>
                            <w:szCs w:val="18"/>
                          </w:rPr>
                          <w:t>）偿还银行贷款及补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充流动资金项目（</w:t>
                        </w:r>
                        <w:r>
                          <w:rPr>
                            <w:rFonts w:ascii="Times New Roman" w:hAnsi="Times New Roman" w:cs="Times New Roman" w:eastAsia="Times New Roman" w:hint="default"/>
                            <w:spacing w:val="-8"/>
                            <w:sz w:val="18"/>
                            <w:szCs w:val="18"/>
                          </w:rPr>
                          <w:t>2015</w:t>
                        </w:r>
                        <w:r>
                          <w:rPr>
                            <w:rFonts w:ascii="Times New Roman" w:hAnsi="Times New Roman" w:cs="Times New Roman" w:eastAsia="Times New Roman" w:hint="default"/>
                            <w:spacing w:val="-36"/>
                            <w:sz w:val="18"/>
                            <w:szCs w:val="18"/>
                          </w:rPr>
                          <w:t> </w:t>
                        </w:r>
                        <w:r>
                          <w:rPr>
                            <w:rFonts w:ascii="Times New Roman" w:hAnsi="Times New Roman" w:cs="Times New Roman" w:eastAsia="Times New Roman" w:hint="default"/>
                            <w:spacing w:val="-36"/>
                            <w:sz w:val="18"/>
                            <w:szCs w:val="18"/>
                          </w:rPr>
                        </w:r>
                        <w:r>
                          <w:rPr>
                            <w:rFonts w:ascii="宋体" w:hAnsi="宋体" w:cs="宋体" w:eastAsia="宋体" w:hint="default"/>
                            <w:sz w:val="18"/>
                            <w:szCs w:val="18"/>
                          </w:rPr>
                          <w:t>年度非公开发行）</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45,000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41,759.25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41,857.27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100.23%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243,550.1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174,285.4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16,512.13</w:t>
                        </w:r>
                      </w:p>
                    </w:tc>
                    <w:tc>
                      <w:tcPr>
                        <w:tcW w:w="780" w:type="dxa"/>
                        <w:vMerge w:val="restart"/>
                        <w:tcBorders>
                          <w:top w:val="single" w:sz="4" w:space="0" w:color="000000"/>
                          <w:left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166,274.3</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z w:val="18"/>
                          </w:rPr>
                          <w:t>7</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vMerge w:val="restart"/>
                        <w:tcBorders>
                          <w:top w:val="single" w:sz="4" w:space="0" w:color="000000"/>
                          <w:left w:val="single" w:sz="10" w:space="0" w:color="D2D2D2"/>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-1,021.28</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1" w:type="dxa"/>
                        <w:vMerge/>
                        <w:tcBorders>
                          <w:left w:val="single" w:sz="10" w:space="0" w:color="D2D2D2"/>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vMerge/>
                        <w:tcBorders>
                          <w:left w:val="single" w:sz="10" w:space="0" w:color="D2D2D2"/>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243,550.1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174,285.4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16,512.13</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166,274.3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-1,021.28</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61"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4121"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300" w:lineRule="auto" w:before="49"/>
                          <w:ind w:left="16" w:right="22" w:firstLine="360"/>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、研发中心扩建项目因公司优化建设方案和设备采购方案，给项目的实施进度带来一定的影响</w:t>
                        </w:r>
                        <w:r>
                          <w:rPr>
                            <w:rFonts w:ascii="宋体" w:hAnsi="宋体" w:cs="宋体" w:eastAsia="宋体" w:hint="default"/>
                            <w:sz w:val="18"/>
                            <w:szCs w:val="18"/>
                          </w:rPr>
                          <w:t> 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日召开的第三届董事会第三十四次会议审议通过将该项目预计达到可使用状</w:t>
                        </w:r>
                      </w:p>
                      <w:p>
                        <w:pPr>
                          <w:pStyle w:val="TableParagraph"/>
                          <w:spacing w:line="312" w:lineRule="auto" w:before="13"/>
                          <w:ind w:left="16" w:right="18"/>
                          <w:jc w:val="both"/>
                          <w:rPr>
                            <w:rFonts w:ascii="Times New Roman" w:hAnsi="Times New Roman" w:cs="Times New Roman" w:eastAsia="Times New Roman" w:hint="default"/>
                            <w:sz w:val="18"/>
                            <w:szCs w:val="18"/>
                          </w:rPr>
                        </w:pPr>
                        <w:r>
                          <w:rPr>
                            <w:rFonts w:ascii="宋体" w:hAnsi="宋体" w:cs="宋体" w:eastAsia="宋体" w:hint="default"/>
                            <w:sz w:val="18"/>
                            <w:szCs w:val="18"/>
                          </w:rPr>
                          <w:t>态的时间计划延期至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日。因公司对研发中心扩建项目涉及的研发办公楼层、研发中 心及实验室的装修设计方案进行了多次修改完善；同时因公司所处的金融电子支付设备行业技术变 革迅速、产品更新换代加快，为了使募集资金效率最大化地使用，公司对项目相关设备的采购方案 </w:t>
                        </w:r>
                        <w:r>
                          <w:rPr>
                            <w:rFonts w:ascii="宋体" w:hAnsi="宋体" w:cs="宋体" w:eastAsia="宋体" w:hint="default"/>
                            <w:spacing w:val="-2"/>
                            <w:sz w:val="18"/>
                            <w:szCs w:val="18"/>
                          </w:rPr>
                          <w:t>不断优化调整，给项目的实施进度带来一定的影响，所以该项目建设进度晚于预定计划，截至</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2018</w:t>
                        </w:r>
                      </w:p>
                      <w:p>
                        <w:pPr>
                          <w:pStyle w:val="TableParagraph"/>
                          <w:spacing w:line="300" w:lineRule="auto" w:before="3"/>
                          <w:ind w:left="16" w:right="48"/>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日，该项目投资进度达成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99.71%</w:t>
                        </w:r>
                        <w:r>
                          <w:rPr>
                            <w:rFonts w:ascii="宋体" w:hAnsi="宋体" w:cs="宋体" w:eastAsia="宋体" w:hint="default"/>
                            <w:sz w:val="18"/>
                            <w:szCs w:val="18"/>
                          </w:rPr>
                          <w:t>，根据后期资金使用情况，该项目已于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 基本使用完毕。</w:t>
                        </w:r>
                      </w:p>
                      <w:p>
                        <w:pPr>
                          <w:pStyle w:val="TableParagraph"/>
                          <w:spacing w:line="240" w:lineRule="auto" w:before="72"/>
                          <w:ind w:left="3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、证通电子大数据云计算产业园（光明云谷）项目，计划总投资额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25,712.74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万元，其中使用</w:t>
                        </w:r>
                      </w:p>
                      <w:p>
                        <w:pPr>
                          <w:pStyle w:val="TableParagraph"/>
                          <w:spacing w:line="300" w:lineRule="auto" w:before="63"/>
                          <w:ind w:left="16" w:right="19"/>
                          <w:jc w:val="both"/>
                          <w:rPr>
                            <w:rFonts w:ascii="宋体" w:hAnsi="宋体" w:cs="宋体" w:eastAsia="宋体" w:hint="default"/>
                            <w:sz w:val="18"/>
                            <w:szCs w:val="18"/>
                          </w:rPr>
                        </w:pPr>
                        <w:r>
                          <w:rPr>
                            <w:rFonts w:ascii="宋体" w:hAnsi="宋体" w:cs="宋体" w:eastAsia="宋体" w:hint="default"/>
                            <w:sz w:val="18"/>
                            <w:szCs w:val="18"/>
                          </w:rPr>
                          <w:t>募集资金投资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17,245.00 </w:t>
                        </w:r>
                        <w:r>
                          <w:rPr>
                            <w:rFonts w:ascii="宋体" w:hAnsi="宋体" w:cs="宋体" w:eastAsia="宋体" w:hint="default"/>
                            <w:sz w:val="18"/>
                            <w:szCs w:val="18"/>
                          </w:rPr>
                          <w:t>万元，使用自有资金投资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8,467.74 </w:t>
                        </w:r>
                        <w:r>
                          <w:rPr>
                            <w:rFonts w:ascii="宋体" w:hAnsi="宋体" w:cs="宋体" w:eastAsia="宋体" w:hint="default"/>
                            <w:sz w:val="18"/>
                            <w:szCs w:val="18"/>
                          </w:rPr>
                          <w:t>万元。截至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日，该项目 投资进度达成</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70.37%</w:t>
                        </w:r>
                        <w:r>
                          <w:rPr>
                            <w:rFonts w:ascii="宋体" w:hAnsi="宋体" w:cs="宋体" w:eastAsia="宋体" w:hint="default"/>
                            <w:sz w:val="18"/>
                            <w:szCs w:val="18"/>
                          </w:rPr>
                          <w:t>，使用募集资金建设进度达成</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104.92%</w:t>
                        </w:r>
                        <w:r>
                          <w:rPr>
                            <w:rFonts w:ascii="宋体" w:hAnsi="宋体" w:cs="宋体" w:eastAsia="宋体" w:hint="default"/>
                            <w:sz w:val="18"/>
                            <w:szCs w:val="18"/>
                          </w:rPr>
                          <w:t>，前期因电网迁入、施工难度较大，引 起设备变更和设备到货等因素影响，项目建设有延迟。</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日，公司与深圳平安通信科 </w:t>
                        </w:r>
                        <w:r>
                          <w:rPr>
                            <w:rFonts w:ascii="宋体" w:hAnsi="宋体" w:cs="宋体" w:eastAsia="宋体" w:hint="default"/>
                            <w:spacing w:val="-3"/>
                            <w:w w:val="99"/>
                            <w:sz w:val="18"/>
                            <w:szCs w:val="18"/>
                          </w:rPr>
                          <w:t>技有限公司签署了《</w:t>
                        </w:r>
                        <w:r>
                          <w:rPr>
                            <w:rFonts w:ascii="Times New Roman" w:hAnsi="Times New Roman" w:cs="Times New Roman" w:eastAsia="Times New Roman" w:hint="default"/>
                            <w:spacing w:val="-3"/>
                            <w:w w:val="99"/>
                            <w:sz w:val="18"/>
                            <w:szCs w:val="18"/>
                          </w:rPr>
                          <w:t>IDC</w:t>
                        </w:r>
                        <w:r>
                          <w:rPr>
                            <w:rFonts w:ascii="Times New Roman" w:hAnsi="Times New Roman" w:cs="Times New Roman" w:eastAsia="Times New Roman" w:hint="default"/>
                            <w:w w:val="99"/>
                            <w:sz w:val="18"/>
                            <w:szCs w:val="18"/>
                          </w:rPr>
                          <w:t> </w:t>
                        </w:r>
                        <w:r>
                          <w:rPr>
                            <w:rFonts w:ascii="宋体" w:hAnsi="宋体" w:cs="宋体" w:eastAsia="宋体" w:hint="default"/>
                            <w:spacing w:val="-5"/>
                            <w:sz w:val="18"/>
                            <w:szCs w:val="18"/>
                          </w:rPr>
                          <w:t>基础业务服务合同书》，整体租赁了该项目建设的数据中心机房，公司已根</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据平安银行的</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级机房的技术参数标准及部分定制化需求对深圳证通光明</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机房进行部分场地改 造，该项目于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月建设完成，截止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日，机架上架运营数量为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317 </w:t>
                        </w:r>
                        <w:r>
                          <w:rPr>
                            <w:rFonts w:ascii="宋体" w:hAnsi="宋体" w:cs="宋体" w:eastAsia="宋体" w:hint="default"/>
                            <w:sz w:val="18"/>
                            <w:szCs w:val="18"/>
                          </w:rPr>
                          <w:t>个，项目 效益逐步释放。</w:t>
                        </w:r>
                      </w:p>
                      <w:p>
                        <w:pPr>
                          <w:pStyle w:val="TableParagraph"/>
                          <w:spacing w:line="307" w:lineRule="auto" w:before="70"/>
                          <w:ind w:left="16" w:right="19" w:firstLine="36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、长沙云谷数据中心项目：公司于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日召开的第四届董事会第二十三次会议通过 </w:t>
                        </w:r>
                        <w:r>
                          <w:rPr>
                            <w:rFonts w:ascii="宋体" w:hAnsi="宋体" w:cs="宋体" w:eastAsia="宋体" w:hint="default"/>
                            <w:spacing w:val="-3"/>
                            <w:sz w:val="18"/>
                            <w:szCs w:val="18"/>
                          </w:rPr>
                          <w:t>了《关于公司部分募集资金投资项目延期的议案》，公司综合考虑目前长沙地区</w:t>
                        </w:r>
                        <w:r>
                          <w:rPr>
                            <w:rFonts w:ascii="宋体" w:hAnsi="宋体" w:cs="宋体" w:eastAsia="宋体" w:hint="default"/>
                            <w:spacing w:val="-39"/>
                            <w:sz w:val="18"/>
                            <w:szCs w:val="18"/>
                          </w:rPr>
                          <w:t> </w:t>
                        </w:r>
                        <w:r>
                          <w:rPr>
                            <w:rFonts w:ascii="Times New Roman" w:hAnsi="Times New Roman" w:cs="Times New Roman" w:eastAsia="Times New Roman" w:hint="default"/>
                            <w:w w:val="99"/>
                            <w:sz w:val="18"/>
                            <w:szCs w:val="18"/>
                          </w:rPr>
                          <w:t>IDC</w:t>
                        </w:r>
                        <w:r>
                          <w:rPr>
                            <w:rFonts w:ascii="Times New Roman" w:hAnsi="Times New Roman" w:cs="Times New Roman" w:eastAsia="Times New Roman" w:hint="default"/>
                            <w:spacing w:val="4"/>
                            <w:w w:val="99"/>
                            <w:sz w:val="18"/>
                            <w:szCs w:val="18"/>
                          </w:rPr>
                          <w:t> </w:t>
                        </w:r>
                        <w:r>
                          <w:rPr>
                            <w:rFonts w:ascii="宋体" w:hAnsi="宋体" w:cs="宋体" w:eastAsia="宋体" w:hint="default"/>
                            <w:sz w:val="18"/>
                            <w:szCs w:val="18"/>
                          </w:rPr>
                          <w:t>市场和客户情</w:t>
                        </w:r>
                        <w:r>
                          <w:rPr>
                            <w:rFonts w:ascii="宋体" w:hAnsi="宋体" w:cs="宋体" w:eastAsia="宋体" w:hint="default"/>
                            <w:spacing w:val="-84"/>
                            <w:sz w:val="18"/>
                            <w:szCs w:val="18"/>
                          </w:rPr>
                          <w:t> </w:t>
                        </w:r>
                        <w:r>
                          <w:rPr>
                            <w:rFonts w:ascii="宋体" w:hAnsi="宋体" w:cs="宋体" w:eastAsia="宋体" w:hint="default"/>
                            <w:sz w:val="18"/>
                            <w:szCs w:val="18"/>
                          </w:rPr>
                          <w:t>况，为保障项目的盈利水平，公司计划重新规划数据中心二期的建设方式，为审慎使用募集资金， 提高募集资金使用效率，经过谨慎的研究论证决定放缓长沙云谷数据中心项目的</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机房及配套设 施建设速度，并根据市场前景变化及实际建设需要，进行阶段性投入。为保障项目的有效实施，公 司计划推项目实施进度，将长沙云谷数据中心项目预计达到可使用状态的时间计划从原定的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p>
                      <w:p>
                        <w:pPr>
                          <w:pStyle w:val="TableParagraph"/>
                          <w:spacing w:line="240" w:lineRule="auto" w:before="7"/>
                          <w:ind w:left="16"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日延期至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pStyle w:val="TableParagraph"/>
                          <w:spacing w:line="314" w:lineRule="auto" w:before="103"/>
                          <w:ind w:left="16" w:right="17" w:firstLine="360"/>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、证通长沙软件研发中心项目：公司于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日召开的第四届董事会第二十三次会议 </w:t>
                        </w:r>
                        <w:r>
                          <w:rPr>
                            <w:rFonts w:ascii="宋体" w:hAnsi="宋体" w:cs="宋体" w:eastAsia="宋体" w:hint="default"/>
                            <w:spacing w:val="-5"/>
                            <w:sz w:val="18"/>
                            <w:szCs w:val="18"/>
                          </w:rPr>
                          <w:t>通过了《关于公司部分募集资金投资项目延期的议案》，公司考虑到虽然国内商业银行在进行智慧银</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行转型升级，但在具体做法和方向上仍有待观察，同时项目地所在长沙市望城区周边配套交通、生 活环境尚待完善，为提高募集资金使用效率，经过研究论证，公司计划放缓长沙软件研发中心的建 设速度，将证通长沙软件研发中心项目预计达到可使用状态的时间从原计划的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日延</w:t>
                        </w:r>
                      </w:p>
                      <w:p>
                        <w:pPr>
                          <w:pStyle w:val="TableParagraph"/>
                          <w:spacing w:line="240" w:lineRule="auto" w:before="1"/>
                          <w:ind w:left="16" w:right="0"/>
                          <w:jc w:val="both"/>
                          <w:rPr>
                            <w:rFonts w:ascii="宋体" w:hAnsi="宋体" w:cs="宋体" w:eastAsia="宋体" w:hint="default"/>
                            <w:sz w:val="18"/>
                            <w:szCs w:val="18"/>
                          </w:rPr>
                        </w:pPr>
                        <w:r>
                          <w:rPr>
                            <w:rFonts w:ascii="宋体" w:hAnsi="宋体" w:cs="宋体" w:eastAsia="宋体" w:hint="default"/>
                            <w:sz w:val="18"/>
                            <w:szCs w:val="18"/>
                          </w:rPr>
                          <w:t>期至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1018"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vMerge/>
                        <w:tcBorders>
                          <w:left w:val="single" w:sz="10" w:space="0" w:color="D2D2D2"/>
                          <w:right w:val="single" w:sz="4" w:space="0" w:color="000000"/>
                        </w:tcBorders>
                      </w:tcPr>
                      <w:p>
                        <w:pPr/>
                      </w:p>
                    </w:tc>
                  </w:tr>
                  <w:tr>
                    <w:trPr>
                      <w:trHeight w:val="4121"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316" w:lineRule="auto" w:before="68"/>
                          <w:ind w:left="16" w:right="23" w:firstLine="360"/>
                          <w:jc w:val="left"/>
                          <w:rPr>
                            <w:rFonts w:ascii="宋体" w:hAnsi="宋体" w:cs="宋体" w:eastAsia="宋体" w:hint="default"/>
                            <w:sz w:val="18"/>
                            <w:szCs w:val="18"/>
                          </w:rPr>
                        </w:pPr>
                        <w:r>
                          <w:rPr>
                            <w:rFonts w:ascii="宋体" w:hAnsi="宋体" w:cs="宋体" w:eastAsia="宋体" w:hint="default"/>
                            <w:sz w:val="18"/>
                            <w:szCs w:val="18"/>
                          </w:rPr>
                          <w:t>支付卡行业安全芯片项目：因为公司结合市场环境需求的变化及支付卡行业安全芯片项目的实 际运作情况，本着节约成本和经济效益最大化原则，在项目实际运营过程中，为充分利用内外部资</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3"/>
          <w:szCs w:val="13"/>
        </w:rPr>
      </w:pPr>
    </w:p>
    <w:p>
      <w:pPr>
        <w:pStyle w:val="BodyText"/>
        <w:spacing w:line="240" w:lineRule="auto"/>
        <w:ind w:left="0" w:right="1139"/>
        <w:jc w:val="right"/>
      </w:pPr>
      <w:r>
        <w:rPr/>
        <w:t>。</w:t>
      </w:r>
    </w:p>
    <w:p>
      <w:pPr>
        <w:spacing w:after="0" w:line="240" w:lineRule="auto"/>
        <w:jc w:val="right"/>
        <w:sectPr>
          <w:pgSz w:w="11910" w:h="16840"/>
          <w:pgMar w:header="745"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91.7pt;mso-position-horizontal-relative:page;mso-position-vertical-relative:page;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9"/>
                  </w:tblGrid>
                  <w:tr>
                    <w:trPr>
                      <w:trHeight w:val="1299" w:hRule="exact"/>
                    </w:trPr>
                    <w:tc>
                      <w:tcPr>
                        <w:tcW w:w="1770"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源改变了运作模式，由前期完全自购研发相关设备改成部分租用。经公司于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日召开</w:t>
                        </w:r>
                      </w:p>
                      <w:p>
                        <w:pPr>
                          <w:pStyle w:val="TableParagraph"/>
                          <w:spacing w:line="309" w:lineRule="auto" w:before="63"/>
                          <w:ind w:left="24" w:right="23"/>
                          <w:jc w:val="left"/>
                          <w:rPr>
                            <w:rFonts w:ascii="宋体" w:hAnsi="宋体" w:cs="宋体" w:eastAsia="宋体" w:hint="default"/>
                            <w:sz w:val="18"/>
                            <w:szCs w:val="18"/>
                          </w:rPr>
                        </w:pPr>
                        <w:r>
                          <w:rPr>
                            <w:rFonts w:ascii="宋体" w:hAnsi="宋体" w:cs="宋体" w:eastAsia="宋体" w:hint="default"/>
                            <w:sz w:val="18"/>
                            <w:szCs w:val="18"/>
                          </w:rPr>
                          <w:t>的第三届董事会第二十六次会议和</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日召开的</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年第四次临时股东大会审议通过 将项目终止并将该募投项目节余的募集资金及利息用于永久补充流动资金。截至本公司将该项目募 集资金专户注销时，实际未使用募集资金及利息收入补充流动资金的金额为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5,258.91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401"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4" w:lineRule="auto" w:before="94"/>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tcBorders>
                          <w:left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314"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1770" w:type="dxa"/>
                        <w:vMerge/>
                        <w:tcBorders>
                          <w:left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7035"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49"/>
                          <w:ind w:left="24" w:right="20"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）长沙云谷数据中心项目：公司于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日召开</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年第四次临时股东大会审议 </w:t>
                        </w:r>
                        <w:r>
                          <w:rPr>
                            <w:rFonts w:ascii="宋体" w:hAnsi="宋体" w:cs="宋体" w:eastAsia="宋体" w:hint="default"/>
                            <w:spacing w:val="-3"/>
                            <w:sz w:val="18"/>
                            <w:szCs w:val="18"/>
                          </w:rPr>
                          <w:t>通过了《关于公司变更部分募集资金用途并永久补充流动资金的议案》，综合考虑到目前湖南地区</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市场和客户情况，在集中优势力量服务好优质客户群体的前提下，经过谨慎的研究论证，公司 将长沙云谷数据中心项目的募集资金项目的建设规模由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个机架的建设规模缩减为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个机 柜，已能适应目前公司业务发展需要和湖南地区</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市场数据中心中期的需求，该项目原总投资估 算为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72,802.55</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万元，调整后投入募集资金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41,438.22 </w:t>
                        </w:r>
                        <w:r>
                          <w:rPr>
                            <w:rFonts w:ascii="宋体" w:hAnsi="宋体" w:cs="宋体" w:eastAsia="宋体" w:hint="default"/>
                            <w:sz w:val="18"/>
                            <w:szCs w:val="18"/>
                          </w:rPr>
                          <w:t>万元，有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31,364.34 </w:t>
                        </w:r>
                        <w:r>
                          <w:rPr>
                            <w:rFonts w:ascii="宋体" w:hAnsi="宋体" w:cs="宋体" w:eastAsia="宋体" w:hint="default"/>
                            <w:sz w:val="18"/>
                            <w:szCs w:val="18"/>
                          </w:rPr>
                          <w:t>万元募集资金及其利息用 于永久补充流动资金，用于公司日常经营活动。</w:t>
                        </w:r>
                      </w:p>
                      <w:p>
                        <w:pPr>
                          <w:pStyle w:val="TableParagraph"/>
                          <w:spacing w:line="314" w:lineRule="auto" w:before="70"/>
                          <w:ind w:left="24" w:right="19"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）证通长沙软件研发中心项目：公司于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年第四次临时股东大会 </w:t>
                        </w:r>
                        <w:r>
                          <w:rPr>
                            <w:rFonts w:ascii="宋体" w:hAnsi="宋体" w:cs="宋体" w:eastAsia="宋体" w:hint="default"/>
                            <w:spacing w:val="-5"/>
                            <w:sz w:val="18"/>
                            <w:szCs w:val="18"/>
                          </w:rPr>
                          <w:t>审议通过了《关于公司变更部分募集资金用途并永久补充流动资金的议案》，综合考虑到宏观经济影</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响及证通长沙软件研发中心项目地所在长沙市望城区周边配套投资建设滞后于预期，基于对市场环</w:t>
                        </w:r>
                        <w:r>
                          <w:rPr>
                            <w:rFonts w:ascii="宋体" w:hAnsi="宋体" w:cs="宋体" w:eastAsia="宋体" w:hint="default"/>
                            <w:sz w:val="18"/>
                            <w:szCs w:val="18"/>
                          </w:rPr>
                          <w:t> </w:t>
                        </w:r>
                        <w:r>
                          <w:rPr>
                            <w:rFonts w:ascii="宋体" w:hAnsi="宋体" w:cs="宋体" w:eastAsia="宋体" w:hint="default"/>
                            <w:spacing w:val="-3"/>
                            <w:sz w:val="18"/>
                            <w:szCs w:val="18"/>
                          </w:rPr>
                          <w:t>境现状及未来发展趋势的预判，若公司现阶段仍坚持在该项目上继续投入大量资金，从未来发展看</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项目建成后可能会导致部分功能闲置及资源浪费。经过谨慎的研究论证，公司除留存尚需支付的资 金投入建设投入外，优先保障核心资源有效投入到建设完成后资产应用率较高和有利于公司运营发 展的长沙软件研发中心和运营维护中心。项目原总投资估算为</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33,357.64</w:t>
                        </w:r>
                        <w:r>
                          <w:rPr>
                            <w:rFonts w:ascii="Times New Roman" w:hAnsi="Times New Roman" w:cs="Times New Roman" w:eastAsia="Times New Roman" w:hint="default"/>
                            <w:spacing w:val="-16"/>
                            <w:sz w:val="18"/>
                            <w:szCs w:val="18"/>
                          </w:rPr>
                          <w:t> </w:t>
                        </w:r>
                        <w:r>
                          <w:rPr>
                            <w:rFonts w:ascii="宋体" w:hAnsi="宋体" w:cs="宋体" w:eastAsia="宋体" w:hint="default"/>
                            <w:spacing w:val="-5"/>
                            <w:sz w:val="18"/>
                            <w:szCs w:val="18"/>
                          </w:rPr>
                          <w:t>万元，调整后投入该项目的</w:t>
                        </w:r>
                      </w:p>
                      <w:p>
                        <w:pPr>
                          <w:pStyle w:val="TableParagraph"/>
                          <w:spacing w:line="300" w:lineRule="auto" w:before="1"/>
                          <w:ind w:left="24" w:right="20"/>
                          <w:jc w:val="both"/>
                          <w:rPr>
                            <w:rFonts w:ascii="宋体" w:hAnsi="宋体" w:cs="宋体" w:eastAsia="宋体" w:hint="default"/>
                            <w:sz w:val="18"/>
                            <w:szCs w:val="18"/>
                          </w:rPr>
                        </w:pPr>
                        <w:r>
                          <w:rPr>
                            <w:rFonts w:ascii="宋体" w:hAnsi="宋体" w:cs="宋体" w:eastAsia="宋体" w:hint="default"/>
                            <w:sz w:val="18"/>
                            <w:szCs w:val="18"/>
                          </w:rPr>
                          <w:t>募集资金为</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8,695.58</w:t>
                        </w:r>
                        <w:r>
                          <w:rPr>
                            <w:rFonts w:ascii="Times New Roman" w:hAnsi="Times New Roman" w:cs="Times New Roman" w:eastAsia="Times New Roman" w:hint="default"/>
                            <w:spacing w:val="-11"/>
                            <w:sz w:val="18"/>
                            <w:szCs w:val="18"/>
                          </w:rPr>
                          <w:t> </w:t>
                        </w:r>
                        <w:r>
                          <w:rPr>
                            <w:rFonts w:ascii="宋体" w:hAnsi="宋体" w:cs="宋体" w:eastAsia="宋体" w:hint="default"/>
                            <w:spacing w:val="-12"/>
                            <w:sz w:val="18"/>
                            <w:szCs w:val="18"/>
                          </w:rPr>
                          <w:t>万元，有</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24,662.06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万元募集资金用于永久补充流动资金，用于公司日常经营活 动。</w:t>
                        </w:r>
                      </w:p>
                      <w:p>
                        <w:pPr>
                          <w:pStyle w:val="TableParagraph"/>
                          <w:spacing w:line="240" w:lineRule="auto" w:before="70"/>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以前年度发生</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日召开的第四</w:t>
                        </w:r>
                        <w:r>
                          <w:rPr>
                            <w:rFonts w:ascii="宋体" w:hAnsi="宋体" w:cs="宋体" w:eastAsia="宋体" w:hint="default"/>
                            <w:spacing w:val="-3"/>
                            <w:sz w:val="18"/>
                            <w:szCs w:val="18"/>
                          </w:rPr>
                          <w:t>届</w:t>
                        </w:r>
                        <w:r>
                          <w:rPr>
                            <w:rFonts w:ascii="宋体" w:hAnsi="宋体" w:cs="宋体" w:eastAsia="宋体" w:hint="default"/>
                            <w:sz w:val="18"/>
                            <w:szCs w:val="18"/>
                          </w:rPr>
                          <w:t>董事会第八次会议和</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12</w:t>
                        </w:r>
                        <w:r>
                          <w:rPr>
                            <w:rFonts w:ascii="Times New Roman" w:hAnsi="Times New Roman" w:cs="Times New Roman" w:eastAsia="Times New Roman" w:hint="default"/>
                            <w:sz w:val="18"/>
                            <w:szCs w:val="18"/>
                          </w:rPr>
                        </w:r>
                      </w:p>
                      <w:p>
                        <w:pPr>
                          <w:pStyle w:val="TableParagraph"/>
                          <w:spacing w:line="300" w:lineRule="auto" w:before="63"/>
                          <w:ind w:left="24" w:right="2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日召开的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年第五次临时股东大会审议通过《关于公司变更部分募集资金用途暨投资新项目</w:t>
                        </w:r>
                        <w:r>
                          <w:rPr>
                            <w:rFonts w:ascii="宋体" w:hAnsi="宋体" w:cs="宋体" w:eastAsia="宋体" w:hint="default"/>
                            <w:sz w:val="18"/>
                            <w:szCs w:val="18"/>
                          </w:rPr>
                          <w:t> </w:t>
                        </w:r>
                        <w:r>
                          <w:rPr>
                            <w:rFonts w:ascii="宋体" w:hAnsi="宋体" w:cs="宋体" w:eastAsia="宋体" w:hint="default"/>
                            <w:spacing w:val="-12"/>
                            <w:sz w:val="18"/>
                            <w:szCs w:val="18"/>
                          </w:rPr>
                          <w:t>的议案》，将年产</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万台金融</w:t>
                        </w:r>
                        <w:r>
                          <w:rPr>
                            <w:rFonts w:ascii="宋体" w:hAnsi="宋体" w:cs="宋体" w:eastAsia="宋体" w:hint="default"/>
                            <w:spacing w:val="-43"/>
                            <w:sz w:val="18"/>
                            <w:szCs w:val="18"/>
                          </w:rPr>
                          <w:t> </w:t>
                        </w:r>
                        <w:r>
                          <w:rPr>
                            <w:rFonts w:ascii="Times New Roman" w:hAnsi="Times New Roman" w:cs="Times New Roman" w:eastAsia="Times New Roman" w:hint="default"/>
                            <w:spacing w:val="-2"/>
                            <w:sz w:val="18"/>
                            <w:szCs w:val="18"/>
                          </w:rPr>
                          <w:t>IC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卡</w:t>
                        </w:r>
                        <w:r>
                          <w:rPr>
                            <w:rFonts w:ascii="宋体" w:hAnsi="宋体" w:cs="宋体" w:eastAsia="宋体" w:hint="default"/>
                            <w:spacing w:val="-45"/>
                            <w:sz w:val="18"/>
                            <w:szCs w:val="18"/>
                          </w:rPr>
                          <w:t> </w:t>
                        </w:r>
                        <w:r>
                          <w:rPr>
                            <w:rFonts w:ascii="Times New Roman" w:hAnsi="Times New Roman" w:cs="Times New Roman" w:eastAsia="Times New Roman" w:hint="default"/>
                            <w:w w:val="99"/>
                            <w:sz w:val="18"/>
                            <w:szCs w:val="18"/>
                          </w:rPr>
                          <w:t>POS</w:t>
                        </w:r>
                        <w:r>
                          <w:rPr>
                            <w:rFonts w:ascii="Times New Roman" w:hAnsi="Times New Roman" w:cs="Times New Roman" w:eastAsia="Times New Roman" w:hint="default"/>
                            <w:spacing w:val="3"/>
                            <w:w w:val="99"/>
                            <w:sz w:val="18"/>
                            <w:szCs w:val="18"/>
                          </w:rPr>
                          <w:t> </w:t>
                        </w:r>
                        <w:r>
                          <w:rPr>
                            <w:rFonts w:ascii="宋体" w:hAnsi="宋体" w:cs="宋体" w:eastAsia="宋体" w:hint="default"/>
                            <w:spacing w:val="-1"/>
                            <w:sz w:val="18"/>
                            <w:szCs w:val="18"/>
                          </w:rPr>
                          <w:t>终端产能建设项目和年产</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万台惠农通农村电子商务专用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终端产能建设项目募集资金共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17,245.00 </w:t>
                        </w:r>
                        <w:r>
                          <w:rPr>
                            <w:rFonts w:ascii="宋体" w:hAnsi="宋体" w:cs="宋体" w:eastAsia="宋体" w:hint="default"/>
                            <w:sz w:val="18"/>
                            <w:szCs w:val="18"/>
                          </w:rPr>
                          <w:t>万元及其募集资金账户利息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642.41 </w:t>
                        </w:r>
                        <w:r>
                          <w:rPr>
                            <w:rFonts w:ascii="宋体" w:hAnsi="宋体" w:cs="宋体" w:eastAsia="宋体" w:hint="default"/>
                            <w:sz w:val="18"/>
                            <w:szCs w:val="18"/>
                          </w:rPr>
                          <w:t>万元全部用于新项目证 通电子大数据云计算产业园（光明云谷）项目建设，原有项目全部变更为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以公司自有资金投入</w:t>
                        </w:r>
                        <w:r>
                          <w:rPr>
                            <w:rFonts w:ascii="Times New Roman" w:hAnsi="Times New Roman" w:cs="Times New Roman" w:eastAsia="Times New Roman" w:hint="default"/>
                            <w:sz w:val="18"/>
                            <w:szCs w:val="18"/>
                          </w:rPr>
                          <w:t>”</w:t>
                        </w:r>
                        <w:r>
                          <w:rPr>
                            <w:rFonts w:ascii="宋体" w:hAnsi="宋体" w:cs="宋体" w:eastAsia="宋体" w:hint="default"/>
                            <w:sz w:val="18"/>
                            <w:szCs w:val="18"/>
                          </w:rPr>
                          <w:t>， 即将两个项目变为非募集资金项目。</w:t>
                        </w: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27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2013 </w:t>
                        </w:r>
                        <w:r>
                          <w:rPr>
                            <w:rFonts w:ascii="宋体" w:hAnsi="宋体" w:cs="宋体" w:eastAsia="宋体" w:hint="default"/>
                            <w:sz w:val="18"/>
                            <w:szCs w:val="18"/>
                          </w:rPr>
                          <w:t>年非公开发行项目：截至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日，公司以自有资金先期投入募集资金项</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目</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4,179.53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万元，募集资金到位后根据专项审核报告及第三届董事会第六次会议董事会决议，并经</w:t>
                        </w:r>
                      </w:p>
                      <w:p>
                        <w:pPr>
                          <w:pStyle w:val="TableParagraph"/>
                          <w:spacing w:line="300" w:lineRule="auto" w:before="63"/>
                          <w:ind w:left="24" w:right="17"/>
                          <w:jc w:val="left"/>
                          <w:rPr>
                            <w:rFonts w:ascii="宋体" w:hAnsi="宋体" w:cs="宋体" w:eastAsia="宋体" w:hint="default"/>
                            <w:sz w:val="18"/>
                            <w:szCs w:val="18"/>
                          </w:rPr>
                        </w:pPr>
                        <w:r>
                          <w:rPr>
                            <w:rFonts w:ascii="宋体" w:hAnsi="宋体" w:cs="宋体" w:eastAsia="宋体" w:hint="default"/>
                            <w:spacing w:val="-4"/>
                            <w:sz w:val="18"/>
                            <w:szCs w:val="18"/>
                          </w:rPr>
                          <w:t>保荐人同意，使用募集资金对先期投入自有资金进行置换，另</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12,095.39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万元是先期投入自用流动资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金直接用于归还银行贷款。</w:t>
                        </w:r>
                      </w:p>
                      <w:p>
                        <w:pPr>
                          <w:pStyle w:val="TableParagraph"/>
                          <w:spacing w:line="240" w:lineRule="auto" w:before="72"/>
                          <w:ind w:left="38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2015 </w:t>
                        </w:r>
                        <w:r>
                          <w:rPr>
                            <w:rFonts w:ascii="宋体" w:hAnsi="宋体" w:cs="宋体" w:eastAsia="宋体" w:hint="default"/>
                            <w:sz w:val="18"/>
                            <w:szCs w:val="18"/>
                          </w:rPr>
                          <w:t>年非公开发行项目：截至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日，公司以自有资金先期投入募集资金项</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目</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4,051.43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万元，募集资金到位后根据专项审核报告及第四届董事会第九次会议决议，并经保荐人</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同意，使用募集资金对先期投入自有资金进行置换。公司分别于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p>
      <w:pPr>
        <w:pStyle w:val="BodyText"/>
        <w:spacing w:line="240" w:lineRule="auto"/>
        <w:ind w:left="0" w:right="113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BodyText"/>
        <w:spacing w:line="240" w:lineRule="auto" w:before="135"/>
        <w:ind w:left="0" w:right="1137"/>
        <w:jc w:val="right"/>
      </w:pPr>
      <w:r>
        <w:rPr/>
        <w:t>，</w:t>
      </w:r>
    </w:p>
    <w:p>
      <w:pPr>
        <w:spacing w:after="0" w:line="240" w:lineRule="auto"/>
        <w:jc w:val="right"/>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70"/>
        <w:gridCol w:w="7799"/>
      </w:tblGrid>
      <w:tr>
        <w:trPr>
          <w:trHeight w:val="36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日，置换先期投入总计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4,051.43 </w:t>
            </w:r>
            <w:r>
              <w:rPr>
                <w:rFonts w:ascii="宋体" w:hAnsi="宋体" w:cs="宋体" w:eastAsia="宋体" w:hint="default"/>
                <w:sz w:val="18"/>
                <w:szCs w:val="18"/>
              </w:rPr>
              <w:t>万元，先期投入全部置换完毕。</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5516"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w:t>
            </w:r>
            <w:r>
              <w:rPr>
                <w:rFonts w:ascii="宋体" w:hAnsi="宋体" w:cs="宋体" w:eastAsia="宋体" w:hint="default"/>
                <w:spacing w:val="-3"/>
                <w:sz w:val="18"/>
                <w:szCs w:val="18"/>
              </w:rPr>
              <w:t>的</w:t>
            </w:r>
            <w:r>
              <w:rPr>
                <w:rFonts w:ascii="宋体" w:hAnsi="宋体" w:cs="宋体" w:eastAsia="宋体" w:hint="default"/>
                <w:sz w:val="18"/>
                <w:szCs w:val="18"/>
              </w:rPr>
              <w:t>第四届董事会第十七次会议审议通过</w:t>
            </w:r>
            <w:r>
              <w:rPr>
                <w:rFonts w:ascii="宋体" w:hAnsi="宋体" w:cs="宋体" w:eastAsia="宋体" w:hint="default"/>
                <w:spacing w:val="-89"/>
                <w:sz w:val="18"/>
                <w:szCs w:val="18"/>
              </w:rPr>
              <w:t>了</w:t>
            </w:r>
            <w:r>
              <w:rPr>
                <w:rFonts w:ascii="宋体" w:hAnsi="宋体" w:cs="宋体" w:eastAsia="宋体" w:hint="default"/>
                <w:sz w:val="18"/>
                <w:szCs w:val="18"/>
              </w:rPr>
              <w:t>《关于公司使用部分闲置</w:t>
            </w:r>
          </w:p>
          <w:p>
            <w:pPr>
              <w:pStyle w:val="TableParagraph"/>
              <w:spacing w:line="307" w:lineRule="auto" w:before="63"/>
              <w:ind w:left="24" w:right="22"/>
              <w:jc w:val="both"/>
              <w:rPr>
                <w:rFonts w:ascii="宋体" w:hAnsi="宋体" w:cs="宋体" w:eastAsia="宋体" w:hint="default"/>
                <w:sz w:val="18"/>
                <w:szCs w:val="18"/>
              </w:rPr>
            </w:pPr>
            <w:r>
              <w:rPr>
                <w:rFonts w:ascii="宋体" w:hAnsi="宋体" w:cs="宋体" w:eastAsia="宋体" w:hint="default"/>
                <w:spacing w:val="-4"/>
                <w:sz w:val="18"/>
                <w:szCs w:val="18"/>
              </w:rPr>
              <w:t>募集资金暂时补充流动资金的议案》，同意公司使用不超过</w:t>
            </w:r>
            <w:r>
              <w:rPr>
                <w:rFonts w:ascii="宋体" w:hAnsi="宋体" w:cs="宋体" w:eastAsia="宋体" w:hint="default"/>
                <w:spacing w:val="-32"/>
                <w:sz w:val="18"/>
                <w:szCs w:val="18"/>
              </w:rPr>
              <w:t> </w:t>
            </w:r>
            <w:r>
              <w:rPr>
                <w:rFonts w:ascii="Times New Roman" w:hAnsi="Times New Roman" w:cs="Times New Roman" w:eastAsia="Times New Roman" w:hint="default"/>
                <w:spacing w:val="-1"/>
                <w:sz w:val="18"/>
                <w:szCs w:val="18"/>
              </w:rPr>
              <w:t>35,000.00</w:t>
            </w:r>
            <w:r>
              <w:rPr>
                <w:rFonts w:ascii="Times New Roman" w:hAnsi="Times New Roman" w:cs="Times New Roman" w:eastAsia="Times New Roman" w:hint="default"/>
                <w:spacing w:val="14"/>
                <w:sz w:val="18"/>
                <w:szCs w:val="18"/>
              </w:rPr>
              <w:t> </w:t>
            </w:r>
            <w:r>
              <w:rPr>
                <w:rFonts w:ascii="宋体" w:hAnsi="宋体" w:cs="宋体" w:eastAsia="宋体" w:hint="default"/>
                <w:spacing w:val="-1"/>
                <w:sz w:val="18"/>
                <w:szCs w:val="18"/>
              </w:rPr>
              <w:t>万元闲置资金用于暂时补充流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动资金，使用期限自董事会通过之日且归还前次使用闲置募集资金暂时补充流动资金款项起不超过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宋体" w:hAnsi="宋体" w:cs="宋体" w:eastAsia="宋体" w:hint="default"/>
                <w:spacing w:val="-1"/>
                <w:sz w:val="18"/>
                <w:szCs w:val="18"/>
              </w:rPr>
              <w:t> </w:t>
            </w:r>
            <w:r>
              <w:rPr>
                <w:rFonts w:ascii="宋体" w:hAnsi="宋体" w:cs="宋体" w:eastAsia="宋体" w:hint="default"/>
                <w:sz w:val="18"/>
                <w:szCs w:val="18"/>
              </w:rPr>
              <w:t>截止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日，公司已将上述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35,000.00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万元暂时补充流动资金的闲置募集资金 全部归还至募集资金专用账户，本次使用部分闲置募集资金暂时补充流动资金事项已经结束。</w:t>
            </w:r>
          </w:p>
          <w:p>
            <w:pPr>
              <w:pStyle w:val="TableParagraph"/>
              <w:spacing w:line="240" w:lineRule="auto" w:before="67"/>
              <w:ind w:left="384"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日召开的第四届董事会第二十一次会议审议通过了《关于公司使用部分</w:t>
            </w:r>
          </w:p>
          <w:p>
            <w:pPr>
              <w:pStyle w:val="TableParagraph"/>
              <w:spacing w:line="307" w:lineRule="auto" w:before="63"/>
              <w:ind w:left="24" w:right="20"/>
              <w:jc w:val="both"/>
              <w:rPr>
                <w:rFonts w:ascii="Times New Roman" w:hAnsi="Times New Roman" w:cs="Times New Roman" w:eastAsia="Times New Roman" w:hint="default"/>
                <w:sz w:val="18"/>
                <w:szCs w:val="18"/>
              </w:rPr>
            </w:pPr>
            <w:r>
              <w:rPr>
                <w:rFonts w:ascii="宋体" w:hAnsi="宋体" w:cs="宋体" w:eastAsia="宋体" w:hint="default"/>
                <w:spacing w:val="-4"/>
                <w:sz w:val="18"/>
                <w:szCs w:val="18"/>
              </w:rPr>
              <w:t>闲置募集资金暂时补充流动资金的议案》，同意公司使用不超过</w:t>
            </w:r>
            <w:r>
              <w:rPr>
                <w:rFonts w:ascii="宋体" w:hAnsi="宋体" w:cs="宋体" w:eastAsia="宋体" w:hint="default"/>
                <w:spacing w:val="-32"/>
                <w:sz w:val="18"/>
                <w:szCs w:val="18"/>
              </w:rPr>
              <w:t> </w:t>
            </w:r>
            <w:r>
              <w:rPr>
                <w:rFonts w:ascii="Times New Roman" w:hAnsi="Times New Roman" w:cs="Times New Roman" w:eastAsia="Times New Roman" w:hint="default"/>
                <w:spacing w:val="-1"/>
                <w:sz w:val="18"/>
                <w:szCs w:val="18"/>
              </w:rPr>
              <w:t>11,930.00</w:t>
            </w:r>
            <w:r>
              <w:rPr>
                <w:rFonts w:ascii="Times New Roman" w:hAnsi="Times New Roman" w:cs="Times New Roman" w:eastAsia="Times New Roman" w:hint="default"/>
                <w:spacing w:val="14"/>
                <w:sz w:val="18"/>
                <w:szCs w:val="18"/>
              </w:rPr>
              <w:t> </w:t>
            </w:r>
            <w:r>
              <w:rPr>
                <w:rFonts w:ascii="宋体" w:hAnsi="宋体" w:cs="宋体" w:eastAsia="宋体" w:hint="default"/>
                <w:spacing w:val="-1"/>
                <w:sz w:val="18"/>
                <w:szCs w:val="18"/>
              </w:rPr>
              <w:t>万元闲置资金用于暂时补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充流动资金，使用期限自董事会通过之日且归还前次使用闲置募集资金暂时补充流动资金款项起不 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个月。截止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日，公司已将上述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11,930.00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万元暂时补充流动资金的闲置募集资 金全部归还至募集资金专用账户</w:t>
            </w:r>
            <w:r>
              <w:rPr>
                <w:rFonts w:ascii="Times New Roman" w:hAnsi="Times New Roman" w:cs="Times New Roman" w:eastAsia="Times New Roman" w:hint="default"/>
                <w:sz w:val="18"/>
                <w:szCs w:val="18"/>
              </w:rPr>
              <w:t>.</w:t>
            </w:r>
          </w:p>
          <w:p>
            <w:pPr>
              <w:pStyle w:val="TableParagraph"/>
              <w:spacing w:line="240" w:lineRule="auto" w:before="45"/>
              <w:ind w:left="384"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日召开的第四届董事会第二十五次（临时）会议审议通过了《关于公司</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使用部分闲置募集资金暂时补充流动资金的议案</w:t>
            </w:r>
            <w:r>
              <w:rPr>
                <w:rFonts w:ascii="宋体" w:hAnsi="宋体" w:cs="宋体" w:eastAsia="宋体" w:hint="default"/>
                <w:spacing w:val="-92"/>
                <w:sz w:val="18"/>
                <w:szCs w:val="18"/>
              </w:rPr>
              <w:t>》</w:t>
            </w:r>
            <w:r>
              <w:rPr>
                <w:rFonts w:ascii="宋体" w:hAnsi="宋体" w:cs="宋体" w:eastAsia="宋体" w:hint="default"/>
                <w:sz w:val="18"/>
                <w:szCs w:val="18"/>
              </w:rPr>
              <w:t>，同意公</w:t>
            </w:r>
            <w:r>
              <w:rPr>
                <w:rFonts w:ascii="宋体" w:hAnsi="宋体" w:cs="宋体" w:eastAsia="宋体" w:hint="default"/>
                <w:spacing w:val="2"/>
                <w:sz w:val="18"/>
                <w:szCs w:val="18"/>
              </w:rPr>
              <w:t>司</w:t>
            </w:r>
            <w:r>
              <w:rPr>
                <w:rFonts w:ascii="宋体" w:hAnsi="宋体" w:cs="宋体" w:eastAsia="宋体" w:hint="default"/>
                <w:sz w:val="18"/>
                <w:szCs w:val="18"/>
              </w:rPr>
              <w:t>拟使用不超过</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宋体" w:hAnsi="宋体" w:cs="宋体" w:eastAsia="宋体" w:hint="default"/>
                <w:spacing w:val="-3"/>
                <w:sz w:val="18"/>
                <w:szCs w:val="18"/>
              </w:rPr>
              <w:t>的</w:t>
            </w:r>
            <w:r>
              <w:rPr>
                <w:rFonts w:ascii="宋体" w:hAnsi="宋体" w:cs="宋体" w:eastAsia="宋体" w:hint="default"/>
                <w:sz w:val="18"/>
                <w:szCs w:val="18"/>
              </w:rPr>
              <w:t>闲置募</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集资金暂时补充流动资金，使用期限自公司董事会批准之日起不超过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p>
            <w:pPr>
              <w:pStyle w:val="TableParagraph"/>
              <w:spacing w:line="240" w:lineRule="auto" w:before="103"/>
              <w:ind w:left="384" w:right="0"/>
              <w:jc w:val="left"/>
              <w:rPr>
                <w:rFonts w:ascii="宋体" w:hAnsi="宋体" w:cs="宋体" w:eastAsia="宋体" w:hint="default"/>
                <w:sz w:val="18"/>
                <w:szCs w:val="18"/>
              </w:rPr>
            </w:pPr>
            <w:r>
              <w:rPr>
                <w:rFonts w:ascii="宋体" w:hAnsi="宋体" w:cs="宋体" w:eastAsia="宋体" w:hint="default"/>
                <w:sz w:val="18"/>
                <w:szCs w:val="18"/>
              </w:rPr>
              <w:t>另因公司于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月的</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年第四次临时股东大会审</w:t>
            </w:r>
            <w:r>
              <w:rPr>
                <w:rFonts w:ascii="宋体" w:hAnsi="宋体" w:cs="宋体" w:eastAsia="宋体" w:hint="default"/>
                <w:spacing w:val="-3"/>
                <w:sz w:val="18"/>
                <w:szCs w:val="18"/>
              </w:rPr>
              <w:t>议</w:t>
            </w:r>
            <w:r>
              <w:rPr>
                <w:rFonts w:ascii="宋体" w:hAnsi="宋体" w:cs="宋体" w:eastAsia="宋体" w:hint="default"/>
                <w:sz w:val="18"/>
                <w:szCs w:val="18"/>
              </w:rPr>
              <w:t>通过</w:t>
            </w:r>
            <w:r>
              <w:rPr>
                <w:rFonts w:ascii="宋体" w:hAnsi="宋体" w:cs="宋体" w:eastAsia="宋体" w:hint="default"/>
                <w:spacing w:val="-89"/>
                <w:sz w:val="18"/>
                <w:szCs w:val="18"/>
              </w:rPr>
              <w:t>了</w:t>
            </w:r>
            <w:r>
              <w:rPr>
                <w:rFonts w:ascii="宋体" w:hAnsi="宋体" w:cs="宋体" w:eastAsia="宋体" w:hint="default"/>
                <w:sz w:val="18"/>
                <w:szCs w:val="18"/>
              </w:rPr>
              <w:t>《关于公司变更部分募集资</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金用途并永久补充流动资金的议案</w:t>
            </w:r>
            <w:r>
              <w:rPr>
                <w:rFonts w:ascii="宋体" w:hAnsi="宋体" w:cs="宋体" w:eastAsia="宋体" w:hint="default"/>
                <w:spacing w:val="-92"/>
                <w:sz w:val="18"/>
                <w:szCs w:val="18"/>
              </w:rPr>
              <w:t>》</w:t>
            </w:r>
            <w:r>
              <w:rPr>
                <w:rFonts w:ascii="宋体" w:hAnsi="宋体" w:cs="宋体" w:eastAsia="宋体" w:hint="default"/>
                <w:sz w:val="18"/>
                <w:szCs w:val="18"/>
              </w:rPr>
              <w:t>，同意公司变更部分募</w:t>
            </w:r>
            <w:r>
              <w:rPr>
                <w:rFonts w:ascii="宋体" w:hAnsi="宋体" w:cs="宋体" w:eastAsia="宋体" w:hint="default"/>
                <w:spacing w:val="2"/>
                <w:sz w:val="18"/>
                <w:szCs w:val="18"/>
              </w:rPr>
              <w:t>集</w:t>
            </w:r>
            <w:r>
              <w:rPr>
                <w:rFonts w:ascii="宋体" w:hAnsi="宋体" w:cs="宋体" w:eastAsia="宋体" w:hint="default"/>
                <w:sz w:val="18"/>
                <w:szCs w:val="18"/>
              </w:rPr>
              <w:t>资金金额总计</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宋体" w:hAnsi="宋体" w:cs="宋体" w:eastAsia="宋体" w:hint="default"/>
                <w:spacing w:val="-3"/>
                <w:sz w:val="18"/>
                <w:szCs w:val="18"/>
              </w:rPr>
              <w:t>及</w:t>
            </w:r>
            <w:r>
              <w:rPr>
                <w:rFonts w:ascii="宋体" w:hAnsi="宋体" w:cs="宋体" w:eastAsia="宋体" w:hint="default"/>
                <w:sz w:val="18"/>
                <w:szCs w:val="18"/>
              </w:rPr>
              <w:t>利息收</w:t>
            </w:r>
          </w:p>
          <w:p>
            <w:pPr>
              <w:pStyle w:val="TableParagraph"/>
              <w:spacing w:line="300" w:lineRule="auto" w:before="63"/>
              <w:ind w:left="24" w:right="20"/>
              <w:jc w:val="both"/>
              <w:rPr>
                <w:rFonts w:ascii="宋体" w:hAnsi="宋体" w:cs="宋体" w:eastAsia="宋体" w:hint="default"/>
                <w:sz w:val="18"/>
                <w:szCs w:val="18"/>
              </w:rPr>
            </w:pPr>
            <w:r>
              <w:rPr>
                <w:rFonts w:ascii="宋体" w:hAnsi="宋体" w:cs="宋体" w:eastAsia="宋体" w:hint="default"/>
                <w:spacing w:val="-4"/>
                <w:sz w:val="18"/>
                <w:szCs w:val="18"/>
              </w:rPr>
              <w:t>入进行永久补流，公司前述尚未归还的临时补充流动资金的</w:t>
            </w:r>
            <w:r>
              <w:rPr>
                <w:rFonts w:ascii="宋体" w:hAnsi="宋体" w:cs="宋体" w:eastAsia="宋体" w:hint="default"/>
                <w:spacing w:val="-31"/>
                <w:sz w:val="18"/>
                <w:szCs w:val="18"/>
              </w:rPr>
              <w:t> </w:t>
            </w:r>
            <w:r>
              <w:rPr>
                <w:rFonts w:ascii="Times New Roman" w:hAnsi="Times New Roman" w:cs="Times New Roman" w:eastAsia="Times New Roman" w:hint="default"/>
                <w:spacing w:val="-1"/>
                <w:sz w:val="18"/>
                <w:szCs w:val="18"/>
              </w:rPr>
              <w:t>44,300.00</w:t>
            </w:r>
            <w:r>
              <w:rPr>
                <w:rFonts w:ascii="Times New Roman" w:hAnsi="Times New Roman" w:cs="Times New Roman" w:eastAsia="Times New Roman" w:hint="default"/>
                <w:spacing w:val="15"/>
                <w:sz w:val="18"/>
                <w:szCs w:val="18"/>
              </w:rPr>
              <w:t> </w:t>
            </w:r>
            <w:r>
              <w:rPr>
                <w:rFonts w:ascii="宋体" w:hAnsi="宋体" w:cs="宋体" w:eastAsia="宋体" w:hint="default"/>
                <w:spacing w:val="-1"/>
                <w:sz w:val="18"/>
                <w:szCs w:val="18"/>
              </w:rPr>
              <w:t>万元的闲置募集资金直接冲抵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前述变更部分募集资金用途并永久补充流动资金的金额。</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4" w:lineRule="auto"/>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900"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firstLine="360"/>
              <w:jc w:val="both"/>
              <w:rPr>
                <w:rFonts w:ascii="宋体" w:hAnsi="宋体" w:cs="宋体" w:eastAsia="宋体" w:hint="default"/>
                <w:sz w:val="18"/>
                <w:szCs w:val="18"/>
              </w:rPr>
            </w:pPr>
            <w:r>
              <w:rPr>
                <w:rFonts w:ascii="宋体" w:hAnsi="宋体" w:cs="宋体" w:eastAsia="宋体" w:hint="default"/>
                <w:sz w:val="18"/>
                <w:szCs w:val="18"/>
              </w:rPr>
              <w:t>鉴于公司</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万台自助服务终端产能扩建项目</w:t>
            </w:r>
            <w:r>
              <w:rPr>
                <w:rFonts w:ascii="Times New Roman" w:hAnsi="Times New Roman" w:cs="Times New Roman" w:eastAsia="Times New Roman" w:hint="default"/>
                <w:sz w:val="18"/>
                <w:szCs w:val="18"/>
              </w:rPr>
              <w:t>”</w:t>
            </w:r>
            <w:r>
              <w:rPr>
                <w:rFonts w:ascii="宋体" w:hAnsi="宋体" w:cs="宋体" w:eastAsia="宋体" w:hint="default"/>
                <w:sz w:val="18"/>
                <w:szCs w:val="18"/>
              </w:rPr>
              <w:t>已经于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日达到预定可使用状 态，达到预期建设目标。公司本着谨慎节约的原则，在充分考虑建设方案的合理性、实用性的基础 上，尽量减少募投成本，经济、合理地使用募集资金。公司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日召开的第三届董事会</w:t>
            </w:r>
          </w:p>
          <w:p>
            <w:pPr>
              <w:pStyle w:val="TableParagraph"/>
              <w:spacing w:line="309" w:lineRule="auto" w:before="5"/>
              <w:ind w:left="24" w:right="20"/>
              <w:jc w:val="both"/>
              <w:rPr>
                <w:rFonts w:ascii="宋体" w:hAnsi="宋体" w:cs="宋体" w:eastAsia="宋体" w:hint="default"/>
                <w:sz w:val="18"/>
                <w:szCs w:val="18"/>
              </w:rPr>
            </w:pPr>
            <w:r>
              <w:rPr>
                <w:rFonts w:ascii="宋体" w:hAnsi="宋体" w:cs="宋体" w:eastAsia="宋体" w:hint="default"/>
                <w:sz w:val="18"/>
                <w:szCs w:val="18"/>
              </w:rPr>
              <w:t>第三十四次会议和</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日召开的</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年年度股东大会审议通过了《公司关于部分募集资</w:t>
            </w:r>
            <w:r>
              <w:rPr>
                <w:rFonts w:ascii="宋体" w:hAnsi="宋体" w:cs="宋体" w:eastAsia="宋体" w:hint="default"/>
                <w:sz w:val="18"/>
                <w:szCs w:val="18"/>
              </w:rPr>
              <w:t> </w:t>
            </w:r>
            <w:r>
              <w:rPr>
                <w:rFonts w:ascii="宋体" w:hAnsi="宋体" w:cs="宋体" w:eastAsia="宋体" w:hint="default"/>
                <w:spacing w:val="-5"/>
                <w:sz w:val="18"/>
                <w:szCs w:val="18"/>
              </w:rPr>
              <w:t>金投资项目建设完成并将该项目结余募集资金用于永久补充流动资金的议案》，经审慎研究，公司决</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定将</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万台自助服务终端产能扩建项目</w:t>
            </w:r>
            <w:r>
              <w:rPr>
                <w:rFonts w:ascii="Times New Roman" w:hAnsi="Times New Roman" w:cs="Times New Roman" w:eastAsia="Times New Roman" w:hint="default"/>
                <w:sz w:val="18"/>
                <w:szCs w:val="18"/>
              </w:rPr>
              <w:t>”</w:t>
            </w:r>
            <w:r>
              <w:rPr>
                <w:rFonts w:ascii="宋体" w:hAnsi="宋体" w:cs="宋体" w:eastAsia="宋体" w:hint="default"/>
                <w:sz w:val="18"/>
                <w:szCs w:val="18"/>
              </w:rPr>
              <w:t>达到预期建设目标后的结余募集资金结余金额为</w:t>
            </w:r>
          </w:p>
          <w:p>
            <w:pPr>
              <w:pStyle w:val="TableParagraph"/>
              <w:spacing w:line="240" w:lineRule="auto" w:before="5"/>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2,095.96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万元（含利息收入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186.59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万元）用于永久补充流动资金。截至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5"/>
                <w:sz w:val="18"/>
                <w:szCs w:val="18"/>
              </w:rPr>
              <w:t>日，公司已</w:t>
            </w:r>
          </w:p>
          <w:p>
            <w:pPr>
              <w:pStyle w:val="TableParagraph"/>
              <w:spacing w:line="300" w:lineRule="auto" w:before="63"/>
              <w:ind w:left="24" w:right="74"/>
              <w:jc w:val="both"/>
              <w:rPr>
                <w:rFonts w:ascii="宋体" w:hAnsi="宋体" w:cs="宋体" w:eastAsia="宋体" w:hint="default"/>
                <w:sz w:val="18"/>
                <w:szCs w:val="18"/>
              </w:rPr>
            </w:pPr>
            <w:r>
              <w:rPr>
                <w:rFonts w:ascii="宋体" w:hAnsi="宋体" w:cs="宋体" w:eastAsia="宋体" w:hint="default"/>
                <w:sz w:val="18"/>
                <w:szCs w:val="18"/>
              </w:rPr>
              <w:t>将该项目全部结余资金永久补充流动资金，共计</w:t>
            </w:r>
            <w:r>
              <w:rPr>
                <w:rFonts w:ascii="宋体" w:hAnsi="宋体" w:cs="宋体" w:eastAsia="宋体" w:hint="default"/>
                <w:spacing w:val="-40"/>
                <w:sz w:val="18"/>
                <w:szCs w:val="18"/>
              </w:rPr>
              <w:t> </w:t>
            </w:r>
            <w:r>
              <w:rPr>
                <w:rFonts w:ascii="Times New Roman" w:hAnsi="Times New Roman" w:cs="Times New Roman" w:eastAsia="Times New Roman" w:hint="default"/>
                <w:spacing w:val="-2"/>
                <w:sz w:val="18"/>
                <w:szCs w:val="18"/>
              </w:rPr>
              <w:t>2,113.29</w:t>
            </w:r>
            <w:r>
              <w:rPr>
                <w:rFonts w:ascii="Times New Roman" w:hAnsi="Times New Roman" w:cs="Times New Roman" w:eastAsia="Times New Roman" w:hint="default"/>
                <w:spacing w:val="6"/>
                <w:sz w:val="18"/>
                <w:szCs w:val="18"/>
              </w:rPr>
              <w:t> </w:t>
            </w:r>
            <w:r>
              <w:rPr>
                <w:rFonts w:ascii="宋体" w:hAnsi="宋体" w:cs="宋体" w:eastAsia="宋体" w:hint="default"/>
                <w:spacing w:val="-1"/>
                <w:sz w:val="18"/>
                <w:szCs w:val="18"/>
              </w:rPr>
              <w:t>万元（含利息收入</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203.91</w:t>
            </w:r>
            <w:r>
              <w:rPr>
                <w:rFonts w:ascii="Times New Roman" w:hAnsi="Times New Roman" w:cs="Times New Roman" w:eastAsia="Times New Roman" w:hint="default"/>
                <w:spacing w:val="6"/>
                <w:sz w:val="18"/>
                <w:szCs w:val="18"/>
              </w:rPr>
              <w:t> </w:t>
            </w:r>
            <w:r>
              <w:rPr>
                <w:rFonts w:ascii="宋体" w:hAnsi="宋体" w:cs="宋体" w:eastAsia="宋体" w:hint="default"/>
                <w:spacing w:val="-14"/>
                <w:sz w:val="18"/>
                <w:szCs w:val="18"/>
              </w:rPr>
              <w:t>万元），账户已</w:t>
            </w:r>
            <w:r>
              <w:rPr>
                <w:rFonts w:ascii="宋体" w:hAnsi="宋体" w:cs="宋体" w:eastAsia="宋体" w:hint="default"/>
                <w:sz w:val="18"/>
                <w:szCs w:val="18"/>
              </w:rPr>
              <w:t> 注销。</w:t>
            </w: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存放于募集资金专户中。</w:t>
            </w:r>
          </w:p>
        </w:tc>
      </w:tr>
      <w:tr>
        <w:trPr>
          <w:trHeight w:val="3291"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7"/>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年非公开发行项目：实际收到募集资金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50,082.45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万元与公告应收到募集资金净额 </w:t>
            </w:r>
            <w:r>
              <w:rPr>
                <w:rFonts w:ascii="Times New Roman" w:hAnsi="Times New Roman" w:cs="Times New Roman" w:eastAsia="Times New Roman" w:hint="default"/>
                <w:sz w:val="18"/>
                <w:szCs w:val="18"/>
              </w:rPr>
              <w:t>49,485.39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万元的差异</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597.06</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万元系发行费用，前期以自有资金支付，未对其进行置换至一般户，直</w:t>
            </w:r>
            <w:r>
              <w:rPr>
                <w:rFonts w:ascii="宋体" w:hAnsi="宋体" w:cs="宋体" w:eastAsia="宋体" w:hint="default"/>
                <w:sz w:val="18"/>
                <w:szCs w:val="18"/>
              </w:rPr>
              <w:t> 接用于归还贷款。</w:t>
            </w:r>
          </w:p>
          <w:p>
            <w:pPr>
              <w:pStyle w:val="TableParagraph"/>
              <w:spacing w:line="300" w:lineRule="auto" w:before="72"/>
              <w:ind w:left="24" w:right="22"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年公司债项目：实际收到募集资金 </w:t>
            </w:r>
            <w:r>
              <w:rPr>
                <w:rFonts w:ascii="Times New Roman" w:hAnsi="Times New Roman" w:cs="Times New Roman" w:eastAsia="Times New Roman" w:hint="default"/>
                <w:sz w:val="18"/>
                <w:szCs w:val="18"/>
              </w:rPr>
              <w:t>39,720.00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万元与公告应收到募集资金净额 </w:t>
            </w:r>
            <w:r>
              <w:rPr>
                <w:rFonts w:ascii="Times New Roman" w:hAnsi="Times New Roman" w:cs="Times New Roman" w:eastAsia="Times New Roman" w:hint="default"/>
                <w:sz w:val="18"/>
                <w:szCs w:val="18"/>
              </w:rPr>
              <w:t>39,663.00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万元的差异</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万元系发行费用中的律师费用及评估费用，前期以自有资金支付，未对 其进行置换至一般户，直接用于归还贷款。</w:t>
            </w:r>
          </w:p>
          <w:p>
            <w:pPr>
              <w:pStyle w:val="TableParagraph"/>
              <w:spacing w:line="300" w:lineRule="auto" w:before="70"/>
              <w:ind w:left="24" w:right="65"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年非公开发行项目：募集资金总额为人民币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151,160.19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万元，扣除保荐承销费及其 他发行费用总计人民币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3,435.12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含税</w:t>
            </w:r>
            <w:r>
              <w:rPr>
                <w:rFonts w:ascii="Times New Roman" w:hAnsi="Times New Roman" w:cs="Times New Roman" w:eastAsia="Times New Roman" w:hint="default"/>
                <w:sz w:val="18"/>
                <w:szCs w:val="18"/>
              </w:rPr>
              <w:t>)</w:t>
            </w:r>
            <w:r>
              <w:rPr>
                <w:rFonts w:ascii="宋体" w:hAnsi="宋体" w:cs="宋体" w:eastAsia="宋体" w:hint="default"/>
                <w:sz w:val="18"/>
                <w:szCs w:val="18"/>
              </w:rPr>
              <w:t>，募集资金净额为人民币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147,725.07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万元。募集资金净</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额加上本次非公开发行股票发行费用可抵扣增值税进项税额</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194.37</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万元，实际总募集资金净额为人</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147,919.44 </w:t>
            </w:r>
            <w:r>
              <w:rPr>
                <w:rFonts w:ascii="宋体" w:hAnsi="宋体" w:cs="宋体" w:eastAsia="宋体" w:hint="default"/>
                <w:sz w:val="18"/>
                <w:szCs w:val="18"/>
              </w:rPr>
              <w:t>万元。</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3"/>
        <w:rPr>
          <w:rFonts w:ascii="Times New Roman" w:hAnsi="Times New Roman" w:cs="Times New Roman" w:eastAsia="Times New Roman" w:hint="default"/>
          <w:sz w:val="28"/>
          <w:szCs w:val="28"/>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8"/>
        <w:gridCol w:w="958"/>
        <w:gridCol w:w="958"/>
        <w:gridCol w:w="956"/>
        <w:gridCol w:w="958"/>
        <w:gridCol w:w="955"/>
        <w:gridCol w:w="958"/>
        <w:gridCol w:w="958"/>
      </w:tblGrid>
      <w:tr>
        <w:trPr>
          <w:trHeight w:val="1337"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4" w:right="22"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23"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变更后项目 拟投入募集 资金总额 </w:t>
            </w:r>
            <w:r>
              <w:rPr>
                <w:rFonts w:ascii="Times New Roman" w:hAnsi="Times New Roman" w:cs="Times New Roman" w:eastAsia="Times New Roman" w:hint="default"/>
                <w:sz w:val="18"/>
                <w:szCs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3"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2" w:hanging="181"/>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4772"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4" w:right="22"/>
              <w:jc w:val="both"/>
              <w:rPr>
                <w:rFonts w:ascii="宋体" w:hAnsi="宋体" w:cs="宋体" w:eastAsia="宋体" w:hint="default"/>
                <w:sz w:val="18"/>
                <w:szCs w:val="18"/>
              </w:rPr>
            </w:pPr>
            <w:r>
              <w:rPr>
                <w:rFonts w:ascii="宋体" w:hAnsi="宋体" w:cs="宋体" w:eastAsia="宋体" w:hint="default"/>
                <w:sz w:val="18"/>
                <w:szCs w:val="18"/>
              </w:rPr>
              <w:t>证通电子大 数据云计算 产业园（光 明云谷）项 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1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）年产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万台符 合中国人民 银行 </w:t>
            </w:r>
            <w:r>
              <w:rPr>
                <w:rFonts w:ascii="Times New Roman" w:hAnsi="Times New Roman" w:cs="Times New Roman" w:eastAsia="Times New Roman" w:hint="default"/>
                <w:sz w:val="18"/>
                <w:szCs w:val="18"/>
              </w:rPr>
              <w:t>PBOC2.0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新</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标准的金融</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IC </w:t>
            </w:r>
            <w:r>
              <w:rPr>
                <w:rFonts w:ascii="宋体" w:hAnsi="宋体" w:cs="宋体" w:eastAsia="宋体" w:hint="default"/>
                <w:sz w:val="18"/>
                <w:szCs w:val="18"/>
              </w:rPr>
              <w:t>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POS</w:t>
            </w:r>
          </w:p>
          <w:p>
            <w:pPr>
              <w:pStyle w:val="TableParagraph"/>
              <w:spacing w:line="316" w:lineRule="auto" w:before="63"/>
              <w:ind w:left="24" w:right="23"/>
              <w:jc w:val="left"/>
              <w:rPr>
                <w:rFonts w:ascii="宋体" w:hAnsi="宋体" w:cs="宋体" w:eastAsia="宋体" w:hint="default"/>
                <w:sz w:val="18"/>
                <w:szCs w:val="18"/>
              </w:rPr>
            </w:pPr>
            <w:r>
              <w:rPr>
                <w:rFonts w:ascii="宋体" w:hAnsi="宋体" w:cs="宋体" w:eastAsia="宋体" w:hint="default"/>
                <w:sz w:val="18"/>
                <w:szCs w:val="18"/>
              </w:rPr>
              <w:t>终端产能建 设项目；</w:t>
            </w:r>
          </w:p>
          <w:p>
            <w:pPr>
              <w:pStyle w:val="TableParagraph"/>
              <w:spacing w:line="314" w:lineRule="auto" w:before="19"/>
              <w:ind w:left="24" w:right="18"/>
              <w:jc w:val="both"/>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）年产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万台惠农通 农村电子商 务专用终端 产能建设项 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pacing w:val="-1"/>
                <w:sz w:val="18"/>
              </w:rPr>
              <w:t>17,245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w w:val="95"/>
                <w:sz w:val="18"/>
              </w:rPr>
              <w:t>1,832.12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pacing w:val="-1"/>
                <w:sz w:val="18"/>
              </w:rPr>
              <w:t>18,093.64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104.92%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pacing w:val="-1"/>
                <w:sz w:val="18"/>
              </w:rPr>
              <w:t>137.43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22"/>
              <w:jc w:val="left"/>
              <w:rPr>
                <w:rFonts w:ascii="宋体" w:hAnsi="宋体" w:cs="宋体" w:eastAsia="宋体" w:hint="default"/>
                <w:sz w:val="18"/>
                <w:szCs w:val="18"/>
              </w:rPr>
            </w:pPr>
            <w:r>
              <w:rPr>
                <w:rFonts w:ascii="宋体" w:hAnsi="宋体" w:cs="宋体" w:eastAsia="宋体" w:hint="default"/>
                <w:sz w:val="18"/>
                <w:szCs w:val="18"/>
              </w:rPr>
              <w:t>永久补充流 动资金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支付卡行业 安全芯片项 目（非公开 发行）</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5,183.56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5,258.91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101.45%</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40"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22"/>
              <w:jc w:val="left"/>
              <w:rPr>
                <w:rFonts w:ascii="宋体" w:hAnsi="宋体" w:cs="宋体" w:eastAsia="宋体" w:hint="default"/>
                <w:sz w:val="18"/>
                <w:szCs w:val="18"/>
              </w:rPr>
            </w:pPr>
            <w:r>
              <w:rPr>
                <w:rFonts w:ascii="宋体" w:hAnsi="宋体" w:cs="宋体" w:eastAsia="宋体" w:hint="default"/>
                <w:sz w:val="18"/>
                <w:szCs w:val="18"/>
              </w:rPr>
              <w:t>永久补充流 动资金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年产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 台自助服务 终端产能扩 建项目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1,909.39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2,113.29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110.68%</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永久补充流 动资金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长沙云谷数 据中心项目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31,364.34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31,364.34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31,364.34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22"/>
              <w:jc w:val="left"/>
              <w:rPr>
                <w:rFonts w:ascii="宋体" w:hAnsi="宋体" w:cs="宋体" w:eastAsia="宋体" w:hint="default"/>
                <w:sz w:val="18"/>
                <w:szCs w:val="18"/>
              </w:rPr>
            </w:pPr>
            <w:r>
              <w:rPr>
                <w:rFonts w:ascii="宋体" w:hAnsi="宋体" w:cs="宋体" w:eastAsia="宋体" w:hint="default"/>
                <w:sz w:val="18"/>
                <w:szCs w:val="18"/>
              </w:rPr>
              <w:t>永久补充流 动资金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3"/>
              <w:jc w:val="both"/>
              <w:rPr>
                <w:rFonts w:ascii="宋体" w:hAnsi="宋体" w:cs="宋体" w:eastAsia="宋体" w:hint="default"/>
                <w:sz w:val="18"/>
                <w:szCs w:val="18"/>
              </w:rPr>
            </w:pPr>
            <w:r>
              <w:rPr>
                <w:rFonts w:ascii="宋体" w:hAnsi="宋体" w:cs="宋体" w:eastAsia="宋体" w:hint="default"/>
                <w:sz w:val="18"/>
                <w:szCs w:val="18"/>
              </w:rPr>
              <w:t>证通长沙软 件研发中心 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24,662.06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24,662.06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24,662.06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80,364.35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57,858.52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81,492.24</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137.43</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54" w:hRule="exact"/>
        </w:trPr>
        <w:tc>
          <w:tcPr>
            <w:tcW w:w="2874"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6699" w:type="dxa"/>
            <w:gridSpan w:val="7"/>
            <w:vMerge w:val="restart"/>
            <w:tcBorders>
              <w:top w:val="single" w:sz="4" w:space="0" w:color="000000"/>
              <w:left w:val="single" w:sz="10" w:space="0" w:color="D2D2D2"/>
              <w:right w:val="single" w:sz="4" w:space="0" w:color="000000"/>
            </w:tcBorders>
          </w:tcPr>
          <w:p>
            <w:pPr>
              <w:pStyle w:val="TableParagraph"/>
              <w:spacing w:line="304" w:lineRule="auto" w:before="49"/>
              <w:ind w:left="16" w:right="17" w:firstLine="36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 </w:t>
            </w:r>
            <w:r>
              <w:rPr>
                <w:rFonts w:ascii="宋体" w:hAnsi="宋体" w:cs="宋体" w:eastAsia="宋体" w:hint="default"/>
                <w:sz w:val="18"/>
                <w:szCs w:val="18"/>
              </w:rPr>
              <w:t>万台符合中国人民银行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PBOC2.0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新标准的金融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POS </w:t>
            </w:r>
            <w:r>
              <w:rPr>
                <w:rFonts w:ascii="宋体" w:hAnsi="宋体" w:cs="宋体" w:eastAsia="宋体" w:hint="default"/>
                <w:sz w:val="18"/>
                <w:szCs w:val="18"/>
              </w:rPr>
              <w:t>终端产能建 设项目和年产</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万台惠农通农村电子商务专用终端产能建设项目拟全部变更为以公司 </w:t>
            </w:r>
            <w:r>
              <w:rPr>
                <w:rFonts w:ascii="宋体" w:hAnsi="宋体" w:cs="宋体" w:eastAsia="宋体" w:hint="default"/>
                <w:spacing w:val="-1"/>
                <w:sz w:val="18"/>
                <w:szCs w:val="18"/>
              </w:rPr>
              <w:t>自有资金投入，两个项目的实施地点由在公司二期产业园建设用地规划新建全部变更</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为在公司产业园一期生产厂房内与现有生产线进行整合改造的方式建设。原年产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万台符合中国人民银行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PBOC2.0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新标准的金融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终端产能建设项目和年产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p>
        </w:tc>
      </w:tr>
      <w:tr>
        <w:trPr>
          <w:trHeight w:val="704" w:hRule="exact"/>
        </w:trPr>
        <w:tc>
          <w:tcPr>
            <w:tcW w:w="2874"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49"/>
              <w:ind w:left="24" w:right="24"/>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vMerge/>
            <w:tcBorders>
              <w:left w:val="single" w:sz="10" w:space="0" w:color="D2D2D2"/>
              <w:right w:val="single" w:sz="4" w:space="0" w:color="000000"/>
            </w:tcBorders>
          </w:tcPr>
          <w:p>
            <w:pPr/>
          </w:p>
        </w:tc>
      </w:tr>
      <w:tr>
        <w:trPr>
          <w:trHeight w:val="454" w:hRule="exact"/>
        </w:trPr>
        <w:tc>
          <w:tcPr>
            <w:tcW w:w="2874"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6699" w:type="dxa"/>
            <w:gridSpan w:val="7"/>
            <w:vMerge/>
            <w:tcBorders>
              <w:left w:val="single" w:sz="10" w:space="0" w:color="D2D2D2"/>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73"/>
        <w:gridCol w:w="6699"/>
      </w:tblGrid>
      <w:tr>
        <w:trPr>
          <w:trHeight w:val="320" w:hRule="exact"/>
        </w:trPr>
        <w:tc>
          <w:tcPr>
            <w:tcW w:w="2873" w:type="dxa"/>
            <w:vMerge w:val="restart"/>
            <w:tcBorders>
              <w:top w:val="single" w:sz="4" w:space="0" w:color="000000"/>
              <w:left w:val="single" w:sz="4" w:space="0" w:color="000000"/>
              <w:right w:val="single" w:sz="4" w:space="0" w:color="000000"/>
            </w:tcBorders>
            <w:shd w:val="clear" w:color="auto" w:fill="D2D2D2"/>
          </w:tcPr>
          <w:p>
            <w:pPr/>
          </w:p>
        </w:tc>
        <w:tc>
          <w:tcPr>
            <w:tcW w:w="66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万台惠农通农村电子商务专用终端产能建设项目募集资金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17,245.00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万元及利息</w:t>
            </w:r>
          </w:p>
        </w:tc>
      </w:tr>
      <w:tr>
        <w:trPr>
          <w:trHeight w:val="312" w:hRule="exact"/>
        </w:trPr>
        <w:tc>
          <w:tcPr>
            <w:tcW w:w="2873"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642.41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万元全部投入新项目</w:t>
            </w:r>
            <w:r>
              <w:rPr>
                <w:rFonts w:ascii="Times New Roman" w:hAnsi="Times New Roman" w:cs="Times New Roman" w:eastAsia="Times New Roman" w:hint="default"/>
                <w:sz w:val="18"/>
                <w:szCs w:val="18"/>
              </w:rPr>
              <w:t>“</w:t>
            </w:r>
            <w:r>
              <w:rPr>
                <w:rFonts w:ascii="宋体" w:hAnsi="宋体" w:cs="宋体" w:eastAsia="宋体" w:hint="default"/>
                <w:sz w:val="18"/>
                <w:szCs w:val="18"/>
              </w:rPr>
              <w:t>证通电子大数据云计算产业园</w:t>
            </w:r>
            <w:r>
              <w:rPr>
                <w:rFonts w:ascii="Times New Roman" w:hAnsi="Times New Roman" w:cs="Times New Roman" w:eastAsia="Times New Roman" w:hint="default"/>
                <w:sz w:val="18"/>
                <w:szCs w:val="18"/>
              </w:rPr>
              <w:t>(</w:t>
            </w:r>
            <w:r>
              <w:rPr>
                <w:rFonts w:ascii="宋体" w:hAnsi="宋体" w:cs="宋体" w:eastAsia="宋体" w:hint="default"/>
                <w:sz w:val="18"/>
                <w:szCs w:val="18"/>
              </w:rPr>
              <w:t>光明云谷</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。项目变</w:t>
            </w:r>
          </w:p>
        </w:tc>
      </w:tr>
      <w:tr>
        <w:trPr>
          <w:trHeight w:val="312" w:hRule="exact"/>
        </w:trPr>
        <w:tc>
          <w:tcPr>
            <w:tcW w:w="2873"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更原因系公司预计大数据时代下</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业务强劲的发展势头及公司产业升级的需要，进</w:t>
            </w:r>
          </w:p>
        </w:tc>
      </w:tr>
      <w:tr>
        <w:trPr>
          <w:trHeight w:val="312" w:hRule="exact"/>
        </w:trPr>
        <w:tc>
          <w:tcPr>
            <w:tcW w:w="2873"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行多方位的合理化布局。该事项经公司于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日召开的第四届董事会第</w:t>
            </w:r>
          </w:p>
        </w:tc>
      </w:tr>
      <w:tr>
        <w:trPr>
          <w:trHeight w:val="312" w:hRule="exact"/>
        </w:trPr>
        <w:tc>
          <w:tcPr>
            <w:tcW w:w="2873"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八次会议和于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日召开的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年第五次临时股东大会审议通过。前述</w:t>
            </w:r>
          </w:p>
        </w:tc>
      </w:tr>
      <w:tr>
        <w:trPr>
          <w:trHeight w:val="312" w:hRule="exact"/>
        </w:trPr>
        <w:tc>
          <w:tcPr>
            <w:tcW w:w="2873"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事项详见公司于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日刊登于《证券时报》和巨潮资讯网上的《关于公</w:t>
            </w:r>
          </w:p>
        </w:tc>
      </w:tr>
      <w:tr>
        <w:trPr>
          <w:trHeight w:val="332" w:hRule="exact"/>
        </w:trPr>
        <w:tc>
          <w:tcPr>
            <w:tcW w:w="2873"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司变更部分募集资金用途暨投资新项目的公告</w:t>
            </w:r>
            <w:r>
              <w:rPr>
                <w:rFonts w:ascii="宋体" w:hAnsi="宋体" w:cs="宋体" w:eastAsia="宋体" w:hint="default"/>
                <w:spacing w:val="-92"/>
                <w:sz w:val="18"/>
                <w:szCs w:val="18"/>
              </w:rPr>
              <w:t>》</w:t>
            </w:r>
            <w:r>
              <w:rPr>
                <w:rFonts w:ascii="宋体" w:hAnsi="宋体" w:cs="宋体" w:eastAsia="宋体" w:hint="default"/>
                <w:sz w:val="18"/>
                <w:szCs w:val="18"/>
              </w:rPr>
              <w:t>（编号：</w:t>
            </w:r>
            <w:r>
              <w:rPr>
                <w:rFonts w:ascii="Times New Roman" w:hAnsi="Times New Roman" w:cs="Times New Roman" w:eastAsia="Times New Roman" w:hint="default"/>
                <w:spacing w:val="1"/>
                <w:sz w:val="18"/>
                <w:szCs w:val="18"/>
              </w:rPr>
              <w:t>201</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5</w:t>
            </w:r>
            <w:r>
              <w:rPr>
                <w:rFonts w:ascii="宋体" w:hAnsi="宋体" w:cs="宋体" w:eastAsia="宋体" w:hint="default"/>
                <w:spacing w:val="-92"/>
                <w:sz w:val="18"/>
                <w:szCs w:val="18"/>
              </w:rPr>
              <w:t>）。</w:t>
            </w:r>
            <w:r>
              <w:rPr>
                <w:rFonts w:ascii="宋体" w:hAnsi="宋体" w:cs="宋体" w:eastAsia="宋体" w:hint="default"/>
                <w:sz w:val="18"/>
                <w:szCs w:val="18"/>
              </w:rPr>
            </w:r>
          </w:p>
        </w:tc>
      </w:tr>
      <w:tr>
        <w:trPr>
          <w:trHeight w:val="332" w:hRule="exact"/>
        </w:trPr>
        <w:tc>
          <w:tcPr>
            <w:tcW w:w="2873"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92"/>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、支付卡行业安全芯片项目因为公司结合市场环境需求的变化及支付卡行业安</w:t>
            </w:r>
          </w:p>
        </w:tc>
      </w:tr>
      <w:tr>
        <w:trPr>
          <w:trHeight w:val="307" w:hRule="exact"/>
        </w:trPr>
        <w:tc>
          <w:tcPr>
            <w:tcW w:w="2873"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全芯片项目的实际运作情况，本着节约成本和经济效益最大化原则，在项目实际运营</w:t>
            </w:r>
          </w:p>
        </w:tc>
      </w:tr>
      <w:tr>
        <w:trPr>
          <w:trHeight w:val="312" w:hRule="exact"/>
        </w:trPr>
        <w:tc>
          <w:tcPr>
            <w:tcW w:w="2873"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过程中，为充分利用内外部资源改变了运作模式，由前期完全自购研发相关设备改成</w:t>
            </w:r>
          </w:p>
        </w:tc>
      </w:tr>
      <w:tr>
        <w:trPr>
          <w:trHeight w:val="317" w:hRule="exact"/>
        </w:trPr>
        <w:tc>
          <w:tcPr>
            <w:tcW w:w="2873"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部分租用。经公司于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日召开的第三届董事会第二十六次会议和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p>
        </w:tc>
      </w:tr>
      <w:tr>
        <w:trPr>
          <w:trHeight w:val="312" w:hRule="exact"/>
        </w:trPr>
        <w:tc>
          <w:tcPr>
            <w:tcW w:w="2873"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日召开的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年第四次临时股东大会审议通过，将项目终止并将该募投</w:t>
            </w:r>
          </w:p>
        </w:tc>
      </w:tr>
      <w:tr>
        <w:trPr>
          <w:trHeight w:val="312" w:hRule="exact"/>
        </w:trPr>
        <w:tc>
          <w:tcPr>
            <w:tcW w:w="2873"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项目截止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日的节余募集资金及利息</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5,202.69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万元用于永久补充流动资</w:t>
            </w:r>
          </w:p>
        </w:tc>
      </w:tr>
      <w:tr>
        <w:trPr>
          <w:trHeight w:val="312" w:hRule="exact"/>
        </w:trPr>
        <w:tc>
          <w:tcPr>
            <w:tcW w:w="2873"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5"/>
                <w:sz w:val="18"/>
                <w:szCs w:val="18"/>
              </w:rPr>
              <w:t>金。前述事项详见公司于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日刊登于《证券时报》和巨潮资讯网上的《公</w:t>
            </w:r>
          </w:p>
        </w:tc>
      </w:tr>
      <w:tr>
        <w:trPr>
          <w:trHeight w:val="307" w:hRule="exact"/>
        </w:trPr>
        <w:tc>
          <w:tcPr>
            <w:tcW w:w="2873"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司关于终止部分募投项目并将相关募集资金永久补充流动资金的公告</w:t>
            </w:r>
            <w:r>
              <w:rPr>
                <w:rFonts w:ascii="宋体" w:hAnsi="宋体" w:cs="宋体" w:eastAsia="宋体" w:hint="default"/>
                <w:spacing w:val="-92"/>
                <w:sz w:val="18"/>
                <w:szCs w:val="18"/>
              </w:rPr>
              <w:t>》</w:t>
            </w:r>
            <w:r>
              <w:rPr>
                <w:rFonts w:ascii="宋体" w:hAnsi="宋体" w:cs="宋体" w:eastAsia="宋体" w:hint="default"/>
                <w:sz w:val="18"/>
                <w:szCs w:val="18"/>
              </w:rPr>
              <w:t>（编号：</w:t>
            </w:r>
          </w:p>
        </w:tc>
      </w:tr>
      <w:tr>
        <w:trPr>
          <w:trHeight w:val="317" w:hRule="exact"/>
        </w:trPr>
        <w:tc>
          <w:tcPr>
            <w:tcW w:w="2873"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9</w:t>
            </w:r>
            <w:r>
              <w:rPr>
                <w:rFonts w:ascii="宋体" w:hAnsi="宋体" w:cs="宋体" w:eastAsia="宋体" w:hint="default"/>
                <w:spacing w:val="-92"/>
                <w:sz w:val="18"/>
                <w:szCs w:val="18"/>
              </w:rPr>
              <w:t>）</w:t>
            </w:r>
            <w:r>
              <w:rPr>
                <w:rFonts w:ascii="宋体" w:hAnsi="宋体" w:cs="宋体" w:eastAsia="宋体" w:hint="default"/>
                <w:spacing w:val="-39"/>
                <w:sz w:val="18"/>
                <w:szCs w:val="18"/>
              </w:rPr>
              <w:t>。</w:t>
            </w:r>
            <w:r>
              <w:rPr>
                <w:rFonts w:ascii="宋体" w:hAnsi="宋体" w:cs="宋体" w:eastAsia="宋体" w:hint="default"/>
                <w:sz w:val="18"/>
                <w:szCs w:val="18"/>
              </w:rPr>
              <w:t>截至本公司将该项目募集资金专户注销时</w:t>
            </w:r>
            <w:r>
              <w:rPr>
                <w:rFonts w:ascii="宋体" w:hAnsi="宋体" w:cs="宋体" w:eastAsia="宋体" w:hint="default"/>
                <w:spacing w:val="-39"/>
                <w:sz w:val="18"/>
                <w:szCs w:val="18"/>
              </w:rPr>
              <w:t>，</w:t>
            </w:r>
            <w:r>
              <w:rPr>
                <w:rFonts w:ascii="宋体" w:hAnsi="宋体" w:cs="宋体" w:eastAsia="宋体" w:hint="default"/>
                <w:sz w:val="18"/>
                <w:szCs w:val="18"/>
              </w:rPr>
              <w:t>实际未使用募集资金及利息收</w:t>
            </w:r>
          </w:p>
        </w:tc>
      </w:tr>
      <w:tr>
        <w:trPr>
          <w:trHeight w:val="331" w:hRule="exact"/>
        </w:trPr>
        <w:tc>
          <w:tcPr>
            <w:tcW w:w="2873"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入补充流动资金的金额为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5,258.91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331" w:hRule="exact"/>
        </w:trPr>
        <w:tc>
          <w:tcPr>
            <w:tcW w:w="2873"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7"/>
              <w:jc w:val="righ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、年产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万台自助服务终端产能扩建项目已于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日达到预定可使</w:t>
            </w:r>
          </w:p>
        </w:tc>
      </w:tr>
      <w:tr>
        <w:trPr>
          <w:trHeight w:val="312" w:hRule="exact"/>
        </w:trPr>
        <w:tc>
          <w:tcPr>
            <w:tcW w:w="2873"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用状态，达到预期建设目标。截至达到预定可使用状态结余募集资金</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2,095.96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p>
        </w:tc>
      </w:tr>
      <w:tr>
        <w:trPr>
          <w:trHeight w:val="312" w:hRule="exact"/>
        </w:trPr>
        <w:tc>
          <w:tcPr>
            <w:tcW w:w="2873"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利息收入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，结余原因为募集资金存放期间产生利息收入、以及公司在募投项目实施建</w:t>
            </w:r>
          </w:p>
        </w:tc>
      </w:tr>
      <w:tr>
        <w:trPr>
          <w:trHeight w:val="312" w:hRule="exact"/>
        </w:trPr>
        <w:tc>
          <w:tcPr>
            <w:tcW w:w="2873"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设过程中节约的募集资金。公司拟将该项目结余募集资金</w:t>
            </w:r>
            <w:r>
              <w:rPr>
                <w:rFonts w:ascii="Times New Roman" w:hAnsi="Times New Roman" w:cs="Times New Roman" w:eastAsia="Times New Roman" w:hint="default"/>
                <w:sz w:val="18"/>
                <w:szCs w:val="18"/>
              </w:rPr>
              <w:t>(</w:t>
            </w:r>
            <w:r>
              <w:rPr>
                <w:rFonts w:ascii="宋体" w:hAnsi="宋体" w:cs="宋体" w:eastAsia="宋体" w:hint="default"/>
                <w:sz w:val="18"/>
                <w:szCs w:val="18"/>
              </w:rPr>
              <w:t>含利息收入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用于永久补充</w:t>
            </w:r>
          </w:p>
        </w:tc>
      </w:tr>
      <w:tr>
        <w:trPr>
          <w:trHeight w:val="312" w:hRule="exact"/>
        </w:trPr>
        <w:tc>
          <w:tcPr>
            <w:tcW w:w="2873"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流动资金，该事项经公司于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日召开的第三届董事会第三十四次会议和</w:t>
            </w:r>
          </w:p>
        </w:tc>
      </w:tr>
      <w:tr>
        <w:trPr>
          <w:trHeight w:val="312" w:hRule="exact"/>
        </w:trPr>
        <w:tc>
          <w:tcPr>
            <w:tcW w:w="2873"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年年度股东大会审议通过。前述事项详见公司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12" w:hRule="exact"/>
        </w:trPr>
        <w:tc>
          <w:tcPr>
            <w:tcW w:w="2873"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日刊登于《证券时报》和巨潮资讯网上的《关于部分募集资金投资项目建设完</w:t>
            </w:r>
          </w:p>
        </w:tc>
      </w:tr>
      <w:tr>
        <w:trPr>
          <w:trHeight w:val="312" w:hRule="exact"/>
        </w:trPr>
        <w:tc>
          <w:tcPr>
            <w:tcW w:w="2873"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成并将该项目结余募集资金用于永久补充流动资金的公告</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编号</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32</w:t>
            </w:r>
            <w:r>
              <w:rPr>
                <w:rFonts w:ascii="宋体" w:hAnsi="宋体" w:cs="宋体" w:eastAsia="宋体" w:hint="default"/>
                <w:spacing w:val="-92"/>
                <w:sz w:val="18"/>
                <w:szCs w:val="18"/>
              </w:rPr>
              <w:t>）</w:t>
            </w:r>
            <w:r>
              <w:rPr>
                <w:rFonts w:ascii="宋体" w:hAnsi="宋体" w:cs="宋体" w:eastAsia="宋体" w:hint="default"/>
                <w:sz w:val="18"/>
                <w:szCs w:val="18"/>
              </w:rPr>
              <w:t>。截止</w:t>
            </w:r>
          </w:p>
        </w:tc>
      </w:tr>
      <w:tr>
        <w:trPr>
          <w:trHeight w:val="312" w:hRule="exact"/>
        </w:trPr>
        <w:tc>
          <w:tcPr>
            <w:tcW w:w="2873"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日，公司已将该项目全部结余资金永久补充流动资金，共计</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2,113.29</w:t>
            </w:r>
          </w:p>
        </w:tc>
      </w:tr>
      <w:tr>
        <w:trPr>
          <w:trHeight w:val="332" w:hRule="exact"/>
        </w:trPr>
        <w:tc>
          <w:tcPr>
            <w:tcW w:w="2873"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万元（含利息收入</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r>
              <w:rPr>
                <w:rFonts w:ascii="宋体" w:hAnsi="宋体" w:cs="宋体" w:eastAsia="宋体" w:hint="default"/>
                <w:spacing w:val="-3"/>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，账户已注销。</w:t>
            </w:r>
          </w:p>
        </w:tc>
      </w:tr>
      <w:tr>
        <w:trPr>
          <w:trHeight w:val="332" w:hRule="exact"/>
        </w:trPr>
        <w:tc>
          <w:tcPr>
            <w:tcW w:w="2873"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50"/>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、长沙云谷数据中心项目：综合考虑到目前湖南地区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IDC </w:t>
            </w:r>
            <w:r>
              <w:rPr>
                <w:rFonts w:ascii="宋体" w:hAnsi="宋体" w:cs="宋体" w:eastAsia="宋体" w:hint="default"/>
                <w:sz w:val="18"/>
                <w:szCs w:val="18"/>
              </w:rPr>
              <w:t>市场和客户情况，在</w:t>
            </w:r>
          </w:p>
        </w:tc>
      </w:tr>
      <w:tr>
        <w:trPr>
          <w:trHeight w:val="307" w:hRule="exact"/>
        </w:trPr>
        <w:tc>
          <w:tcPr>
            <w:tcW w:w="2873"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集中优势力量服务好优质客户群体的前提下，经过谨慎的研究论证，公司将长沙云谷</w:t>
            </w:r>
          </w:p>
        </w:tc>
      </w:tr>
      <w:tr>
        <w:trPr>
          <w:trHeight w:val="317" w:hRule="exact"/>
        </w:trPr>
        <w:tc>
          <w:tcPr>
            <w:tcW w:w="2873"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数据中心项目的募集资金项目的建设规模由</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个机架的建设规模缩减为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r>
      <w:tr>
        <w:trPr>
          <w:trHeight w:val="312" w:hRule="exact"/>
        </w:trPr>
        <w:tc>
          <w:tcPr>
            <w:tcW w:w="2873"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机柜，已能适应目前公司业务发展需要和湖南地区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市场数据中心中期的需求，该</w:t>
            </w:r>
          </w:p>
        </w:tc>
      </w:tr>
      <w:tr>
        <w:trPr>
          <w:trHeight w:val="312" w:hRule="exact"/>
        </w:trPr>
        <w:tc>
          <w:tcPr>
            <w:tcW w:w="2873"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项目原总投资估算为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72,802.55</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万元，调整后投入募集资金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41,438.22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万元，有</w:t>
            </w:r>
          </w:p>
        </w:tc>
      </w:tr>
      <w:tr>
        <w:trPr>
          <w:trHeight w:val="312" w:hRule="exact"/>
        </w:trPr>
        <w:tc>
          <w:tcPr>
            <w:tcW w:w="2873"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31,364.34</w:t>
            </w:r>
            <w:r>
              <w:rPr>
                <w:rFonts w:ascii="Times New Roman" w:hAnsi="Times New Roman" w:cs="Times New Roman" w:eastAsia="Times New Roman" w:hint="default"/>
                <w:spacing w:val="32"/>
                <w:sz w:val="18"/>
                <w:szCs w:val="18"/>
              </w:rPr>
              <w:t> </w:t>
            </w:r>
            <w:r>
              <w:rPr>
                <w:rFonts w:ascii="宋体" w:hAnsi="宋体" w:cs="宋体" w:eastAsia="宋体" w:hint="default"/>
                <w:spacing w:val="-3"/>
                <w:sz w:val="18"/>
                <w:szCs w:val="18"/>
              </w:rPr>
              <w:t>万元募集资金及其利息用于永久补充流动资金，用于公司日常经营活动，投</w:t>
            </w:r>
          </w:p>
        </w:tc>
      </w:tr>
      <w:tr>
        <w:trPr>
          <w:trHeight w:val="312" w:hRule="exact"/>
        </w:trPr>
        <w:tc>
          <w:tcPr>
            <w:tcW w:w="2873"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资金额变更比例为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43.08%</w:t>
            </w:r>
            <w:r>
              <w:rPr>
                <w:rFonts w:ascii="宋体" w:hAnsi="宋体" w:cs="宋体" w:eastAsia="宋体" w:hint="default"/>
                <w:sz w:val="18"/>
                <w:szCs w:val="18"/>
              </w:rPr>
              <w:t>。该事项经公司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w:t>
            </w:r>
          </w:p>
        </w:tc>
      </w:tr>
      <w:tr>
        <w:trPr>
          <w:trHeight w:val="312" w:hRule="exact"/>
        </w:trPr>
        <w:tc>
          <w:tcPr>
            <w:tcW w:w="2873"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2"/>
                <w:sz w:val="18"/>
                <w:szCs w:val="18"/>
              </w:rPr>
              <w:t>的第四届董事会第二十八次（临时）会议、</w:t>
            </w:r>
            <w:r>
              <w:rPr>
                <w:rFonts w:ascii="Times New Roman" w:hAnsi="Times New Roman" w:cs="Times New Roman" w:eastAsia="Times New Roman" w:hint="default"/>
                <w:spacing w:val="-2"/>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pacing w:val="-2"/>
                <w:sz w:val="18"/>
                <w:szCs w:val="18"/>
              </w:rPr>
              <w:t>年第四次临时股东大会审议通过。前</w:t>
            </w:r>
          </w:p>
        </w:tc>
      </w:tr>
      <w:tr>
        <w:trPr>
          <w:trHeight w:val="312" w:hRule="exact"/>
        </w:trPr>
        <w:tc>
          <w:tcPr>
            <w:tcW w:w="2873"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述事项详见公司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日刊登于《证券时报》和巨潮资讯网上的《关于变更</w:t>
            </w:r>
          </w:p>
        </w:tc>
      </w:tr>
      <w:tr>
        <w:trPr>
          <w:trHeight w:val="332" w:hRule="exact"/>
        </w:trPr>
        <w:tc>
          <w:tcPr>
            <w:tcW w:w="2873"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部分募集资金用途并永久补充流动资金的公告</w:t>
            </w:r>
            <w:r>
              <w:rPr>
                <w:rFonts w:ascii="宋体" w:hAnsi="宋体" w:cs="宋体" w:eastAsia="宋体" w:hint="default"/>
                <w:spacing w:val="-92"/>
                <w:sz w:val="18"/>
                <w:szCs w:val="18"/>
              </w:rPr>
              <w:t>》</w:t>
            </w:r>
            <w:r>
              <w:rPr>
                <w:rFonts w:ascii="宋体" w:hAnsi="宋体" w:cs="宋体" w:eastAsia="宋体" w:hint="default"/>
                <w:sz w:val="18"/>
                <w:szCs w:val="18"/>
              </w:rPr>
              <w:t>（编号：</w:t>
            </w:r>
            <w:r>
              <w:rPr>
                <w:rFonts w:ascii="Times New Roman" w:hAnsi="Times New Roman" w:cs="Times New Roman" w:eastAsia="Times New Roman" w:hint="default"/>
                <w:spacing w:val="1"/>
                <w:sz w:val="18"/>
                <w:szCs w:val="18"/>
              </w:rPr>
              <w:t>201</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宋体" w:hAnsi="宋体" w:cs="宋体" w:eastAsia="宋体" w:hint="default"/>
                <w:spacing w:val="-92"/>
                <w:sz w:val="18"/>
                <w:szCs w:val="18"/>
              </w:rPr>
              <w:t>）。</w:t>
            </w:r>
            <w:r>
              <w:rPr>
                <w:rFonts w:ascii="宋体" w:hAnsi="宋体" w:cs="宋体" w:eastAsia="宋体" w:hint="default"/>
                <w:sz w:val="18"/>
                <w:szCs w:val="18"/>
              </w:rPr>
            </w:r>
          </w:p>
        </w:tc>
      </w:tr>
      <w:tr>
        <w:trPr>
          <w:trHeight w:val="332" w:hRule="exact"/>
        </w:trPr>
        <w:tc>
          <w:tcPr>
            <w:tcW w:w="2873"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92"/>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、证通长沙软件研发中心项目：综合考虑到宏观经济影响及证通长沙软件研发</w:t>
            </w:r>
          </w:p>
        </w:tc>
      </w:tr>
      <w:tr>
        <w:trPr>
          <w:trHeight w:val="307" w:hRule="exact"/>
        </w:trPr>
        <w:tc>
          <w:tcPr>
            <w:tcW w:w="2873"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中心项目地所在长沙市望城区周边配套投资建设滞后于预期，基于对市场环境现状及</w:t>
            </w:r>
          </w:p>
        </w:tc>
      </w:tr>
      <w:tr>
        <w:trPr>
          <w:trHeight w:val="312" w:hRule="exact"/>
        </w:trPr>
        <w:tc>
          <w:tcPr>
            <w:tcW w:w="2873"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未来发展趋势的预判，若公司现阶段仍坚持在该项目上继续投入大量资金，从未来发</w:t>
            </w:r>
          </w:p>
        </w:tc>
      </w:tr>
      <w:tr>
        <w:trPr>
          <w:trHeight w:val="312" w:hRule="exact"/>
        </w:trPr>
        <w:tc>
          <w:tcPr>
            <w:tcW w:w="2873"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展看，项目建成后可能会导致部分功能闲置及资源浪费。经过谨慎的研究论证，公司</w:t>
            </w:r>
          </w:p>
        </w:tc>
      </w:tr>
      <w:tr>
        <w:trPr>
          <w:trHeight w:val="312" w:hRule="exact"/>
        </w:trPr>
        <w:tc>
          <w:tcPr>
            <w:tcW w:w="2873"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除留存尚需支付的资金投入建设投入外，优先保障核心资源有效投入到建设完成后资</w:t>
            </w:r>
          </w:p>
        </w:tc>
      </w:tr>
      <w:tr>
        <w:trPr>
          <w:trHeight w:val="312" w:hRule="exact"/>
        </w:trPr>
        <w:tc>
          <w:tcPr>
            <w:tcW w:w="2873"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产应用率较高和有利于公司运营发展的长沙软件研发中心和运营维护中心。项目原总</w:t>
            </w:r>
          </w:p>
        </w:tc>
      </w:tr>
      <w:tr>
        <w:trPr>
          <w:trHeight w:val="319" w:hRule="exact"/>
        </w:trPr>
        <w:tc>
          <w:tcPr>
            <w:tcW w:w="2873" w:type="dxa"/>
            <w:vMerge/>
            <w:tcBorders>
              <w:left w:val="single" w:sz="4" w:space="0" w:color="000000"/>
              <w:bottom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投资估算为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33,357.64 </w:t>
            </w:r>
            <w:r>
              <w:rPr>
                <w:rFonts w:ascii="宋体" w:hAnsi="宋体" w:cs="宋体" w:eastAsia="宋体" w:hint="default"/>
                <w:sz w:val="18"/>
                <w:szCs w:val="18"/>
              </w:rPr>
              <w:t>万元，调整后投入该项目的募集资金为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8,695.58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万元，有</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73"/>
        <w:gridCol w:w="6699"/>
      </w:tblGrid>
      <w:tr>
        <w:trPr>
          <w:trHeight w:val="1611"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24,662.06</w:t>
            </w:r>
            <w:r>
              <w:rPr>
                <w:rFonts w:ascii="Times New Roman" w:hAnsi="Times New Roman" w:cs="Times New Roman" w:eastAsia="Times New Roman" w:hint="default"/>
                <w:spacing w:val="32"/>
                <w:sz w:val="18"/>
                <w:szCs w:val="18"/>
              </w:rPr>
              <w:t> </w:t>
            </w:r>
            <w:r>
              <w:rPr>
                <w:rFonts w:ascii="宋体" w:hAnsi="宋体" w:cs="宋体" w:eastAsia="宋体" w:hint="default"/>
                <w:spacing w:val="-3"/>
                <w:sz w:val="18"/>
                <w:szCs w:val="18"/>
              </w:rPr>
              <w:t>万元募集资金用于永久补充流动资金，用于公司日常经营活动，投资金额变</w:t>
            </w:r>
          </w:p>
          <w:p>
            <w:pPr>
              <w:pStyle w:val="TableParagraph"/>
              <w:spacing w:line="300" w:lineRule="auto" w:before="63"/>
              <w:ind w:left="23" w:right="17"/>
              <w:jc w:val="both"/>
              <w:rPr>
                <w:rFonts w:ascii="宋体" w:hAnsi="宋体" w:cs="宋体" w:eastAsia="宋体" w:hint="default"/>
                <w:sz w:val="18"/>
                <w:szCs w:val="18"/>
              </w:rPr>
            </w:pPr>
            <w:r>
              <w:rPr>
                <w:rFonts w:ascii="宋体" w:hAnsi="宋体" w:cs="宋体" w:eastAsia="宋体" w:hint="default"/>
                <w:sz w:val="18"/>
                <w:szCs w:val="18"/>
              </w:rPr>
              <w:t>更比例为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73.93%</w:t>
            </w:r>
            <w:r>
              <w:rPr>
                <w:rFonts w:ascii="宋体" w:hAnsi="宋体" w:cs="宋体" w:eastAsia="宋体" w:hint="default"/>
                <w:sz w:val="18"/>
                <w:szCs w:val="18"/>
              </w:rPr>
              <w:t>。该事项经公司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日召开第四届董 </w:t>
            </w:r>
            <w:r>
              <w:rPr>
                <w:rFonts w:ascii="宋体" w:hAnsi="宋体" w:cs="宋体" w:eastAsia="宋体" w:hint="default"/>
                <w:spacing w:val="-3"/>
                <w:sz w:val="18"/>
                <w:szCs w:val="18"/>
              </w:rPr>
              <w:t>事会第二十八次（临时）会议、</w:t>
            </w:r>
            <w:r>
              <w:rPr>
                <w:rFonts w:ascii="Times New Roman" w:hAnsi="Times New Roman" w:cs="Times New Roman" w:eastAsia="Times New Roman" w:hint="default"/>
                <w:spacing w:val="-3"/>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年第四次临时股东大会审议通过。前述事项详见 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日刊登于《证券时报》和巨潮资讯网上的《关于变更部分募集资 </w:t>
            </w:r>
            <w:r>
              <w:rPr>
                <w:rFonts w:ascii="宋体" w:hAnsi="宋体" w:cs="宋体" w:eastAsia="宋体" w:hint="default"/>
                <w:spacing w:val="-10"/>
                <w:sz w:val="18"/>
                <w:szCs w:val="18"/>
              </w:rPr>
              <w:t>金用途并永久补充流动资金的公告》（编号：</w:t>
            </w:r>
            <w:r>
              <w:rPr>
                <w:rFonts w:ascii="Times New Roman" w:hAnsi="Times New Roman" w:cs="Times New Roman" w:eastAsia="Times New Roman" w:hint="default"/>
                <w:spacing w:val="-10"/>
                <w:sz w:val="18"/>
                <w:szCs w:val="18"/>
              </w:rPr>
              <w:t>2018-100</w:t>
            </w:r>
            <w:r>
              <w:rPr>
                <w:rFonts w:ascii="宋体" w:hAnsi="宋体" w:cs="宋体" w:eastAsia="宋体" w:hint="default"/>
                <w:spacing w:val="-10"/>
                <w:sz w:val="18"/>
                <w:szCs w:val="18"/>
              </w:rPr>
              <w:t>）。</w:t>
            </w:r>
            <w:r>
              <w:rPr>
                <w:rFonts w:ascii="宋体" w:hAnsi="宋体" w:cs="宋体" w:eastAsia="宋体" w:hint="default"/>
                <w:sz w:val="18"/>
                <w:szCs w:val="18"/>
              </w:rPr>
            </w:r>
          </w:p>
        </w:tc>
      </w:tr>
      <w:tr>
        <w:trPr>
          <w:trHeight w:val="2897"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38"/>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证通电子大数据云计算产业园（光明云谷）项目，计划总投资额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25,712.74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中使用募集资金投资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17,245.00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万元，使用自有资金投资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8,467.74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万元。截至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tabs>
                <w:tab w:pos="3086" w:val="left" w:leader="none"/>
              </w:tabs>
              <w:spacing w:line="304" w:lineRule="auto" w:before="63"/>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日，该项目投资进度达成</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70.37%</w:t>
            </w:r>
            <w:r>
              <w:rPr>
                <w:rFonts w:ascii="宋体" w:hAnsi="宋体" w:cs="宋体" w:eastAsia="宋体" w:hint="default"/>
                <w:sz w:val="18"/>
                <w:szCs w:val="18"/>
              </w:rPr>
              <w:t>，使用募集资金建设进度达成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104.92%</w:t>
            </w:r>
            <w:r>
              <w:rPr>
                <w:rFonts w:ascii="宋体" w:hAnsi="宋体" w:cs="宋体" w:eastAsia="宋体" w:hint="default"/>
                <w:sz w:val="18"/>
                <w:szCs w:val="18"/>
              </w:rPr>
              <w:t>，前 </w:t>
            </w:r>
            <w:r>
              <w:rPr>
                <w:rFonts w:ascii="宋体" w:hAnsi="宋体" w:cs="宋体" w:eastAsia="宋体" w:hint="default"/>
                <w:spacing w:val="-1"/>
                <w:sz w:val="18"/>
                <w:szCs w:val="18"/>
              </w:rPr>
              <w:t>期因电网迁入、施工难度较大，引起设备变更和设备到货等因素影响，项目建设有延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迟。</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日，公司与深圳平安通信科技有限公司签署了《</w:t>
            </w: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基础业务服 </w:t>
            </w:r>
            <w:r>
              <w:rPr>
                <w:rFonts w:ascii="宋体" w:hAnsi="宋体" w:cs="宋体" w:eastAsia="宋体" w:hint="default"/>
                <w:spacing w:val="-3"/>
                <w:sz w:val="18"/>
                <w:szCs w:val="18"/>
              </w:rPr>
              <w:t>务合同书》，整体租赁了该项目建设的数据中心机房，公司已根据平安银行的</w:t>
            </w:r>
            <w:r>
              <w:rPr>
                <w:rFonts w:ascii="宋体" w:hAnsi="宋体" w:cs="宋体" w:eastAsia="宋体" w:hint="default"/>
                <w:spacing w:val="-41"/>
                <w:sz w:val="18"/>
                <w:szCs w:val="18"/>
              </w:rPr>
              <w:t> </w:t>
            </w:r>
            <w:r>
              <w:rPr>
                <w:rFonts w:ascii="Times New Roman" w:hAnsi="Times New Roman" w:cs="Times New Roman" w:eastAsia="Times New Roman" w:hint="default"/>
                <w:w w:val="99"/>
                <w:sz w:val="18"/>
                <w:szCs w:val="18"/>
              </w:rPr>
              <w:t>A </w:t>
            </w:r>
            <w:r>
              <w:rPr>
                <w:rFonts w:ascii="宋体" w:hAnsi="宋体" w:cs="宋体" w:eastAsia="宋体" w:hint="default"/>
                <w:sz w:val="18"/>
                <w:szCs w:val="18"/>
              </w:rPr>
              <w:t>级机</w:t>
            </w:r>
            <w:r>
              <w:rPr>
                <w:rFonts w:ascii="宋体" w:hAnsi="宋体" w:cs="宋体" w:eastAsia="宋体" w:hint="default"/>
                <w:spacing w:val="-86"/>
                <w:sz w:val="18"/>
                <w:szCs w:val="18"/>
              </w:rPr>
              <w:t> </w:t>
            </w:r>
            <w:r>
              <w:rPr>
                <w:rFonts w:ascii="宋体" w:hAnsi="宋体" w:cs="宋体" w:eastAsia="宋体" w:hint="default"/>
                <w:sz w:val="18"/>
                <w:szCs w:val="18"/>
              </w:rPr>
              <w:t>房的技术参数标准及部分定制化需</w:t>
              <w:tab/>
              <w:t>求对深圳证通光明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机房进行部分场地改 造，该项目于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月建设完成，截止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日，机架上架运营数量为</w:t>
            </w:r>
          </w:p>
          <w:p>
            <w:pPr>
              <w:pStyle w:val="TableParagraph"/>
              <w:spacing w:line="240" w:lineRule="auto" w:before="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317 </w:t>
            </w:r>
            <w:r>
              <w:rPr>
                <w:rFonts w:ascii="宋体" w:hAnsi="宋体" w:cs="宋体" w:eastAsia="宋体" w:hint="default"/>
                <w:sz w:val="18"/>
                <w:szCs w:val="18"/>
              </w:rPr>
              <w:t>个，项目效益逐步释放。</w:t>
            </w:r>
          </w:p>
        </w:tc>
      </w:tr>
      <w:tr>
        <w:trPr>
          <w:trHeight w:val="715"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8"/>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1133"/>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七、主要控股参股公司分析</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公司报告期内无应当披露的重要控股参股公司信息。</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九、公司未来发展的展望</w:t>
      </w:r>
      <w:r>
        <w:rPr>
          <w:b w:val="0"/>
          <w:bCs w:val="0"/>
        </w:rPr>
      </w:r>
    </w:p>
    <w:p>
      <w:pPr>
        <w:spacing w:line="240" w:lineRule="auto" w:before="7"/>
        <w:rPr>
          <w:rFonts w:ascii="宋体" w:hAnsi="宋体" w:cs="宋体" w:eastAsia="宋体" w:hint="default"/>
          <w:b/>
          <w:bCs/>
          <w:sz w:val="32"/>
          <w:szCs w:val="32"/>
        </w:rPr>
      </w:pPr>
    </w:p>
    <w:p>
      <w:pPr>
        <w:pStyle w:val="Heading4"/>
        <w:spacing w:line="240" w:lineRule="auto"/>
        <w:ind w:right="1133"/>
        <w:jc w:val="left"/>
        <w:rPr>
          <w:b w:val="0"/>
          <w:bCs w:val="0"/>
        </w:rPr>
      </w:pPr>
      <w:r>
        <w:rPr/>
        <w:t>（一）行业格局和发展趋势</w:t>
      </w:r>
      <w:r>
        <w:rPr>
          <w:b w:val="0"/>
          <w:bCs w:val="0"/>
        </w:rPr>
      </w:r>
    </w:p>
    <w:p>
      <w:pPr>
        <w:spacing w:line="240" w:lineRule="auto" w:before="10"/>
        <w:rPr>
          <w:rFonts w:ascii="宋体" w:hAnsi="宋体" w:cs="宋体" w:eastAsia="宋体" w:hint="default"/>
          <w:b/>
          <w:bCs/>
          <w:sz w:val="17"/>
          <w:szCs w:val="17"/>
        </w:rPr>
      </w:pPr>
    </w:p>
    <w:p>
      <w:pPr>
        <w:spacing w:before="0"/>
        <w:ind w:left="513" w:right="113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、金融电子行业</w:t>
      </w:r>
      <w:r>
        <w:rPr>
          <w:rFonts w:ascii="宋体" w:hAnsi="宋体" w:cs="宋体" w:eastAsia="宋体" w:hint="default"/>
          <w:sz w:val="18"/>
          <w:szCs w:val="18"/>
        </w:rPr>
      </w:r>
    </w:p>
    <w:p>
      <w:pPr>
        <w:spacing w:line="240" w:lineRule="auto" w:before="10"/>
        <w:rPr>
          <w:rFonts w:ascii="宋体" w:hAnsi="宋体" w:cs="宋体" w:eastAsia="宋体" w:hint="default"/>
          <w:b/>
          <w:bCs/>
          <w:sz w:val="16"/>
          <w:szCs w:val="16"/>
        </w:rPr>
      </w:pPr>
    </w:p>
    <w:p>
      <w:pPr>
        <w:spacing w:before="0"/>
        <w:ind w:left="513" w:right="113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）自助产品细分行业</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pStyle w:val="BodyText"/>
        <w:spacing w:line="477" w:lineRule="auto"/>
        <w:ind w:right="1132" w:firstLine="360"/>
        <w:jc w:val="both"/>
      </w:pPr>
      <w:r>
        <w:rPr>
          <w:spacing w:val="-2"/>
        </w:rPr>
        <w:t>新一轮科技革命和产业变革的背景下，金融科技蓬勃发展，以资源共享、线上线下融合为主要特征的移动互联经济正在</w:t>
      </w:r>
      <w:r>
        <w:rPr/>
        <w:t> 深刻改变银行业的市场环境和金融生态。</w:t>
      </w:r>
    </w:p>
    <w:p>
      <w:pPr>
        <w:pStyle w:val="BodyText"/>
        <w:spacing w:line="460" w:lineRule="auto" w:before="54"/>
        <w:ind w:right="1130" w:firstLine="360"/>
        <w:jc w:val="both"/>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15</w:t>
      </w:r>
      <w:r>
        <w:rPr>
          <w:spacing w:val="-1"/>
        </w:rPr>
        <w:t>日，中国银行业协会发布《</w:t>
      </w:r>
      <w:r>
        <w:rPr>
          <w:rFonts w:ascii="Times New Roman" w:hAnsi="Times New Roman" w:cs="Times New Roman" w:eastAsia="Times New Roman" w:hint="default"/>
          <w:spacing w:val="-1"/>
        </w:rPr>
        <w:t>2018</w:t>
      </w:r>
      <w:r>
        <w:rPr>
          <w:spacing w:val="-1"/>
        </w:rPr>
        <w:t>年中国银行业服务报告》显示，</w:t>
      </w:r>
      <w:r>
        <w:rPr>
          <w:rFonts w:ascii="Times New Roman" w:hAnsi="Times New Roman" w:cs="Times New Roman" w:eastAsia="Times New Roman" w:hint="default"/>
          <w:spacing w:val="-1"/>
        </w:rPr>
        <w:t>2018</w:t>
      </w:r>
      <w:r>
        <w:rPr>
          <w:spacing w:val="-1"/>
        </w:rPr>
        <w:t>年银行业金融机构离柜交易达</w:t>
      </w:r>
      <w:r>
        <w:rPr>
          <w:rFonts w:ascii="Times New Roman" w:hAnsi="Times New Roman" w:cs="Times New Roman" w:eastAsia="Times New Roman" w:hint="default"/>
          <w:spacing w:val="-1"/>
        </w:rPr>
        <w:t>2781.77</w:t>
      </w:r>
      <w:r>
        <w:rPr>
          <w:rFonts w:ascii="Times New Roman" w:hAnsi="Times New Roman" w:cs="Times New Roman" w:eastAsia="Times New Roman" w:hint="default"/>
        </w:rPr>
        <w:t> </w:t>
      </w:r>
      <w:r>
        <w:rPr>
          <w:spacing w:val="-1"/>
        </w:rPr>
        <w:t>亿笔，同比增长</w:t>
      </w:r>
      <w:r>
        <w:rPr>
          <w:rFonts w:ascii="Times New Roman" w:hAnsi="Times New Roman" w:cs="Times New Roman" w:eastAsia="Times New Roman" w:hint="default"/>
          <w:spacing w:val="-1"/>
        </w:rPr>
        <w:t>6.97%</w:t>
      </w:r>
      <w:r>
        <w:rPr>
          <w:spacing w:val="-1"/>
        </w:rPr>
        <w:t>；离柜交易金额达</w:t>
      </w:r>
      <w:r>
        <w:rPr>
          <w:rFonts w:ascii="Times New Roman" w:hAnsi="Times New Roman" w:cs="Times New Roman" w:eastAsia="Times New Roman" w:hint="default"/>
          <w:spacing w:val="-1"/>
        </w:rPr>
        <w:t>1936.52</w:t>
      </w:r>
      <w:r>
        <w:rPr>
          <w:spacing w:val="-1"/>
        </w:rPr>
        <w:t>万亿元；离柜率达</w:t>
      </w:r>
      <w:r>
        <w:rPr>
          <w:rFonts w:ascii="Times New Roman" w:hAnsi="Times New Roman" w:cs="Times New Roman" w:eastAsia="Times New Roman" w:hint="default"/>
          <w:spacing w:val="-1"/>
        </w:rPr>
        <w:t>88.67%</w:t>
      </w:r>
      <w:r>
        <w:rPr>
          <w:spacing w:val="-1"/>
        </w:rPr>
        <w:t>，同比提高</w:t>
      </w:r>
      <w:r>
        <w:rPr>
          <w:rFonts w:ascii="Times New Roman" w:hAnsi="Times New Roman" w:cs="Times New Roman" w:eastAsia="Times New Roman" w:hint="default"/>
          <w:spacing w:val="-1"/>
        </w:rPr>
        <w:t>4.36</w:t>
      </w:r>
      <w:r>
        <w:rPr>
          <w:spacing w:val="-1"/>
        </w:rPr>
        <w:t>个百分点。在用户对物理渠道的依</w:t>
      </w:r>
      <w:r>
        <w:rPr>
          <w:spacing w:val="-54"/>
        </w:rPr>
        <w:t> </w:t>
      </w:r>
      <w:r>
        <w:rPr>
          <w:spacing w:val="-54"/>
        </w:rPr>
      </w:r>
      <w:r>
        <w:rPr>
          <w:spacing w:val="-2"/>
        </w:rPr>
        <w:t>赖进一步被降低的同时，网点的留客能力以及品牌展示功能依然无可替代。在客户到店数量、到店客户结构、业务结构发生</w:t>
      </w:r>
      <w:r>
        <w:rPr>
          <w:spacing w:val="-64"/>
        </w:rPr>
        <w:t> </w:t>
      </w:r>
      <w:r>
        <w:rPr>
          <w:spacing w:val="-64"/>
        </w:rPr>
      </w:r>
      <w:r>
        <w:rPr>
          <w:spacing w:val="-2"/>
        </w:rPr>
        <w:t>巨变的环境下，传统物理网点由此出现以下规模、布点、营销、管理等核心变化。其中，引入智能化设备、进行智慧化的改</w:t>
      </w:r>
      <w:r>
        <w:rPr>
          <w:spacing w:val="-73"/>
        </w:rPr>
        <w:t> </w:t>
      </w:r>
      <w:r>
        <w:rPr>
          <w:spacing w:val="-73"/>
        </w:rPr>
      </w:r>
      <w:r>
        <w:rPr>
          <w:spacing w:val="-2"/>
        </w:rPr>
        <w:t>造成为这些变化的关键连接点。网点建设呈现出轻型化、小型化、智能化的特征，截止</w:t>
      </w:r>
      <w:r>
        <w:rPr>
          <w:rFonts w:ascii="Times New Roman" w:hAnsi="Times New Roman" w:cs="Times New Roman" w:eastAsia="Times New Roman" w:hint="default"/>
          <w:spacing w:val="-2"/>
        </w:rPr>
        <w:t>2018</w:t>
      </w:r>
      <w:r>
        <w:rPr>
          <w:spacing w:val="-2"/>
        </w:rPr>
        <w:t>年末，全国银行业共有营业网点</w:t>
      </w:r>
      <w:r>
        <w:rPr>
          <w:spacing w:val="-61"/>
        </w:rPr>
        <w:t> </w:t>
      </w:r>
      <w:r>
        <w:rPr>
          <w:spacing w:val="-61"/>
        </w:rPr>
      </w:r>
      <w:r>
        <w:rPr>
          <w:rFonts w:ascii="Times New Roman" w:hAnsi="Times New Roman" w:cs="Times New Roman" w:eastAsia="Times New Roman" w:hint="default"/>
        </w:rPr>
        <w:t>22.53</w:t>
      </w:r>
      <w:r>
        <w:rPr/>
        <w:t>万个，据不完全统计，年内改造营业网点</w:t>
      </w:r>
      <w:r>
        <w:rPr>
          <w:rFonts w:ascii="Times New Roman" w:hAnsi="Times New Roman" w:cs="Times New Roman" w:eastAsia="Times New Roman" w:hint="default"/>
        </w:rPr>
        <w:t>8006</w:t>
      </w:r>
      <w:r>
        <w:rPr/>
        <w:t>个；设立社区网点</w:t>
      </w:r>
      <w:r>
        <w:rPr>
          <w:rFonts w:ascii="Times New Roman" w:hAnsi="Times New Roman" w:cs="Times New Roman" w:eastAsia="Times New Roman" w:hint="default"/>
        </w:rPr>
        <w:t>5612</w:t>
      </w:r>
      <w:r>
        <w:rPr/>
        <w:t>个，小微网点</w:t>
      </w:r>
      <w:r>
        <w:rPr>
          <w:rFonts w:ascii="Times New Roman" w:hAnsi="Times New Roman" w:cs="Times New Roman" w:eastAsia="Times New Roman" w:hint="default"/>
        </w:rPr>
        <w:t>2706</w:t>
      </w:r>
      <w:r>
        <w:rPr/>
        <w:t>个。</w:t>
      </w:r>
    </w:p>
    <w:p>
      <w:pPr>
        <w:pStyle w:val="BodyText"/>
        <w:spacing w:line="463" w:lineRule="auto" w:before="35"/>
        <w:ind w:right="1130" w:firstLine="360"/>
        <w:jc w:val="both"/>
      </w:pPr>
      <w:r>
        <w:rPr/>
        <w:t>借助互联网、大数据、人工智能等新兴技术，通过流程再塑，进行多场景的</w:t>
      </w:r>
      <w:r>
        <w:rPr>
          <w:rFonts w:ascii="Times New Roman" w:hAnsi="Times New Roman" w:cs="Times New Roman" w:eastAsia="Times New Roman" w:hint="default"/>
        </w:rPr>
        <w:t>“</w:t>
      </w:r>
      <w:r>
        <w:rPr/>
        <w:t>信息化</w:t>
      </w:r>
      <w:r>
        <w:rPr>
          <w:rFonts w:ascii="Times New Roman" w:hAnsi="Times New Roman" w:cs="Times New Roman" w:eastAsia="Times New Roman" w:hint="default"/>
        </w:rPr>
        <w:t>+”</w:t>
      </w:r>
      <w:r>
        <w:rPr/>
        <w:t>改造，实现线上渠道和线下渠道 </w:t>
      </w:r>
      <w:r>
        <w:rPr>
          <w:spacing w:val="-2"/>
        </w:rPr>
        <w:t>的服务相融合，提升服务效率和服务体验。</w:t>
      </w:r>
      <w:r>
        <w:rPr>
          <w:rFonts w:ascii="Times New Roman" w:hAnsi="Times New Roman" w:cs="Times New Roman" w:eastAsia="Times New Roman" w:hint="default"/>
          <w:spacing w:val="-2"/>
        </w:rPr>
        <w:t>“</w:t>
      </w:r>
      <w:r>
        <w:rPr>
          <w:spacing w:val="-2"/>
        </w:rPr>
        <w:t>提质增效、降本控险</w:t>
      </w:r>
      <w:r>
        <w:rPr>
          <w:rFonts w:ascii="Times New Roman" w:hAnsi="Times New Roman" w:cs="Times New Roman" w:eastAsia="Times New Roman" w:hint="default"/>
          <w:spacing w:val="-2"/>
        </w:rPr>
        <w:t>”</w:t>
      </w:r>
      <w:r>
        <w:rPr>
          <w:spacing w:val="-2"/>
        </w:rPr>
        <w:t>作为各行业产业升级和服务升级的方针，要求将重复性的</w:t>
      </w:r>
      <w:r>
        <w:rPr>
          <w:spacing w:val="-45"/>
        </w:rPr>
        <w:t> </w:t>
      </w:r>
      <w:r>
        <w:rPr>
          <w:spacing w:val="-45"/>
        </w:rPr>
      </w:r>
      <w:r>
        <w:rPr>
          <w:spacing w:val="-2"/>
        </w:rPr>
        <w:t>场景业务办理实现人工办理到终端服务的转化，释放人力从事价值创造型活动。各个场景的职能呈现出交叉融合的趋势，场</w:t>
      </w:r>
      <w:r>
        <w:rPr>
          <w:spacing w:val="-63"/>
        </w:rPr>
        <w:t> </w:t>
      </w:r>
      <w:r>
        <w:rPr>
          <w:spacing w:val="-63"/>
        </w:rPr>
      </w:r>
      <w:r>
        <w:rPr>
          <w:spacing w:val="-2"/>
        </w:rPr>
        <w:t>景势能加速发展，自助终端作为各个场景下服务的物理节点，伴随着国家政策和产业融合的推动，将迎来新一轮的市场增长</w:t>
      </w:r>
      <w:r>
        <w:rPr>
          <w:spacing w:val="-63"/>
        </w:rPr>
        <w:t> </w:t>
      </w:r>
      <w:r>
        <w:rPr>
          <w:spacing w:val="-63"/>
        </w:rPr>
      </w:r>
      <w:r>
        <w:rPr/>
        <w:t>机遇，金融</w:t>
      </w:r>
      <w:r>
        <w:rPr>
          <w:rFonts w:ascii="Times New Roman" w:hAnsi="Times New Roman" w:cs="Times New Roman" w:eastAsia="Times New Roman" w:hint="default"/>
        </w:rPr>
        <w:t>+</w:t>
      </w:r>
      <w:r>
        <w:rPr/>
        <w:t>政务、金融</w:t>
      </w:r>
      <w:r>
        <w:rPr>
          <w:rFonts w:ascii="Times New Roman" w:hAnsi="Times New Roman" w:cs="Times New Roman" w:eastAsia="Times New Roman" w:hint="default"/>
        </w:rPr>
        <w:t>+</w:t>
      </w:r>
      <w:r>
        <w:rPr/>
        <w:t>医疗、金融</w:t>
      </w:r>
      <w:r>
        <w:rPr>
          <w:rFonts w:ascii="Times New Roman" w:hAnsi="Times New Roman" w:cs="Times New Roman" w:eastAsia="Times New Roman" w:hint="default"/>
        </w:rPr>
        <w:t>+</w:t>
      </w:r>
      <w:r>
        <w:rPr/>
        <w:t>教育、金融</w:t>
      </w:r>
      <w:r>
        <w:rPr>
          <w:rFonts w:ascii="Times New Roman" w:hAnsi="Times New Roman" w:cs="Times New Roman" w:eastAsia="Times New Roman" w:hint="default"/>
        </w:rPr>
        <w:t>+</w:t>
      </w:r>
      <w:r>
        <w:rPr/>
        <w:t>零售等多元化应用场景迎来大发展。</w:t>
      </w:r>
    </w:p>
    <w:p>
      <w:pPr>
        <w:pStyle w:val="BodyText"/>
        <w:spacing w:line="456" w:lineRule="auto" w:before="33"/>
        <w:ind w:right="1131" w:firstLine="360"/>
        <w:jc w:val="both"/>
      </w:pPr>
      <w:r>
        <w:rPr/>
        <w:t>未来随着人工智能、大数据、云计算、产业互联网为代表的新一轮信息技术的应用及普及，将开启万物互联的</w:t>
      </w:r>
      <w:r>
        <w:rPr>
          <w:rFonts w:ascii="Times New Roman" w:hAnsi="Times New Roman" w:cs="Times New Roman" w:eastAsia="Times New Roman" w:hint="default"/>
        </w:rPr>
        <w:t>“</w:t>
      </w:r>
      <w:r>
        <w:rPr/>
        <w:t>全场景 智慧生活时代</w:t>
      </w:r>
      <w:r>
        <w:rPr>
          <w:rFonts w:ascii="Times New Roman" w:hAnsi="Times New Roman" w:cs="Times New Roman" w:eastAsia="Times New Roman" w:hint="default"/>
        </w:rPr>
        <w:t>”</w:t>
      </w:r>
      <w:r>
        <w:rPr/>
        <w:t>，围绕多样应用场景发展起来的智能终端设备，与传统产业和消费领域的高度融合将催生出更多的新业态， 公司能否依靠丰富的行业服务经验和强大的自主研发能力，集成物联网、大数据、云计算、</w:t>
      </w:r>
      <w:r>
        <w:rPr>
          <w:rFonts w:ascii="Times New Roman" w:hAnsi="Times New Roman" w:cs="Times New Roman" w:eastAsia="Times New Roman" w:hint="default"/>
        </w:rPr>
        <w:t>AI</w:t>
      </w:r>
      <w:r>
        <w:rPr>
          <w:rFonts w:ascii="Times New Roman" w:hAnsi="Times New Roman" w:cs="Times New Roman" w:eastAsia="Times New Roman" w:hint="default"/>
          <w:spacing w:val="26"/>
        </w:rPr>
        <w:t> </w:t>
      </w:r>
      <w:r>
        <w:rPr/>
        <w:t>等新一代技术，构建起以金</w:t>
      </w:r>
      <w:r>
        <w:rPr>
          <w:w w:val="99"/>
        </w:rPr>
        <w:t> </w:t>
      </w:r>
      <w:r>
        <w:rPr>
          <w:spacing w:val="-2"/>
        </w:rPr>
        <w:t>融支付为核心的多场景智能生态布局，为客户提供</w:t>
      </w:r>
      <w:r>
        <w:rPr>
          <w:rFonts w:ascii="Times New Roman" w:hAnsi="Times New Roman" w:cs="Times New Roman" w:eastAsia="Times New Roman" w:hint="default"/>
          <w:spacing w:val="-2"/>
        </w:rPr>
        <w:t>”</w:t>
      </w:r>
      <w:r>
        <w:rPr>
          <w:spacing w:val="-2"/>
        </w:rPr>
        <w:t>云</w:t>
      </w:r>
      <w:r>
        <w:rPr>
          <w:rFonts w:ascii="Times New Roman" w:hAnsi="Times New Roman" w:cs="Times New Roman" w:eastAsia="Times New Roman" w:hint="default"/>
          <w:spacing w:val="-2"/>
        </w:rPr>
        <w:t>+</w:t>
      </w:r>
      <w:r>
        <w:rPr>
          <w:spacing w:val="-2"/>
        </w:rPr>
        <w:t>网</w:t>
      </w:r>
      <w:r>
        <w:rPr>
          <w:rFonts w:ascii="Times New Roman" w:hAnsi="Times New Roman" w:cs="Times New Roman" w:eastAsia="Times New Roman" w:hint="default"/>
          <w:spacing w:val="-2"/>
        </w:rPr>
        <w:t>+</w:t>
      </w:r>
      <w:r>
        <w:rPr>
          <w:spacing w:val="-2"/>
        </w:rPr>
        <w:t>端</w:t>
      </w:r>
      <w:r>
        <w:rPr>
          <w:rFonts w:ascii="Times New Roman" w:hAnsi="Times New Roman" w:cs="Times New Roman" w:eastAsia="Times New Roman" w:hint="default"/>
          <w:spacing w:val="-2"/>
        </w:rPr>
        <w:t>”</w:t>
      </w:r>
      <w:r>
        <w:rPr>
          <w:spacing w:val="-2"/>
        </w:rPr>
        <w:t>的差异化综合解决方案，将是公司能否在未来的市场中抢占一</w:t>
      </w:r>
      <w:r>
        <w:rPr>
          <w:spacing w:val="-66"/>
        </w:rPr>
        <w:t> </w:t>
      </w:r>
      <w:r>
        <w:rPr>
          <w:spacing w:val="-66"/>
        </w:rPr>
      </w:r>
      <w:r>
        <w:rPr>
          <w:spacing w:val="-2"/>
        </w:rPr>
        <w:t>席之地的关键，如果公司不能根据市场形势进一步改善产品结构、完善行业布局，向多渠道盈利方向转型，公司未来业务的</w:t>
      </w:r>
      <w:r>
        <w:rPr>
          <w:spacing w:val="-64"/>
        </w:rPr>
        <w:t> </w:t>
      </w:r>
      <w:r>
        <w:rPr>
          <w:spacing w:val="-64"/>
        </w:rPr>
      </w:r>
      <w:r>
        <w:rPr/>
        <w:t>发展仍将面临受互联网等新型支付工具冲击的风险。</w:t>
      </w:r>
    </w:p>
    <w:p>
      <w:pPr>
        <w:pStyle w:val="BodyText"/>
        <w:spacing w:line="477" w:lineRule="auto" w:before="70"/>
        <w:ind w:right="1034" w:firstLine="360"/>
        <w:jc w:val="left"/>
      </w:pPr>
      <w:r>
        <w:rPr>
          <w:spacing w:val="-4"/>
        </w:rPr>
        <w:t>金融业的跨界融合给自助设备行业带来新的机会，自助设备的底层技术相通，伴随着领先的金融科技向全社会加速输出，</w:t>
      </w:r>
      <w:r>
        <w:rPr/>
        <w:t> </w:t>
      </w:r>
      <w:r>
        <w:rPr>
          <w:spacing w:val="-2"/>
        </w:rPr>
        <w:t>新兴的人脸识别、语音语义、指静脉、掌静脉、虹膜等生物识别技术可以更为丰富的应用到交通、政务、便民、安防等多个</w:t>
      </w:r>
      <w:r>
        <w:rPr>
          <w:spacing w:val="-73"/>
        </w:rPr>
        <w:t> </w:t>
      </w:r>
      <w:r>
        <w:rPr>
          <w:spacing w:val="-73"/>
        </w:rPr>
      </w:r>
      <w:r>
        <w:rPr>
          <w:spacing w:val="-2"/>
        </w:rPr>
        <w:t>领域，各类银政、银医、银校、新零售等创新智能设备在医疗、教育、政务、旅游、零售等细分领域不断涌现，机器解放人</w:t>
      </w:r>
      <w:r>
        <w:rPr>
          <w:spacing w:val="-68"/>
        </w:rPr>
        <w:t> </w:t>
      </w:r>
      <w:r>
        <w:rPr>
          <w:spacing w:val="-68"/>
        </w:rPr>
      </w:r>
      <w:r>
        <w:rPr/>
        <w:t>成为不可逆转的趋势，自助设备市场迎来巨大发展空间。</w:t>
      </w:r>
    </w:p>
    <w:p>
      <w:pPr>
        <w:pStyle w:val="BodyText"/>
        <w:spacing w:line="451" w:lineRule="auto" w:before="54"/>
        <w:ind w:right="1048" w:firstLine="360"/>
        <w:jc w:val="left"/>
      </w:pPr>
      <w:r>
        <w:rPr/>
        <w:t>零售业是借助自助终端走在数字化转型前列的行业之一，</w:t>
      </w:r>
      <w:r>
        <w:rPr>
          <w:rFonts w:ascii="Times New Roman" w:hAnsi="Times New Roman" w:cs="Times New Roman" w:eastAsia="Times New Roman" w:hint="default"/>
        </w:rPr>
        <w:t>“</w:t>
      </w:r>
      <w:r>
        <w:rPr/>
        <w:t>无人零售</w:t>
      </w:r>
      <w:r>
        <w:rPr>
          <w:rFonts w:ascii="Times New Roman" w:hAnsi="Times New Roman" w:cs="Times New Roman" w:eastAsia="Times New Roman" w:hint="default"/>
        </w:rPr>
        <w:t>”</w:t>
      </w:r>
      <w:r>
        <w:rPr/>
        <w:t>作为新型业态，伴随着智能设备终端的逐步普及， </w:t>
      </w:r>
      <w:r>
        <w:rPr>
          <w:spacing w:val="-2"/>
        </w:rPr>
        <w:t>移动支付习惯的养成，以及人工智能等新技术的应用，正呈现蓬勃发展的态势，华经产业研究院《</w:t>
      </w:r>
      <w:r>
        <w:rPr>
          <w:rFonts w:ascii="Times New Roman" w:hAnsi="Times New Roman" w:cs="Times New Roman" w:eastAsia="Times New Roman" w:hint="default"/>
          <w:spacing w:val="-2"/>
        </w:rPr>
        <w:t>2019</w:t>
      </w:r>
      <w:r>
        <w:rPr>
          <w:spacing w:val="-2"/>
        </w:rPr>
        <w:t>年我国无人零售行业</w:t>
      </w:r>
      <w:r>
        <w:rPr>
          <w:spacing w:val="-60"/>
        </w:rPr>
        <w:t> </w:t>
      </w:r>
      <w:r>
        <w:rPr>
          <w:spacing w:val="-60"/>
        </w:rPr>
      </w:r>
      <w:r>
        <w:rPr>
          <w:spacing w:val="-4"/>
        </w:rPr>
        <w:t>发展趋势分析》报告指出，</w:t>
      </w:r>
      <w:r>
        <w:rPr>
          <w:rFonts w:ascii="Times New Roman" w:hAnsi="Times New Roman" w:cs="Times New Roman" w:eastAsia="Times New Roman" w:hint="default"/>
          <w:spacing w:val="-4"/>
        </w:rPr>
        <w:t>2018</w:t>
      </w:r>
      <w:r>
        <w:rPr>
          <w:spacing w:val="-4"/>
        </w:rPr>
        <w:t>年自动售货机销售市场规模约为</w:t>
      </w:r>
      <w:r>
        <w:rPr>
          <w:rFonts w:ascii="Times New Roman" w:hAnsi="Times New Roman" w:cs="Times New Roman" w:eastAsia="Times New Roman" w:hint="default"/>
          <w:spacing w:val="-4"/>
        </w:rPr>
        <w:t>265</w:t>
      </w:r>
      <w:r>
        <w:rPr>
          <w:spacing w:val="-4"/>
        </w:rPr>
        <w:t>亿元，预计到</w:t>
      </w:r>
      <w:r>
        <w:rPr>
          <w:rFonts w:ascii="Times New Roman" w:hAnsi="Times New Roman" w:cs="Times New Roman" w:eastAsia="Times New Roman" w:hint="default"/>
          <w:spacing w:val="-4"/>
        </w:rPr>
        <w:t>2020</w:t>
      </w:r>
      <w:r>
        <w:rPr>
          <w:spacing w:val="-4"/>
        </w:rPr>
        <w:t>年我国自动售货机市场规模将达到</w:t>
      </w:r>
      <w:r>
        <w:rPr>
          <w:rFonts w:ascii="Times New Roman" w:hAnsi="Times New Roman" w:cs="Times New Roman" w:eastAsia="Times New Roman" w:hint="default"/>
          <w:spacing w:val="-4"/>
        </w:rPr>
        <w:t>484.5</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15"/>
        </w:rPr>
      </w:r>
      <w:r>
        <w:rPr/>
        <w:t>亿元，保持</w:t>
      </w:r>
      <w:r>
        <w:rPr>
          <w:rFonts w:ascii="Times New Roman" w:hAnsi="Times New Roman" w:cs="Times New Roman" w:eastAsia="Times New Roman" w:hint="default"/>
        </w:rPr>
        <w:t>40%</w:t>
      </w:r>
      <w:r>
        <w:rPr/>
        <w:t>左右增速成长。此外，充电桩市场的稳定发展也为自助设备行业打开了新的市场空间。广证恒生《充电桩行 </w:t>
      </w:r>
      <w:r>
        <w:rPr>
          <w:spacing w:val="-2"/>
        </w:rPr>
        <w:t>业专题报告之一：驱动因素换挡，行业发展进入良性阶段》研究观点认为，到</w:t>
      </w:r>
      <w:r>
        <w:rPr>
          <w:rFonts w:ascii="Times New Roman" w:hAnsi="Times New Roman" w:cs="Times New Roman" w:eastAsia="Times New Roman" w:hint="default"/>
          <w:spacing w:val="-2"/>
        </w:rPr>
        <w:t>2020</w:t>
      </w:r>
      <w:r>
        <w:rPr>
          <w:spacing w:val="-2"/>
        </w:rPr>
        <w:t>年直流桩将达到</w:t>
      </w:r>
      <w:r>
        <w:rPr>
          <w:rFonts w:ascii="Times New Roman" w:hAnsi="Times New Roman" w:cs="Times New Roman" w:eastAsia="Times New Roman" w:hint="default"/>
          <w:spacing w:val="-2"/>
        </w:rPr>
        <w:t>23.24</w:t>
      </w:r>
      <w:r>
        <w:rPr>
          <w:spacing w:val="-2"/>
        </w:rPr>
        <w:t>万个，交流桩</w:t>
      </w:r>
      <w:r>
        <w:rPr>
          <w:rFonts w:ascii="Times New Roman" w:hAnsi="Times New Roman" w:cs="Times New Roman" w:eastAsia="Times New Roman" w:hint="default"/>
          <w:spacing w:val="-2"/>
        </w:rPr>
        <w:t>166.13</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0"/>
        </w:rPr>
      </w:r>
      <w:r>
        <w:rPr/>
        <w:t>万个，</w:t>
      </w:r>
      <w:r>
        <w:rPr>
          <w:rFonts w:ascii="Times New Roman" w:hAnsi="Times New Roman" w:cs="Times New Roman" w:eastAsia="Times New Roman" w:hint="default"/>
        </w:rPr>
        <w:t>2019-2020</w:t>
      </w:r>
      <w:r>
        <w:rPr/>
        <w:t>年将新增直流桩</w:t>
      </w:r>
      <w:r>
        <w:rPr>
          <w:rFonts w:ascii="Times New Roman" w:hAnsi="Times New Roman" w:cs="Times New Roman" w:eastAsia="Times New Roman" w:hint="default"/>
        </w:rPr>
        <w:t>13.16</w:t>
      </w:r>
      <w:r>
        <w:rPr/>
        <w:t>万个。</w:t>
      </w:r>
      <w:r>
        <w:rPr>
          <w:rFonts w:ascii="Times New Roman" w:hAnsi="Times New Roman" w:cs="Times New Roman" w:eastAsia="Times New Roman" w:hint="default"/>
        </w:rPr>
        <w:t>2020</w:t>
      </w:r>
      <w:r>
        <w:rPr/>
        <w:t>年新增直流充电桩设备需求</w:t>
      </w:r>
      <w:r>
        <w:rPr>
          <w:rFonts w:ascii="Times New Roman" w:hAnsi="Times New Roman" w:cs="Times New Roman" w:eastAsia="Times New Roman" w:hint="default"/>
        </w:rPr>
        <w:t>44.01</w:t>
      </w:r>
      <w:r>
        <w:rPr/>
        <w:t>亿元，新增交流充电桩设备</w:t>
      </w:r>
      <w:r>
        <w:rPr>
          <w:rFonts w:ascii="Times New Roman" w:hAnsi="Times New Roman" w:cs="Times New Roman" w:eastAsia="Times New Roman" w:hint="default"/>
        </w:rPr>
        <w:t>35.54</w:t>
      </w:r>
      <w:r>
        <w:rPr/>
        <w:t>亿元， 合计约</w:t>
      </w:r>
      <w:r>
        <w:rPr>
          <w:rFonts w:ascii="Times New Roman" w:hAnsi="Times New Roman" w:cs="Times New Roman" w:eastAsia="Times New Roman" w:hint="default"/>
        </w:rPr>
        <w:t>79.55</w:t>
      </w:r>
      <w:r>
        <w:rPr/>
        <w:t>亿元。</w:t>
      </w:r>
    </w:p>
    <w:p>
      <w:pPr>
        <w:spacing w:after="0" w:line="451"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left="513" w:right="1168"/>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）支付产品细分行业</w:t>
      </w:r>
      <w:r>
        <w:rPr>
          <w:rFonts w:ascii="宋体" w:hAnsi="宋体" w:cs="宋体" w:eastAsia="宋体" w:hint="default"/>
          <w:b/>
          <w:bCs/>
          <w:w w:val="99"/>
        </w:rPr>
        <w:t> </w:t>
      </w:r>
      <w:r>
        <w:rPr/>
        <w:t>根据中国人民银行发布的《</w:t>
      </w:r>
      <w:r>
        <w:rPr>
          <w:rFonts w:ascii="Times New Roman" w:hAnsi="Times New Roman" w:cs="Times New Roman" w:eastAsia="Times New Roman" w:hint="default"/>
        </w:rPr>
        <w:t>2018</w:t>
      </w:r>
      <w:r>
        <w:rPr/>
        <w:t>年支付体系运行总体情况》，截至</w:t>
      </w:r>
      <w:r>
        <w:rPr>
          <w:rFonts w:ascii="Times New Roman" w:hAnsi="Times New Roman" w:cs="Times New Roman" w:eastAsia="Times New Roman" w:hint="default"/>
        </w:rPr>
        <w:t>2018</w:t>
      </w:r>
      <w:r>
        <w:rPr/>
        <w:t>年末，全国银行卡在用发卡数量</w:t>
      </w:r>
      <w:r>
        <w:rPr>
          <w:rFonts w:ascii="Times New Roman" w:hAnsi="Times New Roman" w:cs="Times New Roman" w:eastAsia="Times New Roman" w:hint="default"/>
        </w:rPr>
        <w:t>75.97</w:t>
      </w:r>
      <w:r>
        <w:rPr/>
        <w:t>亿张，同</w:t>
      </w:r>
    </w:p>
    <w:p>
      <w:pPr>
        <w:pStyle w:val="BodyText"/>
        <w:spacing w:line="451" w:lineRule="auto" w:before="43"/>
        <w:ind w:right="944"/>
        <w:jc w:val="left"/>
      </w:pPr>
      <w:r>
        <w:rPr/>
        <w:t>比增长</w:t>
      </w:r>
      <w:r>
        <w:rPr>
          <w:rFonts w:ascii="Times New Roman" w:hAnsi="Times New Roman" w:cs="Times New Roman" w:eastAsia="Times New Roman" w:hint="default"/>
        </w:rPr>
        <w:t>13.51%</w:t>
      </w:r>
      <w:r>
        <w:rPr/>
        <w:t>。其中，借记卡在用发卡数量</w:t>
      </w:r>
      <w:r>
        <w:rPr>
          <w:rFonts w:ascii="Times New Roman" w:hAnsi="Times New Roman" w:cs="Times New Roman" w:eastAsia="Times New Roman" w:hint="default"/>
        </w:rPr>
        <w:t>69.11</w:t>
      </w:r>
      <w:r>
        <w:rPr/>
        <w:t>亿张，同比增长</w:t>
      </w:r>
      <w:r>
        <w:rPr>
          <w:rFonts w:ascii="Times New Roman" w:hAnsi="Times New Roman" w:cs="Times New Roman" w:eastAsia="Times New Roman" w:hint="default"/>
        </w:rPr>
        <w:t>13.20%</w:t>
      </w:r>
      <w:r>
        <w:rPr/>
        <w:t>；信用卡和借贷合一卡在用发卡数量共计</w:t>
      </w:r>
      <w:r>
        <w:rPr>
          <w:rFonts w:ascii="Times New Roman" w:hAnsi="Times New Roman" w:cs="Times New Roman" w:eastAsia="Times New Roman" w:hint="default"/>
        </w:rPr>
        <w:t>6.86</w:t>
      </w:r>
      <w:r>
        <w:rPr/>
        <w:t>亿张， 同比增长</w:t>
      </w:r>
      <w:r>
        <w:rPr>
          <w:rFonts w:ascii="Times New Roman" w:hAnsi="Times New Roman" w:cs="Times New Roman" w:eastAsia="Times New Roman" w:hint="default"/>
        </w:rPr>
        <w:t>16.73%</w:t>
      </w:r>
      <w:r>
        <w:rPr/>
        <w:t>。</w:t>
      </w:r>
      <w:r>
        <w:rPr>
          <w:rFonts w:ascii="Times New Roman" w:hAnsi="Times New Roman" w:cs="Times New Roman" w:eastAsia="Times New Roman" w:hint="default"/>
        </w:rPr>
        <w:t>2018</w:t>
      </w:r>
      <w:r>
        <w:rPr/>
        <w:t>年，全国共发生银行卡交易</w:t>
      </w:r>
      <w:r>
        <w:rPr>
          <w:rFonts w:ascii="Times New Roman" w:hAnsi="Times New Roman" w:cs="Times New Roman" w:eastAsia="Times New Roman" w:hint="default"/>
        </w:rPr>
        <w:t>2103.59</w:t>
      </w:r>
      <w:r>
        <w:rPr/>
        <w:t>亿笔，金额</w:t>
      </w:r>
      <w:r>
        <w:rPr>
          <w:rFonts w:ascii="Times New Roman" w:hAnsi="Times New Roman" w:cs="Times New Roman" w:eastAsia="Times New Roman" w:hint="default"/>
        </w:rPr>
        <w:t>862.10</w:t>
      </w:r>
      <w:r>
        <w:rPr/>
        <w:t>万亿元，同比分别增长</w:t>
      </w:r>
      <w:r>
        <w:rPr>
          <w:rFonts w:ascii="Times New Roman" w:hAnsi="Times New Roman" w:cs="Times New Roman" w:eastAsia="Times New Roman" w:hint="default"/>
        </w:rPr>
        <w:t>40.77%</w:t>
      </w:r>
      <w:r>
        <w:rPr/>
        <w:t>和</w:t>
      </w:r>
      <w:r>
        <w:rPr>
          <w:rFonts w:ascii="Times New Roman" w:hAnsi="Times New Roman" w:cs="Times New Roman" w:eastAsia="Times New Roman" w:hint="default"/>
        </w:rPr>
        <w:t>13.19%</w:t>
      </w:r>
      <w:r>
        <w:rPr/>
        <w:t>，日均 </w:t>
      </w:r>
      <w:r>
        <w:rPr>
          <w:rFonts w:ascii="Times New Roman" w:hAnsi="Times New Roman" w:cs="Times New Roman" w:eastAsia="Times New Roman" w:hint="default"/>
        </w:rPr>
        <w:t>5.76</w:t>
      </w:r>
      <w:r>
        <w:rPr/>
        <w:t>亿笔</w:t>
      </w:r>
      <w:r>
        <w:rPr>
          <w:rFonts w:ascii="Times New Roman" w:hAnsi="Times New Roman" w:cs="Times New Roman" w:eastAsia="Times New Roman" w:hint="default"/>
        </w:rPr>
        <w:t>,</w:t>
      </w:r>
      <w:r>
        <w:rPr/>
        <w:t>金额</w:t>
      </w:r>
      <w:r>
        <w:rPr>
          <w:rFonts w:ascii="Times New Roman" w:hAnsi="Times New Roman" w:cs="Times New Roman" w:eastAsia="Times New Roman" w:hint="default"/>
        </w:rPr>
        <w:t>2.36</w:t>
      </w:r>
      <w:r>
        <w:rPr/>
        <w:t>万亿元。其中，银行卡存现</w:t>
      </w:r>
      <w:r>
        <w:rPr>
          <w:rFonts w:ascii="Times New Roman" w:hAnsi="Times New Roman" w:cs="Times New Roman" w:eastAsia="Times New Roman" w:hint="default"/>
        </w:rPr>
        <w:t>78.63</w:t>
      </w:r>
      <w:r>
        <w:rPr/>
        <w:t>亿笔，金额</w:t>
      </w:r>
      <w:r>
        <w:rPr>
          <w:rFonts w:ascii="Times New Roman" w:hAnsi="Times New Roman" w:cs="Times New Roman" w:eastAsia="Times New Roman" w:hint="default"/>
        </w:rPr>
        <w:t>60.03</w:t>
      </w:r>
      <w:r>
        <w:rPr/>
        <w:t>万亿元，同比分别下降</w:t>
      </w:r>
      <w:r>
        <w:rPr>
          <w:rFonts w:ascii="Times New Roman" w:hAnsi="Times New Roman" w:cs="Times New Roman" w:eastAsia="Times New Roman" w:hint="default"/>
        </w:rPr>
        <w:t>18.44%</w:t>
      </w:r>
      <w:r>
        <w:rPr/>
        <w:t>和</w:t>
      </w:r>
      <w:r>
        <w:rPr>
          <w:rFonts w:ascii="Times New Roman" w:hAnsi="Times New Roman" w:cs="Times New Roman" w:eastAsia="Times New Roman" w:hint="default"/>
        </w:rPr>
        <w:t>11.62%</w:t>
      </w:r>
      <w:r>
        <w:rPr/>
        <w:t>；取现</w:t>
      </w:r>
      <w:r>
        <w:rPr>
          <w:rFonts w:ascii="Times New Roman" w:hAnsi="Times New Roman" w:cs="Times New Roman" w:eastAsia="Times New Roman" w:hint="default"/>
        </w:rPr>
        <w:t>140.87</w:t>
      </w:r>
      <w:r>
        <w:rPr/>
        <w:t>亿 </w:t>
      </w:r>
      <w:r>
        <w:rPr>
          <w:spacing w:val="-5"/>
        </w:rPr>
        <w:t>笔，金额</w:t>
      </w:r>
      <w:r>
        <w:rPr>
          <w:rFonts w:ascii="Times New Roman" w:hAnsi="Times New Roman" w:cs="Times New Roman" w:eastAsia="Times New Roman" w:hint="default"/>
          <w:spacing w:val="-5"/>
        </w:rPr>
        <w:t>58.90</w:t>
      </w:r>
      <w:r>
        <w:rPr>
          <w:spacing w:val="-5"/>
        </w:rPr>
        <w:t>万亿元，同比分别下降</w:t>
      </w:r>
      <w:r>
        <w:rPr>
          <w:rFonts w:ascii="Times New Roman" w:hAnsi="Times New Roman" w:cs="Times New Roman" w:eastAsia="Times New Roman" w:hint="default"/>
          <w:spacing w:val="-5"/>
        </w:rPr>
        <w:t>18.65%</w:t>
      </w:r>
      <w:r>
        <w:rPr>
          <w:spacing w:val="-5"/>
        </w:rPr>
        <w:t>和</w:t>
      </w:r>
      <w:r>
        <w:rPr>
          <w:rFonts w:ascii="Times New Roman" w:hAnsi="Times New Roman" w:cs="Times New Roman" w:eastAsia="Times New Roman" w:hint="default"/>
          <w:spacing w:val="-5"/>
        </w:rPr>
        <w:t>9.49%</w:t>
      </w:r>
      <w:r>
        <w:rPr>
          <w:spacing w:val="-5"/>
        </w:rPr>
        <w:t>；转账业务</w:t>
      </w:r>
      <w:r>
        <w:rPr>
          <w:rFonts w:ascii="Times New Roman" w:hAnsi="Times New Roman" w:cs="Times New Roman" w:eastAsia="Times New Roman" w:hint="default"/>
          <w:spacing w:val="-5"/>
        </w:rPr>
        <w:t>900.73</w:t>
      </w:r>
      <w:r>
        <w:rPr>
          <w:spacing w:val="-5"/>
        </w:rPr>
        <w:t>亿笔，金额</w:t>
      </w:r>
      <w:r>
        <w:rPr>
          <w:rFonts w:ascii="Times New Roman" w:hAnsi="Times New Roman" w:cs="Times New Roman" w:eastAsia="Times New Roman" w:hint="default"/>
          <w:spacing w:val="-5"/>
        </w:rPr>
        <w:t>650.42</w:t>
      </w:r>
      <w:r>
        <w:rPr>
          <w:spacing w:val="-5"/>
        </w:rPr>
        <w:t>万亿元，同比分别增长</w:t>
      </w:r>
      <w:r>
        <w:rPr>
          <w:rFonts w:ascii="Times New Roman" w:hAnsi="Times New Roman" w:cs="Times New Roman" w:eastAsia="Times New Roman" w:hint="default"/>
          <w:spacing w:val="-5"/>
        </w:rPr>
        <w:t>41.08%</w:t>
      </w:r>
      <w:r>
        <w:rPr>
          <w:spacing w:val="-5"/>
        </w:rPr>
        <w:t>和</w:t>
      </w:r>
      <w:r>
        <w:rPr>
          <w:rFonts w:ascii="Times New Roman" w:hAnsi="Times New Roman" w:cs="Times New Roman" w:eastAsia="Times New Roman" w:hint="default"/>
          <w:spacing w:val="-5"/>
        </w:rPr>
        <w:t>16.15%</w:t>
      </w:r>
      <w:r>
        <w:rPr>
          <w:spacing w:val="-5"/>
        </w:rPr>
        <w:t>；</w:t>
      </w:r>
      <w:r>
        <w:rPr/>
        <w:t> 消费业务</w:t>
      </w:r>
      <w:r>
        <w:rPr>
          <w:rFonts w:ascii="Times New Roman" w:hAnsi="Times New Roman" w:cs="Times New Roman" w:eastAsia="Times New Roman" w:hint="default"/>
        </w:rPr>
        <w:t>983.36</w:t>
      </w:r>
      <w:r>
        <w:rPr/>
        <w:t>亿笔，金额</w:t>
      </w:r>
      <w:r>
        <w:rPr>
          <w:rFonts w:ascii="Times New Roman" w:hAnsi="Times New Roman" w:cs="Times New Roman" w:eastAsia="Times New Roman" w:hint="default"/>
        </w:rPr>
        <w:t>92.76</w:t>
      </w:r>
      <w:r>
        <w:rPr/>
        <w:t>万亿元，同比分别增长</w:t>
      </w:r>
      <w:r>
        <w:rPr>
          <w:rFonts w:ascii="Times New Roman" w:hAnsi="Times New Roman" w:cs="Times New Roman" w:eastAsia="Times New Roman" w:hint="default"/>
        </w:rPr>
        <w:t>67.73%</w:t>
      </w:r>
      <w:r>
        <w:rPr/>
        <w:t>和</w:t>
      </w:r>
      <w:r>
        <w:rPr>
          <w:rFonts w:ascii="Times New Roman" w:hAnsi="Times New Roman" w:cs="Times New Roman" w:eastAsia="Times New Roman" w:hint="default"/>
        </w:rPr>
        <w:t>35.09%</w:t>
      </w:r>
      <w:r>
        <w:rPr/>
        <w:t>。</w:t>
      </w:r>
    </w:p>
    <w:p>
      <w:pPr>
        <w:pStyle w:val="BodyText"/>
        <w:spacing w:line="451" w:lineRule="auto" w:before="44"/>
        <w:ind w:right="1034" w:firstLine="360"/>
        <w:jc w:val="left"/>
      </w:pPr>
      <w:r>
        <w:rPr>
          <w:rFonts w:ascii="Times New Roman" w:hAnsi="Times New Roman" w:cs="Times New Roman" w:eastAsia="Times New Roman" w:hint="default"/>
        </w:rPr>
        <w:t>2018</w:t>
      </w:r>
      <w:r>
        <w:rPr/>
        <w:t>年，银行业金融机构共处理电子支付业务</w:t>
      </w:r>
      <w:r>
        <w:rPr>
          <w:rFonts w:ascii="Times New Roman" w:hAnsi="Times New Roman" w:cs="Times New Roman" w:eastAsia="Times New Roman" w:hint="default"/>
        </w:rPr>
        <w:t>1751.92</w:t>
      </w:r>
      <w:r>
        <w:rPr/>
        <w:t>亿笔，金额</w:t>
      </w:r>
      <w:r>
        <w:rPr>
          <w:rFonts w:ascii="Times New Roman" w:hAnsi="Times New Roman" w:cs="Times New Roman" w:eastAsia="Times New Roman" w:hint="default"/>
        </w:rPr>
        <w:t>2539.70</w:t>
      </w:r>
      <w:r>
        <w:rPr/>
        <w:t>万亿元。其中，网上支付业务</w:t>
      </w:r>
      <w:r>
        <w:rPr>
          <w:rFonts w:ascii="Times New Roman" w:hAnsi="Times New Roman" w:cs="Times New Roman" w:eastAsia="Times New Roman" w:hint="default"/>
        </w:rPr>
        <w:t>570.13</w:t>
      </w:r>
      <w:r>
        <w:rPr/>
        <w:t>亿笔，金 额</w:t>
      </w:r>
      <w:r>
        <w:rPr>
          <w:rFonts w:ascii="Times New Roman" w:hAnsi="Times New Roman" w:cs="Times New Roman" w:eastAsia="Times New Roman" w:hint="default"/>
        </w:rPr>
        <w:t>2126.30</w:t>
      </w:r>
      <w:r>
        <w:rPr/>
        <w:t>万亿元，同比分别增长</w:t>
      </w:r>
      <w:r>
        <w:rPr>
          <w:rFonts w:ascii="Times New Roman" w:hAnsi="Times New Roman" w:cs="Times New Roman" w:eastAsia="Times New Roman" w:hint="default"/>
        </w:rPr>
        <w:t>17.36%</w:t>
      </w:r>
      <w:r>
        <w:rPr/>
        <w:t>和</w:t>
      </w:r>
      <w:r>
        <w:rPr>
          <w:rFonts w:ascii="Times New Roman" w:hAnsi="Times New Roman" w:cs="Times New Roman" w:eastAsia="Times New Roman" w:hint="default"/>
        </w:rPr>
        <w:t>2.47%</w:t>
      </w:r>
      <w:r>
        <w:rPr/>
        <w:t>；移动支付业务</w:t>
      </w:r>
      <w:r>
        <w:rPr>
          <w:rFonts w:ascii="Times New Roman" w:hAnsi="Times New Roman" w:cs="Times New Roman" w:eastAsia="Times New Roman" w:hint="default"/>
        </w:rPr>
        <w:t>605.31</w:t>
      </w:r>
      <w:r>
        <w:rPr/>
        <w:t>亿笔，金额</w:t>
      </w:r>
      <w:r>
        <w:rPr>
          <w:rFonts w:ascii="Times New Roman" w:hAnsi="Times New Roman" w:cs="Times New Roman" w:eastAsia="Times New Roman" w:hint="default"/>
        </w:rPr>
        <w:t>277.39</w:t>
      </w:r>
      <w:r>
        <w:rPr/>
        <w:t>万亿元，同比分别增长</w:t>
      </w:r>
      <w:r>
        <w:rPr>
          <w:rFonts w:ascii="Times New Roman" w:hAnsi="Times New Roman" w:cs="Times New Roman" w:eastAsia="Times New Roman" w:hint="default"/>
        </w:rPr>
        <w:t>61.19%</w:t>
      </w:r>
      <w:r>
        <w:rPr/>
        <w:t>和 </w:t>
      </w:r>
      <w:r>
        <w:rPr>
          <w:rFonts w:ascii="Times New Roman" w:hAnsi="Times New Roman" w:cs="Times New Roman" w:eastAsia="Times New Roman" w:hint="default"/>
        </w:rPr>
        <w:t>36.69%</w:t>
      </w:r>
      <w:r>
        <w:rPr/>
        <w:t>；电话支付业务</w:t>
      </w:r>
      <w:r>
        <w:rPr>
          <w:rFonts w:ascii="Times New Roman" w:hAnsi="Times New Roman" w:cs="Times New Roman" w:eastAsia="Times New Roman" w:hint="default"/>
        </w:rPr>
        <w:t>1.58</w:t>
      </w:r>
      <w:r>
        <w:rPr/>
        <w:t>亿笔，金额</w:t>
      </w:r>
      <w:r>
        <w:rPr>
          <w:rFonts w:ascii="Times New Roman" w:hAnsi="Times New Roman" w:cs="Times New Roman" w:eastAsia="Times New Roman" w:hint="default"/>
        </w:rPr>
        <w:t>7.68</w:t>
      </w:r>
      <w:r>
        <w:rPr/>
        <w:t>万亿元，同比分别下降</w:t>
      </w:r>
      <w:r>
        <w:rPr>
          <w:rFonts w:ascii="Times New Roman" w:hAnsi="Times New Roman" w:cs="Times New Roman" w:eastAsia="Times New Roman" w:hint="default"/>
        </w:rPr>
        <w:t>0.99%</w:t>
      </w:r>
      <w:r>
        <w:rPr/>
        <w:t>和</w:t>
      </w:r>
      <w:r>
        <w:rPr>
          <w:rFonts w:ascii="Times New Roman" w:hAnsi="Times New Roman" w:cs="Times New Roman" w:eastAsia="Times New Roman" w:hint="default"/>
        </w:rPr>
        <w:t>12.54%</w:t>
      </w:r>
      <w:r>
        <w:rPr/>
        <w:t>。</w:t>
      </w:r>
      <w:r>
        <w:rPr>
          <w:rFonts w:ascii="Times New Roman" w:hAnsi="Times New Roman" w:cs="Times New Roman" w:eastAsia="Times New Roman" w:hint="default"/>
        </w:rPr>
        <w:t>2018</w:t>
      </w:r>
      <w:r>
        <w:rPr/>
        <w:t>年，非银行支付机构发生网络支付 </w:t>
      </w:r>
      <w:r>
        <w:rPr>
          <w:spacing w:val="-3"/>
        </w:rPr>
        <w:t>业务</w:t>
      </w:r>
      <w:r>
        <w:rPr>
          <w:rFonts w:ascii="Times New Roman" w:hAnsi="Times New Roman" w:cs="Times New Roman" w:eastAsia="Times New Roman" w:hint="default"/>
          <w:spacing w:val="-3"/>
        </w:rPr>
        <w:t>5306.10</w:t>
      </w:r>
      <w:r>
        <w:rPr>
          <w:spacing w:val="-3"/>
        </w:rPr>
        <w:t>亿笔，金额</w:t>
      </w:r>
      <w:r>
        <w:rPr>
          <w:rFonts w:ascii="Times New Roman" w:hAnsi="Times New Roman" w:cs="Times New Roman" w:eastAsia="Times New Roman" w:hint="default"/>
          <w:spacing w:val="-3"/>
        </w:rPr>
        <w:t>208.07</w:t>
      </w:r>
      <w:r>
        <w:rPr>
          <w:spacing w:val="-3"/>
        </w:rPr>
        <w:t>万亿元，同比分别增长</w:t>
      </w:r>
      <w:r>
        <w:rPr>
          <w:rFonts w:ascii="Times New Roman" w:hAnsi="Times New Roman" w:cs="Times New Roman" w:eastAsia="Times New Roman" w:hint="default"/>
          <w:spacing w:val="-3"/>
        </w:rPr>
        <w:t>85.05%</w:t>
      </w:r>
      <w:r>
        <w:rPr>
          <w:spacing w:val="-3"/>
        </w:rPr>
        <w:t>和</w:t>
      </w:r>
      <w:r>
        <w:rPr>
          <w:rFonts w:ascii="Times New Roman" w:hAnsi="Times New Roman" w:cs="Times New Roman" w:eastAsia="Times New Roman" w:hint="default"/>
          <w:spacing w:val="-3"/>
        </w:rPr>
        <w:t>45.23%</w:t>
      </w:r>
      <w:r>
        <w:rPr>
          <w:spacing w:val="-3"/>
        </w:rPr>
        <w:t>。截至</w:t>
      </w:r>
      <w:r>
        <w:rPr>
          <w:rFonts w:ascii="Times New Roman" w:hAnsi="Times New Roman" w:cs="Times New Roman" w:eastAsia="Times New Roman" w:hint="default"/>
          <w:spacing w:val="-3"/>
        </w:rPr>
        <w:t>2018</w:t>
      </w:r>
      <w:r>
        <w:rPr>
          <w:spacing w:val="-3"/>
        </w:rPr>
        <w:t>年末，银行卡跨行支付系统联网商户</w:t>
      </w:r>
      <w:r>
        <w:rPr>
          <w:rFonts w:ascii="Times New Roman" w:hAnsi="Times New Roman" w:cs="Times New Roman" w:eastAsia="Times New Roman" w:hint="default"/>
          <w:spacing w:val="-3"/>
        </w:rPr>
        <w:t>2733.00</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5"/>
        </w:rPr>
      </w:r>
      <w:r>
        <w:rPr>
          <w:spacing w:val="-1"/>
        </w:rPr>
        <w:t>万户，联网</w:t>
      </w:r>
      <w:r>
        <w:rPr>
          <w:rFonts w:ascii="Times New Roman" w:hAnsi="Times New Roman" w:cs="Times New Roman" w:eastAsia="Times New Roman" w:hint="default"/>
          <w:spacing w:val="-1"/>
        </w:rPr>
        <w:t>POS</w:t>
      </w:r>
      <w:r>
        <w:rPr>
          <w:spacing w:val="-1"/>
        </w:rPr>
        <w:t>机具</w:t>
      </w:r>
      <w:r>
        <w:rPr>
          <w:rFonts w:ascii="Times New Roman" w:hAnsi="Times New Roman" w:cs="Times New Roman" w:eastAsia="Times New Roman" w:hint="default"/>
          <w:spacing w:val="-1"/>
        </w:rPr>
        <w:t>3414.82</w:t>
      </w:r>
      <w:r>
        <w:rPr>
          <w:spacing w:val="-1"/>
        </w:rPr>
        <w:t>万台，</w:t>
      </w:r>
      <w:r>
        <w:rPr>
          <w:rFonts w:ascii="Times New Roman" w:hAnsi="Times New Roman" w:cs="Times New Roman" w:eastAsia="Times New Roman" w:hint="default"/>
          <w:spacing w:val="-1"/>
        </w:rPr>
        <w:t>ATM</w:t>
      </w:r>
      <w:r>
        <w:rPr>
          <w:spacing w:val="-1"/>
        </w:rPr>
        <w:t>机具</w:t>
      </w:r>
      <w:r>
        <w:rPr>
          <w:rFonts w:ascii="Times New Roman" w:hAnsi="Times New Roman" w:cs="Times New Roman" w:eastAsia="Times New Roman" w:hint="default"/>
          <w:spacing w:val="-1"/>
        </w:rPr>
        <w:t>111.08</w:t>
      </w:r>
      <w:r>
        <w:rPr>
          <w:spacing w:val="-1"/>
        </w:rPr>
        <w:t>万台，较上年末分别增加</w:t>
      </w:r>
      <w:r>
        <w:rPr>
          <w:rFonts w:ascii="Times New Roman" w:hAnsi="Times New Roman" w:cs="Times New Roman" w:eastAsia="Times New Roman" w:hint="default"/>
          <w:spacing w:val="-1"/>
        </w:rPr>
        <w:t>140.40</w:t>
      </w:r>
      <w:r>
        <w:rPr>
          <w:spacing w:val="-1"/>
        </w:rPr>
        <w:t>万户、</w:t>
      </w:r>
      <w:r>
        <w:rPr>
          <w:rFonts w:ascii="Times New Roman" w:hAnsi="Times New Roman" w:cs="Times New Roman" w:eastAsia="Times New Roman" w:hint="default"/>
          <w:spacing w:val="-1"/>
        </w:rPr>
        <w:t>295.96</w:t>
      </w:r>
      <w:r>
        <w:rPr>
          <w:spacing w:val="-1"/>
        </w:rPr>
        <w:t>万台和</w:t>
      </w:r>
      <w:r>
        <w:rPr>
          <w:rFonts w:ascii="Times New Roman" w:hAnsi="Times New Roman" w:cs="Times New Roman" w:eastAsia="Times New Roman" w:hint="default"/>
          <w:spacing w:val="-1"/>
        </w:rPr>
        <w:t>15.03</w:t>
      </w:r>
      <w:r>
        <w:rPr>
          <w:spacing w:val="-1"/>
        </w:rPr>
        <w:t>万台。全国每万</w:t>
      </w:r>
      <w:r>
        <w:rPr>
          <w:spacing w:val="-84"/>
        </w:rPr>
        <w:t> </w:t>
      </w:r>
      <w:r>
        <w:rPr>
          <w:spacing w:val="-84"/>
        </w:rPr>
      </w:r>
      <w:r>
        <w:rPr/>
        <w:t>人对应的</w:t>
      </w:r>
      <w:r>
        <w:rPr>
          <w:rFonts w:ascii="Times New Roman" w:hAnsi="Times New Roman" w:cs="Times New Roman" w:eastAsia="Times New Roman" w:hint="default"/>
        </w:rPr>
        <w:t>POS</w:t>
      </w:r>
      <w:r>
        <w:rPr/>
        <w:t>机具数量</w:t>
      </w:r>
      <w:r>
        <w:rPr>
          <w:rFonts w:ascii="Times New Roman" w:hAnsi="Times New Roman" w:cs="Times New Roman" w:eastAsia="Times New Roman" w:hint="default"/>
        </w:rPr>
        <w:t>245.66</w:t>
      </w:r>
      <w:r>
        <w:rPr/>
        <w:t>台，同比增长</w:t>
      </w:r>
      <w:r>
        <w:rPr>
          <w:rFonts w:ascii="Times New Roman" w:hAnsi="Times New Roman" w:cs="Times New Roman" w:eastAsia="Times New Roman" w:hint="default"/>
        </w:rPr>
        <w:t>8.91%</w:t>
      </w:r>
      <w:r>
        <w:rPr/>
        <w:t>，每万人对应的</w:t>
      </w:r>
      <w:r>
        <w:rPr>
          <w:rFonts w:ascii="Times New Roman" w:hAnsi="Times New Roman" w:cs="Times New Roman" w:eastAsia="Times New Roman" w:hint="default"/>
        </w:rPr>
        <w:t>ATM</w:t>
      </w:r>
      <w:r>
        <w:rPr/>
        <w:t>数量</w:t>
      </w:r>
      <w:r>
        <w:rPr>
          <w:rFonts w:ascii="Times New Roman" w:hAnsi="Times New Roman" w:cs="Times New Roman" w:eastAsia="Times New Roman" w:hint="default"/>
        </w:rPr>
        <w:t>7.99</w:t>
      </w:r>
      <w:r>
        <w:rPr/>
        <w:t>台，同比增长</w:t>
      </w:r>
      <w:r>
        <w:rPr>
          <w:rFonts w:ascii="Times New Roman" w:hAnsi="Times New Roman" w:cs="Times New Roman" w:eastAsia="Times New Roman" w:hint="default"/>
        </w:rPr>
        <w:t>15.03%</w:t>
      </w:r>
      <w:r>
        <w:rPr/>
        <w:t>。</w:t>
      </w:r>
    </w:p>
    <w:p>
      <w:pPr>
        <w:pStyle w:val="BodyText"/>
        <w:spacing w:line="472" w:lineRule="auto" w:before="43"/>
        <w:ind w:right="1034" w:firstLine="360"/>
        <w:jc w:val="left"/>
      </w:pPr>
      <w:r>
        <w:rPr>
          <w:spacing w:val="-2"/>
        </w:rPr>
        <w:t>移动支付正式步入了高速发展期。移动支付向着更多场景拓展，两大巨头的线下巨额补贴直接带火聚合支付行业。移动</w:t>
      </w:r>
      <w:r>
        <w:rPr/>
        <w:t> </w:t>
      </w:r>
      <w:r>
        <w:rPr>
          <w:spacing w:val="-2"/>
        </w:rPr>
        <w:t>支付正在深入到用户生活的方方面面，同时也在加速线下商业的互联网化进程。随着技术进步和应用拓展，移动支付也呈现</w:t>
      </w:r>
      <w:r>
        <w:rPr>
          <w:spacing w:val="-63"/>
        </w:rPr>
        <w:t> </w:t>
      </w:r>
      <w:r>
        <w:rPr>
          <w:spacing w:val="-63"/>
        </w:rPr>
      </w:r>
      <w:r>
        <w:rPr/>
        <w:t>出支付场景和支付方式的转变，线下衍生了刷卡、插卡、二维码、</w:t>
      </w:r>
      <w:r>
        <w:rPr>
          <w:rFonts w:ascii="Times New Roman" w:hAnsi="Times New Roman" w:cs="Times New Roman" w:eastAsia="Times New Roman" w:hint="default"/>
        </w:rPr>
        <w:t>NFC</w:t>
      </w:r>
      <w:r>
        <w:rPr/>
        <w:t>、条码、光子支付和生物识别等方式，同时由零售、</w:t>
      </w:r>
      <w:r>
        <w:rPr>
          <w:spacing w:val="-78"/>
        </w:rPr>
        <w:t> </w:t>
      </w:r>
      <w:r>
        <w:rPr>
          <w:spacing w:val="-78"/>
        </w:rPr>
      </w:r>
      <w:r>
        <w:rPr/>
        <w:t>餐饮、商超、物流等场景向医院、票务、娱乐和交通等延伸。移动支付通过技术创新实现聚集流量、开拓场景、整合数据，</w:t>
      </w:r>
      <w:r>
        <w:rPr>
          <w:spacing w:val="-86"/>
        </w:rPr>
        <w:t> </w:t>
      </w:r>
      <w:r>
        <w:rPr>
          <w:spacing w:val="-86"/>
        </w:rPr>
      </w:r>
      <w:r>
        <w:rPr>
          <w:spacing w:val="-2"/>
        </w:rPr>
        <w:t>随着我国支付终端方式的普及，支付受理终端支付机具形态和功能也越来越丰富，以及支付相关产品售价的下降，联网支付</w:t>
      </w:r>
      <w:r>
        <w:rPr>
          <w:spacing w:val="-63"/>
        </w:rPr>
        <w:t> </w:t>
      </w:r>
      <w:r>
        <w:rPr>
          <w:spacing w:val="-63"/>
        </w:rPr>
      </w:r>
      <w:r>
        <w:rPr/>
        <w:t>机具数量的增长依然保持较快速度。</w:t>
      </w:r>
    </w:p>
    <w:p>
      <w:pPr>
        <w:pStyle w:val="BodyText"/>
        <w:spacing w:line="477" w:lineRule="auto" w:before="58"/>
        <w:ind w:right="1130" w:firstLine="360"/>
        <w:jc w:val="both"/>
      </w:pPr>
      <w:r>
        <w:rPr>
          <w:spacing w:val="-2"/>
        </w:rPr>
        <w:t>由于行业技术门槛偏低，市场上产品同质化严重，增值服务比重升高成为未来的竞争点。增值服务的核心在于商户需求</w:t>
      </w:r>
      <w:r>
        <w:rPr/>
        <w:t> </w:t>
      </w:r>
      <w:r>
        <w:rPr>
          <w:spacing w:val="-2"/>
        </w:rPr>
        <w:t>的把握，提供增值服务的关键在于满足商家在经营过程中所涉及的支付、管理、营销、资金等一系列需求，为商家提供一揽</w:t>
      </w:r>
      <w:r>
        <w:rPr>
          <w:spacing w:val="-65"/>
        </w:rPr>
        <w:t> </w:t>
      </w:r>
      <w:r>
        <w:rPr>
          <w:spacing w:val="-65"/>
        </w:rPr>
      </w:r>
      <w:r>
        <w:rPr>
          <w:spacing w:val="-2"/>
        </w:rPr>
        <w:t>子综合服务，包括培训、宣传、维护等平台，建立一套发展客户、服务客户的流程。未来需要通过支付入口，以商户为载体</w:t>
      </w:r>
      <w:r>
        <w:rPr>
          <w:spacing w:val="-73"/>
        </w:rPr>
        <w:t> </w:t>
      </w:r>
      <w:r>
        <w:rPr>
          <w:spacing w:val="-73"/>
        </w:rPr>
      </w:r>
      <w:r>
        <w:rPr/>
        <w:t>衔接支付场景，为商户提供融合支付服务，布局更多的增值服。</w:t>
      </w:r>
    </w:p>
    <w:p>
      <w:pPr>
        <w:pStyle w:val="BodyText"/>
        <w:spacing w:line="468" w:lineRule="auto" w:before="54"/>
        <w:ind w:right="1034" w:firstLine="360"/>
        <w:jc w:val="left"/>
      </w:pPr>
      <w:r>
        <w:rPr>
          <w:spacing w:val="-2"/>
        </w:rPr>
        <w:t>市场竞争格局：公司在银行业非现金类自助服务终端的主要竞争对手是恒银金融科技有限公司、云南南天电子信息产业</w:t>
      </w:r>
      <w:r>
        <w:rPr/>
        <w:t> </w:t>
      </w:r>
      <w:r>
        <w:rPr>
          <w:spacing w:val="-4"/>
        </w:rPr>
        <w:t>股份有限公司、浪潮集团有限公司等。支付产品竞争对手包括福建联迪商用设备有限公司、百富计算机技术</w:t>
      </w:r>
      <w:r>
        <w:rPr>
          <w:rFonts w:ascii="Times New Roman" w:hAnsi="Times New Roman" w:cs="Times New Roman" w:eastAsia="Times New Roman" w:hint="default"/>
          <w:spacing w:val="-4"/>
        </w:rPr>
        <w:t>(</w:t>
      </w:r>
      <w:r>
        <w:rPr>
          <w:spacing w:val="-4"/>
        </w:rPr>
        <w:t>深圳</w:t>
      </w:r>
      <w:r>
        <w:rPr>
          <w:rFonts w:ascii="Times New Roman" w:hAnsi="Times New Roman" w:cs="Times New Roman" w:eastAsia="Times New Roman" w:hint="default"/>
          <w:spacing w:val="-4"/>
        </w:rPr>
        <w:t>)</w:t>
      </w:r>
      <w:r>
        <w:rPr>
          <w:spacing w:val="-4"/>
        </w:rPr>
        <w:t>有限公司、</w:t>
      </w:r>
      <w:r>
        <w:rPr>
          <w:spacing w:val="-69"/>
        </w:rPr>
        <w:t> </w:t>
      </w:r>
      <w:r>
        <w:rPr/>
        <w:t>深圳市新国都技术股份有限公司等。加密键盘主要竞争对手包括深圳市九思泰达技术有限公司、深圳市旭子科技有限公司、</w:t>
      </w:r>
      <w:r>
        <w:rPr>
          <w:spacing w:val="-86"/>
        </w:rPr>
        <w:t> </w:t>
      </w:r>
      <w:r>
        <w:rPr>
          <w:spacing w:val="-86"/>
        </w:rPr>
      </w:r>
      <w:r>
        <w:rPr/>
        <w:t>美国</w:t>
      </w:r>
      <w:r>
        <w:rPr>
          <w:rFonts w:ascii="Times New Roman" w:hAnsi="Times New Roman" w:cs="Times New Roman" w:eastAsia="Times New Roman" w:hint="default"/>
        </w:rPr>
        <w:t>VeriFone</w:t>
      </w:r>
      <w:r>
        <w:rPr/>
        <w:t>公司、丹麦</w:t>
      </w:r>
      <w:r>
        <w:rPr>
          <w:rFonts w:ascii="Times New Roman" w:hAnsi="Times New Roman" w:cs="Times New Roman" w:eastAsia="Times New Roman" w:hint="default"/>
        </w:rPr>
        <w:t>Cryptera</w:t>
      </w:r>
      <w:r>
        <w:rPr/>
        <w:t>公司。</w:t>
      </w:r>
    </w:p>
    <w:p>
      <w:pPr>
        <w:pStyle w:val="BodyText"/>
        <w:spacing w:line="451" w:lineRule="auto" w:before="29"/>
        <w:ind w:left="513" w:right="1143"/>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Times New Roman" w:hAnsi="Times New Roman" w:cs="Times New Roman" w:eastAsia="Times New Roman" w:hint="default"/>
          <w:b/>
          <w:bCs/>
        </w:rPr>
        <w:t>IDC</w:t>
      </w:r>
      <w:r>
        <w:rPr>
          <w:rFonts w:ascii="宋体" w:hAnsi="宋体" w:cs="宋体" w:eastAsia="宋体" w:hint="default"/>
          <w:b/>
          <w:bCs/>
        </w:rPr>
        <w:t>及云计算</w:t>
      </w:r>
      <w:r>
        <w:rPr>
          <w:rFonts w:ascii="宋体" w:hAnsi="宋体" w:cs="宋体" w:eastAsia="宋体" w:hint="default"/>
          <w:b/>
          <w:bCs/>
          <w:w w:val="99"/>
        </w:rPr>
        <w:t> </w:t>
      </w:r>
      <w:r>
        <w:rPr/>
        <w:t>科智咨询（中国</w:t>
      </w:r>
      <w:r>
        <w:rPr>
          <w:rFonts w:ascii="Times New Roman" w:hAnsi="Times New Roman" w:cs="Times New Roman" w:eastAsia="Times New Roman" w:hint="default"/>
        </w:rPr>
        <w:t>IDC</w:t>
      </w:r>
      <w:r>
        <w:rPr/>
        <w:t>圈）预测，随着</w:t>
      </w:r>
      <w:r>
        <w:rPr>
          <w:rFonts w:ascii="Times New Roman" w:hAnsi="Times New Roman" w:cs="Times New Roman" w:eastAsia="Times New Roman" w:hint="default"/>
        </w:rPr>
        <w:t>5G</w:t>
      </w:r>
      <w:r>
        <w:rPr/>
        <w:t>、物联网等终端侧对</w:t>
      </w:r>
      <w:r>
        <w:rPr>
          <w:rFonts w:ascii="Times New Roman" w:hAnsi="Times New Roman" w:cs="Times New Roman" w:eastAsia="Times New Roman" w:hint="default"/>
        </w:rPr>
        <w:t>IDC</w:t>
      </w:r>
      <w:r>
        <w:rPr/>
        <w:t>的应用场景的扩大，预计</w:t>
      </w:r>
      <w:r>
        <w:rPr>
          <w:rFonts w:ascii="Times New Roman" w:hAnsi="Times New Roman" w:cs="Times New Roman" w:eastAsia="Times New Roman" w:hint="default"/>
        </w:rPr>
        <w:t>2020</w:t>
      </w:r>
      <w:r>
        <w:rPr/>
        <w:t>年中国</w:t>
      </w:r>
      <w:r>
        <w:rPr>
          <w:rFonts w:ascii="Times New Roman" w:hAnsi="Times New Roman" w:cs="Times New Roman" w:eastAsia="Times New Roman" w:hint="default"/>
        </w:rPr>
        <w:t>IDC</w:t>
      </w:r>
      <w:r>
        <w:rPr/>
        <w:t>市场将迎来新</w:t>
      </w:r>
    </w:p>
    <w:p>
      <w:pPr>
        <w:pStyle w:val="BodyText"/>
        <w:spacing w:line="240" w:lineRule="auto" w:before="43"/>
        <w:ind w:right="1133"/>
        <w:jc w:val="left"/>
      </w:pPr>
      <w:r>
        <w:rPr/>
        <w:t>一轮大规模增长，市场规模将超过</w:t>
      </w:r>
      <w:r>
        <w:rPr>
          <w:rFonts w:ascii="Times New Roman" w:hAnsi="Times New Roman" w:cs="Times New Roman" w:eastAsia="Times New Roman" w:hint="default"/>
        </w:rPr>
        <w:t>2000</w:t>
      </w:r>
      <w:r>
        <w:rPr/>
        <w:t>亿元，</w:t>
      </w:r>
      <w:r>
        <w:rPr>
          <w:rFonts w:ascii="Times New Roman" w:hAnsi="Times New Roman" w:cs="Times New Roman" w:eastAsia="Times New Roman" w:hint="default"/>
        </w:rPr>
        <w:t>2018</w:t>
      </w:r>
      <w:r>
        <w:rPr/>
        <w:t>年至</w:t>
      </w:r>
      <w:r>
        <w:rPr>
          <w:rFonts w:ascii="Times New Roman" w:hAnsi="Times New Roman" w:cs="Times New Roman" w:eastAsia="Times New Roman" w:hint="default"/>
        </w:rPr>
        <w:t>2020</w:t>
      </w:r>
      <w:r>
        <w:rPr/>
        <w:t>年复合增长率</w:t>
      </w:r>
      <w:r>
        <w:rPr>
          <w:rFonts w:ascii="Times New Roman" w:hAnsi="Times New Roman" w:cs="Times New Roman" w:eastAsia="Times New Roman" w:hint="default"/>
        </w:rPr>
        <w:t>28.7%</w:t>
      </w:r>
      <w:r>
        <w:rPr/>
        <w:t>。工信部数据显示，</w:t>
      </w:r>
      <w:r>
        <w:rPr>
          <w:rFonts w:ascii="Times New Roman" w:hAnsi="Times New Roman" w:cs="Times New Roman" w:eastAsia="Times New Roman" w:hint="default"/>
        </w:rPr>
        <w:t>2017</w:t>
      </w:r>
      <w:r>
        <w:rPr/>
        <w:t>年我国在用</w:t>
      </w:r>
      <w:r>
        <w:rPr>
          <w:rFonts w:ascii="Times New Roman" w:hAnsi="Times New Roman" w:cs="Times New Roman" w:eastAsia="Times New Roman" w:hint="default"/>
        </w:rPr>
        <w:t>IDC</w:t>
      </w:r>
      <w:r>
        <w:rPr/>
        <w:t>机</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right="1138"/>
        <w:jc w:val="both"/>
      </w:pPr>
      <w:r>
        <w:rPr/>
        <w:t>架总体规模</w:t>
      </w:r>
      <w:r>
        <w:rPr>
          <w:rFonts w:ascii="Times New Roman" w:hAnsi="Times New Roman" w:cs="Times New Roman" w:eastAsia="Times New Roman" w:hint="default"/>
        </w:rPr>
        <w:t>166</w:t>
      </w:r>
      <w:r>
        <w:rPr/>
        <w:t>万架，数量</w:t>
      </w:r>
      <w:r>
        <w:rPr>
          <w:rFonts w:ascii="Times New Roman" w:hAnsi="Times New Roman" w:cs="Times New Roman" w:eastAsia="Times New Roman" w:hint="default"/>
        </w:rPr>
        <w:t>1844</w:t>
      </w:r>
      <w:r>
        <w:rPr/>
        <w:t>个，规划在建数据中心规模</w:t>
      </w:r>
      <w:r>
        <w:rPr>
          <w:rFonts w:ascii="Times New Roman" w:hAnsi="Times New Roman" w:cs="Times New Roman" w:eastAsia="Times New Roman" w:hint="default"/>
        </w:rPr>
        <w:t>107</w:t>
      </w:r>
      <w:r>
        <w:rPr/>
        <w:t>万架，数量</w:t>
      </w:r>
      <w:r>
        <w:rPr>
          <w:rFonts w:ascii="Times New Roman" w:hAnsi="Times New Roman" w:cs="Times New Roman" w:eastAsia="Times New Roman" w:hint="default"/>
        </w:rPr>
        <w:t>463</w:t>
      </w:r>
      <w:r>
        <w:rPr/>
        <w:t>个。</w:t>
      </w:r>
      <w:r>
        <w:rPr>
          <w:rFonts w:ascii="Times New Roman" w:hAnsi="Times New Roman" w:cs="Times New Roman" w:eastAsia="Times New Roman" w:hint="default"/>
        </w:rPr>
        <w:t>2017</w:t>
      </w:r>
      <w:r>
        <w:rPr/>
        <w:t>年中国</w:t>
      </w:r>
      <w:r>
        <w:rPr>
          <w:rFonts w:ascii="Times New Roman" w:hAnsi="Times New Roman" w:cs="Times New Roman" w:eastAsia="Times New Roman" w:hint="default"/>
        </w:rPr>
        <w:t>IDC</w:t>
      </w:r>
      <w:r>
        <w:rPr/>
        <w:t>市场总规模</w:t>
      </w:r>
      <w:r>
        <w:rPr>
          <w:rFonts w:ascii="Times New Roman" w:hAnsi="Times New Roman" w:cs="Times New Roman" w:eastAsia="Times New Roman" w:hint="default"/>
        </w:rPr>
        <w:t>650.4</w:t>
      </w:r>
      <w:r>
        <w:rPr/>
        <w:t>亿元，近 五年复合增长率为</w:t>
      </w:r>
      <w:r>
        <w:rPr>
          <w:rFonts w:ascii="Times New Roman" w:hAnsi="Times New Roman" w:cs="Times New Roman" w:eastAsia="Times New Roman" w:hint="default"/>
        </w:rPr>
        <w:t>32%</w:t>
      </w:r>
      <w:r>
        <w:rPr/>
        <w:t>，持续保持快速增长势头。随着国家</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计划的逐步推进和</w:t>
      </w:r>
      <w:r>
        <w:rPr>
          <w:rFonts w:ascii="Times New Roman" w:hAnsi="Times New Roman" w:cs="Times New Roman" w:eastAsia="Times New Roman" w:hint="default"/>
        </w:rPr>
        <w:t>5G</w:t>
      </w:r>
      <w:r>
        <w:rPr/>
        <w:t>商用的落地，国内</w:t>
      </w:r>
      <w:r>
        <w:rPr>
          <w:rFonts w:ascii="Times New Roman" w:hAnsi="Times New Roman" w:cs="Times New Roman" w:eastAsia="Times New Roman" w:hint="default"/>
        </w:rPr>
        <w:t>IDC</w:t>
      </w:r>
      <w:r>
        <w:rPr/>
        <w:t>市场有望 继续保持</w:t>
      </w:r>
      <w:r>
        <w:rPr>
          <w:rFonts w:ascii="Times New Roman" w:hAnsi="Times New Roman" w:cs="Times New Roman" w:eastAsia="Times New Roman" w:hint="default"/>
        </w:rPr>
        <w:t>30%</w:t>
      </w:r>
      <w:r>
        <w:rPr/>
        <w:t>以上增速增长。</w:t>
      </w:r>
    </w:p>
    <w:p>
      <w:pPr>
        <w:pStyle w:val="BodyText"/>
        <w:spacing w:line="463" w:lineRule="auto" w:before="43"/>
        <w:ind w:right="1129" w:firstLine="360"/>
        <w:jc w:val="both"/>
      </w:pPr>
      <w:r>
        <w:rPr>
          <w:spacing w:val="-2"/>
        </w:rPr>
        <w:t>云计算（特别是边缘计算领域）、大数据、人工智能、等新兴产业的兴起和蓬勃发展对数据处理的速度和计算量提出了</w:t>
      </w:r>
      <w:r>
        <w:rPr/>
        <w:t> </w:t>
      </w:r>
      <w:r>
        <w:rPr>
          <w:spacing w:val="-2"/>
        </w:rPr>
        <w:t>新的要求，为数据中心产业带来新的机遇，带来数据中心的新一波建设热潮，意味着数据中心市场未来广阔的市场增量。根</w:t>
      </w:r>
      <w:r>
        <w:rPr>
          <w:spacing w:val="-64"/>
        </w:rPr>
        <w:t> </w:t>
      </w:r>
      <w:r>
        <w:rPr>
          <w:spacing w:val="-64"/>
        </w:rPr>
      </w:r>
      <w:r>
        <w:rPr/>
        <w:t>据工信部《大数据产业发展规划（</w:t>
      </w:r>
      <w:r>
        <w:rPr>
          <w:rFonts w:ascii="Times New Roman" w:hAnsi="Times New Roman" w:cs="Times New Roman" w:eastAsia="Times New Roman" w:hint="default"/>
        </w:rPr>
        <w:t>2016-2020</w:t>
      </w:r>
      <w:r>
        <w:rPr/>
        <w:t>年）》通过定量和定性相结合的方式提出的</w:t>
      </w:r>
      <w:r>
        <w:rPr>
          <w:rFonts w:ascii="Times New Roman" w:hAnsi="Times New Roman" w:cs="Times New Roman" w:eastAsia="Times New Roman" w:hint="default"/>
        </w:rPr>
        <w:t>2020</w:t>
      </w:r>
      <w:r>
        <w:rPr/>
        <w:t>年大数据产业发展目标。目标 到</w:t>
      </w:r>
      <w:r>
        <w:rPr>
          <w:rFonts w:ascii="Times New Roman" w:hAnsi="Times New Roman" w:cs="Times New Roman" w:eastAsia="Times New Roman" w:hint="default"/>
        </w:rPr>
        <w:t>2020</w:t>
      </w:r>
      <w:r>
        <w:rPr/>
        <w:t>年，技术先进、应用繁荣、保障有力的大数据产业体系基本形成，大数据相关产品和服务业务收入突破</w:t>
      </w:r>
      <w:r>
        <w:rPr>
          <w:rFonts w:ascii="Times New Roman" w:hAnsi="Times New Roman" w:cs="Times New Roman" w:eastAsia="Times New Roman" w:hint="default"/>
        </w:rPr>
        <w:t>1</w:t>
      </w:r>
      <w:r>
        <w:rPr/>
        <w:t>万亿元，年 </w:t>
      </w:r>
      <w:r>
        <w:rPr>
          <w:spacing w:val="-1"/>
        </w:rPr>
        <w:t>均复合增长率保持</w:t>
      </w:r>
      <w:r>
        <w:rPr>
          <w:rFonts w:ascii="Times New Roman" w:hAnsi="Times New Roman" w:cs="Times New Roman" w:eastAsia="Times New Roman" w:hint="default"/>
          <w:spacing w:val="-1"/>
        </w:rPr>
        <w:t>30%</w:t>
      </w:r>
      <w:r>
        <w:rPr>
          <w:spacing w:val="-1"/>
        </w:rPr>
        <w:t>左右。在此基础之上，明确了</w:t>
      </w:r>
      <w:r>
        <w:rPr>
          <w:rFonts w:ascii="Times New Roman" w:hAnsi="Times New Roman" w:cs="Times New Roman" w:eastAsia="Times New Roman" w:hint="default"/>
          <w:spacing w:val="-1"/>
        </w:rPr>
        <w:t>2020</w:t>
      </w:r>
      <w:r>
        <w:rPr>
          <w:spacing w:val="-1"/>
        </w:rPr>
        <w:t>年的细化发展目标，即技术产品先进可控、应用能力显著增强、生</w:t>
      </w:r>
      <w:r>
        <w:rPr>
          <w:spacing w:val="-88"/>
        </w:rPr>
        <w:t> </w:t>
      </w:r>
      <w:r>
        <w:rPr>
          <w:spacing w:val="-88"/>
        </w:rPr>
      </w:r>
      <w:r>
        <w:rPr>
          <w:spacing w:val="-2"/>
        </w:rPr>
        <w:t>态体系繁荣发展、支撑能力不断增强、数据安全保障有力。作为大数据产业的基础设施，数据中心的市场需求和未来发展得</w:t>
      </w:r>
      <w:r>
        <w:rPr>
          <w:spacing w:val="-64"/>
        </w:rPr>
        <w:t> </w:t>
      </w:r>
      <w:r>
        <w:rPr>
          <w:spacing w:val="-64"/>
        </w:rPr>
      </w:r>
      <w:r>
        <w:rPr/>
        <w:t>到政策支持与保障。</w:t>
      </w:r>
    </w:p>
    <w:p>
      <w:pPr>
        <w:pStyle w:val="BodyText"/>
        <w:spacing w:line="451" w:lineRule="auto" w:before="65"/>
        <w:ind w:right="1130" w:firstLine="360"/>
        <w:jc w:val="both"/>
      </w:pPr>
      <w:r>
        <w:rPr/>
        <w:t>根据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日工信部印发《云计算发展三年行动计划</w:t>
      </w:r>
      <w:r>
        <w:rPr>
          <w:rFonts w:ascii="Times New Roman" w:hAnsi="Times New Roman" w:cs="Times New Roman" w:eastAsia="Times New Roman" w:hint="default"/>
        </w:rPr>
        <w:t>(2017-2019</w:t>
      </w:r>
      <w:r>
        <w:rPr/>
        <w:t>年</w:t>
      </w:r>
      <w:r>
        <w:rPr>
          <w:rFonts w:ascii="Times New Roman" w:hAnsi="Times New Roman" w:cs="Times New Roman" w:eastAsia="Times New Roman" w:hint="default"/>
        </w:rPr>
        <w:t>)</w:t>
      </w:r>
      <w:r>
        <w:rPr/>
        <w:t>》提出明确的发展目标：</w:t>
      </w:r>
      <w:r>
        <w:rPr>
          <w:rFonts w:ascii="Times New Roman" w:hAnsi="Times New Roman" w:cs="Times New Roman" w:eastAsia="Times New Roman" w:hint="default"/>
        </w:rPr>
        <w:t>2019</w:t>
      </w:r>
      <w:r>
        <w:rPr/>
        <w:t>年云计算产业规 </w:t>
      </w:r>
      <w:r>
        <w:rPr>
          <w:spacing w:val="-5"/>
        </w:rPr>
        <w:t>模达到</w:t>
      </w:r>
      <w:r>
        <w:rPr>
          <w:rFonts w:ascii="Times New Roman" w:hAnsi="Times New Roman" w:cs="Times New Roman" w:eastAsia="Times New Roman" w:hint="default"/>
          <w:spacing w:val="-5"/>
        </w:rPr>
        <w:t>4300</w:t>
      </w:r>
      <w:r>
        <w:rPr>
          <w:spacing w:val="-5"/>
        </w:rPr>
        <w:t>亿元，突破一批核心关键技术，云计算服务能力达到国际先进水平，对新一代信息产业发展的带动效应显著增强。</w:t>
      </w:r>
      <w:r>
        <w:rPr>
          <w:spacing w:val="-68"/>
        </w:rPr>
        <w:t> </w:t>
      </w:r>
      <w:r>
        <w:rPr>
          <w:spacing w:val="-68"/>
        </w:rPr>
      </w:r>
      <w:r>
        <w:rPr>
          <w:spacing w:val="-2"/>
        </w:rPr>
        <w:t>考虑到</w:t>
      </w:r>
      <w:r>
        <w:rPr>
          <w:rFonts w:ascii="Times New Roman" w:hAnsi="Times New Roman" w:cs="Times New Roman" w:eastAsia="Times New Roman" w:hint="default"/>
          <w:spacing w:val="-2"/>
        </w:rPr>
        <w:t>2015</w:t>
      </w:r>
      <w:r>
        <w:rPr>
          <w:spacing w:val="-2"/>
        </w:rPr>
        <w:t>年我国云计算产业规模约</w:t>
      </w:r>
      <w:r>
        <w:rPr>
          <w:rFonts w:ascii="Times New Roman" w:hAnsi="Times New Roman" w:cs="Times New Roman" w:eastAsia="Times New Roman" w:hint="default"/>
          <w:spacing w:val="-2"/>
        </w:rPr>
        <w:t>1500</w:t>
      </w:r>
      <w:r>
        <w:rPr>
          <w:spacing w:val="-2"/>
        </w:rPr>
        <w:t>亿元，那么按照工信部规划，预计该产业</w:t>
      </w:r>
      <w:r>
        <w:rPr>
          <w:rFonts w:ascii="Times New Roman" w:hAnsi="Times New Roman" w:cs="Times New Roman" w:eastAsia="Times New Roman" w:hint="default"/>
          <w:spacing w:val="-2"/>
        </w:rPr>
        <w:t>2015-2019</w:t>
      </w:r>
      <w:r>
        <w:rPr>
          <w:spacing w:val="-2"/>
        </w:rPr>
        <w:t>年</w:t>
      </w:r>
      <w:r>
        <w:rPr>
          <w:rFonts w:ascii="Times New Roman" w:hAnsi="Times New Roman" w:cs="Times New Roman" w:eastAsia="Times New Roman" w:hint="default"/>
          <w:spacing w:val="-2"/>
        </w:rPr>
        <w:t>CAGR</w:t>
      </w:r>
      <w:r>
        <w:rPr>
          <w:spacing w:val="-2"/>
        </w:rPr>
        <w:t>将超过</w:t>
      </w:r>
      <w:r>
        <w:rPr>
          <w:rFonts w:ascii="Times New Roman" w:hAnsi="Times New Roman" w:cs="Times New Roman" w:eastAsia="Times New Roman" w:hint="default"/>
          <w:spacing w:val="-2"/>
        </w:rPr>
        <w:t>30%</w:t>
      </w:r>
      <w:r>
        <w:rPr>
          <w:spacing w:val="-2"/>
        </w:rPr>
        <w:t>。中国信通</w:t>
      </w:r>
      <w:r>
        <w:rPr>
          <w:spacing w:val="-41"/>
        </w:rPr>
        <w:t> </w:t>
      </w:r>
      <w:r>
        <w:rPr>
          <w:spacing w:val="-41"/>
        </w:rPr>
      </w:r>
      <w:r>
        <w:rPr>
          <w:spacing w:val="-1"/>
        </w:rPr>
        <w:t>院调查数据显示，</w:t>
      </w:r>
      <w:r>
        <w:rPr>
          <w:rFonts w:ascii="Times New Roman" w:hAnsi="Times New Roman" w:cs="Times New Roman" w:eastAsia="Times New Roman" w:hint="default"/>
          <w:spacing w:val="-1"/>
        </w:rPr>
        <w:t>2017</w:t>
      </w:r>
      <w:r>
        <w:rPr>
          <w:spacing w:val="-1"/>
        </w:rPr>
        <w:t>年我国云计算整体市场规模达</w:t>
      </w:r>
      <w:r>
        <w:rPr>
          <w:rFonts w:ascii="Times New Roman" w:hAnsi="Times New Roman" w:cs="Times New Roman" w:eastAsia="Times New Roman" w:hint="default"/>
          <w:spacing w:val="-1"/>
        </w:rPr>
        <w:t>691.6</w:t>
      </w:r>
      <w:r>
        <w:rPr>
          <w:spacing w:val="-1"/>
        </w:rPr>
        <w:t>亿元，增速</w:t>
      </w:r>
      <w:r>
        <w:rPr>
          <w:rFonts w:ascii="Times New Roman" w:hAnsi="Times New Roman" w:cs="Times New Roman" w:eastAsia="Times New Roman" w:hint="default"/>
          <w:spacing w:val="-1"/>
        </w:rPr>
        <w:t>34.32%</w:t>
      </w:r>
      <w:r>
        <w:rPr>
          <w:spacing w:val="-1"/>
        </w:rPr>
        <w:t>。其中，公有云市场规模达到</w:t>
      </w:r>
      <w:r>
        <w:rPr>
          <w:rFonts w:ascii="Times New Roman" w:hAnsi="Times New Roman" w:cs="Times New Roman" w:eastAsia="Times New Roman" w:hint="default"/>
          <w:spacing w:val="-1"/>
        </w:rPr>
        <w:t>264.8</w:t>
      </w:r>
      <w:r>
        <w:rPr>
          <w:spacing w:val="-1"/>
        </w:rPr>
        <w:t>亿元，相比</w:t>
      </w:r>
      <w:r>
        <w:rPr>
          <w:spacing w:val="-44"/>
        </w:rPr>
        <w:t> </w:t>
      </w:r>
      <w:r>
        <w:rPr>
          <w:spacing w:val="-44"/>
        </w:rPr>
      </w:r>
      <w:r>
        <w:rPr>
          <w:rFonts w:ascii="Times New Roman" w:hAnsi="Times New Roman" w:cs="Times New Roman" w:eastAsia="Times New Roman" w:hint="default"/>
        </w:rPr>
        <w:t>2016</w:t>
      </w:r>
      <w:r>
        <w:rPr/>
        <w:t>年增长</w:t>
      </w:r>
      <w:r>
        <w:rPr>
          <w:rFonts w:ascii="Times New Roman" w:hAnsi="Times New Roman" w:cs="Times New Roman" w:eastAsia="Times New Roman" w:hint="default"/>
        </w:rPr>
        <w:t>55.7%</w:t>
      </w:r>
      <w:r>
        <w:rPr/>
        <w:t>，预计</w:t>
      </w:r>
      <w:r>
        <w:rPr>
          <w:rFonts w:ascii="Times New Roman" w:hAnsi="Times New Roman" w:cs="Times New Roman" w:eastAsia="Times New Roman" w:hint="default"/>
        </w:rPr>
        <w:t>2018-2021</w:t>
      </w:r>
      <w:r>
        <w:rPr/>
        <w:t>年仍将保持快速增长态势，到</w:t>
      </w:r>
      <w:r>
        <w:rPr>
          <w:rFonts w:ascii="Times New Roman" w:hAnsi="Times New Roman" w:cs="Times New Roman" w:eastAsia="Times New Roman" w:hint="default"/>
        </w:rPr>
        <w:t>2021</w:t>
      </w:r>
      <w:r>
        <w:rPr/>
        <w:t>年市场规模将达到</w:t>
      </w:r>
      <w:r>
        <w:rPr>
          <w:rFonts w:ascii="Times New Roman" w:hAnsi="Times New Roman" w:cs="Times New Roman" w:eastAsia="Times New Roman" w:hint="default"/>
        </w:rPr>
        <w:t>902.6</w:t>
      </w:r>
      <w:r>
        <w:rPr/>
        <w:t>亿元；私有云市场规模达</w:t>
      </w:r>
      <w:r>
        <w:rPr>
          <w:rFonts w:ascii="Times New Roman" w:hAnsi="Times New Roman" w:cs="Times New Roman" w:eastAsia="Times New Roman" w:hint="default"/>
        </w:rPr>
        <w:t>426.8 </w:t>
      </w:r>
      <w:r>
        <w:rPr/>
        <w:t>亿元，较</w:t>
      </w:r>
      <w:r>
        <w:rPr>
          <w:rFonts w:ascii="Times New Roman" w:hAnsi="Times New Roman" w:cs="Times New Roman" w:eastAsia="Times New Roman" w:hint="default"/>
        </w:rPr>
        <w:t>2016</w:t>
      </w:r>
      <w:r>
        <w:rPr/>
        <w:t>年增长</w:t>
      </w:r>
      <w:r>
        <w:rPr>
          <w:rFonts w:ascii="Times New Roman" w:hAnsi="Times New Roman" w:cs="Times New Roman" w:eastAsia="Times New Roman" w:hint="default"/>
        </w:rPr>
        <w:t>23.8%</w:t>
      </w:r>
      <w:r>
        <w:rPr/>
        <w:t>，预计未来几年将保持稳定增长，到</w:t>
      </w:r>
      <w:r>
        <w:rPr>
          <w:rFonts w:ascii="Times New Roman" w:hAnsi="Times New Roman" w:cs="Times New Roman" w:eastAsia="Times New Roman" w:hint="default"/>
        </w:rPr>
        <w:t>2021</w:t>
      </w:r>
      <w:r>
        <w:rPr/>
        <w:t>年市场规模将达到</w:t>
      </w:r>
      <w:r>
        <w:rPr>
          <w:rFonts w:ascii="Times New Roman" w:hAnsi="Times New Roman" w:cs="Times New Roman" w:eastAsia="Times New Roman" w:hint="default"/>
        </w:rPr>
        <w:t>955.7</w:t>
      </w:r>
      <w:r>
        <w:rPr/>
        <w:t>亿元。</w:t>
      </w:r>
    </w:p>
    <w:p>
      <w:pPr>
        <w:pStyle w:val="BodyText"/>
        <w:spacing w:line="460" w:lineRule="auto" w:before="43"/>
        <w:ind w:right="1044" w:firstLine="360"/>
        <w:jc w:val="left"/>
      </w:pPr>
      <w:r>
        <w:rPr>
          <w:spacing w:val="-2"/>
        </w:rPr>
        <w:t>近年来，在新型城镇化和信息化的力量推动下，一系列支持智慧城市发展的国家、地方政策陆续出台，全国多个城市将</w:t>
      </w:r>
      <w:r>
        <w:rPr/>
        <w:t> </w:t>
      </w:r>
      <w:r>
        <w:rPr>
          <w:spacing w:val="-4"/>
        </w:rPr>
        <w:t>智慧城市建设纳入发展规划，相关政策的出台与落地为城市的智慧化发展带来契机。智慧城市是城市信息化发展的高级阶段，</w:t>
      </w:r>
      <w:r>
        <w:rPr>
          <w:spacing w:val="-44"/>
        </w:rPr>
        <w:t> </w:t>
      </w:r>
      <w:r>
        <w:rPr>
          <w:spacing w:val="-44"/>
        </w:rPr>
      </w:r>
      <w:r>
        <w:rPr>
          <w:spacing w:val="-2"/>
        </w:rPr>
        <w:t>更是工业化、城市化、信息化深度融合，国务院提出智慧城市建设目标：到</w:t>
      </w:r>
      <w:r>
        <w:rPr>
          <w:rFonts w:ascii="Times New Roman" w:hAnsi="Times New Roman" w:cs="Times New Roman" w:eastAsia="Times New Roman" w:hint="default"/>
          <w:spacing w:val="-2"/>
        </w:rPr>
        <w:t>2020</w:t>
      </w:r>
      <w:r>
        <w:rPr>
          <w:spacing w:val="-2"/>
        </w:rPr>
        <w:t>年，中国建成一批特色鲜明的智慧城市，智</w:t>
      </w:r>
      <w:r>
        <w:rPr>
          <w:spacing w:val="-64"/>
        </w:rPr>
        <w:t> </w:t>
      </w:r>
      <w:r>
        <w:rPr>
          <w:spacing w:val="-64"/>
        </w:rPr>
      </w:r>
      <w:r>
        <w:rPr>
          <w:spacing w:val="-2"/>
        </w:rPr>
        <w:t>慧城市上升为国家战略，随着政策红利的进一步释放，智慧城市产业规模将会迎来快速增长。德勤《超级智慧城市报告》显</w:t>
      </w:r>
      <w:r>
        <w:rPr>
          <w:spacing w:val="-67"/>
        </w:rPr>
        <w:t> </w:t>
      </w:r>
      <w:r>
        <w:rPr>
          <w:spacing w:val="-67"/>
        </w:rPr>
      </w:r>
      <w:r>
        <w:rPr/>
        <w:t>示，目前全球已启动或在建的智慧城市有</w:t>
      </w:r>
      <w:r>
        <w:rPr>
          <w:rFonts w:ascii="Times New Roman" w:hAnsi="Times New Roman" w:cs="Times New Roman" w:eastAsia="Times New Roman" w:hint="default"/>
        </w:rPr>
        <w:t>1000</w:t>
      </w:r>
      <w:r>
        <w:rPr/>
        <w:t>多个，中国在建</w:t>
      </w:r>
      <w:r>
        <w:rPr>
          <w:rFonts w:ascii="Times New Roman" w:hAnsi="Times New Roman" w:cs="Times New Roman" w:eastAsia="Times New Roman" w:hint="default"/>
        </w:rPr>
        <w:t>500</w:t>
      </w:r>
      <w:r>
        <w:rPr/>
        <w:t>个，预计总投资规模将达到万亿元级别。</w:t>
      </w:r>
      <w:r>
        <w:rPr>
          <w:rFonts w:ascii="Times New Roman" w:hAnsi="Times New Roman" w:cs="Times New Roman" w:eastAsia="Times New Roman" w:hint="default"/>
        </w:rPr>
        <w:t>2017</w:t>
      </w:r>
      <w:r>
        <w:rPr/>
        <w:t>年我国智慧 </w:t>
      </w:r>
      <w:r>
        <w:rPr>
          <w:spacing w:val="-2"/>
        </w:rPr>
        <w:t>城市</w:t>
      </w:r>
      <w:r>
        <w:rPr>
          <w:rFonts w:ascii="Times New Roman" w:hAnsi="Times New Roman" w:cs="Times New Roman" w:eastAsia="Times New Roman" w:hint="default"/>
          <w:spacing w:val="-2"/>
        </w:rPr>
        <w:t>IT</w:t>
      </w:r>
      <w:r>
        <w:rPr>
          <w:spacing w:val="-2"/>
        </w:rPr>
        <w:t>投资规模</w:t>
      </w:r>
      <w:r>
        <w:rPr>
          <w:rFonts w:ascii="Times New Roman" w:hAnsi="Times New Roman" w:cs="Times New Roman" w:eastAsia="Times New Roman" w:hint="default"/>
          <w:spacing w:val="-2"/>
        </w:rPr>
        <w:t>3752</w:t>
      </w:r>
      <w:r>
        <w:rPr>
          <w:spacing w:val="-2"/>
        </w:rPr>
        <w:t>亿元，德勤预计</w:t>
      </w:r>
      <w:r>
        <w:rPr>
          <w:rFonts w:ascii="Times New Roman" w:hAnsi="Times New Roman" w:cs="Times New Roman" w:eastAsia="Times New Roman" w:hint="default"/>
          <w:spacing w:val="-2"/>
        </w:rPr>
        <w:t>2021</w:t>
      </w:r>
      <w:r>
        <w:rPr>
          <w:spacing w:val="-2"/>
        </w:rPr>
        <w:t>年将达到</w:t>
      </w:r>
      <w:r>
        <w:rPr>
          <w:rFonts w:ascii="Times New Roman" w:hAnsi="Times New Roman" w:cs="Times New Roman" w:eastAsia="Times New Roman" w:hint="default"/>
          <w:spacing w:val="-2"/>
        </w:rPr>
        <w:t>12341</w:t>
      </w:r>
      <w:r>
        <w:rPr>
          <w:spacing w:val="-2"/>
        </w:rPr>
        <w:t>亿元。</w:t>
      </w:r>
      <w:r>
        <w:rPr>
          <w:rFonts w:ascii="Times New Roman" w:hAnsi="Times New Roman" w:cs="Times New Roman" w:eastAsia="Times New Roman" w:hint="default"/>
          <w:spacing w:val="-2"/>
        </w:rPr>
        <w:t>2018</w:t>
      </w:r>
      <w:r>
        <w:rPr>
          <w:spacing w:val="-2"/>
        </w:rPr>
        <w:t>年我国智慧城市市场规模近</w:t>
      </w:r>
      <w:r>
        <w:rPr>
          <w:rFonts w:ascii="Times New Roman" w:hAnsi="Times New Roman" w:cs="Times New Roman" w:eastAsia="Times New Roman" w:hint="default"/>
          <w:spacing w:val="-2"/>
        </w:rPr>
        <w:t>8</w:t>
      </w:r>
      <w:r>
        <w:rPr>
          <w:spacing w:val="-2"/>
        </w:rPr>
        <w:t>万亿元，德勤预计</w:t>
      </w:r>
      <w:r>
        <w:rPr>
          <w:rFonts w:ascii="Times New Roman" w:hAnsi="Times New Roman" w:cs="Times New Roman" w:eastAsia="Times New Roman" w:hint="default"/>
          <w:spacing w:val="-2"/>
        </w:rPr>
        <w:t>2021</w:t>
      </w:r>
      <w:r>
        <w:rPr>
          <w:spacing w:val="-2"/>
        </w:rPr>
        <w:t>年将</w:t>
      </w:r>
      <w:r>
        <w:rPr>
          <w:spacing w:val="-43"/>
        </w:rPr>
        <w:t> </w:t>
      </w:r>
      <w:r>
        <w:rPr/>
        <w:t>超过</w:t>
      </w:r>
      <w:r>
        <w:rPr>
          <w:rFonts w:ascii="Times New Roman" w:hAnsi="Times New Roman" w:cs="Times New Roman" w:eastAsia="Times New Roman" w:hint="default"/>
        </w:rPr>
        <w:t>18</w:t>
      </w:r>
      <w:r>
        <w:rPr/>
        <w:t>万亿元，</w:t>
      </w:r>
      <w:r>
        <w:rPr>
          <w:rFonts w:ascii="Times New Roman" w:hAnsi="Times New Roman" w:cs="Times New Roman" w:eastAsia="Times New Roman" w:hint="default"/>
        </w:rPr>
        <w:t>2018-2021</w:t>
      </w:r>
      <w:r>
        <w:rPr/>
        <w:t>五年</w:t>
      </w:r>
      <w:r>
        <w:rPr>
          <w:rFonts w:ascii="Times New Roman" w:hAnsi="Times New Roman" w:cs="Times New Roman" w:eastAsia="Times New Roman" w:hint="default"/>
        </w:rPr>
        <w:t>CAGR</w:t>
      </w:r>
      <w:r>
        <w:rPr/>
        <w:t>约为</w:t>
      </w:r>
      <w:r>
        <w:rPr>
          <w:rFonts w:ascii="Times New Roman" w:hAnsi="Times New Roman" w:cs="Times New Roman" w:eastAsia="Times New Roman" w:hint="default"/>
        </w:rPr>
        <w:t>33.3%</w:t>
      </w:r>
      <w:r>
        <w:rPr/>
        <w:t>。智慧园区作为智慧城市的重要表现形态和核心组成部分，</w:t>
      </w:r>
      <w:r>
        <w:rPr>
          <w:rFonts w:ascii="Times New Roman" w:hAnsi="Times New Roman" w:cs="Times New Roman" w:eastAsia="Times New Roman" w:hint="default"/>
        </w:rPr>
        <w:t>2017</w:t>
      </w:r>
      <w:r>
        <w:rPr/>
        <w:t>年我国国家 </w:t>
      </w:r>
      <w:r>
        <w:rPr>
          <w:spacing w:val="-3"/>
        </w:rPr>
        <w:t>级产业园区共</w:t>
      </w:r>
      <w:r>
        <w:rPr>
          <w:rFonts w:ascii="Times New Roman" w:hAnsi="Times New Roman" w:cs="Times New Roman" w:eastAsia="Times New Roman" w:hint="default"/>
          <w:spacing w:val="-3"/>
        </w:rPr>
        <w:t>626</w:t>
      </w:r>
      <w:r>
        <w:rPr>
          <w:spacing w:val="-3"/>
        </w:rPr>
        <w:t>家，省级产业园区共</w:t>
      </w:r>
      <w:r>
        <w:rPr>
          <w:rFonts w:ascii="Times New Roman" w:hAnsi="Times New Roman" w:cs="Times New Roman" w:eastAsia="Times New Roman" w:hint="default"/>
          <w:spacing w:val="-3"/>
        </w:rPr>
        <w:t>1166</w:t>
      </w:r>
      <w:r>
        <w:rPr>
          <w:spacing w:val="-3"/>
        </w:rPr>
        <w:t>家，其中智慧园区仅</w:t>
      </w:r>
      <w:r>
        <w:rPr>
          <w:rFonts w:ascii="Times New Roman" w:hAnsi="Times New Roman" w:cs="Times New Roman" w:eastAsia="Times New Roman" w:hint="default"/>
          <w:spacing w:val="-3"/>
        </w:rPr>
        <w:t>375</w:t>
      </w:r>
      <w:r>
        <w:rPr>
          <w:spacing w:val="-3"/>
        </w:rPr>
        <w:t>家，但其资产总额已达</w:t>
      </w:r>
      <w:r>
        <w:rPr>
          <w:rFonts w:ascii="Times New Roman" w:hAnsi="Times New Roman" w:cs="Times New Roman" w:eastAsia="Times New Roman" w:hint="default"/>
          <w:spacing w:val="-3"/>
        </w:rPr>
        <w:t>17.76</w:t>
      </w:r>
      <w:r>
        <w:rPr>
          <w:spacing w:val="-3"/>
        </w:rPr>
        <w:t>万亿元，销售收</w:t>
      </w:r>
      <w:r>
        <w:rPr>
          <w:rFonts w:ascii="Times New Roman" w:hAnsi="Times New Roman" w:cs="Times New Roman" w:eastAsia="Times New Roman" w:hint="default"/>
          <w:spacing w:val="-3"/>
        </w:rPr>
        <w:t>13.76</w:t>
      </w:r>
      <w:r>
        <w:rPr>
          <w:spacing w:val="-3"/>
        </w:rPr>
        <w:t>万亿元，</w:t>
      </w:r>
      <w:r>
        <w:rPr>
          <w:spacing w:val="-78"/>
        </w:rPr>
        <w:t> </w:t>
      </w:r>
      <w:r>
        <w:rPr>
          <w:spacing w:val="-78"/>
        </w:rPr>
      </w:r>
      <w:r>
        <w:rPr/>
        <w:t>利润总额</w:t>
      </w:r>
      <w:r>
        <w:rPr>
          <w:rFonts w:ascii="Times New Roman" w:hAnsi="Times New Roman" w:cs="Times New Roman" w:eastAsia="Times New Roman" w:hint="default"/>
        </w:rPr>
        <w:t>4.92</w:t>
      </w:r>
      <w:r>
        <w:rPr/>
        <w:t>万亿元。</w:t>
      </w:r>
    </w:p>
    <w:p>
      <w:pPr>
        <w:pStyle w:val="BodyText"/>
        <w:spacing w:line="463" w:lineRule="auto" w:before="35"/>
        <w:ind w:right="1034" w:firstLine="360"/>
        <w:jc w:val="left"/>
      </w:pPr>
      <w:r>
        <w:rPr/>
        <w:t>北京、上海、深圳、广州等一线城市的政府管理部门对数据中心单位产值能耗和排放水平要求越来越严格。全国层面，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月，工信部等三部委发布《三部门关于加强绿色数据中心建设的指导意见》，目标到</w:t>
      </w:r>
      <w:r>
        <w:rPr>
          <w:rFonts w:ascii="Times New Roman" w:hAnsi="Times New Roman" w:cs="Times New Roman" w:eastAsia="Times New Roman" w:hint="default"/>
        </w:rPr>
        <w:t>2022</w:t>
      </w:r>
      <w:r>
        <w:rPr/>
        <w:t>年，新建大型、超大型数 据中心的电能使用效率值达到</w:t>
      </w:r>
      <w:r>
        <w:rPr>
          <w:rFonts w:ascii="Times New Roman" w:hAnsi="Times New Roman" w:cs="Times New Roman" w:eastAsia="Times New Roman" w:hint="default"/>
        </w:rPr>
        <w:t>1.4</w:t>
      </w:r>
      <w:r>
        <w:rPr/>
        <w:t>以下，数据中心平均能耗基本达到国际先进水平。可以看到，各级政府政策均引导数据中 </w:t>
      </w:r>
      <w:r>
        <w:rPr>
          <w:spacing w:val="-2"/>
        </w:rPr>
        <w:t>心向绿色集约化发展，引导企业运用新技术、新架构降低能源消耗，实现数据中心的绿色发展。另一方面，由于地区承载能</w:t>
      </w:r>
      <w:r>
        <w:rPr>
          <w:spacing w:val="-67"/>
        </w:rPr>
        <w:t> </w:t>
      </w:r>
      <w:r>
        <w:rPr>
          <w:spacing w:val="-67"/>
        </w:rPr>
      </w:r>
      <w:r>
        <w:rPr>
          <w:spacing w:val="-2"/>
        </w:rPr>
        <w:t>力有限，新建增速也在放缓，可用资源有限，供不应求的局面预计也将持续。因此，现阶段数据中心的行业壁垒需要重新定</w:t>
      </w:r>
    </w:p>
    <w:p>
      <w:pPr>
        <w:spacing w:after="0" w:line="463"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68" w:lineRule="auto"/>
        <w:ind w:right="1131"/>
        <w:jc w:val="both"/>
      </w:pPr>
      <w:r>
        <w:rPr>
          <w:spacing w:val="-1"/>
        </w:rPr>
        <w:t>义，</w:t>
      </w:r>
      <w:r>
        <w:rPr>
          <w:rFonts w:ascii="Times New Roman" w:hAnsi="Times New Roman" w:cs="Times New Roman" w:eastAsia="Times New Roman" w:hint="default"/>
          <w:spacing w:val="-1"/>
        </w:rPr>
        <w:t>IDC</w:t>
      </w:r>
      <w:r>
        <w:rPr>
          <w:spacing w:val="-1"/>
        </w:rPr>
        <w:t>企业不能简单仅依靠资源及先发优势获取市场的核心地位，而需要全方位提高自身设计、研发、建设、运维、管理</w:t>
      </w:r>
      <w:r>
        <w:rPr>
          <w:spacing w:val="-70"/>
        </w:rPr>
        <w:t> </w:t>
      </w:r>
      <w:r>
        <w:rPr>
          <w:spacing w:val="-70"/>
        </w:rPr>
      </w:r>
      <w:r>
        <w:rPr>
          <w:spacing w:val="-2"/>
        </w:rPr>
        <w:t>等综合能力，逐步转变原来以资源模式为核心的业务，开始向高端增值服务商转移，为客户提供业务上云、技术咨询以及混</w:t>
      </w:r>
      <w:r>
        <w:rPr>
          <w:spacing w:val="-65"/>
        </w:rPr>
        <w:t> </w:t>
      </w:r>
      <w:r>
        <w:rPr>
          <w:spacing w:val="-65"/>
        </w:rPr>
      </w:r>
      <w:r>
        <w:rPr>
          <w:spacing w:val="-2"/>
        </w:rPr>
        <w:t>合云、互联交换、云交换等一系列增值服务，以改善当前因产品单一而导致的竞争同质化问题，才能创造低成本高增长的规</w:t>
      </w:r>
      <w:r>
        <w:rPr>
          <w:spacing w:val="-64"/>
        </w:rPr>
        <w:t> </w:t>
      </w:r>
      <w:r>
        <w:rPr>
          <w:spacing w:val="-64"/>
        </w:rPr>
      </w:r>
      <w:r>
        <w:rPr/>
        <w:t>模效应，创造可持续的良性发展。</w:t>
      </w:r>
    </w:p>
    <w:p>
      <w:pPr>
        <w:pStyle w:val="BodyText"/>
        <w:spacing w:line="451" w:lineRule="auto" w:before="61"/>
        <w:ind w:right="1034" w:firstLine="360"/>
        <w:jc w:val="left"/>
      </w:pPr>
      <w:r>
        <w:rPr>
          <w:rFonts w:ascii="Times New Roman" w:hAnsi="Times New Roman" w:cs="Times New Roman" w:eastAsia="Times New Roman" w:hint="default"/>
        </w:rPr>
        <w:t>5G</w:t>
      </w:r>
      <w:r>
        <w:rPr/>
        <w:t>是新一代科技浪潮的开始，中央经济工作会议明确指出加快</w:t>
      </w:r>
      <w:r>
        <w:rPr>
          <w:rFonts w:ascii="Times New Roman" w:hAnsi="Times New Roman" w:cs="Times New Roman" w:eastAsia="Times New Roman" w:hint="default"/>
        </w:rPr>
        <w:t>5G</w:t>
      </w:r>
      <w:r>
        <w:rPr/>
        <w:t>商用步伐，地方政府有望持续出台</w:t>
      </w:r>
      <w:r>
        <w:rPr>
          <w:rFonts w:ascii="Times New Roman" w:hAnsi="Times New Roman" w:cs="Times New Roman" w:eastAsia="Times New Roman" w:hint="default"/>
        </w:rPr>
        <w:t>5G</w:t>
      </w:r>
      <w:r>
        <w:rPr/>
        <w:t>具体建设规划，</w:t>
      </w:r>
      <w:r>
        <w:rPr>
          <w:spacing w:val="2"/>
        </w:rPr>
        <w:t> </w:t>
      </w:r>
      <w:r>
        <w:rPr/>
        <w:t>根据中国信通院《</w:t>
      </w:r>
      <w:r>
        <w:rPr>
          <w:rFonts w:ascii="Times New Roman" w:hAnsi="Times New Roman" w:cs="Times New Roman" w:eastAsia="Times New Roman" w:hint="default"/>
        </w:rPr>
        <w:t>5G</w:t>
      </w:r>
      <w:r>
        <w:rPr/>
        <w:t>经济社会影响白皮书》预测，</w:t>
      </w:r>
      <w:r>
        <w:rPr>
          <w:rFonts w:ascii="Times New Roman" w:hAnsi="Times New Roman" w:cs="Times New Roman" w:eastAsia="Times New Roman" w:hint="default"/>
        </w:rPr>
        <w:t>2030</w:t>
      </w:r>
      <w:r>
        <w:rPr/>
        <w:t>年</w:t>
      </w:r>
      <w:r>
        <w:rPr>
          <w:rFonts w:ascii="Times New Roman" w:hAnsi="Times New Roman" w:cs="Times New Roman" w:eastAsia="Times New Roman" w:hint="default"/>
        </w:rPr>
        <w:t>5G</w:t>
      </w:r>
      <w:r>
        <w:rPr/>
        <w:t>带动的直接产出和间接产出将分别达到</w:t>
      </w:r>
      <w:r>
        <w:rPr>
          <w:rFonts w:ascii="Times New Roman" w:hAnsi="Times New Roman" w:cs="Times New Roman" w:eastAsia="Times New Roman" w:hint="default"/>
        </w:rPr>
        <w:t>6.3</w:t>
      </w:r>
      <w:r>
        <w:rPr/>
        <w:t>万亿和</w:t>
      </w:r>
      <w:r>
        <w:rPr>
          <w:rFonts w:ascii="Times New Roman" w:hAnsi="Times New Roman" w:cs="Times New Roman" w:eastAsia="Times New Roman" w:hint="default"/>
        </w:rPr>
        <w:t>10.6</w:t>
      </w:r>
      <w:r>
        <w:rPr/>
        <w:t>万亿元。 在直接产出方面，按照</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5G</w:t>
      </w:r>
      <w:r>
        <w:rPr/>
        <w:t>正式商用算起，预计当年将带动约</w:t>
      </w:r>
      <w:r>
        <w:rPr>
          <w:rFonts w:ascii="Times New Roman" w:hAnsi="Times New Roman" w:cs="Times New Roman" w:eastAsia="Times New Roman" w:hint="default"/>
        </w:rPr>
        <w:t>4840</w:t>
      </w:r>
      <w:r>
        <w:rPr/>
        <w:t>亿元的直接产出，</w:t>
      </w:r>
      <w:r>
        <w:rPr>
          <w:rFonts w:ascii="Times New Roman" w:hAnsi="Times New Roman" w:cs="Times New Roman" w:eastAsia="Times New Roman" w:hint="default"/>
        </w:rPr>
        <w:t>2025</w:t>
      </w:r>
      <w:r>
        <w:rPr/>
        <w:t>年、</w:t>
      </w:r>
      <w:r>
        <w:rPr>
          <w:rFonts w:ascii="Times New Roman" w:hAnsi="Times New Roman" w:cs="Times New Roman" w:eastAsia="Times New Roman" w:hint="default"/>
        </w:rPr>
        <w:t>2030</w:t>
      </w:r>
      <w:r>
        <w:rPr/>
        <w:t>年将分别增长到</w:t>
      </w:r>
      <w:r>
        <w:rPr>
          <w:rFonts w:ascii="Times New Roman" w:hAnsi="Times New Roman" w:cs="Times New Roman" w:eastAsia="Times New Roman" w:hint="default"/>
        </w:rPr>
        <w:t>3.3 </w:t>
      </w:r>
      <w:r>
        <w:rPr/>
        <w:t>万亿元、</w:t>
      </w:r>
      <w:r>
        <w:rPr>
          <w:rFonts w:ascii="Times New Roman" w:hAnsi="Times New Roman" w:cs="Times New Roman" w:eastAsia="Times New Roman" w:hint="default"/>
        </w:rPr>
        <w:t>6.3</w:t>
      </w:r>
      <w:r>
        <w:rPr/>
        <w:t>万亿元，十年间的年均复合增长率为</w:t>
      </w:r>
      <w:r>
        <w:rPr>
          <w:rFonts w:ascii="Times New Roman" w:hAnsi="Times New Roman" w:cs="Times New Roman" w:eastAsia="Times New Roman" w:hint="default"/>
        </w:rPr>
        <w:t>29%</w:t>
      </w:r>
      <w:r>
        <w:rPr/>
        <w:t>。在间接产出方面，</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2025</w:t>
      </w:r>
      <w:r>
        <w:rPr/>
        <w:t>年、</w:t>
      </w:r>
      <w:r>
        <w:rPr>
          <w:rFonts w:ascii="Times New Roman" w:hAnsi="Times New Roman" w:cs="Times New Roman" w:eastAsia="Times New Roman" w:hint="default"/>
        </w:rPr>
        <w:t>2030</w:t>
      </w:r>
      <w:r>
        <w:rPr/>
        <w:t>年，</w:t>
      </w:r>
      <w:r>
        <w:rPr>
          <w:rFonts w:ascii="Times New Roman" w:hAnsi="Times New Roman" w:cs="Times New Roman" w:eastAsia="Times New Roman" w:hint="default"/>
        </w:rPr>
        <w:t>5G</w:t>
      </w:r>
      <w:r>
        <w:rPr/>
        <w:t>将分别带动</w:t>
      </w:r>
      <w:r>
        <w:rPr>
          <w:rFonts w:ascii="Times New Roman" w:hAnsi="Times New Roman" w:cs="Times New Roman" w:eastAsia="Times New Roman" w:hint="default"/>
        </w:rPr>
        <w:t>1.2</w:t>
      </w:r>
      <w:r>
        <w:rPr/>
        <w:t>万亿</w:t>
      </w:r>
      <w:r>
        <w:rPr>
          <w:spacing w:val="-3"/>
        </w:rPr>
        <w:t> </w:t>
      </w:r>
      <w:r>
        <w:rPr/>
        <w:t>元、</w:t>
      </w:r>
      <w:r>
        <w:rPr>
          <w:rFonts w:ascii="Times New Roman" w:hAnsi="Times New Roman" w:cs="Times New Roman" w:eastAsia="Times New Roman" w:hint="default"/>
        </w:rPr>
        <w:t>6.3</w:t>
      </w:r>
      <w:r>
        <w:rPr/>
        <w:t>万亿元和</w:t>
      </w:r>
      <w:r>
        <w:rPr>
          <w:rFonts w:ascii="Times New Roman" w:hAnsi="Times New Roman" w:cs="Times New Roman" w:eastAsia="Times New Roman" w:hint="default"/>
        </w:rPr>
        <w:t>10.6</w:t>
      </w:r>
      <w:r>
        <w:rPr/>
        <w:t>万亿元，年均复合增长率为</w:t>
      </w:r>
      <w:r>
        <w:rPr>
          <w:rFonts w:ascii="Times New Roman" w:hAnsi="Times New Roman" w:cs="Times New Roman" w:eastAsia="Times New Roman" w:hint="default"/>
        </w:rPr>
        <w:t>24%</w:t>
      </w:r>
      <w:r>
        <w:rPr/>
        <w:t>。</w:t>
      </w:r>
    </w:p>
    <w:p>
      <w:pPr>
        <w:pStyle w:val="BodyText"/>
        <w:spacing w:line="451" w:lineRule="auto" w:before="43"/>
        <w:ind w:right="1037" w:firstLine="360"/>
        <w:jc w:val="left"/>
      </w:pPr>
      <w:r>
        <w:rPr/>
        <w:t>智慧灯杆作为智慧城市、智慧园区建设中的分布最广、最密集的市政设施，可满足</w:t>
      </w:r>
      <w:r>
        <w:rPr>
          <w:rFonts w:ascii="Times New Roman" w:hAnsi="Times New Roman" w:cs="Times New Roman" w:eastAsia="Times New Roman" w:hint="default"/>
        </w:rPr>
        <w:t>5G</w:t>
      </w:r>
      <w:r>
        <w:rPr/>
        <w:t>超密集组网的站址需求，丰富</w:t>
      </w:r>
      <w:r>
        <w:rPr>
          <w:rFonts w:ascii="Times New Roman" w:hAnsi="Times New Roman" w:cs="Times New Roman" w:eastAsia="Times New Roman" w:hint="default"/>
        </w:rPr>
        <w:t>5G</w:t>
      </w:r>
      <w:r>
        <w:rPr>
          <w:rFonts w:ascii="Times New Roman" w:hAnsi="Times New Roman" w:cs="Times New Roman" w:eastAsia="Times New Roman" w:hint="default"/>
          <w:spacing w:val="1"/>
          <w:w w:val="99"/>
        </w:rPr>
        <w:t> </w:t>
      </w:r>
      <w:r>
        <w:rPr/>
        <w:t>的组网方式，</w:t>
      </w:r>
      <w:r>
        <w:rPr>
          <w:rFonts w:ascii="Times New Roman" w:hAnsi="Times New Roman" w:cs="Times New Roman" w:eastAsia="Times New Roman" w:hint="default"/>
        </w:rPr>
        <w:t>5G</w:t>
      </w:r>
      <w:r>
        <w:rPr/>
        <w:t>网络的规划可以充分利用智慧灯杆，推动</w:t>
      </w:r>
      <w:r>
        <w:rPr>
          <w:rFonts w:ascii="Times New Roman" w:hAnsi="Times New Roman" w:cs="Times New Roman" w:eastAsia="Times New Roman" w:hint="default"/>
        </w:rPr>
        <w:t>5G</w:t>
      </w:r>
      <w:r>
        <w:rPr/>
        <w:t>无线网络架构的搭建，全面满足移动互联网和物联网的发展。 中国产业研究院《</w:t>
      </w:r>
      <w:r>
        <w:rPr>
          <w:rFonts w:ascii="Times New Roman" w:hAnsi="Times New Roman" w:cs="Times New Roman" w:eastAsia="Times New Roman" w:hint="default"/>
        </w:rPr>
        <w:t>2018-2023</w:t>
      </w:r>
      <w:r>
        <w:rPr/>
        <w:t>年中国智慧灯杆市场发展环境与投资趋势分析报告》显示，</w:t>
      </w:r>
      <w:r>
        <w:rPr>
          <w:rFonts w:ascii="Times New Roman" w:hAnsi="Times New Roman" w:cs="Times New Roman" w:eastAsia="Times New Roman" w:hint="default"/>
        </w:rPr>
        <w:t>2015-2017</w:t>
      </w:r>
      <w:r>
        <w:rPr/>
        <w:t>年中国智慧灯杆行业市场 规模稳步提升，年复合增速达</w:t>
      </w:r>
      <w:r>
        <w:rPr>
          <w:rFonts w:ascii="Times New Roman" w:hAnsi="Times New Roman" w:cs="Times New Roman" w:eastAsia="Times New Roman" w:hint="default"/>
        </w:rPr>
        <w:t>10.5%</w:t>
      </w:r>
      <w:r>
        <w:rPr/>
        <w:t>，到</w:t>
      </w:r>
      <w:r>
        <w:rPr>
          <w:rFonts w:ascii="Times New Roman" w:hAnsi="Times New Roman" w:cs="Times New Roman" w:eastAsia="Times New Roman" w:hint="default"/>
        </w:rPr>
        <w:t>2017</w:t>
      </w:r>
      <w:r>
        <w:rPr/>
        <w:t>年达到</w:t>
      </w:r>
      <w:r>
        <w:rPr>
          <w:rFonts w:ascii="Times New Roman" w:hAnsi="Times New Roman" w:cs="Times New Roman" w:eastAsia="Times New Roman" w:hint="default"/>
        </w:rPr>
        <w:t>120.5</w:t>
      </w:r>
      <w:r>
        <w:rPr/>
        <w:t>亿元，较</w:t>
      </w:r>
      <w:r>
        <w:rPr>
          <w:rFonts w:ascii="Times New Roman" w:hAnsi="Times New Roman" w:cs="Times New Roman" w:eastAsia="Times New Roman" w:hint="default"/>
        </w:rPr>
        <w:t>2016</w:t>
      </w:r>
      <w:r>
        <w:rPr/>
        <w:t>年增长</w:t>
      </w:r>
      <w:r>
        <w:rPr>
          <w:rFonts w:ascii="Times New Roman" w:hAnsi="Times New Roman" w:cs="Times New Roman" w:eastAsia="Times New Roman" w:hint="default"/>
        </w:rPr>
        <w:t>18.4%</w:t>
      </w:r>
      <w:r>
        <w:rPr/>
        <w:t>，增速较</w:t>
      </w:r>
      <w:r>
        <w:rPr>
          <w:rFonts w:ascii="Times New Roman" w:hAnsi="Times New Roman" w:cs="Times New Roman" w:eastAsia="Times New Roman" w:hint="default"/>
        </w:rPr>
        <w:t>2016</w:t>
      </w:r>
      <w:r>
        <w:rPr/>
        <w:t>年同期增长</w:t>
      </w:r>
      <w:r>
        <w:rPr>
          <w:rFonts w:ascii="Times New Roman" w:hAnsi="Times New Roman" w:cs="Times New Roman" w:eastAsia="Times New Roman" w:hint="default"/>
        </w:rPr>
        <w:t>4.4</w:t>
      </w:r>
      <w:r>
        <w:rPr/>
        <w:t>个百分点。</w:t>
      </w:r>
      <w:r>
        <w:rPr>
          <w:spacing w:val="-36"/>
        </w:rPr>
        <w:t> </w:t>
      </w:r>
      <w:r>
        <w:rPr/>
        <w:t>随着物联网、</w:t>
      </w:r>
      <w:r>
        <w:rPr>
          <w:rFonts w:ascii="Times New Roman" w:hAnsi="Times New Roman" w:cs="Times New Roman" w:eastAsia="Times New Roman" w:hint="default"/>
        </w:rPr>
        <w:t>5G</w:t>
      </w:r>
      <w:r>
        <w:rPr/>
        <w:t>、云计算等新一代信息技术的广泛应用，智慧城市智慧园区加速推进，智慧灯杆伴随着智慧城市建设的高 速发展，也将进入快速发展阶段，实现规模化应用。</w:t>
      </w:r>
    </w:p>
    <w:p>
      <w:pPr>
        <w:pStyle w:val="BodyText"/>
        <w:spacing w:line="468" w:lineRule="auto" w:before="74"/>
        <w:ind w:right="1131" w:firstLine="360"/>
        <w:jc w:val="both"/>
      </w:pPr>
      <w:r>
        <w:rPr>
          <w:rFonts w:ascii="Times New Roman" w:hAnsi="Times New Roman" w:cs="Times New Roman" w:eastAsia="Times New Roman" w:hint="default"/>
        </w:rPr>
        <w:t>5G</w:t>
      </w:r>
      <w:r>
        <w:rPr/>
        <w:t>将与物联网应用场景深度融合，推动云服进行服务升级以满足下一代业务的需求，将促使云计算，云服务爆发式增 </w:t>
      </w:r>
      <w:r>
        <w:rPr>
          <w:spacing w:val="-2"/>
        </w:rPr>
        <w:t>长。虽然我国云计算发展势头迅猛，但依然面临一定的挑战，我国目前云计算骨干企业数量较少，在技术等方面与国外一流</w:t>
      </w:r>
      <w:r>
        <w:rPr>
          <w:spacing w:val="-65"/>
        </w:rPr>
        <w:t> </w:t>
      </w:r>
      <w:r>
        <w:rPr>
          <w:spacing w:val="-65"/>
        </w:rPr>
      </w:r>
      <w:r>
        <w:rPr>
          <w:spacing w:val="-2"/>
        </w:rPr>
        <w:t>厂商仍存在一定差距。以开源为例，虽然我国云服务商对社区的代码贡献在持续增加，但整体上处于技术跟随状态，国内厂</w:t>
      </w:r>
      <w:r>
        <w:rPr>
          <w:spacing w:val="-65"/>
        </w:rPr>
        <w:t> </w:t>
      </w:r>
      <w:r>
        <w:rPr>
          <w:spacing w:val="-65"/>
        </w:rPr>
      </w:r>
      <w:r>
        <w:rPr/>
        <w:t>商需不断增强技术创新能力，加强云计算领域的核心专利布局，提高企业知识产权意识和管理水平。</w:t>
      </w:r>
    </w:p>
    <w:p>
      <w:pPr>
        <w:pStyle w:val="BodyText"/>
        <w:spacing w:line="460" w:lineRule="auto" w:before="61"/>
        <w:ind w:right="1034" w:firstLine="360"/>
        <w:jc w:val="left"/>
      </w:pPr>
      <w:r>
        <w:rPr/>
        <w:t>市场竞争格局：市场参与者主要包括电信运营商、第三方</w:t>
      </w:r>
      <w:r>
        <w:rPr>
          <w:rFonts w:ascii="Times New Roman" w:hAnsi="Times New Roman" w:cs="Times New Roman" w:eastAsia="Times New Roman" w:hint="default"/>
        </w:rPr>
        <w:t>IDC</w:t>
      </w:r>
      <w:r>
        <w:rPr/>
        <w:t>厂商和云服务提供商。电信基础运营商在</w:t>
      </w:r>
      <w:r>
        <w:rPr>
          <w:rFonts w:ascii="Times New Roman" w:hAnsi="Times New Roman" w:cs="Times New Roman" w:eastAsia="Times New Roman" w:hint="default"/>
        </w:rPr>
        <w:t>IDC</w:t>
      </w:r>
      <w:r>
        <w:rPr/>
        <w:t>市场中占垄 断地位，但对于电信运营商而言，数据中心并非其核心业务，因此随着互联网行业的蓬勃发展，第三方</w:t>
      </w:r>
      <w:r>
        <w:rPr>
          <w:rFonts w:ascii="Times New Roman" w:hAnsi="Times New Roman" w:cs="Times New Roman" w:eastAsia="Times New Roman" w:hint="default"/>
        </w:rPr>
        <w:t>IDC</w:t>
      </w:r>
      <w:r>
        <w:rPr/>
        <w:t>厂商得以迅速扩 张。公司的主要竞争对手包括上海网宿科技股份有限公司、世纪互联数据中心有限公司、北京光环新网科技股份有限公司、</w:t>
      </w:r>
      <w:r>
        <w:rPr>
          <w:spacing w:val="-86"/>
        </w:rPr>
        <w:t> </w:t>
      </w:r>
      <w:r>
        <w:rPr>
          <w:spacing w:val="-86"/>
        </w:rPr>
      </w:r>
      <w:r>
        <w:rPr/>
        <w:t>上海数据港股份有限公司、浪潮电子信息产业股份有限公司、鹏博士电信传媒集团股份有限公司。</w:t>
      </w:r>
    </w:p>
    <w:p>
      <w:pPr>
        <w:pStyle w:val="BodyText"/>
        <w:spacing w:line="451" w:lineRule="auto" w:before="67"/>
        <w:ind w:left="513" w:right="1129"/>
        <w:jc w:val="left"/>
      </w:pPr>
      <w:r>
        <w:rPr>
          <w:rFonts w:ascii="Times New Roman" w:hAnsi="Times New Roman" w:cs="Times New Roman" w:eastAsia="Times New Roman" w:hint="default"/>
          <w:b/>
          <w:bCs/>
        </w:rPr>
        <w:t>3</w:t>
      </w:r>
      <w:r>
        <w:rPr>
          <w:rFonts w:ascii="宋体" w:hAnsi="宋体" w:cs="宋体" w:eastAsia="宋体" w:hint="default"/>
          <w:b/>
          <w:bCs/>
        </w:rPr>
        <w:t>、</w:t>
      </w:r>
      <w:r>
        <w:rPr>
          <w:rFonts w:ascii="Times New Roman" w:hAnsi="Times New Roman" w:cs="Times New Roman" w:eastAsia="Times New Roman" w:hint="default"/>
          <w:b/>
          <w:bCs/>
        </w:rPr>
        <w:t>LED</w:t>
      </w:r>
      <w:r>
        <w:rPr>
          <w:rFonts w:ascii="宋体" w:hAnsi="宋体" w:cs="宋体" w:eastAsia="宋体" w:hint="default"/>
          <w:b/>
          <w:bCs/>
        </w:rPr>
        <w:t>照明</w:t>
      </w:r>
      <w:r>
        <w:rPr>
          <w:rFonts w:ascii="宋体" w:hAnsi="宋体" w:cs="宋体" w:eastAsia="宋体" w:hint="default"/>
          <w:b/>
          <w:bCs/>
          <w:spacing w:val="2"/>
          <w:w w:val="99"/>
        </w:rPr>
        <w:t> </w:t>
      </w:r>
      <w:r>
        <w:rPr>
          <w:spacing w:val="-2"/>
        </w:rPr>
        <w:t>智能照明作为智慧城市重要的组成部分，是未来照明的发展方向。随着物联网、通信、电子等技术的发展，智能照明系</w:t>
      </w:r>
    </w:p>
    <w:p>
      <w:pPr>
        <w:pStyle w:val="BodyText"/>
        <w:spacing w:line="477" w:lineRule="auto" w:before="74"/>
        <w:ind w:right="1133"/>
        <w:jc w:val="both"/>
      </w:pPr>
      <w:r>
        <w:rPr>
          <w:spacing w:val="-5"/>
        </w:rPr>
        <w:t>统感知环境变化、自动调节光线强度、进行场景制作，提高照明质量、节能减排，为工作、生活、学习提供智能环境。未来，</w:t>
      </w:r>
      <w:r>
        <w:rPr>
          <w:spacing w:val="-83"/>
        </w:rPr>
        <w:t> </w:t>
      </w:r>
      <w:r>
        <w:rPr>
          <w:spacing w:val="-83"/>
        </w:rPr>
      </w:r>
      <w:r>
        <w:rPr>
          <w:spacing w:val="-2"/>
        </w:rPr>
        <w:t>随着智能照明设备的广泛应用，其发展将逐渐向着半导体照明、绿色化、标准化、网络化和个性化方向转变，在推动照明方</w:t>
      </w:r>
      <w:r>
        <w:rPr>
          <w:spacing w:val="-65"/>
        </w:rPr>
        <w:t> </w:t>
      </w:r>
      <w:r>
        <w:rPr>
          <w:spacing w:val="-65"/>
        </w:rPr>
      </w:r>
      <w:r>
        <w:rPr/>
        <w:t>向革新的同时，促进智慧城市的发展建设。</w:t>
      </w:r>
    </w:p>
    <w:p>
      <w:pPr>
        <w:pStyle w:val="BodyText"/>
        <w:spacing w:line="477" w:lineRule="auto" w:before="54"/>
        <w:ind w:right="1133" w:firstLine="360"/>
        <w:jc w:val="left"/>
      </w:pPr>
      <w:r>
        <w:rPr>
          <w:spacing w:val="-2"/>
        </w:rPr>
        <w:t>城市道路照明的控制方式包括光控、防盗控、时控等，但是随着物联网的发展以及相关技术的革新，未来城市道路照明</w:t>
      </w:r>
      <w:r>
        <w:rPr/>
        <w:t> 控制系统将朝智能化控制方向发展。照明工程行业的加速发展势必带来城市照明设施管理与维护的快速跟进，</w:t>
      </w:r>
      <w:r>
        <w:rPr>
          <w:spacing w:val="-16"/>
        </w:rPr>
        <w:t> </w:t>
      </w:r>
      <w:r>
        <w:rPr/>
        <w:t>随着照明设</w:t>
      </w:r>
    </w:p>
    <w:p>
      <w:pPr>
        <w:spacing w:after="0" w:line="477"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129"/>
        <w:jc w:val="left"/>
      </w:pPr>
      <w:r>
        <w:rPr>
          <w:spacing w:val="-2"/>
        </w:rPr>
        <w:t>施数量的大幅增加以及各行业对照明控制的要求更加复杂，城市照明的精细化管理也将迎来更大的挑战。通过智能控制系统</w:t>
      </w:r>
      <w:r>
        <w:rPr>
          <w:spacing w:val="-64"/>
        </w:rPr>
        <w:t> </w:t>
      </w:r>
      <w:r>
        <w:rPr>
          <w:spacing w:val="-64"/>
        </w:rPr>
      </w:r>
      <w:r>
        <w:rPr/>
        <w:t>实现城市照明设施灵活便捷的管护将成为行业常态，国内已有多座城市开始智能照明管理系统的试点工作。</w:t>
      </w:r>
    </w:p>
    <w:p>
      <w:pPr>
        <w:pStyle w:val="BodyText"/>
        <w:spacing w:line="451" w:lineRule="auto" w:before="54"/>
        <w:ind w:right="1128" w:firstLine="360"/>
        <w:jc w:val="both"/>
      </w:pPr>
      <w:r>
        <w:rPr>
          <w:spacing w:val="-3"/>
        </w:rPr>
        <w:t>近几年，中国智能照明市场增长迅速，市场规模从</w:t>
      </w:r>
      <w:r>
        <w:rPr>
          <w:rFonts w:ascii="Times New Roman" w:hAnsi="Times New Roman" w:cs="Times New Roman" w:eastAsia="Times New Roman" w:hint="default"/>
          <w:spacing w:val="-3"/>
        </w:rPr>
        <w:t>2005</w:t>
      </w:r>
      <w:r>
        <w:rPr>
          <w:spacing w:val="-3"/>
        </w:rPr>
        <w:t>年的</w:t>
      </w:r>
      <w:r>
        <w:rPr>
          <w:rFonts w:ascii="Times New Roman" w:hAnsi="Times New Roman" w:cs="Times New Roman" w:eastAsia="Times New Roman" w:hint="default"/>
          <w:spacing w:val="-3"/>
        </w:rPr>
        <w:t>19</w:t>
      </w:r>
      <w:r>
        <w:rPr>
          <w:spacing w:val="-3"/>
        </w:rPr>
        <w:t>亿元增长至</w:t>
      </w:r>
      <w:r>
        <w:rPr>
          <w:rFonts w:ascii="Times New Roman" w:hAnsi="Times New Roman" w:cs="Times New Roman" w:eastAsia="Times New Roman" w:hint="default"/>
          <w:spacing w:val="-3"/>
        </w:rPr>
        <w:t>2016</w:t>
      </w:r>
      <w:r>
        <w:rPr>
          <w:spacing w:val="-3"/>
        </w:rPr>
        <w:t>年的</w:t>
      </w:r>
      <w:r>
        <w:rPr>
          <w:rFonts w:ascii="Times New Roman" w:hAnsi="Times New Roman" w:cs="Times New Roman" w:eastAsia="Times New Roman" w:hint="default"/>
          <w:spacing w:val="-3"/>
        </w:rPr>
        <w:t>147</w:t>
      </w:r>
      <w:r>
        <w:rPr>
          <w:spacing w:val="-3"/>
        </w:rPr>
        <w:t>亿元，年增长率保持在</w:t>
      </w:r>
      <w:r>
        <w:rPr>
          <w:rFonts w:ascii="Times New Roman" w:hAnsi="Times New Roman" w:cs="Times New Roman" w:eastAsia="Times New Roman" w:hint="default"/>
          <w:spacing w:val="-3"/>
        </w:rPr>
        <w:t>25</w:t>
      </w:r>
      <w:r>
        <w:rPr>
          <w:spacing w:val="-3"/>
        </w:rPr>
        <w:t>％左右。</w:t>
      </w:r>
      <w:r>
        <w:rPr/>
        <w:t> </w:t>
      </w:r>
      <w:r>
        <w:rPr>
          <w:rFonts w:ascii="Times New Roman" w:hAnsi="Times New Roman" w:cs="Times New Roman" w:eastAsia="Times New Roman" w:hint="default"/>
        </w:rPr>
        <w:t>2016</w:t>
      </w:r>
      <w:r>
        <w:rPr/>
        <w:t>年，我国智能照明行业市场规模约为</w:t>
      </w:r>
      <w:r>
        <w:rPr>
          <w:rFonts w:ascii="Times New Roman" w:hAnsi="Times New Roman" w:cs="Times New Roman" w:eastAsia="Times New Roman" w:hint="default"/>
        </w:rPr>
        <w:t>124</w:t>
      </w:r>
      <w:r>
        <w:rPr/>
        <w:t>亿元，较上年同比增长</w:t>
      </w:r>
      <w:r>
        <w:rPr>
          <w:rFonts w:ascii="Times New Roman" w:hAnsi="Times New Roman" w:cs="Times New Roman" w:eastAsia="Times New Roman" w:hint="default"/>
        </w:rPr>
        <w:t>93</w:t>
      </w:r>
      <w:r>
        <w:rPr/>
        <w:t>．</w:t>
      </w:r>
      <w:r>
        <w:rPr>
          <w:rFonts w:ascii="Times New Roman" w:hAnsi="Times New Roman" w:cs="Times New Roman" w:eastAsia="Times New Roman" w:hint="default"/>
        </w:rPr>
        <w:t>20</w:t>
      </w:r>
      <w:r>
        <w:rPr/>
        <w:t>％，为智能照明应用爆发增长的一年，据数据统 计，中国智能照明市场规模</w:t>
      </w:r>
      <w:r>
        <w:rPr>
          <w:rFonts w:ascii="Times New Roman" w:hAnsi="Times New Roman" w:cs="Times New Roman" w:eastAsia="Times New Roman" w:hint="default"/>
        </w:rPr>
        <w:t>2017</w:t>
      </w:r>
      <w:r>
        <w:rPr/>
        <w:t>年约近</w:t>
      </w:r>
      <w:r>
        <w:rPr>
          <w:rFonts w:ascii="Times New Roman" w:hAnsi="Times New Roman" w:cs="Times New Roman" w:eastAsia="Times New Roman" w:hint="default"/>
        </w:rPr>
        <w:t>150</w:t>
      </w:r>
      <w:r>
        <w:rPr/>
        <w:t>亿元，年增长率保持在</w:t>
      </w:r>
      <w:r>
        <w:rPr>
          <w:rFonts w:ascii="Times New Roman" w:hAnsi="Times New Roman" w:cs="Times New Roman" w:eastAsia="Times New Roman" w:hint="default"/>
        </w:rPr>
        <w:t>25</w:t>
      </w:r>
      <w:r>
        <w:rPr/>
        <w:t>％左右。未来，在智慧城市智慧园区建设加速落地等市 </w:t>
      </w:r>
      <w:r>
        <w:rPr>
          <w:spacing w:val="-2"/>
        </w:rPr>
        <w:t>场因素推动下，我国智能照明行业市场规模将加速扩大。据中商产业研究院预测，</w:t>
      </w:r>
      <w:r>
        <w:rPr>
          <w:rFonts w:ascii="Times New Roman" w:hAnsi="Times New Roman" w:cs="Times New Roman" w:eastAsia="Times New Roman" w:hint="default"/>
          <w:spacing w:val="-2"/>
        </w:rPr>
        <w:t>2020</w:t>
      </w:r>
      <w:r>
        <w:rPr>
          <w:spacing w:val="-2"/>
        </w:rPr>
        <w:t>年中国智能照明行业市场规模有望超</w:t>
      </w:r>
      <w:r>
        <w:rPr>
          <w:spacing w:val="-59"/>
        </w:rPr>
        <w:t> </w:t>
      </w:r>
      <w:r>
        <w:rPr>
          <w:spacing w:val="-59"/>
        </w:rPr>
      </w:r>
      <w:r>
        <w:rPr/>
        <w:t>过</w:t>
      </w:r>
      <w:r>
        <w:rPr>
          <w:rFonts w:ascii="Times New Roman" w:hAnsi="Times New Roman" w:cs="Times New Roman" w:eastAsia="Times New Roman" w:hint="default"/>
        </w:rPr>
        <w:t>270</w:t>
      </w:r>
      <w:r>
        <w:rPr/>
        <w:t>亿元。</w:t>
      </w:r>
    </w:p>
    <w:p>
      <w:pPr>
        <w:pStyle w:val="BodyText"/>
        <w:spacing w:line="451" w:lineRule="auto" w:before="44"/>
        <w:ind w:right="1133" w:firstLine="360"/>
        <w:jc w:val="both"/>
      </w:pPr>
      <w:r>
        <w:rPr>
          <w:spacing w:val="-2"/>
        </w:rPr>
        <w:t>市场竞争格局：公司在</w:t>
      </w:r>
      <w:r>
        <w:rPr>
          <w:rFonts w:ascii="Times New Roman" w:hAnsi="Times New Roman" w:cs="Times New Roman" w:eastAsia="Times New Roman" w:hint="default"/>
          <w:spacing w:val="-2"/>
        </w:rPr>
        <w:t>LED</w:t>
      </w:r>
      <w:r>
        <w:rPr>
          <w:spacing w:val="-2"/>
        </w:rPr>
        <w:t>道路照明的主要竞争对手深圳市洲明科技股份有限公司；国内城市景观照明市场公司主要竞</w:t>
      </w:r>
      <w:r>
        <w:rPr/>
        <w:t> 争对手包括深圳市金达照明股份有限公司等。</w:t>
      </w:r>
    </w:p>
    <w:p>
      <w:pPr>
        <w:spacing w:line="477" w:lineRule="auto" w:before="74"/>
        <w:ind w:left="513" w:right="1129" w:firstLine="0"/>
        <w:jc w:val="left"/>
        <w:rPr>
          <w:rFonts w:ascii="宋体" w:hAnsi="宋体" w:cs="宋体" w:eastAsia="宋体" w:hint="default"/>
          <w:sz w:val="18"/>
          <w:szCs w:val="18"/>
        </w:rPr>
      </w:pPr>
      <w:r>
        <w:rPr>
          <w:rFonts w:ascii="宋体" w:hAnsi="宋体" w:cs="宋体" w:eastAsia="宋体" w:hint="default"/>
          <w:b/>
          <w:bCs/>
          <w:sz w:val="18"/>
          <w:szCs w:val="18"/>
        </w:rPr>
        <w:t>（二）公司经营宗旨及发展规划</w:t>
      </w:r>
      <w:r>
        <w:rPr>
          <w:rFonts w:ascii="宋体" w:hAnsi="宋体" w:cs="宋体" w:eastAsia="宋体" w:hint="default"/>
          <w:b/>
          <w:bCs/>
          <w:w w:val="99"/>
          <w:sz w:val="18"/>
          <w:szCs w:val="18"/>
        </w:rPr>
        <w:t> </w:t>
      </w:r>
      <w:r>
        <w:rPr>
          <w:rFonts w:ascii="宋体" w:hAnsi="宋体" w:cs="宋体" w:eastAsia="宋体" w:hint="default"/>
          <w:spacing w:val="-1"/>
          <w:sz w:val="18"/>
          <w:szCs w:val="18"/>
        </w:rPr>
        <w:t>公司的经营宗旨是依托于公司在创新科技和行业洞察方面的核心竞争力，通过金融科技、</w:t>
      </w:r>
      <w:r>
        <w:rPr>
          <w:rFonts w:ascii="Times New Roman" w:hAnsi="Times New Roman" w:cs="Times New Roman" w:eastAsia="Times New Roman" w:hint="default"/>
          <w:spacing w:val="-1"/>
          <w:sz w:val="18"/>
          <w:szCs w:val="18"/>
        </w:rPr>
        <w:t>IDC</w:t>
      </w:r>
      <w:r>
        <w:rPr>
          <w:rFonts w:ascii="宋体" w:hAnsi="宋体" w:cs="宋体" w:eastAsia="宋体" w:hint="default"/>
          <w:spacing w:val="-1"/>
          <w:sz w:val="18"/>
          <w:szCs w:val="18"/>
        </w:rPr>
        <w:t>及云计算、城市亮化工程</w:t>
      </w:r>
    </w:p>
    <w:p>
      <w:pPr>
        <w:pStyle w:val="BodyText"/>
        <w:spacing w:line="477" w:lineRule="auto" w:before="21"/>
        <w:ind w:left="513" w:right="1033" w:hanging="361"/>
        <w:jc w:val="left"/>
      </w:pPr>
      <w:r>
        <w:rPr/>
        <w:t>三大业务板块的协同发展，为客户提供可靠、高效、灵活、智能的综合解决方案，引领智慧生活，推动社会的繁荣发展。 公司的发展规划是继续坚持以安全支付为核心，以对相关行业的理解为基础，凭借金融电子领域二十余年的市场经验，</w:t>
      </w:r>
    </w:p>
    <w:p>
      <w:pPr>
        <w:pStyle w:val="BodyText"/>
        <w:spacing w:line="451" w:lineRule="auto" w:before="54"/>
        <w:ind w:right="1111"/>
        <w:jc w:val="left"/>
      </w:pPr>
      <w:r>
        <w:rPr/>
        <w:t>打造以安全支付为核心的产业生态圈，形成了以金融科技、照明科技、</w:t>
      </w:r>
      <w:r>
        <w:rPr>
          <w:rFonts w:ascii="Times New Roman" w:hAnsi="Times New Roman" w:cs="Times New Roman" w:eastAsia="Times New Roman" w:hint="default"/>
        </w:rPr>
        <w:t>IDC+</w:t>
      </w:r>
      <w:r>
        <w:rPr/>
        <w:t>三大业务板块的产业布局，深入挖掘</w:t>
      </w:r>
      <w:r>
        <w:rPr>
          <w:rFonts w:ascii="Times New Roman" w:hAnsi="Times New Roman" w:cs="Times New Roman" w:eastAsia="Times New Roman" w:hint="default"/>
        </w:rPr>
        <w:t>IDC+</w:t>
      </w:r>
      <w:r>
        <w:rPr/>
        <w:t>智慧</w:t>
      </w:r>
      <w:r>
        <w:rPr>
          <w:spacing w:val="2"/>
        </w:rPr>
        <w:t> </w:t>
      </w:r>
      <w:r>
        <w:rPr/>
        <w:t>城市市场。</w:t>
      </w:r>
    </w:p>
    <w:p>
      <w:pPr>
        <w:pStyle w:val="Heading4"/>
        <w:spacing w:line="240" w:lineRule="auto" w:before="74"/>
        <w:ind w:right="1133"/>
        <w:jc w:val="left"/>
        <w:rPr>
          <w:b w:val="0"/>
          <w:bCs w:val="0"/>
        </w:rPr>
      </w:pPr>
      <w:r>
        <w:rPr/>
        <w:t>（三）</w:t>
      </w:r>
      <w:r>
        <w:rPr>
          <w:rFonts w:ascii="Times New Roman" w:hAnsi="Times New Roman" w:cs="Times New Roman" w:eastAsia="Times New Roman" w:hint="default"/>
        </w:rPr>
        <w:t>2019</w:t>
      </w:r>
      <w:r>
        <w:rPr/>
        <w:t>年度经营计划</w:t>
      </w:r>
      <w:r>
        <w:rPr>
          <w:b w:val="0"/>
          <w:bCs w:val="0"/>
        </w:rPr>
      </w:r>
    </w:p>
    <w:p>
      <w:pPr>
        <w:spacing w:line="240" w:lineRule="auto" w:before="9"/>
        <w:rPr>
          <w:rFonts w:ascii="宋体" w:hAnsi="宋体" w:cs="宋体" w:eastAsia="宋体" w:hint="default"/>
          <w:b/>
          <w:bCs/>
          <w:sz w:val="16"/>
          <w:szCs w:val="16"/>
        </w:rPr>
      </w:pPr>
    </w:p>
    <w:p>
      <w:pPr>
        <w:pStyle w:val="BodyText"/>
        <w:spacing w:line="451" w:lineRule="auto"/>
        <w:ind w:right="1172" w:firstLine="360"/>
        <w:jc w:val="both"/>
      </w:pPr>
      <w:r>
        <w:rPr>
          <w:rFonts w:ascii="Times New Roman" w:hAnsi="Times New Roman" w:cs="Times New Roman" w:eastAsia="Times New Roman" w:hint="default"/>
        </w:rPr>
        <w:t>2019</w:t>
      </w:r>
      <w:r>
        <w:rPr/>
        <w:t>年公司将以</w:t>
      </w:r>
      <w:r>
        <w:rPr>
          <w:rFonts w:ascii="Times New Roman" w:hAnsi="Times New Roman" w:cs="Times New Roman" w:eastAsia="Times New Roman" w:hint="default"/>
        </w:rPr>
        <w:t>“</w:t>
      </w:r>
      <w:r>
        <w:rPr/>
        <w:t>聚焦主业、控制风险、稳健经营、提升效益、构建能力</w:t>
      </w:r>
      <w:r>
        <w:rPr>
          <w:rFonts w:ascii="Times New Roman" w:hAnsi="Times New Roman" w:cs="Times New Roman" w:eastAsia="Times New Roman" w:hint="default"/>
        </w:rPr>
        <w:t>”</w:t>
      </w:r>
      <w:r>
        <w:rPr/>
        <w:t>为经营指导思想，重点聚焦</w:t>
      </w:r>
      <w:r>
        <w:rPr>
          <w:rFonts w:ascii="Times New Roman" w:hAnsi="Times New Roman" w:cs="Times New Roman" w:eastAsia="Times New Roman" w:hint="default"/>
        </w:rPr>
        <w:t>“</w:t>
      </w:r>
      <w:r>
        <w:rPr/>
        <w:t>金融电子（金融 科技）、亮化照明、</w:t>
      </w:r>
      <w:r>
        <w:rPr>
          <w:rFonts w:ascii="Times New Roman" w:hAnsi="Times New Roman" w:cs="Times New Roman" w:eastAsia="Times New Roman" w:hint="default"/>
        </w:rPr>
        <w:t>IDC+</w:t>
      </w:r>
      <w:r>
        <w:rPr/>
        <w:t>智慧城市</w:t>
      </w:r>
      <w:r>
        <w:rPr>
          <w:rFonts w:ascii="Times New Roman" w:hAnsi="Times New Roman" w:cs="Times New Roman" w:eastAsia="Times New Roman" w:hint="default"/>
        </w:rPr>
        <w:t>”</w:t>
      </w:r>
      <w:r>
        <w:rPr/>
        <w:t>三大核心业务，推动公司三大主业持续做强做精。</w:t>
      </w:r>
    </w:p>
    <w:p>
      <w:pPr>
        <w:pStyle w:val="BodyText"/>
        <w:spacing w:line="468" w:lineRule="auto" w:before="43"/>
        <w:ind w:right="1134" w:firstLine="360"/>
        <w:jc w:val="both"/>
      </w:pPr>
      <w:r>
        <w:rPr>
          <w:rFonts w:ascii="Times New Roman" w:hAnsi="Times New Roman" w:cs="Times New Roman" w:eastAsia="Times New Roman" w:hint="default"/>
          <w:spacing w:val="-2"/>
        </w:rPr>
        <w:t>2019</w:t>
      </w:r>
      <w:r>
        <w:rPr>
          <w:spacing w:val="-2"/>
        </w:rPr>
        <w:t>年公司将继续加强现金流管理及资金链安全管理，按照</w:t>
      </w:r>
      <w:r>
        <w:rPr>
          <w:rFonts w:ascii="Times New Roman" w:hAnsi="Times New Roman" w:cs="Times New Roman" w:eastAsia="Times New Roman" w:hint="default"/>
          <w:spacing w:val="-2"/>
        </w:rPr>
        <w:t>“</w:t>
      </w:r>
      <w:r>
        <w:rPr>
          <w:spacing w:val="-2"/>
        </w:rPr>
        <w:t>稳健经营</w:t>
      </w:r>
      <w:r>
        <w:rPr>
          <w:rFonts w:ascii="Times New Roman" w:hAnsi="Times New Roman" w:cs="Times New Roman" w:eastAsia="Times New Roman" w:hint="default"/>
          <w:spacing w:val="-2"/>
        </w:rPr>
        <w:t>”</w:t>
      </w:r>
      <w:r>
        <w:rPr>
          <w:spacing w:val="-2"/>
        </w:rPr>
        <w:t>的原则进行发展，持续探索经营模式及激励机制</w:t>
      </w:r>
      <w:r>
        <w:rPr/>
        <w:t> </w:t>
      </w:r>
      <w:r>
        <w:rPr>
          <w:spacing w:val="-2"/>
        </w:rPr>
        <w:t>的创新，优化事业部制支撑体系；注重业务能力的提升，通过业务的差异化调控，确保公司销售收入总体保持稳健、合理的</w:t>
      </w:r>
      <w:r>
        <w:rPr>
          <w:spacing w:val="-67"/>
        </w:rPr>
        <w:t> </w:t>
      </w:r>
      <w:r>
        <w:rPr>
          <w:spacing w:val="-67"/>
        </w:rPr>
      </w:r>
      <w:r>
        <w:rPr>
          <w:spacing w:val="-2"/>
        </w:rPr>
        <w:t>增长；重点通过提高业务毛利率水平、控制费用、改善负债结构、降低融资成本、加快回款形成未实现融资收益冲减财务费</w:t>
      </w:r>
      <w:r>
        <w:rPr>
          <w:spacing w:val="-67"/>
        </w:rPr>
        <w:t> </w:t>
      </w:r>
      <w:r>
        <w:rPr>
          <w:spacing w:val="-67"/>
        </w:rPr>
      </w:r>
      <w:r>
        <w:rPr/>
        <w:t>用、降低资产减值损失等方式提高公司盈利能力和业务核心竞争力。</w:t>
      </w:r>
    </w:p>
    <w:p>
      <w:pPr>
        <w:pStyle w:val="BodyText"/>
        <w:spacing w:line="451" w:lineRule="auto" w:before="61"/>
        <w:ind w:left="513" w:right="1132"/>
        <w:jc w:val="left"/>
      </w:pPr>
      <w:r>
        <w:rPr/>
        <w:t>公司</w:t>
      </w:r>
      <w:r>
        <w:rPr>
          <w:rFonts w:ascii="Times New Roman" w:hAnsi="Times New Roman" w:cs="Times New Roman" w:eastAsia="Times New Roman" w:hint="default"/>
        </w:rPr>
        <w:t>2019</w:t>
      </w:r>
      <w:r>
        <w:rPr/>
        <w:t>年各业务板块的经营规划如下： 自助设备业务要通过建立</w:t>
      </w:r>
      <w:r>
        <w:rPr>
          <w:rFonts w:ascii="Times New Roman" w:hAnsi="Times New Roman" w:cs="Times New Roman" w:eastAsia="Times New Roman" w:hint="default"/>
        </w:rPr>
        <w:t>“</w:t>
      </w:r>
      <w:r>
        <w:rPr/>
        <w:t>产品</w:t>
      </w:r>
      <w:r>
        <w:rPr>
          <w:rFonts w:ascii="Times New Roman" w:hAnsi="Times New Roman" w:cs="Times New Roman" w:eastAsia="Times New Roman" w:hint="default"/>
        </w:rPr>
        <w:t>+</w:t>
      </w:r>
      <w:r>
        <w:rPr/>
        <w:t>方案</w:t>
      </w:r>
      <w:r>
        <w:rPr>
          <w:rFonts w:ascii="Times New Roman" w:hAnsi="Times New Roman" w:cs="Times New Roman" w:eastAsia="Times New Roman" w:hint="default"/>
        </w:rPr>
        <w:t>”</w:t>
      </w:r>
      <w:r>
        <w:rPr/>
        <w:t>的模式、建立产品能力、优化生产工艺等方式提升价值。技术部门与前端市场充</w:t>
      </w:r>
    </w:p>
    <w:p>
      <w:pPr>
        <w:pStyle w:val="BodyText"/>
        <w:spacing w:line="468" w:lineRule="auto" w:before="43"/>
        <w:ind w:right="1129"/>
        <w:jc w:val="left"/>
      </w:pPr>
      <w:r>
        <w:rPr>
          <w:spacing w:val="-2"/>
        </w:rPr>
        <w:t>分整合，实现软硬件产品标准化，快速响应客户需求，提高项目的交付能力与客户满意度；集成公司在金融支付信息安全的</w:t>
      </w:r>
      <w:r>
        <w:rPr>
          <w:spacing w:val="-64"/>
        </w:rPr>
        <w:t> </w:t>
      </w:r>
      <w:r>
        <w:rPr>
          <w:spacing w:val="-64"/>
        </w:rPr>
      </w:r>
      <w:r>
        <w:rPr/>
        <w:t>技术和能力，推进产品的信息安全与网络安全建设，融合</w:t>
      </w:r>
      <w:r>
        <w:rPr>
          <w:rFonts w:ascii="Times New Roman" w:hAnsi="Times New Roman" w:cs="Times New Roman" w:eastAsia="Times New Roman" w:hint="default"/>
        </w:rPr>
        <w:t>AI</w:t>
      </w:r>
      <w:r>
        <w:rPr/>
        <w:t>人工智能和下一代近场支付等新兴技术，推动公司自助终端产 </w:t>
      </w:r>
      <w:r>
        <w:rPr>
          <w:spacing w:val="-5"/>
        </w:rPr>
        <w:t>品和服务的智慧化演变，提升产品价值和市场竞争力；紧抓产业融合的市场机遇，在原有客户基础上，重点开发农信社客户、</w:t>
      </w:r>
      <w:r>
        <w:rPr>
          <w:spacing w:val="-75"/>
        </w:rPr>
        <w:t> </w:t>
      </w:r>
      <w:r>
        <w:rPr>
          <w:spacing w:val="-75"/>
        </w:rPr>
      </w:r>
      <w:r>
        <w:rPr/>
        <w:t>行业龙头客户和银行下属金融科技公司，开辟业绩增长点。</w:t>
      </w:r>
    </w:p>
    <w:p>
      <w:pPr>
        <w:pStyle w:val="BodyText"/>
        <w:spacing w:line="451" w:lineRule="auto" w:before="62"/>
        <w:ind w:right="1053" w:firstLine="360"/>
        <w:jc w:val="both"/>
      </w:pPr>
      <w:r>
        <w:rPr>
          <w:spacing w:val="-2"/>
        </w:rPr>
        <w:t>安全支付业务要在深挖现有客户订单需求基础上，依托公司在金融电子支付领域的行业资质和</w:t>
      </w:r>
      <w:r>
        <w:rPr>
          <w:rFonts w:ascii="Times New Roman" w:hAnsi="Times New Roman" w:cs="Times New Roman" w:eastAsia="Times New Roman" w:hint="default"/>
          <w:spacing w:val="-2"/>
        </w:rPr>
        <w:t>20</w:t>
      </w:r>
      <w:r>
        <w:rPr>
          <w:spacing w:val="-2"/>
        </w:rPr>
        <w:t>余年业务发展过程中沉</w:t>
      </w:r>
      <w:r>
        <w:rPr/>
        <w:t> 淀的客户资源，发挥</w:t>
      </w:r>
      <w:r>
        <w:rPr>
          <w:rFonts w:ascii="Times New Roman" w:hAnsi="Times New Roman" w:cs="Times New Roman" w:eastAsia="Times New Roman" w:hint="default"/>
        </w:rPr>
        <w:t>“</w:t>
      </w:r>
      <w:r>
        <w:rPr/>
        <w:t>云</w:t>
      </w:r>
      <w:r>
        <w:rPr>
          <w:rFonts w:ascii="Times New Roman" w:hAnsi="Times New Roman" w:cs="Times New Roman" w:eastAsia="Times New Roman" w:hint="default"/>
        </w:rPr>
        <w:t>+</w:t>
      </w:r>
      <w:r>
        <w:rPr/>
        <w:t>网</w:t>
      </w:r>
      <w:r>
        <w:rPr>
          <w:rFonts w:ascii="Times New Roman" w:hAnsi="Times New Roman" w:cs="Times New Roman" w:eastAsia="Times New Roman" w:hint="default"/>
        </w:rPr>
        <w:t>+</w:t>
      </w:r>
      <w:r>
        <w:rPr/>
        <w:t>端</w:t>
      </w:r>
      <w:r>
        <w:rPr>
          <w:rFonts w:ascii="Times New Roman" w:hAnsi="Times New Roman" w:cs="Times New Roman" w:eastAsia="Times New Roman" w:hint="default"/>
        </w:rPr>
        <w:t>+</w:t>
      </w:r>
      <w:r>
        <w:rPr/>
        <w:t>行业应用及服务</w:t>
      </w:r>
      <w:r>
        <w:rPr>
          <w:rFonts w:ascii="Times New Roman" w:hAnsi="Times New Roman" w:cs="Times New Roman" w:eastAsia="Times New Roman" w:hint="default"/>
        </w:rPr>
        <w:t>”</w:t>
      </w:r>
      <w:r>
        <w:rPr/>
        <w:t>的综合解决方案能力，构建以金融支付为核心的信息安全产业生态平台，</w:t>
      </w:r>
    </w:p>
    <w:p>
      <w:pPr>
        <w:spacing w:after="0" w:line="451"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8" w:lineRule="auto"/>
        <w:ind w:right="1135"/>
        <w:jc w:val="both"/>
      </w:pPr>
      <w:r>
        <w:rPr>
          <w:spacing w:val="-4"/>
        </w:rPr>
        <w:t>在科技、场景、</w:t>
      </w:r>
      <w:r>
        <w:rPr>
          <w:rFonts w:ascii="Times New Roman" w:hAnsi="Times New Roman" w:cs="Times New Roman" w:eastAsia="Times New Roman" w:hint="default"/>
          <w:spacing w:val="-4"/>
        </w:rPr>
        <w:t>SAAS</w:t>
      </w:r>
      <w:r>
        <w:rPr>
          <w:spacing w:val="-4"/>
        </w:rPr>
        <w:t>等维度进行产品和服务革新，通过丰富产品品类，重点开发东南亚、日本、南美、非洲等海外新市场，</w:t>
      </w:r>
      <w:r>
        <w:rPr>
          <w:spacing w:val="-57"/>
        </w:rPr>
        <w:t> </w:t>
      </w:r>
      <w:r>
        <w:rPr>
          <w:spacing w:val="-57"/>
        </w:rPr>
      </w:r>
      <w:r>
        <w:rPr>
          <w:spacing w:val="-2"/>
        </w:rPr>
        <w:t>在年内形成有效订单，支撑业务的经营业绩；通过产业链延伸，重点加大产业协同，拓展业务维度和业务链条，集成行业主</w:t>
      </w:r>
      <w:r>
        <w:rPr>
          <w:spacing w:val="-67"/>
        </w:rPr>
        <w:t> </w:t>
      </w:r>
      <w:r>
        <w:rPr>
          <w:spacing w:val="-67"/>
        </w:rPr>
      </w:r>
      <w:r>
        <w:rPr/>
        <w:t>流支付方式并融合多场景应用，建立解决方案闭环，于智慧餐饮、智慧零售、智慧商超等领域凭借综合支付、</w:t>
      </w:r>
      <w:r>
        <w:rPr>
          <w:spacing w:val="-16"/>
        </w:rPr>
        <w:t> </w:t>
      </w:r>
      <w:r>
        <w:rPr>
          <w:rFonts w:ascii="Times New Roman" w:hAnsi="Times New Roman" w:cs="Times New Roman" w:eastAsia="Times New Roman" w:hint="default"/>
        </w:rPr>
        <w:t>IT</w:t>
      </w:r>
      <w:r>
        <w:rPr/>
        <w:t>服务管理 等各类增值服务拓展高粘性客户，提升竞争力。</w:t>
      </w:r>
    </w:p>
    <w:p>
      <w:pPr>
        <w:pStyle w:val="BodyText"/>
        <w:spacing w:line="451" w:lineRule="auto" w:before="68"/>
        <w:ind w:right="1129" w:firstLine="360"/>
        <w:jc w:val="left"/>
      </w:pPr>
      <w:r>
        <w:rPr>
          <w:rFonts w:ascii="Times New Roman" w:hAnsi="Times New Roman" w:cs="Times New Roman" w:eastAsia="Times New Roman" w:hint="default"/>
          <w:spacing w:val="-2"/>
        </w:rPr>
        <w:t>LED</w:t>
      </w:r>
      <w:r>
        <w:rPr>
          <w:spacing w:val="-2"/>
        </w:rPr>
        <w:t>照明业务要转变业务模式和业务结构，重点开发短期现金类业务，积极拓展经济发达地区市场，保持业务规模稳定</w:t>
      </w:r>
      <w:r>
        <w:rPr/>
        <w:t> 在合理区间，并保障好相关重点项目的落地实施。</w:t>
      </w:r>
    </w:p>
    <w:p>
      <w:pPr>
        <w:pStyle w:val="BodyText"/>
        <w:spacing w:line="458" w:lineRule="auto" w:before="74"/>
        <w:ind w:right="1034" w:firstLine="360"/>
        <w:jc w:val="left"/>
      </w:pPr>
      <w:r>
        <w:rPr>
          <w:rFonts w:ascii="Times New Roman" w:hAnsi="Times New Roman" w:cs="Times New Roman" w:eastAsia="Times New Roman" w:hint="default"/>
        </w:rPr>
        <w:t>IDC</w:t>
      </w:r>
      <w:r>
        <w:rPr/>
        <w:t>及云计算业务要贯彻</w:t>
      </w:r>
      <w:r>
        <w:rPr>
          <w:rFonts w:ascii="Times New Roman" w:hAnsi="Times New Roman" w:cs="Times New Roman" w:eastAsia="Times New Roman" w:hint="default"/>
        </w:rPr>
        <w:t>“IDC+</w:t>
      </w:r>
      <w:r>
        <w:rPr/>
        <w:t>生态</w:t>
      </w:r>
      <w:r>
        <w:rPr>
          <w:rFonts w:ascii="Times New Roman" w:hAnsi="Times New Roman" w:cs="Times New Roman" w:eastAsia="Times New Roman" w:hint="default"/>
        </w:rPr>
        <w:t>”</w:t>
      </w:r>
      <w:r>
        <w:rPr/>
        <w:t>的业务战略，全力保障旗峰数据中心、长沙移动数据中心等投资项目的建设工作， </w:t>
      </w:r>
      <w:r>
        <w:rPr>
          <w:spacing w:val="-2"/>
        </w:rPr>
        <w:t>加速数据中心订单效益的释放；在盘活公司</w:t>
      </w:r>
      <w:r>
        <w:rPr>
          <w:rFonts w:ascii="Times New Roman" w:hAnsi="Times New Roman" w:cs="Times New Roman" w:eastAsia="Times New Roman" w:hint="default"/>
          <w:spacing w:val="-2"/>
        </w:rPr>
        <w:t>IDC</w:t>
      </w:r>
      <w:r>
        <w:rPr>
          <w:spacing w:val="-2"/>
        </w:rPr>
        <w:t>数据中心优质资源的基础上，积极、健康地探索</w:t>
      </w:r>
      <w:r>
        <w:rPr>
          <w:rFonts w:ascii="Times New Roman" w:hAnsi="Times New Roman" w:cs="Times New Roman" w:eastAsia="Times New Roman" w:hint="default"/>
          <w:spacing w:val="-2"/>
        </w:rPr>
        <w:t>IDC+</w:t>
      </w:r>
      <w:r>
        <w:rPr>
          <w:spacing w:val="-2"/>
        </w:rPr>
        <w:t>增值业务，以证通云平</w:t>
      </w:r>
      <w:r>
        <w:rPr>
          <w:spacing w:val="-60"/>
        </w:rPr>
        <w:t> </w:t>
      </w:r>
      <w:r>
        <w:rPr>
          <w:spacing w:val="-60"/>
        </w:rPr>
      </w:r>
      <w:r>
        <w:rPr>
          <w:spacing w:val="-2"/>
        </w:rPr>
        <w:t>台为业务基础和依托，深度挖掘现有客户和潜在客户的业务诉求，结合公司的市场、资源整合、项目交付及售后服务能力与</w:t>
      </w:r>
      <w:r>
        <w:rPr>
          <w:spacing w:val="-62"/>
        </w:rPr>
        <w:t> </w:t>
      </w:r>
      <w:r>
        <w:rPr>
          <w:spacing w:val="-62"/>
        </w:rPr>
      </w:r>
      <w:r>
        <w:rPr>
          <w:spacing w:val="-4"/>
        </w:rPr>
        <w:t>客户进行</w:t>
      </w:r>
      <w:r>
        <w:rPr>
          <w:rFonts w:ascii="Times New Roman" w:hAnsi="Times New Roman" w:cs="Times New Roman" w:eastAsia="Times New Roman" w:hint="default"/>
          <w:spacing w:val="-4"/>
        </w:rPr>
        <w:t>“IDC+”</w:t>
      </w:r>
      <w:r>
        <w:rPr>
          <w:spacing w:val="-4"/>
        </w:rPr>
        <w:t>业务的耦合，促进资源整合和互利共赢，完善产业链布局，促进公司</w:t>
      </w:r>
      <w:r>
        <w:rPr>
          <w:rFonts w:ascii="Times New Roman" w:hAnsi="Times New Roman" w:cs="Times New Roman" w:eastAsia="Times New Roman" w:hint="default"/>
          <w:spacing w:val="-4"/>
        </w:rPr>
        <w:t>“IDC+</w:t>
      </w:r>
      <w:r>
        <w:rPr>
          <w:spacing w:val="-4"/>
        </w:rPr>
        <w:t>生态</w:t>
      </w:r>
      <w:r>
        <w:rPr>
          <w:rFonts w:ascii="Times New Roman" w:hAnsi="Times New Roman" w:cs="Times New Roman" w:eastAsia="Times New Roman" w:hint="default"/>
          <w:spacing w:val="-4"/>
        </w:rPr>
        <w:t>”</w:t>
      </w:r>
      <w:r>
        <w:rPr>
          <w:spacing w:val="-4"/>
        </w:rPr>
        <w:t>战略的落地，重点通过</w:t>
      </w:r>
      <w:r>
        <w:rPr>
          <w:rFonts w:ascii="Times New Roman" w:hAnsi="Times New Roman" w:cs="Times New Roman" w:eastAsia="Times New Roman" w:hint="default"/>
          <w:spacing w:val="-4"/>
        </w:rPr>
        <w:t>IDC+</w:t>
      </w:r>
      <w:r>
        <w:rPr>
          <w:rFonts w:ascii="Times New Roman" w:hAnsi="Times New Roman" w:cs="Times New Roman" w:eastAsia="Times New Roman" w:hint="default"/>
          <w:spacing w:val="3"/>
        </w:rPr>
        <w:t> </w:t>
      </w:r>
      <w:r>
        <w:rPr/>
        <w:t>业务和智慧城市、智慧园区项目，提升</w:t>
      </w:r>
      <w:r>
        <w:rPr>
          <w:rFonts w:ascii="Times New Roman" w:hAnsi="Times New Roman" w:cs="Times New Roman" w:eastAsia="Times New Roman" w:hint="default"/>
        </w:rPr>
        <w:t>IDC</w:t>
      </w:r>
      <w:r>
        <w:rPr/>
        <w:t>及云计算业务的盈利能力。</w:t>
      </w:r>
    </w:p>
    <w:p>
      <w:pPr>
        <w:pStyle w:val="BodyText"/>
        <w:spacing w:line="463" w:lineRule="auto" w:before="37"/>
        <w:ind w:right="1131" w:firstLine="360"/>
        <w:jc w:val="both"/>
      </w:pPr>
      <w:r>
        <w:rPr>
          <w:spacing w:val="-2"/>
        </w:rPr>
        <w:t>同时，</w:t>
      </w:r>
      <w:r>
        <w:rPr>
          <w:rFonts w:ascii="Times New Roman" w:hAnsi="Times New Roman" w:cs="Times New Roman" w:eastAsia="Times New Roman" w:hint="default"/>
          <w:spacing w:val="-2"/>
        </w:rPr>
        <w:t>2019</w:t>
      </w:r>
      <w:r>
        <w:rPr>
          <w:spacing w:val="-2"/>
        </w:rPr>
        <w:t>年公司将统筹各个事业部和职能部门，做好全年销售回款工作，按照</w:t>
      </w:r>
      <w:r>
        <w:rPr>
          <w:rFonts w:ascii="Times New Roman" w:hAnsi="Times New Roman" w:cs="Times New Roman" w:eastAsia="Times New Roman" w:hint="default"/>
          <w:spacing w:val="-2"/>
        </w:rPr>
        <w:t>“</w:t>
      </w:r>
      <w:r>
        <w:rPr>
          <w:spacing w:val="-2"/>
        </w:rPr>
        <w:t>风险可控，高效集约</w:t>
      </w:r>
      <w:r>
        <w:rPr>
          <w:rFonts w:ascii="Times New Roman" w:hAnsi="Times New Roman" w:cs="Times New Roman" w:eastAsia="Times New Roman" w:hint="default"/>
          <w:spacing w:val="-2"/>
        </w:rPr>
        <w:t>”</w:t>
      </w:r>
      <w:r>
        <w:rPr>
          <w:spacing w:val="-2"/>
        </w:rPr>
        <w:t>的原则，做好资</w:t>
      </w:r>
      <w:r>
        <w:rPr/>
        <w:t> </w:t>
      </w:r>
      <w:r>
        <w:rPr>
          <w:spacing w:val="-2"/>
        </w:rPr>
        <w:t>金等资源调配工作和风控体系建设工作；此外，公司将建立更完善的事业部制支撑体系和高效的工作沟通机制及通畅的信息</w:t>
      </w:r>
      <w:r>
        <w:rPr>
          <w:spacing w:val="-64"/>
        </w:rPr>
        <w:t> </w:t>
      </w:r>
      <w:r>
        <w:rPr>
          <w:spacing w:val="-64"/>
        </w:rPr>
      </w:r>
      <w:r>
        <w:rPr/>
        <w:t>流通管道，提升在人才、产品、营销、管理等多个维度的能力建设工作。</w:t>
      </w:r>
    </w:p>
    <w:p>
      <w:pPr>
        <w:pStyle w:val="Heading4"/>
        <w:spacing w:line="240" w:lineRule="auto" w:before="65"/>
        <w:ind w:right="1133"/>
        <w:jc w:val="left"/>
        <w:rPr>
          <w:b w:val="0"/>
          <w:bCs w:val="0"/>
        </w:rPr>
      </w:pPr>
      <w:r>
        <w:rPr/>
        <w:t>（四）公司面临的风险和应对措施</w:t>
      </w:r>
      <w:r>
        <w:rPr>
          <w:b w:val="0"/>
          <w:bCs w:val="0"/>
        </w:rPr>
      </w:r>
    </w:p>
    <w:p>
      <w:pPr>
        <w:spacing w:line="240" w:lineRule="auto" w:before="10"/>
        <w:rPr>
          <w:rFonts w:ascii="宋体" w:hAnsi="宋体" w:cs="宋体" w:eastAsia="宋体" w:hint="default"/>
          <w:b/>
          <w:bCs/>
          <w:sz w:val="17"/>
          <w:szCs w:val="17"/>
        </w:rPr>
      </w:pPr>
    </w:p>
    <w:p>
      <w:pPr>
        <w:pStyle w:val="BodyText"/>
        <w:spacing w:line="451" w:lineRule="auto"/>
        <w:ind w:left="513" w:right="1129"/>
        <w:jc w:val="left"/>
      </w:pPr>
      <w:r>
        <w:rPr/>
        <w:t>（</w:t>
      </w:r>
      <w:r>
        <w:rPr>
          <w:rFonts w:ascii="Times New Roman" w:hAnsi="Times New Roman" w:cs="Times New Roman" w:eastAsia="Times New Roman" w:hint="default"/>
        </w:rPr>
        <w:t>1</w:t>
      </w:r>
      <w:r>
        <w:rPr/>
        <w:t>）行业竞争加剧的风险 </w:t>
      </w:r>
      <w:r>
        <w:rPr>
          <w:spacing w:val="-2"/>
        </w:rPr>
        <w:t>随着人工智能、大数据、云计算、产业互联网为代表的新一轮信息技术的应用及普及，新兴技术日新月异带来新的市场</w:t>
      </w:r>
    </w:p>
    <w:p>
      <w:pPr>
        <w:pStyle w:val="BodyText"/>
        <w:spacing w:line="463" w:lineRule="auto" w:before="74"/>
        <w:ind w:right="1129"/>
        <w:jc w:val="left"/>
      </w:pPr>
      <w:r>
        <w:rPr>
          <w:spacing w:val="-2"/>
        </w:rPr>
        <w:t>机会和诉求。行业市场规模扩大在给公司带来良好发展机遇的同时，资金、人才逐步向行业聚集，在各细分的领域竞争对手</w:t>
      </w:r>
      <w:r>
        <w:rPr>
          <w:spacing w:val="-64"/>
        </w:rPr>
        <w:t> </w:t>
      </w:r>
      <w:r>
        <w:rPr>
          <w:spacing w:val="-64"/>
        </w:rPr>
      </w:r>
      <w:r>
        <w:rPr>
          <w:spacing w:val="-2"/>
        </w:rPr>
        <w:t>增加，从而使公司在进行业务拓展时面临的竞争愈加激烈，公司金融科技和亮化照明业务存在市场份额被竞争对手抢夺的风</w:t>
      </w:r>
      <w:r>
        <w:rPr>
          <w:spacing w:val="-64"/>
        </w:rPr>
        <w:t> </w:t>
      </w:r>
      <w:r>
        <w:rPr>
          <w:spacing w:val="-64"/>
        </w:rPr>
      </w:r>
      <w:r>
        <w:rPr>
          <w:spacing w:val="-1"/>
        </w:rPr>
        <w:t>险，</w:t>
      </w:r>
      <w:r>
        <w:rPr>
          <w:rFonts w:ascii="Times New Roman" w:hAnsi="Times New Roman" w:cs="Times New Roman" w:eastAsia="Times New Roman" w:hint="default"/>
          <w:spacing w:val="-1"/>
        </w:rPr>
        <w:t>IDC</w:t>
      </w:r>
      <w:r>
        <w:rPr>
          <w:spacing w:val="-1"/>
        </w:rPr>
        <w:t>及云计算行业处于较快增长期，竞争厂商不断加入云计算产业，公司将可能面临行业竞争加剧、业务利润率下降的</w:t>
      </w:r>
      <w:r>
        <w:rPr>
          <w:spacing w:val="-67"/>
        </w:rPr>
        <w:t> </w:t>
      </w:r>
      <w:r>
        <w:rPr>
          <w:spacing w:val="-67"/>
        </w:rPr>
      </w:r>
      <w:r>
        <w:rPr/>
        <w:t>风险。公司将加强对行业的分析研究，通过更深入地了解行业应用需求，及时掌握行业技术，聚焦</w:t>
      </w:r>
      <w:r>
        <w:rPr>
          <w:rFonts w:ascii="Times New Roman" w:hAnsi="Times New Roman" w:cs="Times New Roman" w:eastAsia="Times New Roman" w:hint="default"/>
        </w:rPr>
        <w:t>“</w:t>
      </w:r>
      <w:r>
        <w:rPr/>
        <w:t>金融科技、亮化照明、 </w:t>
      </w:r>
      <w:r>
        <w:rPr>
          <w:rFonts w:ascii="Times New Roman" w:hAnsi="Times New Roman" w:cs="Times New Roman" w:eastAsia="Times New Roman" w:hint="default"/>
        </w:rPr>
        <w:t>IDC</w:t>
      </w:r>
      <w:r>
        <w:rPr/>
        <w:t>及云计算</w:t>
      </w:r>
      <w:r>
        <w:rPr>
          <w:rFonts w:ascii="Times New Roman" w:hAnsi="Times New Roman" w:cs="Times New Roman" w:eastAsia="Times New Roman" w:hint="default"/>
        </w:rPr>
        <w:t>”</w:t>
      </w:r>
      <w:r>
        <w:rPr/>
        <w:t>三大核心业务，加快研发和应用技术创新，推动公司三大主业持续做强做精，不断增强公司在技术、资质、 </w:t>
      </w:r>
      <w:r>
        <w:rPr>
          <w:spacing w:val="-2"/>
        </w:rPr>
        <w:t>客户和服务方面的核心竞争力，推出差异化的服务、产品和行业应用解决方案，以加强市场营销和业务拓展能力，确保公司</w:t>
      </w:r>
      <w:r>
        <w:rPr>
          <w:spacing w:val="-64"/>
        </w:rPr>
        <w:t> </w:t>
      </w:r>
      <w:r>
        <w:rPr>
          <w:spacing w:val="-64"/>
        </w:rPr>
      </w:r>
      <w:r>
        <w:rPr/>
        <w:t>运营能够适应市场变化。</w:t>
      </w:r>
    </w:p>
    <w:p>
      <w:pPr>
        <w:pStyle w:val="BodyText"/>
        <w:spacing w:line="451" w:lineRule="auto" w:before="65"/>
        <w:ind w:left="513" w:right="1182"/>
        <w:jc w:val="left"/>
      </w:pPr>
      <w:r>
        <w:rPr/>
        <w:t>（</w:t>
      </w:r>
      <w:r>
        <w:rPr>
          <w:rFonts w:ascii="Times New Roman" w:hAnsi="Times New Roman" w:cs="Times New Roman" w:eastAsia="Times New Roman" w:hint="default"/>
        </w:rPr>
        <w:t>2</w:t>
      </w:r>
      <w:r>
        <w:rPr/>
        <w:t>）经营管控风险 公司全面聚焦</w:t>
      </w:r>
      <w:r>
        <w:rPr>
          <w:rFonts w:ascii="Times New Roman" w:hAnsi="Times New Roman" w:cs="Times New Roman" w:eastAsia="Times New Roman" w:hint="default"/>
        </w:rPr>
        <w:t>“</w:t>
      </w:r>
      <w:r>
        <w:rPr/>
        <w:t>金融科技、亮化照明、</w:t>
      </w:r>
      <w:r>
        <w:rPr>
          <w:rFonts w:ascii="Times New Roman" w:hAnsi="Times New Roman" w:cs="Times New Roman" w:eastAsia="Times New Roman" w:hint="default"/>
        </w:rPr>
        <w:t>IDC+</w:t>
      </w:r>
      <w:r>
        <w:rPr/>
        <w:t>生态</w:t>
      </w:r>
      <w:r>
        <w:rPr>
          <w:rFonts w:ascii="Times New Roman" w:hAnsi="Times New Roman" w:cs="Times New Roman" w:eastAsia="Times New Roman" w:hint="default"/>
        </w:rPr>
        <w:t>”</w:t>
      </w:r>
      <w:r>
        <w:rPr/>
        <w:t>三大核心业务领域，随着公司业务布局的深入和发展，对公司运营管</w:t>
      </w:r>
    </w:p>
    <w:p>
      <w:pPr>
        <w:pStyle w:val="BodyText"/>
        <w:spacing w:line="477" w:lineRule="auto" w:before="43"/>
        <w:ind w:right="1131"/>
        <w:jc w:val="both"/>
      </w:pPr>
      <w:r>
        <w:rPr>
          <w:spacing w:val="-2"/>
        </w:rPr>
        <w:t>理、人才发展、技术开发、业务拓展等各方面的能力带来更大的挑战，若不能进一步提高管理水平，引致产品、技术和服务</w:t>
      </w:r>
      <w:r>
        <w:rPr>
          <w:spacing w:val="-67"/>
        </w:rPr>
        <w:t> </w:t>
      </w:r>
      <w:r>
        <w:rPr>
          <w:spacing w:val="-67"/>
        </w:rPr>
      </w:r>
      <w:r>
        <w:rPr>
          <w:spacing w:val="-2"/>
        </w:rPr>
        <w:t>的创新速度跟不上市场的变化，有可能影响公司的正常运作以及经营目标的实现。公司将积极完善法人治理结构及内部管理</w:t>
      </w:r>
      <w:r>
        <w:rPr>
          <w:spacing w:val="-64"/>
        </w:rPr>
        <w:t> </w:t>
      </w:r>
      <w:r>
        <w:rPr>
          <w:spacing w:val="-64"/>
        </w:rPr>
      </w:r>
      <w:r>
        <w:rPr>
          <w:spacing w:val="-2"/>
        </w:rPr>
        <w:t>流程，进一步规范公司运作，完善内控制度体系建设，加强内控管理、预算管理和财务管控，强化各类决策的科学性；同时</w:t>
      </w:r>
      <w:r>
        <w:rPr>
          <w:spacing w:val="-68"/>
        </w:rPr>
        <w:t> </w:t>
      </w:r>
      <w:r>
        <w:rPr>
          <w:spacing w:val="-68"/>
        </w:rPr>
      </w:r>
      <w:r>
        <w:rPr>
          <w:spacing w:val="-2"/>
        </w:rPr>
        <w:t>完善信息化管理平台的建设，提高管理效率及水平；提高公司管理层及核心员工的管理能力，完善激励机制，着力提高事业</w:t>
      </w:r>
    </w:p>
    <w:p>
      <w:pPr>
        <w:spacing w:after="0" w:line="477"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both"/>
      </w:pPr>
      <w:r>
        <w:rPr/>
        <w:t>部制的管理水平，打造综合型管理团队，进一步释放内生动能，提高在产品、技术上的创新能力和水平，以降低经营风险。</w:t>
      </w:r>
    </w:p>
    <w:p>
      <w:pPr>
        <w:spacing w:line="240" w:lineRule="auto" w:before="10"/>
        <w:rPr>
          <w:rFonts w:ascii="宋体" w:hAnsi="宋体" w:cs="宋体" w:eastAsia="宋体" w:hint="default"/>
          <w:sz w:val="17"/>
          <w:szCs w:val="17"/>
        </w:rPr>
      </w:pPr>
    </w:p>
    <w:p>
      <w:pPr>
        <w:pStyle w:val="BodyText"/>
        <w:spacing w:line="451" w:lineRule="auto"/>
        <w:ind w:left="513" w:right="1033"/>
        <w:jc w:val="left"/>
      </w:pPr>
      <w:r>
        <w:rPr/>
        <w:t>（</w:t>
      </w:r>
      <w:r>
        <w:rPr>
          <w:rFonts w:ascii="Times New Roman" w:hAnsi="Times New Roman" w:cs="Times New Roman" w:eastAsia="Times New Roman" w:hint="default"/>
        </w:rPr>
        <w:t>3</w:t>
      </w:r>
      <w:r>
        <w:rPr/>
        <w:t>）新增固定资产折旧风险 公司在粤港澳大湾区和中部地区投建的数据中心陆续建成、交付，将带来公司资产折旧的增加。在折旧费增加的同时，</w:t>
      </w:r>
    </w:p>
    <w:p>
      <w:pPr>
        <w:pStyle w:val="BodyText"/>
        <w:spacing w:line="470" w:lineRule="auto" w:before="74"/>
        <w:ind w:right="1130"/>
        <w:jc w:val="both"/>
      </w:pPr>
      <w:r>
        <w:rPr>
          <w:spacing w:val="-2"/>
        </w:rPr>
        <w:t>如客户项目进度推进较慢，影响机柜上架进度，预期收益或公司盈利能力增长未能有效消化相应的固定资产折旧，则公司新</w:t>
      </w:r>
      <w:r>
        <w:rPr>
          <w:spacing w:val="-63"/>
        </w:rPr>
        <w:t> </w:t>
      </w:r>
      <w:r>
        <w:rPr>
          <w:spacing w:val="-63"/>
        </w:rPr>
      </w:r>
      <w:r>
        <w:rPr>
          <w:spacing w:val="-2"/>
        </w:rPr>
        <w:t>增折旧将会对公司盈利水平、经营业绩产生造成不利影响。公司将积极提升运营管理水平，逐步加大现有投产的分布式数据</w:t>
      </w:r>
      <w:r>
        <w:rPr>
          <w:spacing w:val="-63"/>
        </w:rPr>
        <w:t> </w:t>
      </w:r>
      <w:r>
        <w:rPr>
          <w:spacing w:val="-63"/>
        </w:rPr>
      </w:r>
      <w:r>
        <w:rPr>
          <w:spacing w:val="-2"/>
        </w:rPr>
        <w:t>中心的机架租赁上架率、带宽租金和增值服务的销售，在盘活公司</w:t>
      </w:r>
      <w:r>
        <w:rPr>
          <w:rFonts w:ascii="Times New Roman" w:hAnsi="Times New Roman" w:cs="Times New Roman" w:eastAsia="Times New Roman" w:hint="default"/>
          <w:spacing w:val="-2"/>
        </w:rPr>
        <w:t>IDC</w:t>
      </w:r>
      <w:r>
        <w:rPr>
          <w:spacing w:val="-2"/>
        </w:rPr>
        <w:t>数据中心优质资源的基础上，积极、健康地探索</w:t>
      </w:r>
      <w:r>
        <w:rPr>
          <w:rFonts w:ascii="Times New Roman" w:hAnsi="Times New Roman" w:cs="Times New Roman" w:eastAsia="Times New Roman" w:hint="default"/>
          <w:spacing w:val="-2"/>
        </w:rPr>
        <w:t>IDC+</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16"/>
        </w:rPr>
      </w:r>
      <w:r>
        <w:rPr>
          <w:spacing w:val="-2"/>
        </w:rPr>
        <w:t>增值业务，以证通云平台为业务基础和依托，深度挖掘现有客户和潜在客户的业务诉求，结合公司的市场、资源整合、项目</w:t>
      </w:r>
      <w:r>
        <w:rPr>
          <w:spacing w:val="-67"/>
        </w:rPr>
        <w:t> </w:t>
      </w:r>
      <w:r>
        <w:rPr>
          <w:spacing w:val="-67"/>
        </w:rPr>
      </w:r>
      <w:r>
        <w:rPr/>
        <w:t>交付及售后服务能力与客户进行</w:t>
      </w:r>
      <w:r>
        <w:rPr>
          <w:rFonts w:ascii="Times New Roman" w:hAnsi="Times New Roman" w:cs="Times New Roman" w:eastAsia="Times New Roman" w:hint="default"/>
        </w:rPr>
        <w:t>“IDC+”</w:t>
      </w:r>
      <w:r>
        <w:rPr/>
        <w:t>业务的耦合，加速释放现有投产的分布式数据中心的订单效益。</w:t>
      </w:r>
    </w:p>
    <w:p>
      <w:pPr>
        <w:pStyle w:val="BodyText"/>
        <w:spacing w:line="451" w:lineRule="auto" w:before="27"/>
        <w:ind w:left="513" w:right="1129" w:firstLine="72"/>
        <w:jc w:val="left"/>
      </w:pPr>
      <w:r>
        <w:rPr/>
        <w:t>（</w:t>
      </w:r>
      <w:r>
        <w:rPr>
          <w:rFonts w:ascii="Times New Roman" w:hAnsi="Times New Roman" w:cs="Times New Roman" w:eastAsia="Times New Roman" w:hint="default"/>
        </w:rPr>
        <w:t>4</w:t>
      </w:r>
      <w:r>
        <w:rPr/>
        <w:t>）应收账款风险 </w:t>
      </w:r>
      <w:r>
        <w:rPr>
          <w:spacing w:val="-2"/>
        </w:rPr>
        <w:t>公司主要客户为知名企业单位和政府客户，信誉度高且账期较短，由于相关业务和项目陆续建设、交付后尚未到约定回</w:t>
      </w:r>
    </w:p>
    <w:p>
      <w:pPr>
        <w:pStyle w:val="BodyText"/>
        <w:spacing w:line="472" w:lineRule="auto" w:before="74"/>
        <w:ind w:right="1130"/>
        <w:jc w:val="both"/>
      </w:pPr>
      <w:r>
        <w:rPr/>
        <w:t>款期，导致公司应收账款增加。虽然公司应收账款绝大部分账龄在</w:t>
      </w:r>
      <w:r>
        <w:rPr>
          <w:rFonts w:ascii="Times New Roman" w:hAnsi="Times New Roman" w:cs="Times New Roman" w:eastAsia="Times New Roman" w:hint="default"/>
        </w:rPr>
        <w:t>1</w:t>
      </w:r>
      <w:r>
        <w:rPr/>
        <w:t>年左右，但受到政府</w:t>
      </w:r>
      <w:r>
        <w:rPr>
          <w:rFonts w:ascii="Times New Roman" w:hAnsi="Times New Roman" w:cs="Times New Roman" w:eastAsia="Times New Roman" w:hint="default"/>
        </w:rPr>
        <w:t>“</w:t>
      </w:r>
      <w:r>
        <w:rPr/>
        <w:t>去杠杆</w:t>
      </w:r>
      <w:r>
        <w:rPr>
          <w:rFonts w:ascii="Times New Roman" w:hAnsi="Times New Roman" w:cs="Times New Roman" w:eastAsia="Times New Roman" w:hint="default"/>
        </w:rPr>
        <w:t>”</w:t>
      </w:r>
      <w:r>
        <w:rPr/>
        <w:t>等政策和市场因素影响， </w:t>
      </w:r>
      <w:r>
        <w:rPr>
          <w:spacing w:val="-2"/>
        </w:rPr>
        <w:t>若客户的信用状况发生不利变化或者客户延迟支付货款，可能导致应收账款不能按期收回或无法收回，公司面临生产经营活</w:t>
      </w:r>
      <w:r>
        <w:rPr>
          <w:spacing w:val="-64"/>
        </w:rPr>
        <w:t> </w:t>
      </w:r>
      <w:r>
        <w:rPr>
          <w:spacing w:val="-64"/>
        </w:rPr>
      </w:r>
      <w:r>
        <w:rPr>
          <w:spacing w:val="-2"/>
        </w:rPr>
        <w:t>动资金紧张和发生坏账损失的风险，从而对公司的生产经营和业绩产生不利影响。公司将专注扩展现金流较好的项目和履约</w:t>
      </w:r>
      <w:r>
        <w:rPr>
          <w:spacing w:val="-63"/>
        </w:rPr>
        <w:t> </w:t>
      </w:r>
      <w:r>
        <w:rPr>
          <w:spacing w:val="-63"/>
        </w:rPr>
      </w:r>
      <w:r>
        <w:rPr>
          <w:spacing w:val="-2"/>
        </w:rPr>
        <w:t>能力较好的客户，提升交付能力和服务水平，在业务合同执行过程中加强货款的管理与监控，及时督促客户进行验收并支付</w:t>
      </w:r>
      <w:r>
        <w:rPr>
          <w:spacing w:val="-63"/>
        </w:rPr>
        <w:t> </w:t>
      </w:r>
      <w:r>
        <w:rPr>
          <w:spacing w:val="-63"/>
        </w:rPr>
      </w:r>
      <w:r>
        <w:rPr>
          <w:spacing w:val="-2"/>
        </w:rPr>
        <w:t>验收款；同时建立全面的信用管理制度和客户信用评估体系，针对不同信用等级客户给予不同的账期，加强赊账和欠账的监</w:t>
      </w:r>
      <w:r>
        <w:rPr>
          <w:spacing w:val="-63"/>
        </w:rPr>
        <w:t> </w:t>
      </w:r>
      <w:r>
        <w:rPr>
          <w:spacing w:val="-63"/>
        </w:rPr>
      </w:r>
      <w:r>
        <w:rPr/>
        <w:t>控及催收。</w:t>
      </w:r>
    </w:p>
    <w:p>
      <w:pPr>
        <w:pStyle w:val="BodyText"/>
        <w:spacing w:line="451" w:lineRule="auto" w:before="58"/>
        <w:ind w:left="513" w:right="1161"/>
        <w:jc w:val="left"/>
      </w:pPr>
      <w:r>
        <w:rPr/>
        <w:t>（</w:t>
      </w:r>
      <w:r>
        <w:rPr>
          <w:rFonts w:ascii="Times New Roman" w:hAnsi="Times New Roman" w:cs="Times New Roman" w:eastAsia="Times New Roman" w:hint="default"/>
        </w:rPr>
        <w:t>5</w:t>
      </w:r>
      <w:r>
        <w:rPr/>
        <w:t>）现金流风险 公司积极采取措施改善现金流，但随着公司业务的发展，特别是智慧照明工程、</w:t>
      </w:r>
      <w:r>
        <w:rPr>
          <w:rFonts w:ascii="Times New Roman" w:hAnsi="Times New Roman" w:cs="Times New Roman" w:eastAsia="Times New Roman" w:hint="default"/>
        </w:rPr>
        <w:t>IDC+</w:t>
      </w:r>
      <w:r>
        <w:rPr/>
        <w:t>业务，投资规模较大，未来可能</w:t>
      </w:r>
    </w:p>
    <w:p>
      <w:pPr>
        <w:pStyle w:val="BodyText"/>
        <w:spacing w:line="463" w:lineRule="auto" w:before="43"/>
        <w:ind w:right="1131"/>
        <w:jc w:val="both"/>
      </w:pPr>
      <w:r>
        <w:rPr>
          <w:spacing w:val="-3"/>
        </w:rPr>
        <w:t>出现客户项目进度推进较慢、应收账款不能按期或无法全部回收的坏账情况；同时受市场融资难、融资贵、融资门槛高和</w:t>
      </w:r>
      <w:r>
        <w:rPr>
          <w:rFonts w:ascii="Times New Roman" w:hAnsi="Times New Roman" w:cs="Times New Roman" w:eastAsia="Times New Roman" w:hint="default"/>
          <w:spacing w:val="-3"/>
        </w:rPr>
        <w:t>“</w:t>
      </w:r>
      <w:r>
        <w:rPr>
          <w:spacing w:val="-3"/>
        </w:rPr>
        <w:t>去</w:t>
      </w:r>
      <w:r>
        <w:rPr>
          <w:spacing w:val="-88"/>
        </w:rPr>
        <w:t> </w:t>
      </w:r>
      <w:r>
        <w:rPr/>
        <w:t>杠杆</w:t>
      </w:r>
      <w:r>
        <w:rPr>
          <w:rFonts w:ascii="Times New Roman" w:hAnsi="Times New Roman" w:cs="Times New Roman" w:eastAsia="Times New Roman" w:hint="default"/>
        </w:rPr>
        <w:t>”</w:t>
      </w:r>
      <w:r>
        <w:rPr/>
        <w:t>等因素的综合影响，公司如不能对现金流做好管理，将可能导致公司正常运作因现金流的短缺而出现不利的风险，从 </w:t>
      </w:r>
      <w:r>
        <w:rPr>
          <w:spacing w:val="-2"/>
        </w:rPr>
        <w:t>而影响公司盈利水平。公司将按照</w:t>
      </w:r>
      <w:r>
        <w:rPr>
          <w:rFonts w:ascii="Times New Roman" w:hAnsi="Times New Roman" w:cs="Times New Roman" w:eastAsia="Times New Roman" w:hint="default"/>
          <w:spacing w:val="-2"/>
        </w:rPr>
        <w:t>“</w:t>
      </w:r>
      <w:r>
        <w:rPr>
          <w:spacing w:val="-2"/>
        </w:rPr>
        <w:t>稳健经营</w:t>
      </w:r>
      <w:r>
        <w:rPr>
          <w:rFonts w:ascii="Times New Roman" w:hAnsi="Times New Roman" w:cs="Times New Roman" w:eastAsia="Times New Roman" w:hint="default"/>
          <w:spacing w:val="-2"/>
        </w:rPr>
        <w:t>”</w:t>
      </w:r>
      <w:r>
        <w:rPr>
          <w:spacing w:val="-2"/>
        </w:rPr>
        <w:t>的原则进行发展，加强现金流管理及资金链安全管理，积极建立全面的信用管</w:t>
      </w:r>
      <w:r>
        <w:rPr>
          <w:spacing w:val="-45"/>
        </w:rPr>
        <w:t> </w:t>
      </w:r>
      <w:r>
        <w:rPr>
          <w:spacing w:val="-45"/>
        </w:rPr>
      </w:r>
      <w:r>
        <w:rPr>
          <w:spacing w:val="-2"/>
        </w:rPr>
        <w:t>理制度，通过业务回款等实现自身运营现金流的良性循环；加强项目管理，通过业务的差异化调控，专注扩展现金流较好的</w:t>
      </w:r>
      <w:r>
        <w:rPr>
          <w:spacing w:val="-65"/>
        </w:rPr>
        <w:t> </w:t>
      </w:r>
      <w:r>
        <w:rPr>
          <w:spacing w:val="-65"/>
        </w:rPr>
      </w:r>
      <w:r>
        <w:rPr>
          <w:spacing w:val="-2"/>
        </w:rPr>
        <w:t>项目和履约能力较好的客户，提升交付能力和服务水平，加强项目收款工作，以改善现金流情况；同时积极通过合理的财务</w:t>
      </w:r>
      <w:r>
        <w:rPr>
          <w:spacing w:val="-65"/>
        </w:rPr>
        <w:t> </w:t>
      </w:r>
      <w:r>
        <w:rPr>
          <w:spacing w:val="-65"/>
        </w:rPr>
      </w:r>
      <w:r>
        <w:rPr>
          <w:spacing w:val="-2"/>
        </w:rPr>
        <w:t>规划并将在适当时机利用各种融资方式，提高业务毛利率水平、控制费用、改善负债结构、降低融资成本，以满足自身经营</w:t>
      </w:r>
      <w:r>
        <w:rPr>
          <w:spacing w:val="-66"/>
        </w:rPr>
        <w:t> </w:t>
      </w:r>
      <w:r>
        <w:rPr>
          <w:spacing w:val="-66"/>
        </w:rPr>
      </w:r>
      <w:r>
        <w:rPr/>
        <w:t>发展的流动资金需求。</w:t>
      </w:r>
    </w:p>
    <w:p>
      <w:pPr>
        <w:spacing w:line="240" w:lineRule="auto" w:before="4"/>
        <w:rPr>
          <w:rFonts w:ascii="宋体" w:hAnsi="宋体" w:cs="宋体" w:eastAsia="宋体" w:hint="default"/>
          <w:sz w:val="18"/>
          <w:szCs w:val="18"/>
        </w:rPr>
      </w:pPr>
    </w:p>
    <w:p>
      <w:pPr>
        <w:pStyle w:val="Heading2"/>
        <w:spacing w:line="240" w:lineRule="auto"/>
        <w:ind w:right="0"/>
        <w:jc w:val="both"/>
        <w:rPr>
          <w:b w:val="0"/>
          <w:bCs w:val="0"/>
        </w:rPr>
      </w:pPr>
      <w:r>
        <w:rPr/>
        <w:t>十、接待调研、沟通、采访等活动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both"/>
        <w:sectPr>
          <w:footerReference w:type="default" r:id="rId14"/>
          <w:pgSz w:w="11910" w:h="16840"/>
          <w:pgMar w:footer="979" w:header="745" w:top="1060" w:bottom="1160" w:left="980" w:right="0"/>
          <w:pgNumType w:start="49"/>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339"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宋体" w:hAnsi="宋体" w:cs="宋体" w:eastAsia="宋体" w:hint="default"/>
                <w:sz w:val="18"/>
                <w:szCs w:val="18"/>
              </w:rPr>
              <w:t>深交所互动易平台</w:t>
            </w:r>
          </w:p>
          <w:p>
            <w:pPr>
              <w:pStyle w:val="TableParagraph"/>
              <w:spacing w:line="300" w:lineRule="auto" w:before="74"/>
              <w:ind w:left="23" w:right="18"/>
              <w:jc w:val="both"/>
              <w:rPr>
                <w:rFonts w:ascii="宋体" w:hAnsi="宋体" w:cs="宋体" w:eastAsia="宋体" w:hint="default"/>
                <w:sz w:val="18"/>
                <w:szCs w:val="18"/>
              </w:rPr>
            </w:pPr>
            <w:r>
              <w:rPr>
                <w:rFonts w:ascii="宋体" w:hAnsi="宋体" w:cs="宋体" w:eastAsia="宋体" w:hint="default"/>
                <w:sz w:val="18"/>
                <w:szCs w:val="18"/>
              </w:rPr>
              <w:t>（</w:t>
            </w:r>
            <w:hyperlink r:id="rId15">
              <w:r>
                <w:rPr>
                  <w:rFonts w:ascii="Times New Roman" w:hAnsi="Times New Roman" w:cs="Times New Roman" w:eastAsia="Times New Roman" w:hint="default"/>
                  <w:sz w:val="18"/>
                  <w:szCs w:val="18"/>
                </w:rPr>
                <w:t>http://irm.cninfo.com.cn/ssessgs/S002</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197/index.html</w:t>
            </w:r>
            <w:r>
              <w:rPr>
                <w:rFonts w:ascii="宋体" w:hAnsi="宋体" w:cs="宋体" w:eastAsia="宋体" w:hint="default"/>
                <w:spacing w:val="-2"/>
                <w:sz w:val="18"/>
                <w:szCs w:val="18"/>
              </w:rPr>
              <w:t>）投资者关系专栏</w:t>
            </w:r>
            <w:r>
              <w:rPr>
                <w:rFonts w:ascii="Times New Roman" w:hAnsi="Times New Roman" w:cs="Times New Roman" w:eastAsia="Times New Roman" w:hint="default"/>
                <w:spacing w:val="-2"/>
                <w:sz w:val="18"/>
                <w:szCs w:val="18"/>
              </w:rPr>
              <w:t>--2018</w:t>
            </w:r>
            <w:r>
              <w:rPr>
                <w:rFonts w:ascii="Times New Roman" w:hAnsi="Times New Roman" w:cs="Times New Roman" w:eastAsia="Times New Roman" w:hint="default"/>
                <w:spacing w:val="-28"/>
                <w:sz w:val="18"/>
                <w:szCs w:val="18"/>
              </w:rPr>
              <w:t> </w:t>
            </w:r>
            <w:r>
              <w:rPr>
                <w:rFonts w:ascii="Times New Roman" w:hAnsi="Times New Roman" w:cs="Times New Roman" w:eastAsia="Times New Roman" w:hint="default"/>
                <w:spacing w:val="-28"/>
                <w:sz w:val="18"/>
                <w:szCs w:val="18"/>
              </w:rPr>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日投资者关系活动记录表</w:t>
            </w:r>
          </w:p>
        </w:tc>
      </w:tr>
    </w:tbl>
    <w:p>
      <w:pPr>
        <w:spacing w:after="0" w:line="300" w:lineRule="auto"/>
        <w:jc w:val="both"/>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83" w:right="1059"/>
        <w:jc w:val="center"/>
        <w:rPr>
          <w:b w:val="0"/>
          <w:bCs w:val="0"/>
        </w:rPr>
      </w:pPr>
      <w:bookmarkStart w:name="_bookmark4" w:id="5"/>
      <w:bookmarkEnd w:id="5"/>
      <w:r>
        <w:rPr>
          <w:b w:val="0"/>
          <w:bCs w:val="0"/>
        </w:rPr>
      </w:r>
      <w:r>
        <w:rPr/>
        <w:t>第五节</w:t>
      </w:r>
      <w:r>
        <w:rPr>
          <w:spacing w:val="-2"/>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报告期内普通股利润分配政策，特别是现金分红政策的制定、执行或调整情况</w:t>
      </w:r>
    </w:p>
    <w:p>
      <w:pPr>
        <w:pStyle w:val="BodyText"/>
        <w:spacing w:line="338" w:lineRule="auto" w:before="117"/>
        <w:ind w:left="513" w:right="1123" w:hanging="361"/>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公司根据中国证券监督管理委员会于</w:t>
      </w:r>
      <w:r>
        <w:rPr>
          <w:rFonts w:ascii="Times New Roman" w:hAnsi="Times New Roman" w:cs="Times New Roman" w:eastAsia="Times New Roman" w:hint="default"/>
        </w:rPr>
        <w:t>2014</w:t>
      </w:r>
      <w:r>
        <w:rPr/>
        <w:t>年下发的《上市公司章程指引（</w:t>
      </w:r>
      <w:r>
        <w:rPr>
          <w:rFonts w:ascii="Times New Roman" w:hAnsi="Times New Roman" w:cs="Times New Roman" w:eastAsia="Times New Roman" w:hint="default"/>
        </w:rPr>
        <w:t>2014</w:t>
      </w:r>
      <w:r>
        <w:rPr/>
        <w:t>年修订）》的有关规定，于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12</w:t>
      </w:r>
    </w:p>
    <w:p>
      <w:pPr>
        <w:pStyle w:val="BodyText"/>
        <w:spacing w:line="230" w:lineRule="exact"/>
        <w:ind w:right="1133"/>
        <w:jc w:val="left"/>
      </w:pPr>
      <w:r>
        <w:rPr/>
        <w:t>日召开的第三届董事会第十二次会议和</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w:t>
      </w:r>
      <w:r>
        <w:rPr/>
        <w:t>日公司</w:t>
      </w:r>
      <w:r>
        <w:rPr>
          <w:rFonts w:ascii="Times New Roman" w:hAnsi="Times New Roman" w:cs="Times New Roman" w:eastAsia="Times New Roman" w:hint="default"/>
        </w:rPr>
        <w:t>2014</w:t>
      </w:r>
      <w:r>
        <w:rPr/>
        <w:t>年第三次临时股东大会审议通过《关于修改</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w:t>
      </w:r>
    </w:p>
    <w:p>
      <w:pPr>
        <w:pStyle w:val="BodyText"/>
        <w:spacing w:line="316" w:lineRule="auto" w:before="63"/>
        <w:ind w:right="1133"/>
        <w:jc w:val="left"/>
      </w:pPr>
      <w:r>
        <w:rPr>
          <w:spacing w:val="-2"/>
        </w:rPr>
        <w:t>案》，对公司章程确定的现金分红政策进行调整，进一步健全公司分红决策程序和机制，在满足公司章程规定的条件，经过</w:t>
      </w:r>
      <w:r>
        <w:rPr>
          <w:spacing w:val="-67"/>
        </w:rPr>
        <w:t> </w:t>
      </w:r>
      <w:r>
        <w:rPr>
          <w:spacing w:val="-67"/>
        </w:rPr>
      </w:r>
      <w:r>
        <w:rPr/>
        <w:t>详细论证后，履行相应的决策程序，并经出席股东大会的股东所持表决权的</w:t>
      </w:r>
      <w:r>
        <w:rPr>
          <w:rFonts w:ascii="Times New Roman" w:hAnsi="Times New Roman" w:cs="Times New Roman" w:eastAsia="Times New Roman" w:hint="default"/>
        </w:rPr>
        <w:t>2/3</w:t>
      </w:r>
      <w:r>
        <w:rPr/>
        <w:t>以上通过。</w:t>
      </w:r>
    </w:p>
    <w:p>
      <w:pPr>
        <w:pStyle w:val="BodyText"/>
        <w:spacing w:line="304" w:lineRule="auto"/>
        <w:ind w:right="1044" w:firstLine="360"/>
        <w:jc w:val="both"/>
      </w:pPr>
      <w:r>
        <w:rPr/>
        <w:t>公司根据中国证监会《关于进一步落实上市公司现金分红有关事项的通知》、《上市公司监管指引第</w:t>
      </w:r>
      <w:r>
        <w:rPr>
          <w:rFonts w:ascii="Times New Roman" w:hAnsi="Times New Roman" w:cs="Times New Roman" w:eastAsia="Times New Roman" w:hint="default"/>
        </w:rPr>
        <w:t>3</w:t>
      </w:r>
      <w:r>
        <w:rPr/>
        <w:t>号</w:t>
      </w:r>
      <w:r>
        <w:rPr>
          <w:rFonts w:ascii="Times New Roman" w:hAnsi="Times New Roman" w:cs="Times New Roman" w:eastAsia="Times New Roman" w:hint="default"/>
        </w:rPr>
        <w:t>——</w:t>
      </w:r>
      <w:r>
        <w:rPr/>
        <w:t>上市公司 </w:t>
      </w:r>
      <w:r>
        <w:rPr>
          <w:spacing w:val="-2"/>
        </w:rPr>
        <w:t>现金分红》和《公司章程》等相关规定，并综合考虑公司盈利能力、经营发展规划、股东回报、社会资金成本以及外部融资</w:t>
      </w:r>
      <w:r>
        <w:rPr>
          <w:spacing w:val="-73"/>
        </w:rPr>
        <w:t> </w:t>
      </w:r>
      <w:r>
        <w:rPr>
          <w:spacing w:val="-73"/>
        </w:rPr>
      </w:r>
      <w:r>
        <w:rPr/>
        <w:t>环境等因素，制定了《公司未来三年（</w:t>
      </w:r>
      <w:r>
        <w:rPr>
          <w:rFonts w:ascii="Times New Roman" w:hAnsi="Times New Roman" w:cs="Times New Roman" w:eastAsia="Times New Roman" w:hint="default"/>
        </w:rPr>
        <w:t>2018-2020</w:t>
      </w:r>
      <w:r>
        <w:rPr>
          <w:rFonts w:ascii="Times New Roman" w:hAnsi="Times New Roman" w:cs="Times New Roman" w:eastAsia="Times New Roman" w:hint="default"/>
          <w:spacing w:val="26"/>
        </w:rPr>
        <w:t> </w:t>
      </w:r>
      <w:r>
        <w:rPr/>
        <w:t>年）股东回报规划》，并经公司于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日召开的第四届董事会第 二十三次会议和</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日公司</w:t>
      </w:r>
      <w:r>
        <w:rPr>
          <w:rFonts w:ascii="Times New Roman" w:hAnsi="Times New Roman" w:cs="Times New Roman" w:eastAsia="Times New Roman" w:hint="default"/>
        </w:rPr>
        <w:t>2017</w:t>
      </w:r>
      <w:r>
        <w:rPr/>
        <w:t>年年度股东大会审议通过。规划中明确规定了差异化的现金分红政策，并提供多种 </w:t>
      </w:r>
      <w:r>
        <w:rPr>
          <w:spacing w:val="-4"/>
        </w:rPr>
        <w:t>渠道为股东参与股东大会提供便利等内容进行了修订，进一步完善董事会、股东大会对公司利润分配事项的决策程序和机制。</w:t>
      </w: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397"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29"/>
        <w:ind w:left="513" w:right="1133"/>
        <w:jc w:val="left"/>
      </w:pPr>
      <w:r>
        <w:rPr/>
        <w:t>公司</w:t>
      </w:r>
      <w:r>
        <w:rPr>
          <w:spacing w:val="-1"/>
        </w:rPr>
        <w:t>近</w:t>
      </w:r>
      <w:r>
        <w:rPr>
          <w:rFonts w:ascii="Times New Roman" w:hAnsi="Times New Roman" w:cs="Times New Roman" w:eastAsia="Times New Roman" w:hint="default"/>
          <w:spacing w:val="1"/>
        </w:rPr>
        <w:t>3</w:t>
      </w:r>
      <w:r>
        <w:rPr/>
        <w:t>年（包括本报告期）的普通股股利分配方案（预案</w:t>
      </w:r>
      <w:r>
        <w:rPr>
          <w:spacing w:val="-92"/>
        </w:rPr>
        <w:t>）</w:t>
      </w:r>
      <w:r>
        <w:rPr>
          <w:spacing w:val="2"/>
        </w:rPr>
        <w:t>、</w:t>
      </w:r>
      <w:r>
        <w:rPr/>
        <w:t>资本公积金转增股本方案（预案）情况</w:t>
      </w:r>
    </w:p>
    <w:p>
      <w:pPr>
        <w:pStyle w:val="BodyText"/>
        <w:spacing w:line="240" w:lineRule="auto" w:before="63"/>
        <w:ind w:left="513" w:right="1133"/>
        <w:jc w:val="left"/>
      </w:pP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2018</w:t>
      </w:r>
      <w:r>
        <w:rPr/>
        <w:t>年年度权益分派方案为：公司本年度不派发现金红利，不送红股，不以公积金转增股本。</w:t>
      </w:r>
    </w:p>
    <w:p>
      <w:pPr>
        <w:pStyle w:val="BodyText"/>
        <w:spacing w:line="300" w:lineRule="auto" w:before="63"/>
        <w:ind w:right="1133" w:firstLine="360"/>
        <w:jc w:val="both"/>
      </w:pPr>
      <w:r>
        <w:rPr>
          <w:rFonts w:ascii="Times New Roman" w:hAnsi="Times New Roman" w:cs="Times New Roman" w:eastAsia="Times New Roman" w:hint="default"/>
          <w:spacing w:val="-5"/>
        </w:rPr>
        <w:t>2</w:t>
      </w:r>
      <w:r>
        <w:rPr>
          <w:spacing w:val="-5"/>
        </w:rPr>
        <w:t>、公司</w:t>
      </w:r>
      <w:r>
        <w:rPr>
          <w:rFonts w:ascii="Times New Roman" w:hAnsi="Times New Roman" w:cs="Times New Roman" w:eastAsia="Times New Roman" w:hint="default"/>
          <w:spacing w:val="-5"/>
        </w:rPr>
        <w:t>2017</w:t>
      </w:r>
      <w:r>
        <w:rPr>
          <w:spacing w:val="-5"/>
        </w:rPr>
        <w:t>年年度权益分派方案为：公司以</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日总股本</w:t>
      </w:r>
      <w:r>
        <w:rPr>
          <w:rFonts w:ascii="Times New Roman" w:hAnsi="Times New Roman" w:cs="Times New Roman" w:eastAsia="Times New Roman" w:hint="default"/>
          <w:spacing w:val="-5"/>
        </w:rPr>
        <w:t>515,156,948</w:t>
      </w:r>
      <w:r>
        <w:rPr>
          <w:spacing w:val="-5"/>
        </w:rPr>
        <w:t>股为基数，每</w:t>
      </w:r>
      <w:r>
        <w:rPr>
          <w:rFonts w:ascii="Times New Roman" w:hAnsi="Times New Roman" w:cs="Times New Roman" w:eastAsia="Times New Roman" w:hint="default"/>
          <w:spacing w:val="-5"/>
        </w:rPr>
        <w:t>10</w:t>
      </w:r>
      <w:r>
        <w:rPr>
          <w:spacing w:val="-5"/>
        </w:rPr>
        <w:t>股派现金</w:t>
      </w:r>
      <w:r>
        <w:rPr>
          <w:rFonts w:ascii="Times New Roman" w:hAnsi="Times New Roman" w:cs="Times New Roman" w:eastAsia="Times New Roman" w:hint="default"/>
          <w:spacing w:val="-5"/>
        </w:rPr>
        <w:t>0.50</w:t>
      </w:r>
      <w:r>
        <w:rPr>
          <w:spacing w:val="-5"/>
        </w:rPr>
        <w:t>元（含税），</w:t>
      </w:r>
      <w:r>
        <w:rPr/>
        <w:t> 共计派现</w:t>
      </w:r>
      <w:r>
        <w:rPr>
          <w:rFonts w:ascii="Times New Roman" w:hAnsi="Times New Roman" w:cs="Times New Roman" w:eastAsia="Times New Roman" w:hint="default"/>
        </w:rPr>
        <w:t>25,757,847.40</w:t>
      </w:r>
      <w:r>
        <w:rPr/>
        <w:t>元，剩余部分结转下年分配。</w:t>
      </w:r>
    </w:p>
    <w:p>
      <w:pPr>
        <w:pStyle w:val="BodyText"/>
        <w:spacing w:line="300" w:lineRule="auto" w:before="13"/>
        <w:ind w:right="1133" w:firstLine="360"/>
        <w:jc w:val="both"/>
      </w:pPr>
      <w:r>
        <w:rPr>
          <w:rFonts w:ascii="Times New Roman" w:hAnsi="Times New Roman" w:cs="Times New Roman" w:eastAsia="Times New Roman" w:hint="default"/>
          <w:spacing w:val="-5"/>
        </w:rPr>
        <w:t>3</w:t>
      </w:r>
      <w:r>
        <w:rPr>
          <w:spacing w:val="-5"/>
        </w:rPr>
        <w:t>、公司</w:t>
      </w:r>
      <w:r>
        <w:rPr>
          <w:rFonts w:ascii="Times New Roman" w:hAnsi="Times New Roman" w:cs="Times New Roman" w:eastAsia="Times New Roman" w:hint="default"/>
          <w:spacing w:val="-5"/>
        </w:rPr>
        <w:t>2016</w:t>
      </w:r>
      <w:r>
        <w:rPr>
          <w:spacing w:val="-5"/>
        </w:rPr>
        <w:t>年年度权益分派方案为：公司以</w:t>
      </w:r>
      <w:r>
        <w:rPr>
          <w:rFonts w:ascii="Times New Roman" w:hAnsi="Times New Roman" w:cs="Times New Roman" w:eastAsia="Times New Roman" w:hint="default"/>
          <w:spacing w:val="-5"/>
        </w:rPr>
        <w:t>2016</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日总股本</w:t>
      </w:r>
      <w:r>
        <w:rPr>
          <w:rFonts w:ascii="Times New Roman" w:hAnsi="Times New Roman" w:cs="Times New Roman" w:eastAsia="Times New Roman" w:hint="default"/>
          <w:spacing w:val="-5"/>
        </w:rPr>
        <w:t>519,678,668</w:t>
      </w:r>
      <w:r>
        <w:rPr>
          <w:spacing w:val="-5"/>
        </w:rPr>
        <w:t>股为基数，每</w:t>
      </w:r>
      <w:r>
        <w:rPr>
          <w:rFonts w:ascii="Times New Roman" w:hAnsi="Times New Roman" w:cs="Times New Roman" w:eastAsia="Times New Roman" w:hint="default"/>
          <w:spacing w:val="-5"/>
        </w:rPr>
        <w:t>10</w:t>
      </w:r>
      <w:r>
        <w:rPr>
          <w:spacing w:val="-5"/>
        </w:rPr>
        <w:t>股派现金</w:t>
      </w:r>
      <w:r>
        <w:rPr>
          <w:rFonts w:ascii="Times New Roman" w:hAnsi="Times New Roman" w:cs="Times New Roman" w:eastAsia="Times New Roman" w:hint="default"/>
          <w:spacing w:val="-5"/>
        </w:rPr>
        <w:t>0.50</w:t>
      </w:r>
      <w:r>
        <w:rPr>
          <w:spacing w:val="-5"/>
        </w:rPr>
        <w:t>元（含税），</w:t>
      </w:r>
      <w:r>
        <w:rPr/>
        <w:t> 共计派现</w:t>
      </w:r>
      <w:r>
        <w:rPr>
          <w:rFonts w:ascii="Times New Roman" w:hAnsi="Times New Roman" w:cs="Times New Roman" w:eastAsia="Times New Roman" w:hint="default"/>
        </w:rPr>
        <w:t>25,983,933.40</w:t>
      </w:r>
      <w:r>
        <w:rPr/>
        <w:t>元，剩余部分结转下年分配。</w:t>
      </w:r>
    </w:p>
    <w:p>
      <w:pPr>
        <w:pStyle w:val="BodyText"/>
        <w:spacing w:line="300" w:lineRule="auto" w:before="13"/>
        <w:ind w:right="1131" w:firstLine="360"/>
        <w:jc w:val="both"/>
      </w:pPr>
      <w:r>
        <w:rPr>
          <w:spacing w:val="-2"/>
        </w:rPr>
        <w:t>由于公司</w:t>
      </w:r>
      <w:r>
        <w:rPr>
          <w:rFonts w:ascii="Times New Roman" w:hAnsi="Times New Roman" w:cs="Times New Roman" w:eastAsia="Times New Roman" w:hint="default"/>
          <w:spacing w:val="-2"/>
        </w:rPr>
        <w:t>2017</w:t>
      </w:r>
      <w:r>
        <w:rPr>
          <w:spacing w:val="-2"/>
        </w:rPr>
        <w:t>年度回购首期限制性股票股权激励计划中激励对象因</w:t>
      </w:r>
      <w:r>
        <w:rPr>
          <w:rFonts w:ascii="Times New Roman" w:hAnsi="Times New Roman" w:cs="Times New Roman" w:eastAsia="Times New Roman" w:hint="default"/>
          <w:spacing w:val="-2"/>
        </w:rPr>
        <w:t>2016</w:t>
      </w:r>
      <w:r>
        <w:rPr>
          <w:spacing w:val="-2"/>
        </w:rPr>
        <w:t>年度业绩考核不达标及部分原激励对象离职，对</w:t>
      </w:r>
      <w:r>
        <w:rPr/>
        <w:t> </w:t>
      </w:r>
      <w:r>
        <w:rPr>
          <w:spacing w:val="-2"/>
        </w:rPr>
        <w:t>首次授予的第三个解锁期及预留授予第二个解锁期的限制性股票予以</w:t>
      </w:r>
      <w:r>
        <w:rPr>
          <w:rFonts w:ascii="Times New Roman" w:hAnsi="Times New Roman" w:cs="Times New Roman" w:eastAsia="Times New Roman" w:hint="default"/>
          <w:spacing w:val="-2"/>
        </w:rPr>
        <w:t>2016</w:t>
      </w:r>
      <w:r>
        <w:rPr>
          <w:spacing w:val="-2"/>
        </w:rPr>
        <w:t>年度分配的股利冲回，因此</w:t>
      </w:r>
      <w:r>
        <w:rPr>
          <w:rFonts w:ascii="Times New Roman" w:hAnsi="Times New Roman" w:cs="Times New Roman" w:eastAsia="Times New Roman" w:hint="default"/>
          <w:spacing w:val="-2"/>
        </w:rPr>
        <w:t>2016</w:t>
      </w:r>
      <w:r>
        <w:rPr>
          <w:spacing w:val="-2"/>
        </w:rPr>
        <w:t>年度实际分红金额</w:t>
      </w:r>
      <w:r>
        <w:rPr>
          <w:spacing w:val="-59"/>
        </w:rPr>
        <w:t> </w:t>
      </w:r>
      <w:r>
        <w:rPr>
          <w:spacing w:val="-59"/>
        </w:rPr>
      </w:r>
      <w:r>
        <w:rPr/>
        <w:t>调整为</w:t>
      </w:r>
      <w:r>
        <w:rPr>
          <w:rFonts w:ascii="Times New Roman" w:hAnsi="Times New Roman" w:cs="Times New Roman" w:eastAsia="Times New Roman" w:hint="default"/>
        </w:rPr>
        <w:t>25,757,847.40</w:t>
      </w:r>
      <w:r>
        <w:rPr/>
        <w:t>元。</w:t>
      </w:r>
    </w:p>
    <w:p>
      <w:pPr>
        <w:pStyle w:val="BodyText"/>
        <w:spacing w:line="240" w:lineRule="auto" w:before="53"/>
        <w:ind w:left="513" w:right="1133"/>
        <w:jc w:val="left"/>
      </w:pPr>
      <w:r>
        <w:rPr/>
        <w:t>公司近三年（包括本报告期）普通股现金分红情况表</w:t>
      </w:r>
    </w:p>
    <w:p>
      <w:pPr>
        <w:pStyle w:val="BodyText"/>
        <w:spacing w:line="240" w:lineRule="auto" w:before="115"/>
        <w:ind w:left="0" w:right="1131"/>
        <w:jc w:val="right"/>
      </w:pPr>
      <w:r>
        <w:rPr/>
        <w:t>单位：元</w:t>
      </w:r>
    </w:p>
    <w:p>
      <w:pPr>
        <w:spacing w:line="240" w:lineRule="auto" w:before="9"/>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5"/>
        <w:gridCol w:w="1198"/>
        <w:gridCol w:w="1195"/>
        <w:gridCol w:w="1196"/>
        <w:gridCol w:w="1198"/>
      </w:tblGrid>
      <w:tr>
        <w:trPr>
          <w:trHeight w:val="1330"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6"/>
              <w:ind w:left="52" w:right="51"/>
              <w:jc w:val="both"/>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6"/>
              <w:ind w:left="52" w:right="50"/>
              <w:jc w:val="both"/>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6"/>
              <w:ind w:left="52"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6"/>
              <w:ind w:left="52" w:right="50"/>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412" w:right="140"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4"/>
              <w:ind w:left="52" w:right="53" w:firstLine="91"/>
              <w:jc w:val="left"/>
              <w:rPr>
                <w:rFonts w:ascii="宋体" w:hAnsi="宋体" w:cs="宋体" w:eastAsia="宋体" w:hint="default"/>
                <w:sz w:val="18"/>
                <w:szCs w:val="18"/>
              </w:rPr>
            </w:pPr>
            <w:r>
              <w:rPr>
                <w:rFonts w:ascii="宋体" w:hAnsi="宋体" w:cs="宋体" w:eastAsia="宋体" w:hint="default"/>
                <w:sz w:val="18"/>
                <w:szCs w:val="18"/>
              </w:rPr>
              <w:t>（含其他方 式）占合并报 表中归属于上</w:t>
            </w:r>
          </w:p>
        </w:tc>
      </w:tr>
    </w:tbl>
    <w:p>
      <w:pPr>
        <w:spacing w:after="0" w:line="319"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186"/>
        <w:gridCol w:w="1195"/>
        <w:gridCol w:w="1196"/>
        <w:gridCol w:w="1195"/>
        <w:gridCol w:w="1198"/>
        <w:gridCol w:w="1195"/>
        <w:gridCol w:w="1196"/>
        <w:gridCol w:w="1198"/>
      </w:tblGrid>
      <w:tr>
        <w:trPr>
          <w:trHeight w:val="358" w:hRule="exact"/>
        </w:trPr>
        <w:tc>
          <w:tcPr>
            <w:tcW w:w="1186"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润</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
              <w:ind w:left="503" w:right="50" w:hanging="452"/>
              <w:jc w:val="left"/>
              <w:rPr>
                <w:rFonts w:ascii="宋体" w:hAnsi="宋体" w:cs="宋体" w:eastAsia="宋体" w:hint="default"/>
                <w:sz w:val="18"/>
                <w:szCs w:val="18"/>
              </w:rPr>
            </w:pPr>
            <w:r>
              <w:rPr>
                <w:rFonts w:ascii="宋体" w:hAnsi="宋体" w:cs="宋体" w:eastAsia="宋体" w:hint="default"/>
                <w:sz w:val="18"/>
                <w:szCs w:val="18"/>
              </w:rPr>
              <w:t>的净利润的比 率</w:t>
            </w:r>
          </w:p>
        </w:tc>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
              <w:ind w:left="52" w:right="50"/>
              <w:jc w:val="left"/>
              <w:rPr>
                <w:rFonts w:ascii="宋体" w:hAnsi="宋体" w:cs="宋体" w:eastAsia="宋体" w:hint="default"/>
                <w:sz w:val="18"/>
                <w:szCs w:val="18"/>
              </w:rPr>
            </w:pPr>
            <w:r>
              <w:rPr>
                <w:rFonts w:ascii="宋体" w:hAnsi="宋体" w:cs="宋体" w:eastAsia="宋体" w:hint="default"/>
                <w:sz w:val="18"/>
                <w:szCs w:val="18"/>
              </w:rPr>
              <w:t>普通股股东的 净利润的比例</w:t>
            </w: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
              <w:ind w:left="52" w:right="53"/>
              <w:jc w:val="center"/>
              <w:rPr>
                <w:rFonts w:ascii="宋体" w:hAnsi="宋体" w:cs="宋体" w:eastAsia="宋体" w:hint="default"/>
                <w:sz w:val="18"/>
                <w:szCs w:val="18"/>
              </w:rPr>
            </w:pPr>
            <w:r>
              <w:rPr>
                <w:rFonts w:ascii="宋体" w:hAnsi="宋体" w:cs="宋体" w:eastAsia="宋体" w:hint="default"/>
                <w:sz w:val="18"/>
                <w:szCs w:val="18"/>
              </w:rPr>
              <w:t>市公司普通股 股东的净利润 的比率</w:t>
            </w:r>
          </w:p>
        </w:tc>
      </w:tr>
      <w:tr>
        <w:trPr>
          <w:trHeight w:val="312"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317" w:hRule="exact"/>
        </w:trPr>
        <w:tc>
          <w:tcPr>
            <w:tcW w:w="118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18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-241,200,992.1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0.00%</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27,883,032.00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6" w:right="0"/>
              <w:jc w:val="left"/>
              <w:rPr>
                <w:rFonts w:ascii="Times New Roman" w:hAnsi="Times New Roman" w:cs="Times New Roman" w:eastAsia="Times New Roman" w:hint="default"/>
                <w:sz w:val="18"/>
                <w:szCs w:val="18"/>
              </w:rPr>
            </w:pPr>
            <w:r>
              <w:rPr>
                <w:rFonts w:ascii="Times New Roman"/>
                <w:sz w:val="18"/>
              </w:rPr>
              <w:t>-11.56%</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27,883,032.00</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6" w:right="0"/>
              <w:jc w:val="left"/>
              <w:rPr>
                <w:rFonts w:ascii="Times New Roman" w:hAnsi="Times New Roman" w:cs="Times New Roman" w:eastAsia="Times New Roman" w:hint="default"/>
                <w:sz w:val="18"/>
                <w:szCs w:val="18"/>
              </w:rPr>
            </w:pPr>
            <w:r>
              <w:rPr>
                <w:rFonts w:ascii="Times New Roman"/>
                <w:sz w:val="18"/>
              </w:rPr>
              <w:t>-11.56%</w:t>
            </w:r>
          </w:p>
        </w:tc>
      </w:tr>
      <w:tr>
        <w:trPr>
          <w:trHeight w:val="391" w:hRule="exact"/>
        </w:trPr>
        <w:tc>
          <w:tcPr>
            <w:tcW w:w="11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vMerge/>
            <w:tcBorders>
              <w:left w:val="single" w:sz="9"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161" w:hRule="exact"/>
        </w:trPr>
        <w:tc>
          <w:tcPr>
            <w:tcW w:w="118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9"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r>
      <w:tr>
        <w:trPr>
          <w:trHeight w:val="403"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25,757,847.40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43,095,599.68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59.77%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25,757,847.40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59.77%</w:t>
            </w:r>
          </w:p>
        </w:tc>
      </w:tr>
      <w:tr>
        <w:trPr>
          <w:trHeight w:val="401"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25,757,847.40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54,395,643.64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47.35%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25,757,847.40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47.35%</w:t>
            </w:r>
          </w:p>
        </w:tc>
      </w:tr>
    </w:tbl>
    <w:p>
      <w:pPr>
        <w:pStyle w:val="BodyText"/>
        <w:spacing w:line="240" w:lineRule="auto" w:before="49"/>
        <w:ind w:right="1133"/>
        <w:jc w:val="left"/>
      </w:pPr>
      <w:r>
        <w:rPr/>
        <w:t>公司报告期内盈利且母公司可供普通股股东分配利润为正但未提出普通股现金红利分配预案</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2"/>
        <w:spacing w:line="240" w:lineRule="auto"/>
        <w:ind w:right="1133"/>
        <w:jc w:val="left"/>
        <w:rPr>
          <w:b w:val="0"/>
          <w:bCs w:val="0"/>
        </w:rPr>
      </w:pPr>
      <w:r>
        <w:rPr/>
        <w:t>二、本报告期利润分配及资本公积金转增股本预案情况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55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公司计划年度不派发现金红利，不送红股，不以公积金转增股本。</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r>
        <w:rPr/>
        <w:t>三、承诺事项履行情况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56" w:lineRule="auto"/>
        <w:ind w:right="1133"/>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838"/>
        <w:gridCol w:w="1123"/>
        <w:gridCol w:w="1128"/>
        <w:gridCol w:w="1126"/>
        <w:gridCol w:w="1126"/>
        <w:gridCol w:w="1121"/>
        <w:gridCol w:w="1106"/>
      </w:tblGrid>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1"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3"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2"/>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3"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3"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2170" w:hRule="exact"/>
        </w:trPr>
        <w:tc>
          <w:tcPr>
            <w:tcW w:w="28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3"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16" w:right="19"/>
              <w:jc w:val="left"/>
              <w:rPr>
                <w:rFonts w:ascii="宋体" w:hAnsi="宋体" w:cs="宋体" w:eastAsia="宋体" w:hint="default"/>
                <w:sz w:val="18"/>
                <w:szCs w:val="18"/>
              </w:rPr>
            </w:pPr>
            <w:r>
              <w:rPr>
                <w:rFonts w:ascii="宋体" w:hAnsi="宋体" w:cs="宋体" w:eastAsia="宋体" w:hint="default"/>
                <w:spacing w:val="-3"/>
                <w:sz w:val="18"/>
                <w:szCs w:val="18"/>
              </w:rPr>
              <w:t>曾胜强、许忠</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桂、曾胜辉</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26" w:right="191"/>
              <w:jc w:val="left"/>
              <w:rPr>
                <w:rFonts w:ascii="宋体" w:hAnsi="宋体" w:cs="宋体" w:eastAsia="宋体" w:hint="default"/>
                <w:sz w:val="18"/>
                <w:szCs w:val="18"/>
              </w:rPr>
            </w:pPr>
            <w:r>
              <w:rPr>
                <w:rFonts w:ascii="宋体" w:hAnsi="宋体" w:cs="宋体" w:eastAsia="宋体" w:hint="default"/>
                <w:sz w:val="18"/>
                <w:szCs w:val="18"/>
              </w:rPr>
              <w:t>同业竞争承 诺</w:t>
            </w:r>
          </w:p>
        </w:tc>
        <w:tc>
          <w:tcPr>
            <w:tcW w:w="1126"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、关于避免 同业竞争承 </w:t>
            </w:r>
            <w:r>
              <w:rPr>
                <w:rFonts w:ascii="宋体" w:hAnsi="宋体" w:cs="宋体" w:eastAsia="宋体" w:hint="default"/>
                <w:spacing w:val="-2"/>
                <w:sz w:val="18"/>
                <w:szCs w:val="18"/>
              </w:rPr>
              <w:t>诺：本人不直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接或间接从 事与股份公 司相同或相 </w:t>
            </w:r>
            <w:r>
              <w:rPr>
                <w:rFonts w:ascii="宋体" w:hAnsi="宋体" w:cs="宋体" w:eastAsia="宋体" w:hint="default"/>
                <w:spacing w:val="-2"/>
                <w:sz w:val="18"/>
                <w:szCs w:val="18"/>
              </w:rPr>
              <w:t>似的业务；在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本人作为股 份公司主要 股东的事实 </w:t>
            </w:r>
            <w:r>
              <w:rPr>
                <w:rFonts w:ascii="宋体" w:hAnsi="宋体" w:cs="宋体" w:eastAsia="宋体" w:hint="default"/>
                <w:spacing w:val="-2"/>
                <w:sz w:val="18"/>
                <w:szCs w:val="18"/>
              </w:rPr>
              <w:t>改变之前，本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人将不会直 接或间接地 以任何方式</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（包括但不</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严格履行中</w:t>
            </w:r>
          </w:p>
        </w:tc>
      </w:tr>
      <w:tr>
        <w:trPr>
          <w:trHeight w:val="391" w:hRule="exact"/>
        </w:trPr>
        <w:tc>
          <w:tcPr>
            <w:tcW w:w="28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3" w:type="dxa"/>
            <w:vMerge/>
            <w:tcBorders>
              <w:left w:val="single" w:sz="10" w:space="0" w:color="D2D2D2"/>
              <w:right w:val="single" w:sz="4" w:space="0" w:color="000000"/>
            </w:tcBorders>
          </w:tcPr>
          <w:p>
            <w:pP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2170" w:hRule="exact"/>
        </w:trPr>
        <w:tc>
          <w:tcPr>
            <w:tcW w:w="28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3" w:type="dxa"/>
            <w:vMerge/>
            <w:tcBorders>
              <w:left w:val="single" w:sz="10" w:space="0" w:color="D2D2D2"/>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13156"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限于独自经 营，合资经营 和拥有在其 他公司或企 业的股票或 权益）从事与 股份公司的 业务有竞争 或可能构成 竞争的业务 或活动；如因 未履行避免 同业竞争的 承诺而给公 司造成损失， 本人将对公 司遭受的损 失作出赔偿。 </w:t>
            </w:r>
            <w:r>
              <w:rPr>
                <w:rFonts w:ascii="Times New Roman" w:hAnsi="Times New Roman" w:cs="Times New Roman" w:eastAsia="Times New Roman" w:hint="default"/>
                <w:sz w:val="18"/>
                <w:szCs w:val="18"/>
              </w:rPr>
              <w:t>2</w:t>
            </w:r>
            <w:r>
              <w:rPr>
                <w:rFonts w:ascii="宋体" w:hAnsi="宋体" w:cs="宋体" w:eastAsia="宋体" w:hint="default"/>
                <w:sz w:val="18"/>
                <w:szCs w:val="18"/>
              </w:rPr>
              <w:t>、关于补缴 所得税优惠 的承诺</w:t>
            </w:r>
            <w:r>
              <w:rPr>
                <w:rFonts w:ascii="Times New Roman" w:hAnsi="Times New Roman" w:cs="Times New Roman" w:eastAsia="Times New Roman" w:hint="default"/>
                <w:sz w:val="18"/>
                <w:szCs w:val="18"/>
              </w:rPr>
              <w:t>:</w:t>
            </w:r>
            <w:r>
              <w:rPr>
                <w:rFonts w:ascii="宋体" w:hAnsi="宋体" w:cs="宋体" w:eastAsia="宋体" w:hint="default"/>
                <w:sz w:val="18"/>
                <w:szCs w:val="18"/>
              </w:rPr>
              <w:t>公司 发行前持股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以上的主 要股东曾胜 强、许忠桂和 曾胜辉承诺： 若因税收主 管部门对证 通电子上市 前享受的企 业所得税减 免税款进行 追缴，本人作 为证通电子 的股东，将以 现金方式及 时、无条件、 全额承担应 补交的税款 及</w:t>
            </w:r>
            <w:r>
              <w:rPr>
                <w:rFonts w:ascii="Times New Roman" w:hAnsi="Times New Roman" w:cs="Times New Roman" w:eastAsia="Times New Roman" w:hint="default"/>
                <w:sz w:val="18"/>
                <w:szCs w:val="18"/>
              </w:rPr>
              <w:t>/</w:t>
            </w:r>
            <w:r>
              <w:rPr>
                <w:rFonts w:ascii="宋体" w:hAnsi="宋体" w:cs="宋体" w:eastAsia="宋体" w:hint="default"/>
                <w:sz w:val="18"/>
                <w:szCs w:val="18"/>
              </w:rPr>
              <w:t>或因此所 产生的所有 相关费用。</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90"/>
              <w:jc w:val="left"/>
              <w:rPr>
                <w:rFonts w:ascii="宋体" w:hAnsi="宋体" w:cs="宋体" w:eastAsia="宋体" w:hint="default"/>
                <w:sz w:val="18"/>
                <w:szCs w:val="18"/>
              </w:rPr>
            </w:pPr>
            <w:r>
              <w:rPr>
                <w:rFonts w:ascii="宋体" w:hAnsi="宋体" w:cs="宋体" w:eastAsia="宋体" w:hint="default"/>
                <w:sz w:val="18"/>
                <w:szCs w:val="18"/>
              </w:rPr>
              <w:t>公司股东曾 胜强作为公</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85"/>
              <w:jc w:val="left"/>
              <w:rPr>
                <w:rFonts w:ascii="宋体" w:hAnsi="宋体" w:cs="宋体" w:eastAsia="宋体" w:hint="default"/>
                <w:sz w:val="18"/>
                <w:szCs w:val="18"/>
              </w:rPr>
            </w:pPr>
            <w:r>
              <w:rPr>
                <w:rFonts w:ascii="宋体" w:hAnsi="宋体" w:cs="宋体" w:eastAsia="宋体" w:hint="default"/>
                <w:sz w:val="18"/>
                <w:szCs w:val="18"/>
              </w:rPr>
              <w:t>董事在职及 离职后半年</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严格履行中</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4731"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5"/>
              <w:jc w:val="left"/>
              <w:rPr>
                <w:rFonts w:ascii="宋体" w:hAnsi="宋体" w:cs="宋体" w:eastAsia="宋体" w:hint="default"/>
                <w:sz w:val="18"/>
                <w:szCs w:val="18"/>
              </w:rPr>
            </w:pPr>
            <w:r>
              <w:rPr>
                <w:rFonts w:ascii="宋体" w:hAnsi="宋体" w:cs="宋体" w:eastAsia="宋体" w:hint="default"/>
                <w:sz w:val="18"/>
                <w:szCs w:val="18"/>
              </w:rPr>
              <w:t>司董事承诺， 在上述承诺 的限售期届 满后，其所持 本公司股份 在其任职期 间内每年转 让的比例不 超过其所持 本公司股份 总数的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 在离职后半 年内不转让 所持本公司 的股份。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内有效</w:t>
            </w: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6954"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6" w:right="191"/>
              <w:jc w:val="both"/>
              <w:rPr>
                <w:rFonts w:ascii="宋体" w:hAnsi="宋体" w:cs="宋体" w:eastAsia="宋体" w:hint="default"/>
                <w:sz w:val="18"/>
                <w:szCs w:val="18"/>
              </w:rPr>
            </w:pPr>
            <w:r>
              <w:rPr>
                <w:rFonts w:ascii="宋体" w:hAnsi="宋体" w:cs="宋体" w:eastAsia="宋体" w:hint="default"/>
                <w:sz w:val="18"/>
                <w:szCs w:val="18"/>
              </w:rPr>
              <w:t>公司债付息 相关保证承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公司承诺在 预计不能按 期偿付公司 债券本息或 者到期未能 按期偿付债 券本息时，将 至少采取如 下措施：</w:t>
            </w:r>
            <w:r>
              <w:rPr>
                <w:rFonts w:ascii="Times New Roman" w:hAnsi="Times New Roman" w:cs="Times New Roman" w:eastAsia="Times New Roman" w:hint="default"/>
                <w:sz w:val="18"/>
                <w:szCs w:val="18"/>
              </w:rPr>
              <w:t>1</w:t>
            </w:r>
            <w:r>
              <w:rPr>
                <w:rFonts w:ascii="宋体" w:hAnsi="宋体" w:cs="宋体" w:eastAsia="宋体" w:hint="default"/>
                <w:sz w:val="18"/>
                <w:szCs w:val="18"/>
              </w:rPr>
              <w:t>、 不向股东分 配利润；</w:t>
            </w:r>
            <w:r>
              <w:rPr>
                <w:rFonts w:ascii="Times New Roman" w:hAnsi="Times New Roman" w:cs="Times New Roman" w:eastAsia="Times New Roman" w:hint="default"/>
                <w:sz w:val="18"/>
                <w:szCs w:val="18"/>
              </w:rPr>
              <w:t>2</w:t>
            </w:r>
            <w:r>
              <w:rPr>
                <w:rFonts w:ascii="宋体" w:hAnsi="宋体" w:cs="宋体" w:eastAsia="宋体" w:hint="default"/>
                <w:sz w:val="18"/>
                <w:szCs w:val="18"/>
              </w:rPr>
              <w:t>、 暂缓重大对 外投资、收购 兼并等资本 性支出项目 的实施；</w:t>
            </w:r>
            <w:r>
              <w:rPr>
                <w:rFonts w:ascii="Times New Roman" w:hAnsi="Times New Roman" w:cs="Times New Roman" w:eastAsia="Times New Roman" w:hint="default"/>
                <w:sz w:val="18"/>
                <w:szCs w:val="18"/>
              </w:rPr>
              <w:t>3</w:t>
            </w:r>
            <w:r>
              <w:rPr>
                <w:rFonts w:ascii="宋体" w:hAnsi="宋体" w:cs="宋体" w:eastAsia="宋体" w:hint="default"/>
                <w:sz w:val="18"/>
                <w:szCs w:val="18"/>
              </w:rPr>
              <w:t>、 调减或停发 董事和高级 管理人员的 工资和奖金； </w:t>
            </w:r>
            <w:r>
              <w:rPr>
                <w:rFonts w:ascii="Times New Roman" w:hAnsi="Times New Roman" w:cs="Times New Roman" w:eastAsia="Times New Roman" w:hint="default"/>
                <w:sz w:val="18"/>
                <w:szCs w:val="18"/>
              </w:rPr>
              <w:t>4</w:t>
            </w:r>
            <w:r>
              <w:rPr>
                <w:rFonts w:ascii="宋体" w:hAnsi="宋体" w:cs="宋体" w:eastAsia="宋体" w:hint="default"/>
                <w:sz w:val="18"/>
                <w:szCs w:val="18"/>
              </w:rPr>
              <w:t>、主要责任 人不得调离。</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09" w:lineRule="auto"/>
              <w:ind w:left="23" w:right="18"/>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公司债券存 </w:t>
            </w:r>
            <w:r>
              <w:rPr>
                <w:rFonts w:ascii="宋体" w:hAnsi="宋体" w:cs="宋体" w:eastAsia="宋体" w:hint="default"/>
                <w:spacing w:val="-2"/>
                <w:sz w:val="18"/>
                <w:szCs w:val="18"/>
              </w:rPr>
              <w:t>续期内（</w:t>
            </w:r>
            <w:r>
              <w:rPr>
                <w:rFonts w:ascii="Times New Roman" w:hAnsi="Times New Roman" w:cs="Times New Roman" w:eastAsia="Times New Roman" w:hint="default"/>
                <w:spacing w:val="-2"/>
                <w:sz w:val="18"/>
                <w:szCs w:val="18"/>
              </w:rPr>
              <w:t>2015</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-2020</w:t>
            </w:r>
          </w:p>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严格履行中</w:t>
            </w: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02"/>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3"/>
        <w:rPr>
          <w:rFonts w:ascii="Times New Roman" w:hAnsi="Times New Roman" w:cs="Times New Roman" w:eastAsia="Times New Roman" w:hint="default"/>
          <w:sz w:val="28"/>
          <w:szCs w:val="28"/>
        </w:rPr>
      </w:pPr>
    </w:p>
    <w:p>
      <w:pPr>
        <w:pStyle w:val="Heading3"/>
        <w:spacing w:line="259" w:lineRule="auto" w:before="36"/>
        <w:ind w:right="1133"/>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四、控股股东及其关联方对上市公司的非经营性占用资金情况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4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right="1034"/>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六、与上年度财务报告相比，会计政策、会计估计和核算方法发生变化的情况说明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130" w:firstLine="360"/>
        <w:jc w:val="left"/>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23</w:t>
      </w:r>
      <w:r>
        <w:rPr>
          <w:spacing w:val="-2"/>
        </w:rPr>
        <w:t>日，公司召开第四届董事会第二十三次会议，审议通过了《关于公司会计政策变更的议案》。本次公司</w:t>
      </w:r>
      <w:r>
        <w:rPr/>
        <w:t> 会计政策是根据财会</w:t>
      </w:r>
      <w:r>
        <w:rPr>
          <w:rFonts w:ascii="Times New Roman" w:hAnsi="Times New Roman" w:cs="Times New Roman" w:eastAsia="Times New Roman" w:hint="default"/>
        </w:rPr>
        <w:t>[2017]13</w:t>
      </w:r>
      <w:r>
        <w:rPr/>
        <w:t>号财政部《关于印发</w:t>
      </w:r>
      <w:r>
        <w:rPr>
          <w:rFonts w:ascii="Times New Roman" w:hAnsi="Times New Roman" w:cs="Times New Roman" w:eastAsia="Times New Roman" w:hint="default"/>
        </w:rPr>
        <w:t>&lt;</w:t>
      </w:r>
      <w:r>
        <w:rPr/>
        <w:t>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持有待售的非流动资产、处置组和终止经营</w:t>
      </w:r>
      <w:r>
        <w:rPr>
          <w:rFonts w:ascii="Times New Roman" w:hAnsi="Times New Roman" w:cs="Times New Roman" w:eastAsia="Times New Roman" w:hint="default"/>
        </w:rPr>
        <w:t>&gt;</w:t>
      </w:r>
      <w:r>
        <w:rPr/>
        <w:t>的通 </w:t>
      </w:r>
      <w:r>
        <w:rPr>
          <w:spacing w:val="-1"/>
        </w:rPr>
        <w:t>知》、（财会</w:t>
      </w:r>
      <w:r>
        <w:rPr>
          <w:rFonts w:ascii="Times New Roman" w:hAnsi="Times New Roman" w:cs="Times New Roman" w:eastAsia="Times New Roman" w:hint="default"/>
          <w:spacing w:val="-1"/>
        </w:rPr>
        <w:t>[2017]30</w:t>
      </w:r>
      <w:r>
        <w:rPr>
          <w:spacing w:val="-1"/>
        </w:rPr>
        <w:t>号）《关于修订印发一般企业财务报表格式的通知》进行的损益科目间调整及报表格式调整，不影响</w:t>
      </w:r>
      <w:r>
        <w:rPr>
          <w:spacing w:val="-58"/>
        </w:rPr>
        <w:t> </w:t>
      </w:r>
      <w:r>
        <w:rPr>
          <w:spacing w:val="-58"/>
        </w:rPr>
      </w:r>
      <w:r>
        <w:rPr/>
        <w:t>损益，对可比期间的比较数据按照要求进行调整。</w:t>
      </w:r>
    </w:p>
    <w:p>
      <w:pPr>
        <w:pStyle w:val="BodyText"/>
        <w:spacing w:line="240" w:lineRule="auto" w:before="32"/>
        <w:ind w:left="513" w:right="1133"/>
        <w:jc w:val="left"/>
      </w:pPr>
      <w:r>
        <w:rPr/>
        <w:t>公司执行以上规定的主要影响如下：</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4194"/>
        <w:gridCol w:w="5663"/>
      </w:tblGrid>
      <w:tr>
        <w:trPr>
          <w:trHeight w:val="427" w:hRule="exact"/>
        </w:trPr>
        <w:tc>
          <w:tcPr>
            <w:tcW w:w="4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0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5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653"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1051" w:hRule="exact"/>
        </w:trPr>
        <w:tc>
          <w:tcPr>
            <w:tcW w:w="419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4" w:right="6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）在利润表中分别列示</w:t>
            </w:r>
            <w:r>
              <w:rPr>
                <w:rFonts w:ascii="Times New Roman" w:hAnsi="Times New Roman" w:cs="Times New Roman" w:eastAsia="Times New Roman" w:hint="default"/>
                <w:sz w:val="18"/>
                <w:szCs w:val="18"/>
              </w:rPr>
              <w:t>“</w:t>
            </w:r>
            <w:r>
              <w:rPr>
                <w:rFonts w:ascii="宋体" w:hAnsi="宋体" w:cs="宋体" w:eastAsia="宋体" w:hint="default"/>
                <w:sz w:val="18"/>
                <w:szCs w:val="18"/>
              </w:rPr>
              <w:t>持续经营净利润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终止 经营净利润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。比较数据相应调整</w:t>
            </w:r>
          </w:p>
        </w:tc>
        <w:tc>
          <w:tcPr>
            <w:tcW w:w="566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2" w:right="-51"/>
              <w:jc w:val="both"/>
              <w:rPr>
                <w:rFonts w:ascii="宋体" w:hAnsi="宋体" w:cs="宋体" w:eastAsia="宋体" w:hint="default"/>
                <w:sz w:val="18"/>
                <w:szCs w:val="18"/>
              </w:rPr>
            </w:pPr>
            <w:r>
              <w:rPr>
                <w:rFonts w:ascii="宋体" w:hAnsi="宋体" w:cs="宋体" w:eastAsia="宋体" w:hint="default"/>
                <w:sz w:val="18"/>
                <w:szCs w:val="18"/>
              </w:rPr>
              <w:t>在</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年度利润表中，列示</w:t>
            </w:r>
            <w:r>
              <w:rPr>
                <w:rFonts w:ascii="Times New Roman" w:hAnsi="Times New Roman" w:cs="Times New Roman" w:eastAsia="Times New Roman" w:hint="default"/>
                <w:sz w:val="18"/>
                <w:szCs w:val="18"/>
              </w:rPr>
              <w:t>“</w:t>
            </w:r>
            <w:r>
              <w:rPr>
                <w:rFonts w:ascii="宋体" w:hAnsi="宋体" w:cs="宋体" w:eastAsia="宋体" w:hint="default"/>
                <w:sz w:val="18"/>
                <w:szCs w:val="18"/>
              </w:rPr>
              <w:t>持续经营净利润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Times New Roman" w:hAnsi="Times New Roman" w:cs="Times New Roman" w:eastAsia="Times New Roman" w:hint="default"/>
                <w:sz w:val="18"/>
                <w:szCs w:val="18"/>
              </w:rPr>
              <w:t>29,417,593.50</w:t>
            </w:r>
            <w:r>
              <w:rPr>
                <w:rFonts w:ascii="宋体" w:hAnsi="宋体" w:cs="宋体" w:eastAsia="宋体" w:hint="default"/>
                <w:sz w:val="18"/>
                <w:szCs w:val="18"/>
              </w:rPr>
              <w:t>元， 列示 </w:t>
            </w:r>
            <w:r>
              <w:rPr>
                <w:rFonts w:ascii="Times New Roman" w:hAnsi="Times New Roman" w:cs="Times New Roman" w:eastAsia="Times New Roman" w:hint="default"/>
                <w:sz w:val="18"/>
                <w:szCs w:val="18"/>
              </w:rPr>
              <w:t>“</w:t>
            </w:r>
            <w:r>
              <w:rPr>
                <w:rFonts w:ascii="宋体" w:hAnsi="宋体" w:cs="宋体" w:eastAsia="宋体" w:hint="default"/>
                <w:sz w:val="18"/>
                <w:szCs w:val="18"/>
              </w:rPr>
              <w:t>终止经营净利润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Times New Roman" w:hAnsi="Times New Roman" w:cs="Times New Roman" w:eastAsia="Times New Roman" w:hint="default"/>
                <w:sz w:val="18"/>
                <w:szCs w:val="18"/>
              </w:rPr>
              <w:t>0</w:t>
            </w:r>
            <w:r>
              <w:rPr>
                <w:rFonts w:ascii="宋体" w:hAnsi="宋体" w:cs="宋体" w:eastAsia="宋体" w:hint="default"/>
                <w:sz w:val="18"/>
                <w:szCs w:val="18"/>
              </w:rPr>
              <w:t>元；列示</w:t>
            </w:r>
            <w:r>
              <w:rPr>
                <w:rFonts w:ascii="Times New Roman" w:hAnsi="Times New Roman" w:cs="Times New Roman" w:eastAsia="Times New Roman" w:hint="default"/>
                <w:sz w:val="18"/>
                <w:szCs w:val="18"/>
              </w:rPr>
              <w:t>“</w:t>
            </w:r>
            <w:r>
              <w:rPr>
                <w:rFonts w:ascii="宋体" w:hAnsi="宋体" w:cs="宋体" w:eastAsia="宋体" w:hint="default"/>
                <w:sz w:val="18"/>
                <w:szCs w:val="18"/>
              </w:rPr>
              <w:t>持续经营净利润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上期金额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50,308,658.00</w:t>
            </w:r>
            <w:r>
              <w:rPr>
                <w:rFonts w:ascii="宋体" w:hAnsi="宋体" w:cs="宋体" w:eastAsia="宋体" w:hint="default"/>
                <w:sz w:val="18"/>
                <w:szCs w:val="18"/>
              </w:rPr>
              <w:t>元，列示</w:t>
            </w:r>
            <w:r>
              <w:rPr>
                <w:rFonts w:ascii="Times New Roman" w:hAnsi="Times New Roman" w:cs="Times New Roman" w:eastAsia="Times New Roman" w:hint="default"/>
                <w:sz w:val="18"/>
                <w:szCs w:val="18"/>
              </w:rPr>
              <w:t>“</w:t>
            </w:r>
            <w:r>
              <w:rPr>
                <w:rFonts w:ascii="宋体" w:hAnsi="宋体" w:cs="宋体" w:eastAsia="宋体" w:hint="default"/>
                <w:sz w:val="18"/>
                <w:szCs w:val="18"/>
              </w:rPr>
              <w:t>终止经营净利润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上期金额</w:t>
            </w:r>
            <w:r>
              <w:rPr>
                <w:rFonts w:ascii="Times New Roman" w:hAnsi="Times New Roman" w:cs="Times New Roman" w:eastAsia="Times New Roman" w:hint="default"/>
                <w:sz w:val="18"/>
                <w:szCs w:val="18"/>
              </w:rPr>
              <w:t>0</w:t>
            </w:r>
            <w:r>
              <w:rPr>
                <w:rFonts w:ascii="宋体" w:hAnsi="宋体" w:cs="宋体" w:eastAsia="宋体" w:hint="default"/>
                <w:sz w:val="18"/>
                <w:szCs w:val="18"/>
              </w:rPr>
              <w:t>元。</w:t>
            </w:r>
          </w:p>
        </w:tc>
      </w:tr>
      <w:tr>
        <w:trPr>
          <w:trHeight w:val="1404" w:hRule="exact"/>
        </w:trPr>
        <w:tc>
          <w:tcPr>
            <w:tcW w:w="419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4"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）在利润表中新增</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资产处置收益</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项目，将部分原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营业外支出</w:t>
            </w:r>
            <w:r>
              <w:rPr>
                <w:rFonts w:ascii="Times New Roman" w:hAnsi="Times New Roman" w:cs="Times New Roman" w:eastAsia="Times New Roman" w:hint="default"/>
                <w:sz w:val="18"/>
                <w:szCs w:val="18"/>
              </w:rPr>
              <w:t>”</w:t>
            </w:r>
            <w:r>
              <w:rPr>
                <w:rFonts w:ascii="宋体" w:hAnsi="宋体" w:cs="宋体" w:eastAsia="宋体" w:hint="default"/>
                <w:sz w:val="18"/>
                <w:szCs w:val="18"/>
              </w:rPr>
              <w:t>的资产处置损益重 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项目。比较数据相应调整。</w:t>
            </w:r>
          </w:p>
        </w:tc>
        <w:tc>
          <w:tcPr>
            <w:tcW w:w="566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8"/>
              <w:ind w:left="2" w:right="1"/>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调减</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年度营业外收入</w:t>
            </w:r>
            <w:r>
              <w:rPr>
                <w:rFonts w:ascii="Times New Roman" w:hAnsi="Times New Roman" w:cs="Times New Roman" w:eastAsia="Times New Roman" w:hint="default"/>
                <w:spacing w:val="-1"/>
                <w:sz w:val="18"/>
                <w:szCs w:val="18"/>
              </w:rPr>
              <w:t>2,912.62</w:t>
            </w:r>
            <w:r>
              <w:rPr>
                <w:rFonts w:ascii="宋体" w:hAnsi="宋体" w:cs="宋体" w:eastAsia="宋体" w:hint="default"/>
                <w:spacing w:val="-1"/>
                <w:sz w:val="18"/>
                <w:szCs w:val="18"/>
              </w:rPr>
              <w:t>元、营业外支出</w:t>
            </w:r>
            <w:r>
              <w:rPr>
                <w:rFonts w:ascii="Times New Roman" w:hAnsi="Times New Roman" w:cs="Times New Roman" w:eastAsia="Times New Roman" w:hint="default"/>
                <w:spacing w:val="-1"/>
                <w:sz w:val="18"/>
                <w:szCs w:val="18"/>
              </w:rPr>
              <w:t>29,920.46</w:t>
            </w:r>
            <w:r>
              <w:rPr>
                <w:rFonts w:ascii="宋体" w:hAnsi="宋体" w:cs="宋体" w:eastAsia="宋体" w:hint="default"/>
                <w:spacing w:val="-1"/>
                <w:sz w:val="18"/>
                <w:szCs w:val="18"/>
              </w:rPr>
              <w:t>元，相应调增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-27,007.84</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元。 </w:t>
            </w:r>
            <w:r>
              <w:rPr>
                <w:rFonts w:ascii="宋体" w:hAnsi="宋体" w:cs="宋体" w:eastAsia="宋体" w:hint="default"/>
                <w:spacing w:val="-1"/>
                <w:sz w:val="18"/>
                <w:szCs w:val="18"/>
              </w:rPr>
              <w:t>调减</w:t>
            </w:r>
            <w:r>
              <w:rPr>
                <w:rFonts w:ascii="Times New Roman" w:hAnsi="Times New Roman" w:cs="Times New Roman" w:eastAsia="Times New Roman" w:hint="default"/>
                <w:spacing w:val="-1"/>
                <w:sz w:val="18"/>
                <w:szCs w:val="18"/>
              </w:rPr>
              <w:t>2016</w:t>
            </w:r>
            <w:r>
              <w:rPr>
                <w:rFonts w:ascii="宋体" w:hAnsi="宋体" w:cs="宋体" w:eastAsia="宋体" w:hint="default"/>
                <w:spacing w:val="-1"/>
                <w:sz w:val="18"/>
                <w:szCs w:val="18"/>
              </w:rPr>
              <w:t>年度营业外收入</w:t>
            </w:r>
            <w:r>
              <w:rPr>
                <w:rFonts w:ascii="Times New Roman" w:hAnsi="Times New Roman" w:cs="Times New Roman" w:eastAsia="Times New Roman" w:hint="default"/>
                <w:spacing w:val="-1"/>
                <w:sz w:val="18"/>
                <w:szCs w:val="18"/>
              </w:rPr>
              <w:t>0</w:t>
            </w:r>
            <w:r>
              <w:rPr>
                <w:rFonts w:ascii="宋体" w:hAnsi="宋体" w:cs="宋体" w:eastAsia="宋体" w:hint="default"/>
                <w:spacing w:val="-1"/>
                <w:sz w:val="18"/>
                <w:szCs w:val="18"/>
              </w:rPr>
              <w:t>元、营业外支出</w:t>
            </w:r>
            <w:r>
              <w:rPr>
                <w:rFonts w:ascii="Times New Roman" w:hAnsi="Times New Roman" w:cs="Times New Roman" w:eastAsia="Times New Roman" w:hint="default"/>
                <w:spacing w:val="-1"/>
                <w:sz w:val="18"/>
                <w:szCs w:val="18"/>
              </w:rPr>
              <w:t>0</w:t>
            </w:r>
            <w:r>
              <w:rPr>
                <w:rFonts w:ascii="宋体" w:hAnsi="宋体" w:cs="宋体" w:eastAsia="宋体" w:hint="default"/>
                <w:spacing w:val="-1"/>
                <w:sz w:val="18"/>
                <w:szCs w:val="18"/>
              </w:rPr>
              <w:t>元，相应调增资产处置收益</w:t>
            </w:r>
            <w:r>
              <w:rPr>
                <w:rFonts w:ascii="Times New Roman" w:hAnsi="Times New Roman" w:cs="Times New Roman" w:eastAsia="Times New Roman" w:hint="default"/>
                <w:spacing w:val="-1"/>
                <w:sz w:val="18"/>
                <w:szCs w:val="18"/>
              </w:rPr>
              <w:t>0</w:t>
            </w:r>
          </w:p>
          <w:p>
            <w:pPr>
              <w:pStyle w:val="TableParagraph"/>
              <w:spacing w:line="233" w:lineRule="exact"/>
              <w:ind w:left="2" w:right="0"/>
              <w:jc w:val="left"/>
              <w:rPr>
                <w:rFonts w:ascii="宋体" w:hAnsi="宋体" w:cs="宋体" w:eastAsia="宋体" w:hint="default"/>
                <w:sz w:val="18"/>
                <w:szCs w:val="18"/>
              </w:rPr>
            </w:pPr>
            <w:r>
              <w:rPr>
                <w:rFonts w:ascii="宋体" w:hAnsi="宋体" w:cs="宋体" w:eastAsia="宋体" w:hint="default"/>
                <w:sz w:val="18"/>
                <w:szCs w:val="18"/>
              </w:rPr>
              <w:t>元。</w:t>
            </w:r>
          </w:p>
        </w:tc>
      </w:tr>
    </w:tbl>
    <w:p>
      <w:pPr>
        <w:pStyle w:val="BodyText"/>
        <w:spacing w:line="300" w:lineRule="auto" w:before="8"/>
        <w:ind w:right="1133" w:firstLine="360"/>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10</w:t>
      </w:r>
      <w:r>
        <w:rPr>
          <w:spacing w:val="-2"/>
        </w:rPr>
        <w:t>日，公司召开第四届董事会第二十七次会议，审议通过了《关于公司会计政策补充修订的议案》。本次</w:t>
      </w:r>
      <w:r>
        <w:rPr/>
        <w:t> 公司会计政策是依照《企业会计准则》等相关会计及税务法规的规定，对会计政策中关于建造工程类业务及</w:t>
      </w:r>
      <w:r>
        <w:rPr>
          <w:rFonts w:ascii="Times New Roman" w:hAnsi="Times New Roman" w:cs="Times New Roman" w:eastAsia="Times New Roman" w:hint="default"/>
        </w:rPr>
        <w:t>BT</w:t>
      </w:r>
      <w:r>
        <w:rPr/>
        <w:t>类业务收入 确认原则进行的补充修订，不影响损益，不涉及以往年度的追溯调整；</w:t>
      </w:r>
    </w:p>
    <w:p>
      <w:pPr>
        <w:pStyle w:val="BodyText"/>
        <w:spacing w:line="307" w:lineRule="auto" w:before="31"/>
        <w:ind w:right="1133" w:firstLine="36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日，公司召开第四届董事会第三十次会议，审议通过了《关于公司会计政策变更的议案》。本次公司 会计政策是根据财政部颁布《关于修订印发</w:t>
      </w:r>
      <w:r>
        <w:rPr>
          <w:rFonts w:ascii="Times New Roman" w:hAnsi="Times New Roman" w:cs="Times New Roman" w:eastAsia="Times New Roman" w:hint="default"/>
        </w:rPr>
        <w:t>&lt;2018</w:t>
      </w:r>
      <w:r>
        <w:rPr/>
        <w:t>年度一般企业财务报表格式</w:t>
      </w:r>
      <w:r>
        <w:rPr>
          <w:rFonts w:ascii="Times New Roman" w:hAnsi="Times New Roman" w:cs="Times New Roman" w:eastAsia="Times New Roman" w:hint="default"/>
        </w:rPr>
        <w:t>&gt;</w:t>
      </w:r>
      <w:r>
        <w:rPr/>
        <w:t>的通知》（财会</w:t>
      </w:r>
      <w:r>
        <w:rPr>
          <w:rFonts w:ascii="Times New Roman" w:hAnsi="Times New Roman" w:cs="Times New Roman" w:eastAsia="Times New Roman" w:hint="default"/>
        </w:rPr>
        <w:t>[2018]15</w:t>
      </w:r>
      <w:r>
        <w:rPr>
          <w:rFonts w:ascii="Times New Roman" w:hAnsi="Times New Roman" w:cs="Times New Roman" w:eastAsia="Times New Roman" w:hint="default"/>
          <w:spacing w:val="27"/>
        </w:rPr>
        <w:t> </w:t>
      </w:r>
      <w:r>
        <w:rPr/>
        <w:t>号）的相关规定， </w:t>
      </w:r>
      <w:r>
        <w:rPr>
          <w:spacing w:val="-5"/>
        </w:rPr>
        <w:t>对公司财务报表格式进行了修订，其中，资产负债表归并了相关科目，利润表分拆了相关科目并调整了部分科目的先后顺序，</w:t>
      </w:r>
      <w:r>
        <w:rPr>
          <w:spacing w:val="-79"/>
        </w:rPr>
        <w:t> </w:t>
      </w:r>
      <w:r>
        <w:rPr>
          <w:spacing w:val="-79"/>
        </w:rPr>
      </w:r>
      <w:r>
        <w:rPr/>
        <w:t>不影响损益，不涉及以往年度的追溯调整；</w:t>
      </w:r>
    </w:p>
    <w:p>
      <w:pPr>
        <w:spacing w:line="240" w:lineRule="auto" w:before="5"/>
        <w:rPr>
          <w:rFonts w:ascii="宋体" w:hAnsi="宋体" w:cs="宋体" w:eastAsia="宋体" w:hint="default"/>
          <w:sz w:val="21"/>
          <w:szCs w:val="21"/>
        </w:rPr>
      </w:pPr>
    </w:p>
    <w:p>
      <w:pPr>
        <w:pStyle w:val="Heading2"/>
        <w:spacing w:line="240" w:lineRule="auto"/>
        <w:ind w:right="1133"/>
        <w:jc w:val="left"/>
        <w:rPr>
          <w:b w:val="0"/>
          <w:bCs w:val="0"/>
        </w:rPr>
      </w:pPr>
      <w:r>
        <w:rPr/>
        <w:t>七、报告期内发生重大会计差错更正需追溯重述的情况说明</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公司报告期无重大会计差错更正需追溯重述的情况。</w:t>
      </w:r>
    </w:p>
    <w:p>
      <w:pPr>
        <w:spacing w:after="0" w:line="340" w:lineRule="auto"/>
        <w:jc w:val="left"/>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r>
        <w:rPr/>
        <w:t>八、与上年度财务报告相比，合并报表范围发生变化的情况说明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left="513" w:right="1129"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报告期内公司合并范围减少。公司将持有的控股子公司证通邦客</w:t>
      </w:r>
      <w:r>
        <w:rPr>
          <w:rFonts w:ascii="宋体" w:hAnsi="宋体" w:cs="宋体" w:eastAsia="宋体" w:hint="default"/>
          <w:spacing w:val="-2"/>
        </w:rPr>
        <w:t>(</w:t>
      </w:r>
      <w:r>
        <w:rPr>
          <w:spacing w:val="-2"/>
        </w:rPr>
        <w:t>广州</w:t>
      </w:r>
      <w:r>
        <w:rPr>
          <w:rFonts w:ascii="宋体" w:hAnsi="宋体" w:cs="宋体" w:eastAsia="宋体" w:hint="default"/>
          <w:spacing w:val="-2"/>
        </w:rPr>
        <w:t>)</w:t>
      </w:r>
      <w:r>
        <w:rPr>
          <w:spacing w:val="-2"/>
        </w:rPr>
        <w:t>信息科技有限公司（现已更名为广州水晶智联科</w:t>
      </w:r>
    </w:p>
    <w:p>
      <w:pPr>
        <w:pStyle w:val="BodyText"/>
        <w:spacing w:line="316" w:lineRule="auto" w:before="2"/>
        <w:ind w:right="1128"/>
        <w:jc w:val="both"/>
        <w:rPr>
          <w:rFonts w:ascii="宋体" w:hAnsi="宋体" w:cs="宋体" w:eastAsia="宋体" w:hint="default"/>
        </w:rPr>
      </w:pPr>
      <w:r>
        <w:rPr>
          <w:spacing w:val="-2"/>
        </w:rPr>
        <w:t>技有限公司）的</w:t>
      </w:r>
      <w:r>
        <w:rPr>
          <w:rFonts w:ascii="宋体" w:hAnsi="宋体" w:cs="宋体" w:eastAsia="宋体" w:hint="default"/>
          <w:spacing w:val="-2"/>
        </w:rPr>
        <w:t>45.00%</w:t>
      </w:r>
      <w:r>
        <w:rPr>
          <w:spacing w:val="-2"/>
        </w:rPr>
        <w:t>股权出售给北京水晶智联科技有限公司，公司现持广州水晶智联科技有限公司</w:t>
      </w:r>
      <w:r>
        <w:rPr>
          <w:rFonts w:ascii="宋体" w:hAnsi="宋体" w:cs="宋体" w:eastAsia="宋体" w:hint="default"/>
          <w:spacing w:val="-2"/>
        </w:rPr>
        <w:t>15.00%</w:t>
      </w:r>
      <w:r>
        <w:rPr>
          <w:spacing w:val="-2"/>
        </w:rPr>
        <w:t>的股权，向其派</w:t>
      </w:r>
      <w:r>
        <w:rPr>
          <w:spacing w:val="-56"/>
        </w:rPr>
        <w:t> </w:t>
      </w:r>
      <w:r>
        <w:rPr>
          <w:spacing w:val="-56"/>
        </w:rPr>
      </w:r>
      <w:r>
        <w:rPr>
          <w:spacing w:val="-2"/>
        </w:rPr>
        <w:t>出一名董事，对广州水晶智联科技有限公司的财务和经营政策有参与决策的权力，能够对被投资单位施加重大影响，故不再</w:t>
      </w:r>
      <w:r>
        <w:rPr>
          <w:spacing w:val="-63"/>
        </w:rPr>
        <w:t> </w:t>
      </w:r>
      <w:r>
        <w:rPr>
          <w:spacing w:val="-63"/>
        </w:rPr>
      </w:r>
      <w:r>
        <w:rPr/>
        <w:t>将广州水晶智联科技有限公司纳入合并范围，而是采用权益法核算。</w:t>
      </w:r>
      <w:r>
        <w:rPr>
          <w:rFonts w:ascii="宋体" w:hAnsi="宋体" w:cs="宋体" w:eastAsia="宋体" w:hint="default"/>
        </w:rPr>
        <w:t> </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现聘任的会计师事务所</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中勤万信会计师事务所（特殊普通合伙）</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82.5</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肖逸、李志光</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肖逸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年、李志光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49"/>
        <w:ind w:right="1133"/>
        <w:jc w:val="left"/>
      </w:pPr>
      <w:r>
        <w:rPr/>
        <w:t>当期是否改聘会计师事务所</w:t>
      </w:r>
    </w:p>
    <w:p>
      <w:pPr>
        <w:pStyle w:val="BodyText"/>
        <w:spacing w:line="340" w:lineRule="auto" w:before="115"/>
        <w:ind w:right="6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42"/>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1"/>
        <w:ind w:right="1139" w:firstLine="360"/>
        <w:jc w:val="both"/>
      </w:pPr>
      <w:r>
        <w:rPr>
          <w:rFonts w:ascii="Times New Roman" w:hAnsi="Times New Roman" w:cs="Times New Roman" w:eastAsia="Times New Roman" w:hint="default"/>
        </w:rPr>
        <w:t>1</w:t>
      </w:r>
      <w:r>
        <w:rPr/>
        <w:t>、本年度公司因</w:t>
      </w:r>
      <w:r>
        <w:rPr>
          <w:rFonts w:ascii="Times New Roman" w:hAnsi="Times New Roman" w:cs="Times New Roman" w:eastAsia="Times New Roman" w:hint="default"/>
        </w:rPr>
        <w:t>2015</w:t>
      </w:r>
      <w:r>
        <w:rPr/>
        <w:t>年度非公开发行股票事项，聘请中信建投证券股份有限公司为保荐机构及主承销商，保荐及承销 总费用为</w:t>
      </w:r>
      <w:r>
        <w:rPr>
          <w:rFonts w:ascii="Times New Roman" w:hAnsi="Times New Roman" w:cs="Times New Roman" w:eastAsia="Times New Roman" w:hint="default"/>
        </w:rPr>
        <w:t>32,790,047.19</w:t>
      </w:r>
      <w:r>
        <w:rPr/>
        <w:t>元，</w:t>
      </w:r>
      <w:r>
        <w:rPr>
          <w:rFonts w:ascii="Times New Roman" w:hAnsi="Times New Roman" w:cs="Times New Roman" w:eastAsia="Times New Roman" w:hint="default"/>
        </w:rPr>
        <w:t>2016</w:t>
      </w:r>
      <w:r>
        <w:rPr/>
        <w:t>年度公司共支付保荐及承销总费用</w:t>
      </w:r>
      <w:r>
        <w:rPr>
          <w:rFonts w:ascii="Times New Roman" w:hAnsi="Times New Roman" w:cs="Times New Roman" w:eastAsia="Times New Roman" w:hint="default"/>
        </w:rPr>
        <w:t>32,790,047.19</w:t>
      </w:r>
      <w:r>
        <w:rPr/>
        <w:t>元。本报告期内未有相关费用发生。</w:t>
      </w:r>
    </w:p>
    <w:p>
      <w:pPr>
        <w:pStyle w:val="BodyText"/>
        <w:spacing w:line="300" w:lineRule="auto" w:before="13"/>
        <w:ind w:right="1139" w:firstLine="360"/>
        <w:jc w:val="both"/>
      </w:pPr>
      <w:r>
        <w:rPr>
          <w:rFonts w:ascii="Times New Roman" w:hAnsi="Times New Roman" w:cs="Times New Roman" w:eastAsia="Times New Roman" w:hint="default"/>
        </w:rPr>
        <w:t>2</w:t>
      </w:r>
      <w:r>
        <w:rPr/>
        <w:t>、本年度公司因</w:t>
      </w:r>
      <w:r>
        <w:rPr>
          <w:rFonts w:ascii="Times New Roman" w:hAnsi="Times New Roman" w:cs="Times New Roman" w:eastAsia="Times New Roman" w:hint="default"/>
        </w:rPr>
        <w:t>2017</w:t>
      </w:r>
      <w:r>
        <w:rPr/>
        <w:t>年度财报审计聘请了中勤万信会计师事务所（特殊普通合伙）为审计机构，对公司及公司合并报 表范围内下属各控股子公司的</w:t>
      </w:r>
      <w:r>
        <w:rPr>
          <w:rFonts w:ascii="Times New Roman" w:hAnsi="Times New Roman" w:cs="Times New Roman" w:eastAsia="Times New Roman" w:hint="default"/>
        </w:rPr>
        <w:t>2017</w:t>
      </w:r>
      <w:r>
        <w:rPr/>
        <w:t>年度财报进行审计，合计发生审计费用总金额为</w:t>
      </w:r>
      <w:r>
        <w:rPr>
          <w:rFonts w:ascii="Times New Roman" w:hAnsi="Times New Roman" w:cs="Times New Roman" w:eastAsia="Times New Roman" w:hint="default"/>
        </w:rPr>
        <w:t>101</w:t>
      </w:r>
      <w:r>
        <w:rPr/>
        <w:t>万元，其中</w:t>
      </w:r>
      <w:r>
        <w:rPr>
          <w:rFonts w:ascii="Times New Roman" w:hAnsi="Times New Roman" w:cs="Times New Roman" w:eastAsia="Times New Roman" w:hint="default"/>
        </w:rPr>
        <w:t>82.5</w:t>
      </w:r>
      <w:r>
        <w:rPr/>
        <w:t>万元为公司主体审计 费用，剩余</w:t>
      </w:r>
      <w:r>
        <w:rPr>
          <w:rFonts w:ascii="Times New Roman" w:hAnsi="Times New Roman" w:cs="Times New Roman" w:eastAsia="Times New Roman" w:hint="default"/>
        </w:rPr>
        <w:t>18.5</w:t>
      </w:r>
      <w:r>
        <w:rPr/>
        <w:t>万元为公司下属各控股子公司审计费用，报告期内公司已支付前述审计费用。</w:t>
      </w:r>
    </w:p>
    <w:p>
      <w:pPr>
        <w:spacing w:line="240" w:lineRule="auto" w:before="5"/>
        <w:rPr>
          <w:rFonts w:ascii="宋体" w:hAnsi="宋体" w:cs="宋体" w:eastAsia="宋体" w:hint="default"/>
          <w:sz w:val="20"/>
          <w:szCs w:val="20"/>
        </w:rPr>
      </w:pPr>
    </w:p>
    <w:p>
      <w:pPr>
        <w:pStyle w:val="Heading2"/>
        <w:spacing w:line="240" w:lineRule="auto"/>
        <w:ind w:right="1133"/>
        <w:jc w:val="left"/>
        <w:rPr>
          <w:b w:val="0"/>
          <w:bCs w:val="0"/>
        </w:rPr>
      </w:pPr>
      <w:r>
        <w:rPr/>
        <w:t>十、年度报告披露后面临暂停上市和终止上市情况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十一、破产重整相关事项</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r>
        <w:rPr/>
        <w:t>十二、重大诉讼、仲裁事项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59"/>
        <w:gridCol w:w="1070"/>
        <w:gridCol w:w="1249"/>
        <w:gridCol w:w="941"/>
        <w:gridCol w:w="1373"/>
        <w:gridCol w:w="1248"/>
        <w:gridCol w:w="1064"/>
        <w:gridCol w:w="1066"/>
      </w:tblGrid>
      <w:tr>
        <w:trPr>
          <w:trHeight w:val="714"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685" w:right="83"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50" w:right="19" w:hanging="327"/>
              <w:jc w:val="left"/>
              <w:rPr>
                <w:rFonts w:ascii="宋体" w:hAnsi="宋体" w:cs="宋体" w:eastAsia="宋体" w:hint="default"/>
                <w:sz w:val="18"/>
                <w:szCs w:val="18"/>
              </w:rPr>
            </w:pPr>
            <w:r>
              <w:rPr>
                <w:rFonts w:ascii="宋体" w:hAnsi="宋体" w:cs="宋体" w:eastAsia="宋体" w:hint="default"/>
                <w:spacing w:val="-11"/>
                <w:sz w:val="18"/>
                <w:szCs w:val="18"/>
              </w:rPr>
              <w:t>涉案金额（万</w:t>
            </w:r>
            <w:r>
              <w:rPr>
                <w:rFonts w:ascii="宋体" w:hAnsi="宋体" w:cs="宋体" w:eastAsia="宋体" w:hint="default"/>
                <w:sz w:val="18"/>
                <w:szCs w:val="18"/>
              </w:rPr>
              <w:t> 元）</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9" w:right="77"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285" w:right="43"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232" w:right="79" w:hanging="152"/>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170" w:right="107"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3" w:hRule="exact"/>
        </w:trPr>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9" w:right="0"/>
              <w:jc w:val="left"/>
              <w:rPr>
                <w:rFonts w:ascii="Times New Roman" w:hAnsi="Times New Roman" w:cs="Times New Roman" w:eastAsia="Times New Roman" w:hint="default"/>
                <w:sz w:val="18"/>
                <w:szCs w:val="18"/>
              </w:rPr>
            </w:pPr>
            <w:r>
              <w:rPr>
                <w:rFonts w:ascii="Times New Roman"/>
                <w:sz w:val="18"/>
              </w:rPr>
              <w:t>16,012.01</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一审审理</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华东电脑请求法</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暂无</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31"/>
              <w:jc w:val="right"/>
              <w:rPr>
                <w:rFonts w:ascii="宋体" w:hAnsi="宋体" w:cs="宋体" w:eastAsia="宋体" w:hint="default"/>
                <w:sz w:val="18"/>
                <w:szCs w:val="18"/>
              </w:rPr>
            </w:pPr>
            <w:r>
              <w:rPr>
                <w:rFonts w:ascii="宋体" w:hAnsi="宋体" w:cs="宋体" w:eastAsia="宋体" w:hint="default"/>
                <w:sz w:val="18"/>
                <w:szCs w:val="18"/>
              </w:rPr>
              <w:t>在巨潮资讯</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60"/>
        <w:gridCol w:w="1070"/>
        <w:gridCol w:w="1249"/>
        <w:gridCol w:w="941"/>
        <w:gridCol w:w="1373"/>
        <w:gridCol w:w="1248"/>
        <w:gridCol w:w="1064"/>
        <w:gridCol w:w="1066"/>
      </w:tblGrid>
      <w:tr>
        <w:trPr>
          <w:trHeight w:val="348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84"/>
              <w:jc w:val="both"/>
              <w:rPr>
                <w:rFonts w:ascii="宋体" w:hAnsi="宋体" w:cs="宋体" w:eastAsia="宋体" w:hint="default"/>
                <w:sz w:val="18"/>
                <w:szCs w:val="18"/>
              </w:rPr>
            </w:pPr>
            <w:r>
              <w:rPr>
                <w:rFonts w:ascii="宋体" w:hAnsi="宋体" w:cs="宋体" w:eastAsia="宋体" w:hint="default"/>
                <w:sz w:val="18"/>
                <w:szCs w:val="18"/>
              </w:rPr>
              <w:t>上海华东电脑科技 股份有限公司因工 程剩余结算款纠纷 起诉本公司子公司 云硕科技</w:t>
            </w:r>
          </w:p>
        </w:tc>
        <w:tc>
          <w:tcPr>
            <w:tcW w:w="107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1"/>
              <w:jc w:val="left"/>
              <w:rPr>
                <w:rFonts w:ascii="宋体" w:hAnsi="宋体" w:cs="宋体" w:eastAsia="宋体" w:hint="default"/>
                <w:sz w:val="18"/>
                <w:szCs w:val="18"/>
              </w:rPr>
            </w:pPr>
            <w:r>
              <w:rPr>
                <w:rFonts w:ascii="宋体" w:hAnsi="宋体" w:cs="宋体" w:eastAsia="宋体" w:hint="default"/>
                <w:spacing w:val="-4"/>
                <w:sz w:val="18"/>
                <w:szCs w:val="18"/>
              </w:rPr>
              <w:t>中，受理法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院在推进 双方调解 中</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9"/>
              <w:jc w:val="both"/>
              <w:rPr>
                <w:rFonts w:ascii="宋体" w:hAnsi="宋体" w:cs="宋体" w:eastAsia="宋体" w:hint="default"/>
                <w:sz w:val="18"/>
                <w:szCs w:val="18"/>
              </w:rPr>
            </w:pPr>
            <w:r>
              <w:rPr>
                <w:rFonts w:ascii="宋体" w:hAnsi="宋体" w:cs="宋体" w:eastAsia="宋体" w:hint="default"/>
                <w:sz w:val="18"/>
                <w:szCs w:val="18"/>
              </w:rPr>
              <w:t>院依法判令云硕 科技支付总承包 合同项下剩余工 程结算款人民币 </w:t>
            </w:r>
            <w:r>
              <w:rPr>
                <w:rFonts w:ascii="Times New Roman" w:hAnsi="Times New Roman" w:cs="Times New Roman" w:eastAsia="Times New Roman" w:hint="default"/>
                <w:sz w:val="18"/>
                <w:szCs w:val="18"/>
              </w:rPr>
              <w:t>13,771.79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w:t>
            </w:r>
          </w:p>
          <w:p>
            <w:pPr>
              <w:pStyle w:val="TableParagraph"/>
              <w:spacing w:line="316" w:lineRule="auto"/>
              <w:ind w:left="23" w:right="74"/>
              <w:jc w:val="both"/>
              <w:rPr>
                <w:rFonts w:ascii="宋体" w:hAnsi="宋体" w:cs="宋体" w:eastAsia="宋体" w:hint="default"/>
                <w:sz w:val="18"/>
                <w:szCs w:val="18"/>
              </w:rPr>
            </w:pPr>
            <w:r>
              <w:rPr>
                <w:rFonts w:ascii="宋体" w:hAnsi="宋体" w:cs="宋体" w:eastAsia="宋体" w:hint="default"/>
                <w:sz w:val="18"/>
                <w:szCs w:val="18"/>
              </w:rPr>
              <w:t>剩余工程结算款 的资金占用费人 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2,240.21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35" w:lineRule="exact"/>
              <w:ind w:left="23" w:right="0"/>
              <w:jc w:val="both"/>
              <w:rPr>
                <w:rFonts w:ascii="宋体" w:hAnsi="宋体" w:cs="宋体" w:eastAsia="宋体" w:hint="default"/>
                <w:sz w:val="18"/>
                <w:szCs w:val="18"/>
              </w:rPr>
            </w:pPr>
            <w:r>
              <w:rPr>
                <w:rFonts w:ascii="宋体" w:hAnsi="宋体" w:cs="宋体" w:eastAsia="宋体" w:hint="default"/>
                <w:sz w:val="18"/>
                <w:szCs w:val="18"/>
              </w:rPr>
              <w:t>元。</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3"/>
              <w:jc w:val="left"/>
              <w:rPr>
                <w:rFonts w:ascii="宋体" w:hAnsi="宋体" w:cs="宋体" w:eastAsia="宋体" w:hint="default"/>
                <w:sz w:val="18"/>
                <w:szCs w:val="18"/>
              </w:rPr>
            </w:pPr>
            <w:r>
              <w:rPr>
                <w:rFonts w:ascii="宋体" w:hAnsi="宋体" w:cs="宋体" w:eastAsia="宋体" w:hint="default"/>
                <w:spacing w:val="-12"/>
                <w:sz w:val="18"/>
                <w:szCs w:val="18"/>
              </w:rPr>
              <w:t>网及《证券时</w:t>
            </w:r>
            <w:r>
              <w:rPr>
                <w:rFonts w:ascii="宋体" w:hAnsi="宋体" w:cs="宋体" w:eastAsia="宋体" w:hint="default"/>
                <w:sz w:val="18"/>
                <w:szCs w:val="18"/>
              </w:rPr>
              <w:t> 报》披露的 </w:t>
            </w:r>
            <w:r>
              <w:rPr>
                <w:rFonts w:ascii="Times New Roman" w:hAnsi="Times New Roman" w:cs="Times New Roman" w:eastAsia="Times New Roman" w:hint="default"/>
                <w:sz w:val="18"/>
                <w:szCs w:val="18"/>
              </w:rPr>
              <w:t>2017-091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p>
            <w:pPr>
              <w:pStyle w:val="TableParagraph"/>
              <w:spacing w:line="316" w:lineRule="auto"/>
              <w:ind w:left="23" w:right="114"/>
              <w:jc w:val="both"/>
              <w:rPr>
                <w:rFonts w:ascii="Times New Roman" w:hAnsi="Times New Roman" w:cs="Times New Roman" w:eastAsia="Times New Roman" w:hint="default"/>
                <w:sz w:val="18"/>
                <w:szCs w:val="18"/>
              </w:rPr>
            </w:pPr>
            <w:r>
              <w:rPr>
                <w:rFonts w:ascii="宋体" w:hAnsi="宋体" w:cs="宋体" w:eastAsia="宋体" w:hint="default"/>
                <w:sz w:val="18"/>
                <w:szCs w:val="18"/>
              </w:rPr>
              <w:t>《关于控股 子公司重大 诉讼公告》 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2018-023</w:t>
            </w: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pacing w:val="-12"/>
                <w:sz w:val="18"/>
                <w:szCs w:val="18"/>
              </w:rPr>
              <w:t>号《公司关于</w:t>
            </w:r>
            <w:r>
              <w:rPr>
                <w:rFonts w:ascii="宋体" w:hAnsi="宋体" w:cs="宋体" w:eastAsia="宋体" w:hint="default"/>
                <w:sz w:val="18"/>
                <w:szCs w:val="18"/>
              </w:rPr>
              <w:t> 控股子公司 重大诉讼公 告》</w:t>
            </w:r>
          </w:p>
        </w:tc>
      </w:tr>
      <w:tr>
        <w:trPr>
          <w:trHeight w:val="258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4" w:lineRule="auto"/>
              <w:ind w:left="24" w:right="19"/>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pacing w:val="-12"/>
                <w:sz w:val="18"/>
                <w:szCs w:val="18"/>
              </w:rPr>
              <w:t>月，公</w:t>
            </w:r>
            <w:r>
              <w:rPr>
                <w:rFonts w:ascii="宋体" w:hAnsi="宋体" w:cs="宋体" w:eastAsia="宋体" w:hint="default"/>
                <w:sz w:val="18"/>
                <w:szCs w:val="18"/>
              </w:rPr>
              <w:t> 司起诉东莞东海龙 环保科技有限公 司、东莞豪川光电 科技有限公司</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639.73</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85"/>
              <w:jc w:val="left"/>
              <w:rPr>
                <w:rFonts w:ascii="宋体" w:hAnsi="宋体" w:cs="宋体" w:eastAsia="宋体" w:hint="default"/>
                <w:sz w:val="18"/>
                <w:szCs w:val="18"/>
              </w:rPr>
            </w:pPr>
            <w:r>
              <w:rPr>
                <w:rFonts w:ascii="宋体" w:hAnsi="宋体" w:cs="宋体" w:eastAsia="宋体" w:hint="default"/>
                <w:sz w:val="18"/>
                <w:szCs w:val="18"/>
              </w:rPr>
              <w:t>一审判决 已生效，</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09" w:lineRule="auto"/>
              <w:ind w:left="23" w:right="74"/>
              <w:jc w:val="both"/>
              <w:rPr>
                <w:rFonts w:ascii="宋体" w:hAnsi="宋体" w:cs="宋体" w:eastAsia="宋体" w:hint="default"/>
                <w:sz w:val="18"/>
                <w:szCs w:val="18"/>
              </w:rPr>
            </w:pPr>
            <w:r>
              <w:rPr>
                <w:rFonts w:ascii="宋体" w:hAnsi="宋体" w:cs="宋体" w:eastAsia="宋体" w:hint="default"/>
                <w:sz w:val="18"/>
                <w:szCs w:val="18"/>
              </w:rPr>
              <w:t>判决被告向公司 返还款项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466.57 </w:t>
            </w:r>
            <w:r>
              <w:rPr>
                <w:rFonts w:ascii="宋体" w:hAnsi="宋体" w:cs="宋体" w:eastAsia="宋体" w:hint="default"/>
                <w:sz w:val="18"/>
                <w:szCs w:val="18"/>
              </w:rPr>
              <w:t>万元及利息，并 承担</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万元律师 费。</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32"/>
              <w:jc w:val="left"/>
              <w:rPr>
                <w:rFonts w:ascii="宋体" w:hAnsi="宋体" w:cs="宋体" w:eastAsia="宋体" w:hint="default"/>
                <w:sz w:val="18"/>
                <w:szCs w:val="18"/>
              </w:rPr>
            </w:pPr>
            <w:r>
              <w:rPr>
                <w:rFonts w:ascii="宋体" w:hAnsi="宋体" w:cs="宋体" w:eastAsia="宋体" w:hint="default"/>
                <w:sz w:val="18"/>
                <w:szCs w:val="18"/>
              </w:rPr>
              <w:t>法院强制执行 中</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在巨潮资讯 </w:t>
            </w:r>
            <w:r>
              <w:rPr>
                <w:rFonts w:ascii="宋体" w:hAnsi="宋体" w:cs="宋体" w:eastAsia="宋体" w:hint="default"/>
                <w:spacing w:val="-12"/>
                <w:sz w:val="18"/>
                <w:szCs w:val="18"/>
              </w:rPr>
              <w:t>网和《证券时</w:t>
            </w:r>
            <w:r>
              <w:rPr>
                <w:rFonts w:ascii="宋体" w:hAnsi="宋体" w:cs="宋体" w:eastAsia="宋体" w:hint="default"/>
                <w:sz w:val="18"/>
                <w:szCs w:val="18"/>
              </w:rPr>
              <w:t> 报》披露的 </w:t>
            </w:r>
            <w:r>
              <w:rPr>
                <w:rFonts w:ascii="Times New Roman" w:hAnsi="Times New Roman" w:cs="Times New Roman" w:eastAsia="Times New Roman" w:hint="default"/>
                <w:sz w:val="18"/>
                <w:szCs w:val="18"/>
              </w:rPr>
              <w:t>2016-062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p>
            <w:pPr>
              <w:pStyle w:val="TableParagraph"/>
              <w:spacing w:line="316" w:lineRule="auto"/>
              <w:ind w:left="23" w:right="131"/>
              <w:jc w:val="both"/>
              <w:rPr>
                <w:rFonts w:ascii="宋体" w:hAnsi="宋体" w:cs="宋体" w:eastAsia="宋体" w:hint="default"/>
                <w:sz w:val="18"/>
                <w:szCs w:val="18"/>
              </w:rPr>
            </w:pPr>
            <w:r>
              <w:rPr>
                <w:rFonts w:ascii="宋体" w:hAnsi="宋体" w:cs="宋体" w:eastAsia="宋体" w:hint="default"/>
                <w:sz w:val="18"/>
                <w:szCs w:val="18"/>
              </w:rPr>
              <w:t>《公司关于 控股子公司 重大诉讼公 告》</w:t>
            </w:r>
          </w:p>
        </w:tc>
      </w:tr>
      <w:tr>
        <w:trPr>
          <w:trHeight w:val="258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4" w:lineRule="auto"/>
              <w:ind w:left="24" w:right="19"/>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pacing w:val="-12"/>
                <w:sz w:val="18"/>
                <w:szCs w:val="18"/>
              </w:rPr>
              <w:t>月，公</w:t>
            </w:r>
            <w:r>
              <w:rPr>
                <w:rFonts w:ascii="宋体" w:hAnsi="宋体" w:cs="宋体" w:eastAsia="宋体" w:hint="default"/>
                <w:sz w:val="18"/>
                <w:szCs w:val="18"/>
              </w:rPr>
              <w:t> 司因合同纠纷起诉 神州创宇低碳技术 投资（北京）有限 公司</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w w:val="95"/>
                <w:sz w:val="18"/>
              </w:rPr>
              <w:t>2,486.36</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85"/>
              <w:jc w:val="left"/>
              <w:rPr>
                <w:rFonts w:ascii="宋体" w:hAnsi="宋体" w:cs="宋体" w:eastAsia="宋体" w:hint="default"/>
                <w:sz w:val="18"/>
                <w:szCs w:val="18"/>
              </w:rPr>
            </w:pPr>
            <w:r>
              <w:rPr>
                <w:rFonts w:ascii="宋体" w:hAnsi="宋体" w:cs="宋体" w:eastAsia="宋体" w:hint="default"/>
                <w:sz w:val="18"/>
                <w:szCs w:val="18"/>
              </w:rPr>
              <w:t>已调解结 案</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7"/>
              <w:jc w:val="both"/>
              <w:rPr>
                <w:rFonts w:ascii="宋体" w:hAnsi="宋体" w:cs="宋体" w:eastAsia="宋体" w:hint="default"/>
                <w:sz w:val="18"/>
                <w:szCs w:val="18"/>
              </w:rPr>
            </w:pPr>
            <w:r>
              <w:rPr>
                <w:rFonts w:ascii="宋体" w:hAnsi="宋体" w:cs="宋体" w:eastAsia="宋体" w:hint="default"/>
                <w:sz w:val="18"/>
                <w:szCs w:val="18"/>
              </w:rPr>
              <w:t>双方达成庭外和 解，依据和解协 议，被告应向公 司支付货款共计 </w:t>
            </w:r>
            <w:r>
              <w:rPr>
                <w:rFonts w:ascii="Times New Roman" w:hAnsi="Times New Roman" w:cs="Times New Roman" w:eastAsia="Times New Roman" w:hint="default"/>
                <w:sz w:val="18"/>
                <w:szCs w:val="18"/>
              </w:rPr>
              <w:t>2,400.26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w:t>
            </w:r>
          </w:p>
          <w:p>
            <w:pPr>
              <w:pStyle w:val="TableParagraph"/>
              <w:spacing w:line="316" w:lineRule="auto"/>
              <w:ind w:left="23" w:right="77"/>
              <w:jc w:val="left"/>
              <w:rPr>
                <w:rFonts w:ascii="宋体" w:hAnsi="宋体" w:cs="宋体" w:eastAsia="宋体" w:hint="default"/>
                <w:sz w:val="18"/>
                <w:szCs w:val="18"/>
              </w:rPr>
            </w:pPr>
            <w:r>
              <w:rPr>
                <w:rFonts w:ascii="宋体" w:hAnsi="宋体" w:cs="宋体" w:eastAsia="宋体" w:hint="default"/>
                <w:sz w:val="18"/>
                <w:szCs w:val="18"/>
              </w:rPr>
              <w:t>利息，并承担诉 讼费及相关费 用。</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已执行完毕</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在巨潮资讯 </w:t>
            </w:r>
            <w:r>
              <w:rPr>
                <w:rFonts w:ascii="宋体" w:hAnsi="宋体" w:cs="宋体" w:eastAsia="宋体" w:hint="default"/>
                <w:spacing w:val="-12"/>
                <w:sz w:val="18"/>
                <w:szCs w:val="18"/>
              </w:rPr>
              <w:t>网和《证券时</w:t>
            </w:r>
            <w:r>
              <w:rPr>
                <w:rFonts w:ascii="宋体" w:hAnsi="宋体" w:cs="宋体" w:eastAsia="宋体" w:hint="default"/>
                <w:sz w:val="18"/>
                <w:szCs w:val="18"/>
              </w:rPr>
              <w:t> 报》披露的 </w:t>
            </w:r>
            <w:r>
              <w:rPr>
                <w:rFonts w:ascii="Times New Roman" w:hAnsi="Times New Roman" w:cs="Times New Roman" w:eastAsia="Times New Roman" w:hint="default"/>
                <w:sz w:val="18"/>
                <w:szCs w:val="18"/>
              </w:rPr>
              <w:t>2016-062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p>
            <w:pPr>
              <w:pStyle w:val="TableParagraph"/>
              <w:spacing w:line="316" w:lineRule="auto"/>
              <w:ind w:left="23" w:right="131"/>
              <w:jc w:val="both"/>
              <w:rPr>
                <w:rFonts w:ascii="宋体" w:hAnsi="宋体" w:cs="宋体" w:eastAsia="宋体" w:hint="default"/>
                <w:sz w:val="18"/>
                <w:szCs w:val="18"/>
              </w:rPr>
            </w:pPr>
            <w:r>
              <w:rPr>
                <w:rFonts w:ascii="宋体" w:hAnsi="宋体" w:cs="宋体" w:eastAsia="宋体" w:hint="default"/>
                <w:sz w:val="18"/>
                <w:szCs w:val="18"/>
              </w:rPr>
              <w:t>《公司关于 控股子公司 重大诉讼公 告》</w:t>
            </w:r>
          </w:p>
        </w:tc>
      </w:tr>
      <w:tr>
        <w:trPr>
          <w:trHeight w:val="414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2" w:lineRule="auto"/>
              <w:ind w:left="24" w:right="19"/>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4</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pacing w:val="-12"/>
                <w:sz w:val="18"/>
                <w:szCs w:val="18"/>
              </w:rPr>
              <w:t>月，公</w:t>
            </w:r>
            <w:r>
              <w:rPr>
                <w:rFonts w:ascii="宋体" w:hAnsi="宋体" w:cs="宋体" w:eastAsia="宋体" w:hint="default"/>
                <w:sz w:val="18"/>
                <w:szCs w:val="18"/>
              </w:rPr>
              <w:t> 司因合同纠纷起诉 南京理工速必得科 技有限公司</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2,012.14</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3" w:right="185"/>
              <w:jc w:val="left"/>
              <w:rPr>
                <w:rFonts w:ascii="宋体" w:hAnsi="宋体" w:cs="宋体" w:eastAsia="宋体" w:hint="default"/>
                <w:sz w:val="18"/>
                <w:szCs w:val="18"/>
              </w:rPr>
            </w:pPr>
            <w:r>
              <w:rPr>
                <w:rFonts w:ascii="宋体" w:hAnsi="宋体" w:cs="宋体" w:eastAsia="宋体" w:hint="default"/>
                <w:sz w:val="18"/>
                <w:szCs w:val="18"/>
              </w:rPr>
              <w:t>已调解结 案</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74"/>
              <w:jc w:val="both"/>
              <w:rPr>
                <w:rFonts w:ascii="宋体" w:hAnsi="宋体" w:cs="宋体" w:eastAsia="宋体" w:hint="default"/>
                <w:sz w:val="18"/>
                <w:szCs w:val="18"/>
              </w:rPr>
            </w:pPr>
            <w:r>
              <w:rPr>
                <w:rFonts w:ascii="宋体" w:hAnsi="宋体" w:cs="宋体" w:eastAsia="宋体" w:hint="default"/>
                <w:sz w:val="18"/>
                <w:szCs w:val="18"/>
              </w:rPr>
              <w:t>本案双方已经法 院调解达成和解 协议，由被告确 认并分七期支付 所欠公司的款项 </w:t>
            </w:r>
            <w:r>
              <w:rPr>
                <w:rFonts w:ascii="Times New Roman" w:hAnsi="Times New Roman" w:cs="Times New Roman" w:eastAsia="Times New Roman" w:hint="default"/>
                <w:sz w:val="18"/>
                <w:szCs w:val="18"/>
              </w:rPr>
              <w:t>1,908.33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3" w:right="132"/>
              <w:jc w:val="left"/>
              <w:rPr>
                <w:rFonts w:ascii="宋体" w:hAnsi="宋体" w:cs="宋体" w:eastAsia="宋体" w:hint="default"/>
                <w:sz w:val="18"/>
                <w:szCs w:val="18"/>
              </w:rPr>
            </w:pPr>
            <w:r>
              <w:rPr>
                <w:rFonts w:ascii="宋体" w:hAnsi="宋体" w:cs="宋体" w:eastAsia="宋体" w:hint="default"/>
                <w:sz w:val="18"/>
                <w:szCs w:val="18"/>
              </w:rPr>
              <w:t>法院强制执行 中</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在巨潮资讯 </w:t>
            </w:r>
            <w:r>
              <w:rPr>
                <w:rFonts w:ascii="宋体" w:hAnsi="宋体" w:cs="宋体" w:eastAsia="宋体" w:hint="default"/>
                <w:spacing w:val="-12"/>
                <w:sz w:val="18"/>
                <w:szCs w:val="18"/>
              </w:rPr>
              <w:t>网和《证券时</w:t>
            </w:r>
            <w:r>
              <w:rPr>
                <w:rFonts w:ascii="宋体" w:hAnsi="宋体" w:cs="宋体" w:eastAsia="宋体" w:hint="default"/>
                <w:sz w:val="18"/>
                <w:szCs w:val="18"/>
              </w:rPr>
              <w:t> 报》披露的 </w:t>
            </w:r>
            <w:r>
              <w:rPr>
                <w:rFonts w:ascii="Times New Roman" w:hAnsi="Times New Roman" w:cs="Times New Roman" w:eastAsia="Times New Roman" w:hint="default"/>
                <w:sz w:val="18"/>
                <w:szCs w:val="18"/>
              </w:rPr>
              <w:t>2017-091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p>
            <w:pPr>
              <w:pStyle w:val="TableParagraph"/>
              <w:spacing w:line="316" w:lineRule="auto"/>
              <w:ind w:left="23" w:right="131"/>
              <w:jc w:val="both"/>
              <w:rPr>
                <w:rFonts w:ascii="宋体" w:hAnsi="宋体" w:cs="宋体" w:eastAsia="宋体" w:hint="default"/>
                <w:sz w:val="18"/>
                <w:szCs w:val="18"/>
              </w:rPr>
            </w:pPr>
            <w:r>
              <w:rPr>
                <w:rFonts w:ascii="宋体" w:hAnsi="宋体" w:cs="宋体" w:eastAsia="宋体" w:hint="default"/>
                <w:sz w:val="18"/>
                <w:szCs w:val="18"/>
              </w:rPr>
              <w:t>《关于控股 子公司重大 诉讼进展公 </w:t>
            </w:r>
            <w:r>
              <w:rPr>
                <w:rFonts w:ascii="宋体" w:hAnsi="宋体" w:cs="宋体" w:eastAsia="宋体" w:hint="default"/>
                <w:spacing w:val="-31"/>
                <w:sz w:val="18"/>
                <w:szCs w:val="18"/>
              </w:rPr>
              <w:t>告》、</w:t>
            </w:r>
          </w:p>
          <w:p>
            <w:pPr>
              <w:pStyle w:val="TableParagraph"/>
              <w:spacing w:line="240" w:lineRule="auto" w:before="19"/>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2018-023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p>
            <w:pPr>
              <w:pStyle w:val="TableParagraph"/>
              <w:spacing w:line="316" w:lineRule="auto" w:before="63"/>
              <w:ind w:left="23" w:right="131"/>
              <w:jc w:val="both"/>
              <w:rPr>
                <w:rFonts w:ascii="宋体" w:hAnsi="宋体" w:cs="宋体" w:eastAsia="宋体" w:hint="default"/>
                <w:sz w:val="18"/>
                <w:szCs w:val="18"/>
              </w:rPr>
            </w:pPr>
            <w:r>
              <w:rPr>
                <w:rFonts w:ascii="宋体" w:hAnsi="宋体" w:cs="宋体" w:eastAsia="宋体" w:hint="default"/>
                <w:sz w:val="18"/>
                <w:szCs w:val="18"/>
              </w:rPr>
              <w:t>《公司关于 控股子公司 重大诉讼公 告》</w:t>
            </w:r>
          </w:p>
        </w:tc>
      </w:tr>
      <w:tr>
        <w:trPr>
          <w:trHeight w:val="98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pacing w:val="-12"/>
                <w:sz w:val="18"/>
                <w:szCs w:val="18"/>
              </w:rPr>
              <w:t>月，晋</w:t>
            </w:r>
            <w:r>
              <w:rPr>
                <w:rFonts w:ascii="宋体" w:hAnsi="宋体" w:cs="宋体" w:eastAsia="宋体" w:hint="default"/>
                <w:sz w:val="18"/>
                <w:szCs w:val="18"/>
              </w:rPr>
              <w:t> 州市月光照明电器 厂诉公司全资子公</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907.86</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85"/>
              <w:jc w:val="both"/>
              <w:rPr>
                <w:rFonts w:ascii="宋体" w:hAnsi="宋体" w:cs="宋体" w:eastAsia="宋体" w:hint="default"/>
                <w:sz w:val="18"/>
                <w:szCs w:val="18"/>
              </w:rPr>
            </w:pPr>
            <w:r>
              <w:rPr>
                <w:rFonts w:ascii="宋体" w:hAnsi="宋体" w:cs="宋体" w:eastAsia="宋体" w:hint="default"/>
                <w:sz w:val="18"/>
                <w:szCs w:val="18"/>
              </w:rPr>
              <w:t>定州中标 不服二审 判决，于</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二审判决公司返 还原告材料款</w:t>
            </w:r>
          </w:p>
          <w:p>
            <w:pPr>
              <w:pStyle w:val="TableParagraph"/>
              <w:spacing w:line="240" w:lineRule="auto" w:before="1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907.86 </w:t>
            </w:r>
            <w:r>
              <w:rPr>
                <w:rFonts w:ascii="宋体" w:hAnsi="宋体" w:cs="宋体" w:eastAsia="宋体" w:hint="default"/>
                <w:sz w:val="18"/>
                <w:szCs w:val="18"/>
              </w:rPr>
              <w:t>万元及利</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暂无</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在巨潮资讯 </w:t>
            </w:r>
            <w:r>
              <w:rPr>
                <w:rFonts w:ascii="宋体" w:hAnsi="宋体" w:cs="宋体" w:eastAsia="宋体" w:hint="default"/>
                <w:spacing w:val="-12"/>
                <w:sz w:val="18"/>
                <w:szCs w:val="18"/>
              </w:rPr>
              <w:t>网和《证券时</w:t>
            </w:r>
            <w:r>
              <w:rPr>
                <w:rFonts w:ascii="宋体" w:hAnsi="宋体" w:cs="宋体" w:eastAsia="宋体" w:hint="default"/>
                <w:sz w:val="18"/>
                <w:szCs w:val="18"/>
              </w:rPr>
              <w:t> 报》披露的</w:t>
            </w:r>
          </w:p>
        </w:tc>
      </w:tr>
    </w:tbl>
    <w:p>
      <w:pPr>
        <w:spacing w:after="0" w:line="319"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15.53299pt;margin-top:450.189972pt;width:112.95pt;height:70.2pt;mso-position-horizontal-relative:page;mso-position-vertical-relative:page;z-index:-1203352" type="#_x0000_t202" filled="false" stroked="false">
            <v:textbox inset="0,0,0,0">
              <w:txbxContent>
                <w:p>
                  <w:pPr>
                    <w:pStyle w:val="BodyText"/>
                    <w:spacing w:line="240" w:lineRule="auto" w:before="123"/>
                    <w:ind w:left="0" w:right="0"/>
                    <w:jc w:val="left"/>
                  </w:pPr>
                  <w:r>
                    <w:rPr/>
                    <w:t>诉讼担保费、</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60"/>
        <w:gridCol w:w="1070"/>
        <w:gridCol w:w="1249"/>
        <w:gridCol w:w="941"/>
        <w:gridCol w:w="1373"/>
        <w:gridCol w:w="1248"/>
        <w:gridCol w:w="1064"/>
        <w:gridCol w:w="1066"/>
      </w:tblGrid>
      <w:tr>
        <w:trPr>
          <w:trHeight w:val="285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84"/>
              <w:jc w:val="left"/>
              <w:rPr>
                <w:rFonts w:ascii="宋体" w:hAnsi="宋体" w:cs="宋体" w:eastAsia="宋体" w:hint="default"/>
                <w:sz w:val="18"/>
                <w:szCs w:val="18"/>
              </w:rPr>
            </w:pPr>
            <w:r>
              <w:rPr>
                <w:rFonts w:ascii="宋体" w:hAnsi="宋体" w:cs="宋体" w:eastAsia="宋体" w:hint="default"/>
                <w:sz w:val="18"/>
                <w:szCs w:val="18"/>
              </w:rPr>
              <w:t>司定州市中标节能 技术服务有限公司</w:t>
            </w:r>
          </w:p>
        </w:tc>
        <w:tc>
          <w:tcPr>
            <w:tcW w:w="107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316" w:lineRule="auto" w:before="63"/>
              <w:ind w:left="23" w:right="5"/>
              <w:jc w:val="left"/>
              <w:rPr>
                <w:rFonts w:ascii="宋体" w:hAnsi="宋体" w:cs="宋体" w:eastAsia="宋体" w:hint="default"/>
                <w:sz w:val="18"/>
                <w:szCs w:val="18"/>
              </w:rPr>
            </w:pPr>
            <w:r>
              <w:rPr>
                <w:rFonts w:ascii="宋体" w:hAnsi="宋体" w:cs="宋体" w:eastAsia="宋体" w:hint="default"/>
                <w:sz w:val="18"/>
                <w:szCs w:val="18"/>
              </w:rPr>
              <w:t>向河北省 高级人民 法院提出 再审申请， 法院已于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pacing w:val="-4"/>
                <w:sz w:val="18"/>
                <w:szCs w:val="18"/>
              </w:rPr>
              <w:t>受理，案件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在审理中</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77"/>
              <w:jc w:val="both"/>
              <w:rPr>
                <w:rFonts w:ascii="宋体" w:hAnsi="宋体" w:cs="宋体" w:eastAsia="宋体" w:hint="default"/>
                <w:sz w:val="18"/>
                <w:szCs w:val="18"/>
              </w:rPr>
            </w:pPr>
            <w:r>
              <w:rPr>
                <w:rFonts w:ascii="宋体" w:hAnsi="宋体" w:cs="宋体" w:eastAsia="宋体" w:hint="default"/>
                <w:sz w:val="18"/>
                <w:szCs w:val="18"/>
              </w:rPr>
              <w:t>息。公司不服本 案件判决向法院 申请再审，已受 理，公司尚未支 付相关款项。</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2018-023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p>
            <w:pPr>
              <w:pStyle w:val="TableParagraph"/>
              <w:spacing w:line="316" w:lineRule="auto" w:before="63"/>
              <w:ind w:left="23" w:right="131"/>
              <w:jc w:val="both"/>
              <w:rPr>
                <w:rFonts w:ascii="宋体" w:hAnsi="宋体" w:cs="宋体" w:eastAsia="宋体" w:hint="default"/>
                <w:sz w:val="18"/>
                <w:szCs w:val="18"/>
              </w:rPr>
            </w:pPr>
            <w:r>
              <w:rPr>
                <w:rFonts w:ascii="宋体" w:hAnsi="宋体" w:cs="宋体" w:eastAsia="宋体" w:hint="default"/>
                <w:sz w:val="18"/>
                <w:szCs w:val="18"/>
              </w:rPr>
              <w:t>《公司关于 控股子公司 重大诉讼公 告》</w:t>
            </w:r>
          </w:p>
        </w:tc>
      </w:tr>
      <w:tr>
        <w:trPr>
          <w:trHeight w:val="258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09" w:lineRule="auto"/>
              <w:ind w:left="24" w:right="43"/>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 公司起诉杭州度联 信息技术有限公司</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right="20"/>
              <w:jc w:val="right"/>
              <w:rPr>
                <w:rFonts w:ascii="Times New Roman" w:hAnsi="Times New Roman" w:cs="Times New Roman" w:eastAsia="Times New Roman" w:hint="default"/>
                <w:sz w:val="18"/>
                <w:szCs w:val="18"/>
              </w:rPr>
            </w:pPr>
            <w:r>
              <w:rPr>
                <w:rFonts w:ascii="Times New Roman"/>
                <w:spacing w:val="-1"/>
                <w:sz w:val="18"/>
              </w:rPr>
              <w:t>696.31</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85"/>
              <w:jc w:val="left"/>
              <w:rPr>
                <w:rFonts w:ascii="宋体" w:hAnsi="宋体" w:cs="宋体" w:eastAsia="宋体" w:hint="default"/>
                <w:sz w:val="18"/>
                <w:szCs w:val="18"/>
              </w:rPr>
            </w:pPr>
            <w:r>
              <w:rPr>
                <w:rFonts w:ascii="宋体" w:hAnsi="宋体" w:cs="宋体" w:eastAsia="宋体" w:hint="default"/>
                <w:sz w:val="18"/>
                <w:szCs w:val="18"/>
              </w:rPr>
              <w:t>一审判决 已生效</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54"/>
              <w:ind w:left="23" w:right="29"/>
              <w:jc w:val="left"/>
              <w:rPr>
                <w:rFonts w:ascii="宋体" w:hAnsi="宋体" w:cs="宋体" w:eastAsia="宋体" w:hint="default"/>
                <w:sz w:val="18"/>
                <w:szCs w:val="18"/>
              </w:rPr>
            </w:pPr>
            <w:r>
              <w:rPr>
                <w:rFonts w:ascii="宋体" w:hAnsi="宋体" w:cs="宋体" w:eastAsia="宋体" w:hint="default"/>
                <w:sz w:val="18"/>
                <w:szCs w:val="18"/>
              </w:rPr>
              <w:t>判决被告自判决 书生效之日起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日内向公司支付 货款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624.56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及逾期付款利 息。</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32"/>
              <w:jc w:val="left"/>
              <w:rPr>
                <w:rFonts w:ascii="宋体" w:hAnsi="宋体" w:cs="宋体" w:eastAsia="宋体" w:hint="default"/>
                <w:sz w:val="18"/>
                <w:szCs w:val="18"/>
              </w:rPr>
            </w:pPr>
            <w:r>
              <w:rPr>
                <w:rFonts w:ascii="宋体" w:hAnsi="宋体" w:cs="宋体" w:eastAsia="宋体" w:hint="default"/>
                <w:sz w:val="18"/>
                <w:szCs w:val="18"/>
              </w:rPr>
              <w:t>暂未申请强制 执行</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在巨潮资讯 </w:t>
            </w:r>
            <w:r>
              <w:rPr>
                <w:rFonts w:ascii="宋体" w:hAnsi="宋体" w:cs="宋体" w:eastAsia="宋体" w:hint="default"/>
                <w:spacing w:val="-12"/>
                <w:sz w:val="18"/>
                <w:szCs w:val="18"/>
              </w:rPr>
              <w:t>网及《证券时</w:t>
            </w:r>
            <w:r>
              <w:rPr>
                <w:rFonts w:ascii="宋体" w:hAnsi="宋体" w:cs="宋体" w:eastAsia="宋体" w:hint="default"/>
                <w:sz w:val="18"/>
                <w:szCs w:val="18"/>
              </w:rPr>
              <w:t> 报》披露的 </w:t>
            </w:r>
            <w:r>
              <w:rPr>
                <w:rFonts w:ascii="Times New Roman" w:hAnsi="Times New Roman" w:cs="Times New Roman" w:eastAsia="Times New Roman" w:hint="default"/>
                <w:sz w:val="18"/>
                <w:szCs w:val="18"/>
              </w:rPr>
              <w:t>2018-023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p>
            <w:pPr>
              <w:pStyle w:val="TableParagraph"/>
              <w:spacing w:line="316" w:lineRule="auto"/>
              <w:ind w:left="23" w:right="131"/>
              <w:jc w:val="both"/>
              <w:rPr>
                <w:rFonts w:ascii="宋体" w:hAnsi="宋体" w:cs="宋体" w:eastAsia="宋体" w:hint="default"/>
                <w:sz w:val="18"/>
                <w:szCs w:val="18"/>
              </w:rPr>
            </w:pPr>
            <w:r>
              <w:rPr>
                <w:rFonts w:ascii="宋体" w:hAnsi="宋体" w:cs="宋体" w:eastAsia="宋体" w:hint="default"/>
                <w:sz w:val="18"/>
                <w:szCs w:val="18"/>
              </w:rPr>
              <w:t>《公司关于 控股子公司 重大诉讼公 告》</w:t>
            </w:r>
          </w:p>
        </w:tc>
      </w:tr>
      <w:tr>
        <w:trPr>
          <w:trHeight w:val="352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7"/>
              <w:ind w:left="24" w:right="19"/>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7</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pacing w:val="-12"/>
                <w:sz w:val="18"/>
                <w:szCs w:val="18"/>
              </w:rPr>
              <w:t>月，公</w:t>
            </w:r>
            <w:r>
              <w:rPr>
                <w:rFonts w:ascii="宋体" w:hAnsi="宋体" w:cs="宋体" w:eastAsia="宋体" w:hint="default"/>
                <w:sz w:val="18"/>
                <w:szCs w:val="18"/>
              </w:rPr>
              <w:t> 司因合同纠纷起诉 广州易站通计算机 科技有限公司、王 劲虎</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243.52</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185"/>
              <w:jc w:val="left"/>
              <w:rPr>
                <w:rFonts w:ascii="宋体" w:hAnsi="宋体" w:cs="宋体" w:eastAsia="宋体" w:hint="default"/>
                <w:sz w:val="18"/>
                <w:szCs w:val="18"/>
              </w:rPr>
            </w:pPr>
            <w:r>
              <w:rPr>
                <w:rFonts w:ascii="宋体" w:hAnsi="宋体" w:cs="宋体" w:eastAsia="宋体" w:hint="default"/>
                <w:sz w:val="18"/>
                <w:szCs w:val="18"/>
              </w:rPr>
              <w:t>已调解结 案</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7"/>
              <w:jc w:val="both"/>
              <w:rPr>
                <w:rFonts w:ascii="宋体" w:hAnsi="宋体" w:cs="宋体" w:eastAsia="宋体" w:hint="default"/>
                <w:sz w:val="18"/>
                <w:szCs w:val="18"/>
              </w:rPr>
            </w:pPr>
            <w:r>
              <w:rPr>
                <w:rFonts w:ascii="宋体" w:hAnsi="宋体" w:cs="宋体" w:eastAsia="宋体" w:hint="default"/>
                <w:sz w:val="18"/>
                <w:szCs w:val="18"/>
              </w:rPr>
              <w:t>本案双方已经法 院调解达成和解 协议，由被告确 认并分三期支付 所欠公司的款项</w:t>
            </w:r>
          </w:p>
          <w:p>
            <w:pPr>
              <w:pStyle w:val="TableParagraph"/>
              <w:spacing w:line="314" w:lineRule="auto" w:before="17"/>
              <w:ind w:left="23"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180.29 </w:t>
            </w:r>
            <w:r>
              <w:rPr>
                <w:rFonts w:ascii="宋体" w:hAnsi="宋体" w:cs="宋体" w:eastAsia="宋体" w:hint="default"/>
                <w:sz w:val="18"/>
                <w:szCs w:val="18"/>
              </w:rPr>
              <w:t>万元，并 承担本案诉讼 费、 保全费等相关费 用。被告王劲虎 承担连带责任。</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10"/>
                <w:sz w:val="18"/>
                <w:szCs w:val="18"/>
              </w:rPr>
              <w:t>已部分回款，正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在执行中</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1404" w:lineRule="exact"/>
              <w:ind w:left="2"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
                <w:sz w:val="20"/>
                <w:szCs w:val="20"/>
              </w:rPr>
              <w:pict>
                <v:group style="width:61.8pt;height:70.2pt;mso-position-horizontal-relative:char;mso-position-vertical-relative:line" coordorigin="0,0" coordsize="1236,1404">
                  <v:group style="position:absolute;left:0;top:0;width:1236;height:1404" coordorigin="0,0" coordsize="1236,1404">
                    <v:shape style="position:absolute;left:0;top:0;width:1236;height:1404" coordorigin="0,0" coordsize="1236,1404" path="m0,1404l1236,1404,1236,0,0,0,0,1404xe" filled="true" fillcolor="#ffffff" stroked="false">
                      <v:path arrowok="t"/>
                      <v:fill type="solid"/>
                    </v:shape>
                  </v:group>
                </v:group>
              </w:pict>
            </w:r>
            <w:r>
              <w:rPr>
                <w:rFonts w:ascii="Times New Roman" w:hAnsi="Times New Roman" w:cs="Times New Roman" w:eastAsia="Times New Roman" w:hint="default"/>
                <w:position w:val="-27"/>
                <w:sz w:val="20"/>
                <w:szCs w:val="20"/>
              </w:rPr>
            </w: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、报告期内发生的</w:t>
            </w:r>
            <w:r>
              <w:rPr>
                <w:rFonts w:ascii="宋体" w:hAnsi="宋体" w:cs="宋体" w:eastAsia="宋体" w:hint="default"/>
                <w:sz w:val="18"/>
                <w:szCs w:val="18"/>
              </w:rPr>
              <w:t> 诉讼，截至本报告 期末尚未了结且未 达到重大诉讼披露 标准的其他诉讼汇 总</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2,516.2</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23" w:right="185"/>
              <w:jc w:val="both"/>
              <w:rPr>
                <w:rFonts w:ascii="宋体" w:hAnsi="宋体" w:cs="宋体" w:eastAsia="宋体" w:hint="default"/>
                <w:sz w:val="18"/>
                <w:szCs w:val="18"/>
              </w:rPr>
            </w:pPr>
            <w:r>
              <w:rPr>
                <w:rFonts w:ascii="宋体" w:hAnsi="宋体" w:cs="宋体" w:eastAsia="宋体" w:hint="default"/>
                <w:sz w:val="18"/>
                <w:szCs w:val="18"/>
              </w:rPr>
              <w:t>审理中或 判决结果 执行中</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77"/>
              <w:jc w:val="both"/>
              <w:rPr>
                <w:rFonts w:ascii="宋体" w:hAnsi="宋体" w:cs="宋体" w:eastAsia="宋体" w:hint="default"/>
                <w:sz w:val="18"/>
                <w:szCs w:val="18"/>
              </w:rPr>
            </w:pPr>
            <w:r>
              <w:rPr>
                <w:rFonts w:ascii="宋体" w:hAnsi="宋体" w:cs="宋体" w:eastAsia="宋体" w:hint="default"/>
                <w:sz w:val="18"/>
                <w:szCs w:val="18"/>
              </w:rPr>
              <w:t>前述诉讼主要为 买卖合同纠纷， 对公司无重大影 响</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9" w:lineRule="auto"/>
              <w:ind w:left="23" w:right="132"/>
              <w:jc w:val="left"/>
              <w:rPr>
                <w:rFonts w:ascii="宋体" w:hAnsi="宋体" w:cs="宋体" w:eastAsia="宋体" w:hint="default"/>
                <w:sz w:val="18"/>
                <w:szCs w:val="18"/>
              </w:rPr>
            </w:pPr>
            <w:r>
              <w:rPr>
                <w:rFonts w:ascii="宋体" w:hAnsi="宋体" w:cs="宋体" w:eastAsia="宋体" w:hint="default"/>
                <w:sz w:val="18"/>
                <w:szCs w:val="18"/>
              </w:rPr>
              <w:t>审理中或判决 结果执行中</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1133"/>
        <w:jc w:val="left"/>
        <w:rPr>
          <w:b w:val="0"/>
          <w:bCs w:val="0"/>
        </w:rPr>
      </w:pPr>
      <w:r>
        <w:rPr/>
        <w:t>十三、处罚及整改情况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5" w:right="0"/>
              <w:jc w:val="left"/>
              <w:rPr>
                <w:rFonts w:ascii="宋体" w:hAnsi="宋体" w:cs="宋体" w:eastAsia="宋体" w:hint="default"/>
                <w:sz w:val="18"/>
                <w:szCs w:val="18"/>
              </w:rPr>
            </w:pPr>
            <w:r>
              <w:rPr>
                <w:rFonts w:ascii="宋体" w:hAnsi="宋体" w:cs="宋体" w:eastAsia="宋体" w:hint="default"/>
                <w:sz w:val="18"/>
                <w:szCs w:val="18"/>
              </w:rPr>
              <w:t>名称</w:t>
            </w:r>
            <w:r>
              <w:rPr>
                <w:rFonts w:ascii="Times New Roman" w:hAnsi="Times New Roman" w:cs="Times New Roman" w:eastAsia="Times New Roman" w:hint="default"/>
                <w:sz w:val="18"/>
                <w:szCs w:val="18"/>
              </w:rPr>
              <w:t>/</w:t>
            </w: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调查处罚类型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结论（如有）</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29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9" w:lineRule="auto"/>
              <w:ind w:left="23" w:right="72"/>
              <w:jc w:val="left"/>
              <w:rPr>
                <w:rFonts w:ascii="宋体" w:hAnsi="宋体" w:cs="宋体" w:eastAsia="宋体" w:hint="default"/>
                <w:sz w:val="18"/>
                <w:szCs w:val="18"/>
              </w:rPr>
            </w:pPr>
            <w:r>
              <w:rPr>
                <w:rFonts w:ascii="宋体" w:hAnsi="宋体" w:cs="宋体" w:eastAsia="宋体" w:hint="default"/>
                <w:sz w:val="18"/>
                <w:szCs w:val="18"/>
              </w:rPr>
              <w:t>个别关联交易事 项披露不及时</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被有权机关调查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9" w:lineRule="auto"/>
              <w:ind w:left="23" w:right="72"/>
              <w:jc w:val="left"/>
              <w:rPr>
                <w:rFonts w:ascii="宋体" w:hAnsi="宋体" w:cs="宋体" w:eastAsia="宋体" w:hint="default"/>
                <w:sz w:val="18"/>
                <w:szCs w:val="18"/>
              </w:rPr>
            </w:pPr>
            <w:r>
              <w:rPr>
                <w:rFonts w:ascii="宋体" w:hAnsi="宋体" w:cs="宋体" w:eastAsia="宋体" w:hint="default"/>
                <w:sz w:val="18"/>
                <w:szCs w:val="18"/>
              </w:rPr>
              <w:t>已补充上会及时 整改</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《证券时报》和 巨潮资讯网披露 的 </w:t>
            </w:r>
            <w:r>
              <w:rPr>
                <w:rFonts w:ascii="Times New Roman" w:hAnsi="Times New Roman" w:cs="Times New Roman" w:eastAsia="Times New Roman" w:hint="default"/>
                <w:sz w:val="18"/>
                <w:szCs w:val="18"/>
              </w:rPr>
              <w:t>2018-030 </w:t>
            </w:r>
            <w:r>
              <w:rPr>
                <w:rFonts w:ascii="宋体" w:hAnsi="宋体" w:cs="宋体" w:eastAsia="宋体" w:hint="default"/>
                <w:sz w:val="18"/>
                <w:szCs w:val="18"/>
              </w:rPr>
              <w:t>号</w:t>
            </w:r>
          </w:p>
          <w:p>
            <w:pPr>
              <w:pStyle w:val="TableParagraph"/>
              <w:spacing w:line="233" w:lineRule="exact"/>
              <w:ind w:left="23" w:right="0"/>
              <w:jc w:val="both"/>
              <w:rPr>
                <w:rFonts w:ascii="宋体" w:hAnsi="宋体" w:cs="宋体" w:eastAsia="宋体" w:hint="default"/>
                <w:sz w:val="18"/>
                <w:szCs w:val="18"/>
              </w:rPr>
            </w:pPr>
            <w:r>
              <w:rPr>
                <w:rFonts w:ascii="宋体" w:hAnsi="宋体" w:cs="宋体" w:eastAsia="宋体" w:hint="default"/>
                <w:sz w:val="18"/>
                <w:szCs w:val="18"/>
              </w:rPr>
              <w:t>《关于深圳证监</w:t>
            </w:r>
          </w:p>
        </w:tc>
      </w:tr>
    </w:tbl>
    <w:p>
      <w:pPr>
        <w:spacing w:after="0" w:line="233" w:lineRule="exact"/>
        <w:jc w:val="both"/>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987"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72"/>
              <w:jc w:val="both"/>
              <w:rPr>
                <w:rFonts w:ascii="宋体" w:hAnsi="宋体" w:cs="宋体" w:eastAsia="宋体" w:hint="default"/>
                <w:sz w:val="18"/>
                <w:szCs w:val="18"/>
              </w:rPr>
            </w:pPr>
            <w:r>
              <w:rPr>
                <w:rFonts w:ascii="宋体" w:hAnsi="宋体" w:cs="宋体" w:eastAsia="宋体" w:hint="default"/>
                <w:sz w:val="18"/>
                <w:szCs w:val="18"/>
              </w:rPr>
              <w:t>局对公司采取责 令改正措施决定 的整改报告》</w:t>
            </w:r>
          </w:p>
        </w:tc>
      </w:tr>
      <w:tr>
        <w:trPr>
          <w:trHeight w:val="227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72"/>
              <w:jc w:val="both"/>
              <w:rPr>
                <w:rFonts w:ascii="宋体" w:hAnsi="宋体" w:cs="宋体" w:eastAsia="宋体" w:hint="default"/>
                <w:sz w:val="18"/>
                <w:szCs w:val="18"/>
              </w:rPr>
            </w:pPr>
            <w:r>
              <w:rPr>
                <w:rFonts w:ascii="宋体" w:hAnsi="宋体" w:cs="宋体" w:eastAsia="宋体" w:hint="default"/>
                <w:sz w:val="18"/>
                <w:szCs w:val="18"/>
              </w:rPr>
              <w:t>部分募集资金使 用不符合投资计 划指定的用途</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被有权机关调查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72"/>
              <w:jc w:val="both"/>
              <w:rPr>
                <w:rFonts w:ascii="宋体" w:hAnsi="宋体" w:cs="宋体" w:eastAsia="宋体" w:hint="default"/>
                <w:sz w:val="18"/>
                <w:szCs w:val="18"/>
              </w:rPr>
            </w:pPr>
            <w:r>
              <w:rPr>
                <w:rFonts w:ascii="宋体" w:hAnsi="宋体" w:cs="宋体" w:eastAsia="宋体" w:hint="default"/>
                <w:sz w:val="18"/>
                <w:szCs w:val="18"/>
              </w:rPr>
              <w:t>已主动将部分列 支的与研发中心 募投项目无关的 资金退还至公司 研发中心项目募 集资金专有账户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《证券时报》和 巨潮资讯网披露 的 </w:t>
            </w:r>
            <w:r>
              <w:rPr>
                <w:rFonts w:ascii="Times New Roman" w:hAnsi="Times New Roman" w:cs="Times New Roman" w:eastAsia="Times New Roman" w:hint="default"/>
                <w:sz w:val="18"/>
                <w:szCs w:val="18"/>
              </w:rPr>
              <w:t>2018-030 </w:t>
            </w:r>
            <w:r>
              <w:rPr>
                <w:rFonts w:ascii="宋体" w:hAnsi="宋体" w:cs="宋体" w:eastAsia="宋体" w:hint="default"/>
                <w:sz w:val="18"/>
                <w:szCs w:val="18"/>
              </w:rPr>
              <w:t>号</w:t>
            </w:r>
          </w:p>
          <w:p>
            <w:pPr>
              <w:pStyle w:val="TableParagraph"/>
              <w:spacing w:line="316" w:lineRule="auto"/>
              <w:ind w:left="23" w:right="72"/>
              <w:jc w:val="both"/>
              <w:rPr>
                <w:rFonts w:ascii="宋体" w:hAnsi="宋体" w:cs="宋体" w:eastAsia="宋体" w:hint="default"/>
                <w:sz w:val="18"/>
                <w:szCs w:val="18"/>
              </w:rPr>
            </w:pPr>
            <w:r>
              <w:rPr>
                <w:rFonts w:ascii="宋体" w:hAnsi="宋体" w:cs="宋体" w:eastAsia="宋体" w:hint="default"/>
                <w:sz w:val="18"/>
                <w:szCs w:val="18"/>
              </w:rPr>
              <w:t>《关于深圳证监 局对公司采取责 令改正措施决定 的整改报告》</w:t>
            </w:r>
          </w:p>
        </w:tc>
      </w:tr>
      <w:tr>
        <w:trPr>
          <w:trHeight w:val="321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2" w:lineRule="auto"/>
              <w:ind w:left="23" w:right="25"/>
              <w:jc w:val="both"/>
              <w:rPr>
                <w:rFonts w:ascii="宋体" w:hAnsi="宋体" w:cs="宋体" w:eastAsia="宋体" w:hint="default"/>
                <w:sz w:val="18"/>
                <w:szCs w:val="18"/>
              </w:rPr>
            </w:pPr>
            <w:r>
              <w:rPr>
                <w:rFonts w:ascii="宋体" w:hAnsi="宋体" w:cs="宋体" w:eastAsia="宋体" w:hint="default"/>
                <w:sz w:val="18"/>
                <w:szCs w:val="18"/>
              </w:rPr>
              <w:t>部分事项核算错 误导致公司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年业绩快报未及 时修正</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被有权机关调查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公司已按照《公 司年报信息披露 重大差错责任追 究制度》的相关 规定对本次业绩 修正事宜进行了 责任认定和处 罚，同时加强会 计核算、监督、 复核及内控工作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72"/>
              <w:jc w:val="both"/>
              <w:rPr>
                <w:rFonts w:ascii="宋体" w:hAnsi="宋体" w:cs="宋体" w:eastAsia="宋体" w:hint="default"/>
                <w:sz w:val="18"/>
                <w:szCs w:val="18"/>
              </w:rPr>
            </w:pPr>
            <w:r>
              <w:rPr>
                <w:rFonts w:ascii="宋体" w:hAnsi="宋体" w:cs="宋体" w:eastAsia="宋体" w:hint="default"/>
                <w:sz w:val="18"/>
                <w:szCs w:val="18"/>
              </w:rPr>
              <w:t>《证券时报》和 巨潮资讯网披露 的 </w:t>
            </w:r>
            <w:r>
              <w:rPr>
                <w:rFonts w:ascii="Times New Roman" w:hAnsi="Times New Roman" w:cs="Times New Roman" w:eastAsia="Times New Roman" w:hint="default"/>
                <w:sz w:val="18"/>
                <w:szCs w:val="18"/>
              </w:rPr>
              <w:t>2018-030 </w:t>
            </w:r>
            <w:r>
              <w:rPr>
                <w:rFonts w:ascii="宋体" w:hAnsi="宋体" w:cs="宋体" w:eastAsia="宋体" w:hint="default"/>
                <w:sz w:val="18"/>
                <w:szCs w:val="18"/>
              </w:rPr>
              <w:t>号</w:t>
            </w:r>
          </w:p>
          <w:p>
            <w:pPr>
              <w:pStyle w:val="TableParagraph"/>
              <w:spacing w:line="316" w:lineRule="auto"/>
              <w:ind w:left="23" w:right="72"/>
              <w:jc w:val="both"/>
              <w:rPr>
                <w:rFonts w:ascii="宋体" w:hAnsi="宋体" w:cs="宋体" w:eastAsia="宋体" w:hint="default"/>
                <w:sz w:val="18"/>
                <w:szCs w:val="18"/>
              </w:rPr>
            </w:pPr>
            <w:r>
              <w:rPr>
                <w:rFonts w:ascii="宋体" w:hAnsi="宋体" w:cs="宋体" w:eastAsia="宋体" w:hint="default"/>
                <w:sz w:val="18"/>
                <w:szCs w:val="18"/>
              </w:rPr>
              <w:t>《关于深圳证监 局对公司采取责 令改正措施决定 的整改报告》</w:t>
            </w:r>
          </w:p>
        </w:tc>
      </w:tr>
    </w:tbl>
    <w:p>
      <w:pPr>
        <w:pStyle w:val="BodyText"/>
        <w:spacing w:line="240" w:lineRule="auto" w:before="49"/>
        <w:ind w:right="1133"/>
        <w:jc w:val="left"/>
      </w:pPr>
      <w:r>
        <w:rPr/>
        <w:t>整改情况说明</w:t>
      </w:r>
    </w:p>
    <w:p>
      <w:pPr>
        <w:pStyle w:val="BodyText"/>
        <w:spacing w:line="340" w:lineRule="auto" w:before="115"/>
        <w:ind w:left="513" w:right="1183" w:hanging="361"/>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月收到深圳证监局下发的《关于对深圳市证通电子股份有限公司采取责令改正措施的决定》（</w:t>
      </w:r>
      <w:r>
        <w:rPr>
          <w:rFonts w:ascii="Times New Roman" w:hAnsi="Times New Roman" w:cs="Times New Roman" w:eastAsia="Times New Roman" w:hint="default"/>
        </w:rPr>
        <w:t>[2018]14</w:t>
      </w:r>
    </w:p>
    <w:p>
      <w:pPr>
        <w:pStyle w:val="BodyText"/>
        <w:spacing w:line="215" w:lineRule="exact"/>
        <w:ind w:right="944"/>
        <w:jc w:val="left"/>
      </w:pPr>
      <w:r>
        <w:rPr/>
        <w:t>号，指出公司在个别关联交易事项披露不及时、部分募集资金使用不符合投资计划指定的用途、部分事项核算错误导致公司</w:t>
      </w:r>
    </w:p>
    <w:p>
      <w:pPr>
        <w:pStyle w:val="BodyText"/>
        <w:spacing w:line="307" w:lineRule="auto" w:before="76"/>
        <w:ind w:right="1042"/>
        <w:jc w:val="left"/>
      </w:pPr>
      <w:r>
        <w:rPr>
          <w:rFonts w:ascii="Times New Roman" w:hAnsi="Times New Roman" w:cs="Times New Roman" w:eastAsia="Times New Roman" w:hint="default"/>
          <w:spacing w:val="-2"/>
        </w:rPr>
        <w:t>2016</w:t>
      </w:r>
      <w:r>
        <w:rPr>
          <w:spacing w:val="-2"/>
        </w:rPr>
        <w:t>年业绩快报出现重大修正等方面存在问题。公司收到决定书后，立即召开专项整改会议，对有关问题进行了认真的梳理</w:t>
      </w:r>
      <w:r>
        <w:rPr>
          <w:spacing w:val="-61"/>
        </w:rPr>
        <w:t> </w:t>
      </w:r>
      <w:r>
        <w:rPr>
          <w:spacing w:val="-61"/>
        </w:rPr>
      </w:r>
      <w:r>
        <w:rPr>
          <w:spacing w:val="-2"/>
        </w:rPr>
        <w:t>和分析，制定了切实的整改措施和计划，并指定专人负责落实，形成了《关于深圳证监局对公司采取责令改正措施决定的整</w:t>
      </w:r>
      <w:r>
        <w:rPr>
          <w:spacing w:val="-64"/>
        </w:rPr>
        <w:t> </w:t>
      </w:r>
      <w:r>
        <w:rPr>
          <w:spacing w:val="-64"/>
        </w:rPr>
      </w:r>
      <w:r>
        <w:rPr>
          <w:spacing w:val="-2"/>
        </w:rPr>
        <w:t>改报告》，该整改报告已经公司第四届董事会第二十二次（临时）会议审议通过。具体内容详见公司刊登于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9</w:t>
      </w:r>
      <w:r>
        <w:rPr>
          <w:spacing w:val="-2"/>
        </w:rPr>
        <w:t>日巨</w:t>
      </w:r>
      <w:r>
        <w:rPr>
          <w:spacing w:val="-63"/>
        </w:rPr>
        <w:t> </w:t>
      </w:r>
      <w:r>
        <w:rPr/>
        <w:t>潮资讯网（</w:t>
      </w:r>
      <w:hyperlink r:id="rId13">
        <w:r>
          <w:rPr>
            <w:rFonts w:ascii="Times New Roman" w:hAnsi="Times New Roman" w:cs="Times New Roman" w:eastAsia="Times New Roman" w:hint="default"/>
          </w:rPr>
          <w:t>www.cninfo.com.cn</w:t>
        </w:r>
      </w:hyperlink>
      <w:r>
        <w:rPr/>
        <w:t>）的《关于深圳证监局对公司采取责令改正措施决定的整改报告》（公告编号：</w:t>
      </w:r>
      <w:r>
        <w:rPr>
          <w:rFonts w:ascii="Times New Roman" w:hAnsi="Times New Roman" w:cs="Times New Roman" w:eastAsia="Times New Roman" w:hint="default"/>
        </w:rPr>
        <w:t>2018-030</w:t>
      </w:r>
      <w:r>
        <w:rPr/>
        <w:t>），</w:t>
      </w:r>
      <w:r>
        <w:rPr>
          <w:spacing w:val="-86"/>
        </w:rPr>
        <w:t> </w:t>
      </w:r>
      <w:r>
        <w:rPr>
          <w:spacing w:val="-2"/>
        </w:rPr>
        <w:t>截至报告期末，公司已根据前述整改报告进行了整改，并将长期加强整改措施的落实，继续加强财务会计基础工作，持续进</w:t>
      </w:r>
      <w:r>
        <w:rPr>
          <w:spacing w:val="-64"/>
        </w:rPr>
        <w:t> </w:t>
      </w:r>
      <w:r>
        <w:rPr>
          <w:spacing w:val="-64"/>
        </w:rPr>
      </w:r>
      <w:r>
        <w:rPr/>
        <w:t>行规范。</w:t>
      </w:r>
    </w:p>
    <w:p>
      <w:pPr>
        <w:spacing w:line="240" w:lineRule="auto" w:before="6"/>
        <w:rPr>
          <w:rFonts w:ascii="宋体" w:hAnsi="宋体" w:cs="宋体" w:eastAsia="宋体" w:hint="default"/>
          <w:sz w:val="21"/>
          <w:szCs w:val="21"/>
        </w:rPr>
      </w:pPr>
    </w:p>
    <w:p>
      <w:pPr>
        <w:pStyle w:val="Heading2"/>
        <w:spacing w:line="240" w:lineRule="auto"/>
        <w:ind w:right="1133"/>
        <w:jc w:val="left"/>
        <w:rPr>
          <w:b w:val="0"/>
          <w:bCs w:val="0"/>
        </w:rPr>
      </w:pPr>
      <w:r>
        <w:rPr/>
        <w:t>十四、公司及其控股股东、实际控制人的诚信状况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十五、公司股权激励计划、员工持股计划或其他员工激励措施的实施情况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left="513" w:right="931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员工持股计划</w:t>
      </w:r>
    </w:p>
    <w:p>
      <w:pPr>
        <w:pStyle w:val="BodyText"/>
        <w:spacing w:line="300" w:lineRule="auto" w:before="1"/>
        <w:ind w:right="1131" w:firstLine="360"/>
        <w:jc w:val="left"/>
      </w:pPr>
      <w:r>
        <w:rPr/>
        <w:t>（</w:t>
      </w: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日召开的第四届董事会第十五次会议审议通过了《关于</w:t>
      </w:r>
      <w:r>
        <w:rPr>
          <w:rFonts w:ascii="Times New Roman" w:hAnsi="Times New Roman" w:cs="Times New Roman" w:eastAsia="Times New Roman" w:hint="default"/>
        </w:rPr>
        <w:t>&lt;</w:t>
      </w:r>
      <w:r>
        <w:rPr/>
        <w:t>公司第一期员工持股计划（草案）</w:t>
      </w:r>
      <w:r>
        <w:rPr>
          <w:rFonts w:ascii="Times New Roman" w:hAnsi="Times New Roman" w:cs="Times New Roman" w:eastAsia="Times New Roman" w:hint="default"/>
        </w:rPr>
        <w:t>&gt; </w:t>
      </w:r>
      <w:r>
        <w:rPr>
          <w:spacing w:val="-1"/>
        </w:rPr>
        <w:t>及其摘要的议案》、《关于</w:t>
      </w:r>
      <w:r>
        <w:rPr>
          <w:rFonts w:ascii="Times New Roman" w:hAnsi="Times New Roman" w:cs="Times New Roman" w:eastAsia="Times New Roman" w:hint="default"/>
          <w:spacing w:val="-1"/>
        </w:rPr>
        <w:t>&lt;</w:t>
      </w:r>
      <w:r>
        <w:rPr>
          <w:spacing w:val="-1"/>
        </w:rPr>
        <w:t>公司第一期员工持股计划管理办法</w:t>
      </w:r>
      <w:r>
        <w:rPr>
          <w:rFonts w:ascii="Times New Roman" w:hAnsi="Times New Roman" w:cs="Times New Roman" w:eastAsia="Times New Roman" w:hint="default"/>
          <w:spacing w:val="-1"/>
        </w:rPr>
        <w:t>&gt;</w:t>
      </w:r>
      <w:r>
        <w:rPr>
          <w:spacing w:val="-1"/>
        </w:rPr>
        <w:t>的议案》，并于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26</w:t>
      </w:r>
      <w:r>
        <w:rPr>
          <w:spacing w:val="-1"/>
        </w:rPr>
        <w:t>日在巨潮资讯网上发布了《公</w:t>
      </w:r>
      <w:r>
        <w:rPr>
          <w:spacing w:val="-53"/>
        </w:rPr>
        <w:t> </w:t>
      </w:r>
      <w:r>
        <w:rPr>
          <w:spacing w:val="-53"/>
        </w:rPr>
      </w:r>
      <w:r>
        <w:rPr/>
        <w:t>司第一期员工持股计划（草案）》及摘要的公告（编号：</w:t>
      </w:r>
      <w:r>
        <w:rPr>
          <w:rFonts w:ascii="Times New Roman" w:hAnsi="Times New Roman" w:cs="Times New Roman" w:eastAsia="Times New Roman" w:hint="default"/>
        </w:rPr>
        <w:t>2017-059</w:t>
      </w:r>
      <w:r>
        <w:rPr/>
        <w:t>号）。</w:t>
      </w:r>
    </w:p>
    <w:p>
      <w:pPr>
        <w:pStyle w:val="BodyText"/>
        <w:spacing w:line="240" w:lineRule="auto" w:before="13"/>
        <w:ind w:left="513" w:right="1133"/>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日，华澳</w:t>
      </w:r>
      <w:r>
        <w:rPr>
          <w:rFonts w:ascii="Times New Roman" w:hAnsi="Times New Roman" w:cs="Times New Roman" w:eastAsia="Times New Roman" w:hint="default"/>
        </w:rPr>
        <w:t>•</w:t>
      </w:r>
      <w:r>
        <w:rPr/>
        <w:t>臻智</w:t>
      </w:r>
      <w:r>
        <w:rPr>
          <w:rFonts w:ascii="Times New Roman" w:hAnsi="Times New Roman" w:cs="Times New Roman" w:eastAsia="Times New Roman" w:hint="default"/>
        </w:rPr>
        <w:t>57</w:t>
      </w:r>
      <w:r>
        <w:rPr/>
        <w:t>号</w:t>
      </w:r>
      <w:r>
        <w:rPr>
          <w:rFonts w:ascii="Times New Roman" w:hAnsi="Times New Roman" w:cs="Times New Roman" w:eastAsia="Times New Roman" w:hint="default"/>
        </w:rPr>
        <w:t>-</w:t>
      </w:r>
      <w:r>
        <w:rPr/>
        <w:t>证通电子第一期员工持股集合信托计划通过二级市场集中竞价交易方式累计购</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1128"/>
        <w:jc w:val="both"/>
      </w:pPr>
      <w:r>
        <w:rPr>
          <w:spacing w:val="-1"/>
        </w:rPr>
        <w:t>买公司股票合计</w:t>
      </w:r>
      <w:r>
        <w:rPr>
          <w:rFonts w:ascii="Times New Roman" w:hAnsi="Times New Roman" w:cs="Times New Roman" w:eastAsia="Times New Roman" w:hint="default"/>
          <w:spacing w:val="-1"/>
        </w:rPr>
        <w:t>23,121,021</w:t>
      </w:r>
      <w:r>
        <w:rPr>
          <w:spacing w:val="-1"/>
        </w:rPr>
        <w:t>股，占公司总股本的</w:t>
      </w:r>
      <w:r>
        <w:rPr>
          <w:rFonts w:ascii="Times New Roman" w:hAnsi="Times New Roman" w:cs="Times New Roman" w:eastAsia="Times New Roman" w:hint="default"/>
          <w:spacing w:val="-1"/>
        </w:rPr>
        <w:t>4.49%</w:t>
      </w:r>
      <w:r>
        <w:rPr>
          <w:spacing w:val="-1"/>
        </w:rPr>
        <w:t>，成交均价为</w:t>
      </w:r>
      <w:r>
        <w:rPr>
          <w:rFonts w:ascii="Times New Roman" w:hAnsi="Times New Roman" w:cs="Times New Roman" w:eastAsia="Times New Roman" w:hint="default"/>
          <w:spacing w:val="-1"/>
        </w:rPr>
        <w:t>12.89</w:t>
      </w:r>
      <w:r>
        <w:rPr>
          <w:spacing w:val="-1"/>
        </w:rPr>
        <w:t>元，公司已按规定于公司股东大会审议通过后</w:t>
      </w:r>
      <w:r>
        <w:rPr>
          <w:rFonts w:ascii="Times New Roman" w:hAnsi="Times New Roman" w:cs="Times New Roman" w:eastAsia="Times New Roman" w:hint="default"/>
          <w:spacing w:val="-1"/>
        </w:rPr>
        <w:t>6</w:t>
      </w:r>
      <w:r>
        <w:rPr>
          <w:spacing w:val="-1"/>
        </w:rPr>
        <w:t>个月</w:t>
      </w:r>
      <w:r>
        <w:rPr>
          <w:spacing w:val="-83"/>
        </w:rPr>
        <w:t> </w:t>
      </w:r>
      <w:r>
        <w:rPr>
          <w:spacing w:val="-2"/>
        </w:rPr>
        <w:t>内完成第一期员工持股计划标的股票的购买，其锁定期为完成股票购买日起</w:t>
      </w:r>
      <w:r>
        <w:rPr>
          <w:rFonts w:ascii="Times New Roman" w:hAnsi="Times New Roman" w:cs="Times New Roman" w:eastAsia="Times New Roman" w:hint="default"/>
          <w:spacing w:val="-2"/>
        </w:rPr>
        <w:t>12</w:t>
      </w:r>
      <w:r>
        <w:rPr>
          <w:spacing w:val="-2"/>
        </w:rPr>
        <w:t>个月。相关事项详见公司于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19</w:t>
      </w:r>
      <w:r>
        <w:rPr>
          <w:spacing w:val="-2"/>
        </w:rPr>
        <w:t>日披</w:t>
      </w:r>
      <w:r>
        <w:rPr>
          <w:spacing w:val="-58"/>
        </w:rPr>
        <w:t> </w:t>
      </w:r>
      <w:r>
        <w:rPr/>
        <w:t>露于《证券时报》及巨潮资讯网上的《公司关于第一期员工持股计划完成股票购买的公告》（编号：</w:t>
      </w:r>
      <w:r>
        <w:rPr>
          <w:rFonts w:ascii="Times New Roman" w:hAnsi="Times New Roman" w:cs="Times New Roman" w:eastAsia="Times New Roman" w:hint="default"/>
        </w:rPr>
        <w:t>2017-101</w:t>
      </w:r>
      <w:r>
        <w:rPr/>
        <w:t>号）。</w:t>
      </w:r>
    </w:p>
    <w:p>
      <w:pPr>
        <w:pStyle w:val="BodyText"/>
        <w:spacing w:line="300" w:lineRule="auto" w:before="13"/>
        <w:ind w:right="1124" w:firstLine="360"/>
        <w:jc w:val="left"/>
      </w:pPr>
      <w:r>
        <w:rPr/>
        <w:t>（</w:t>
      </w:r>
      <w:r>
        <w:rPr>
          <w:rFonts w:ascii="Times New Roman" w:hAnsi="Times New Roman" w:cs="Times New Roman" w:eastAsia="Times New Roman" w:hint="default"/>
        </w:rPr>
        <w:t>3</w:t>
      </w:r>
      <w:r>
        <w:rPr/>
        <w:t>）因证券市场股票交易波动情况，为避免市场波动带来的不确定性，进一步增强投资者信心，结合员工持股计划实 施的实际情况，截至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14</w:t>
      </w:r>
      <w:r>
        <w:rPr/>
        <w:t>日，实际控制人曾胜强先生以自有资金总计</w:t>
      </w:r>
      <w:r>
        <w:rPr>
          <w:rFonts w:ascii="Times New Roman" w:hAnsi="Times New Roman" w:cs="Times New Roman" w:eastAsia="Times New Roman" w:hint="default"/>
        </w:rPr>
        <w:t>3,000</w:t>
      </w:r>
      <w:r>
        <w:rPr/>
        <w:t>万元置换公司第一期员工持股计划华澳</w:t>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spacing w:val="-4"/>
        </w:rPr>
        <w:t>臻智</w:t>
      </w:r>
      <w:r>
        <w:rPr>
          <w:rFonts w:ascii="Times New Roman" w:hAnsi="Times New Roman" w:cs="Times New Roman" w:eastAsia="Times New Roman" w:hint="default"/>
          <w:spacing w:val="-4"/>
        </w:rPr>
        <w:t>57</w:t>
      </w:r>
      <w:r>
        <w:rPr>
          <w:spacing w:val="-4"/>
        </w:rPr>
        <w:t>号中招商银行认购的优先</w:t>
      </w:r>
      <w:r>
        <w:rPr>
          <w:rFonts w:ascii="Times New Roman" w:hAnsi="Times New Roman" w:cs="Times New Roman" w:eastAsia="Times New Roman" w:hint="default"/>
          <w:spacing w:val="-4"/>
        </w:rPr>
        <w:t>A</w:t>
      </w:r>
      <w:r>
        <w:rPr>
          <w:spacing w:val="-4"/>
        </w:rPr>
        <w:t>类份额本金，置换完成后，优先</w:t>
      </w:r>
      <w:r>
        <w:rPr>
          <w:rFonts w:ascii="Times New Roman" w:hAnsi="Times New Roman" w:cs="Times New Roman" w:eastAsia="Times New Roman" w:hint="default"/>
          <w:spacing w:val="-4"/>
        </w:rPr>
        <w:t>A</w:t>
      </w:r>
      <w:r>
        <w:rPr>
          <w:spacing w:val="-4"/>
        </w:rPr>
        <w:t>类份额信托资金余额为</w:t>
      </w:r>
      <w:r>
        <w:rPr>
          <w:rFonts w:ascii="Times New Roman" w:hAnsi="Times New Roman" w:cs="Times New Roman" w:eastAsia="Times New Roman" w:hint="default"/>
          <w:spacing w:val="-4"/>
        </w:rPr>
        <w:t>1.2</w:t>
      </w:r>
      <w:r>
        <w:rPr>
          <w:spacing w:val="-4"/>
        </w:rPr>
        <w:t>亿元。相关事项详见公司于</w:t>
      </w:r>
      <w:r>
        <w:rPr>
          <w:rFonts w:ascii="Times New Roman" w:hAnsi="Times New Roman" w:cs="Times New Roman" w:eastAsia="Times New Roman" w:hint="default"/>
          <w:spacing w:val="-4"/>
        </w:rPr>
        <w:t>2018</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21"/>
        </w:rPr>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16</w:t>
      </w:r>
      <w:r>
        <w:rPr/>
        <w:t>日披露于《证券时报》及巨潮资讯网上的《公司关于控股股东完成第一期员工持股计划优先</w:t>
      </w:r>
      <w:r>
        <w:rPr>
          <w:rFonts w:ascii="Times New Roman" w:hAnsi="Times New Roman" w:cs="Times New Roman" w:eastAsia="Times New Roman" w:hint="default"/>
        </w:rPr>
        <w:t>A</w:t>
      </w:r>
      <w:r>
        <w:rPr/>
        <w:t>类资金置换的公告》</w:t>
      </w:r>
    </w:p>
    <w:p>
      <w:pPr>
        <w:pStyle w:val="BodyText"/>
        <w:spacing w:line="240" w:lineRule="auto" w:before="13"/>
        <w:ind w:right="0"/>
        <w:jc w:val="both"/>
      </w:pPr>
      <w:r>
        <w:rPr/>
        <w:t>（编号：</w:t>
      </w:r>
      <w:r>
        <w:rPr>
          <w:rFonts w:ascii="Times New Roman" w:hAnsi="Times New Roman" w:cs="Times New Roman" w:eastAsia="Times New Roman" w:hint="default"/>
        </w:rPr>
        <w:t>2018-064</w:t>
      </w:r>
      <w:r>
        <w:rPr/>
        <w:t>号）。</w:t>
      </w:r>
    </w:p>
    <w:p>
      <w:pPr>
        <w:pStyle w:val="BodyText"/>
        <w:spacing w:line="300" w:lineRule="auto" w:before="63"/>
        <w:ind w:right="1128" w:firstLine="360"/>
        <w:jc w:val="both"/>
      </w:pPr>
      <w:r>
        <w:rPr>
          <w:spacing w:val="-5"/>
        </w:rPr>
        <w:t>（</w:t>
      </w:r>
      <w:r>
        <w:rPr>
          <w:rFonts w:ascii="Times New Roman" w:hAnsi="Times New Roman" w:cs="Times New Roman" w:eastAsia="Times New Roman" w:hint="default"/>
          <w:spacing w:val="-5"/>
        </w:rPr>
        <w:t>4</w:t>
      </w:r>
      <w:r>
        <w:rPr>
          <w:spacing w:val="-5"/>
        </w:rPr>
        <w:t>）</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18</w:t>
      </w:r>
      <w:r>
        <w:rPr>
          <w:spacing w:val="-5"/>
        </w:rPr>
        <w:t>日，公司披露了第一期员工持股计划锁定期届满的提示性公告，锁定期为自</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19</w:t>
      </w:r>
      <w:r>
        <w:rPr>
          <w:spacing w:val="-5"/>
        </w:rPr>
        <w:t>日至</w:t>
      </w:r>
      <w:r>
        <w:rPr>
          <w:rFonts w:ascii="Times New Roman" w:hAnsi="Times New Roman" w:cs="Times New Roman" w:eastAsia="Times New Roman" w:hint="default"/>
          <w:spacing w:val="-5"/>
        </w:rPr>
        <w:t>2018</w:t>
      </w:r>
      <w:r>
        <w:rPr>
          <w:rFonts w:ascii="Times New Roman" w:hAnsi="Times New Roman" w:cs="Times New Roman" w:eastAsia="Times New Roman" w:hint="default"/>
          <w:spacing w:val="29"/>
        </w:rPr>
        <w:t> </w:t>
      </w:r>
      <w:r>
        <w:rPr/>
        <w:t>年 </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18</w:t>
      </w:r>
      <w:r>
        <w:rPr>
          <w:spacing w:val="-2"/>
        </w:rPr>
        <w:t>日止。相关事项详见公司披露于《证券时报》及巨潮资讯网上的《公司关于第一期员工持股计划锁定期届满的提示性</w:t>
      </w:r>
      <w:r>
        <w:rPr>
          <w:spacing w:val="-61"/>
        </w:rPr>
        <w:t> </w:t>
      </w:r>
      <w:r>
        <w:rPr>
          <w:spacing w:val="-61"/>
        </w:rPr>
      </w:r>
      <w:r>
        <w:rPr/>
        <w:t>公告》（编号：</w:t>
      </w:r>
      <w:r>
        <w:rPr>
          <w:rFonts w:ascii="Times New Roman" w:hAnsi="Times New Roman" w:cs="Times New Roman" w:eastAsia="Times New Roman" w:hint="default"/>
        </w:rPr>
        <w:t>2018-140</w:t>
      </w:r>
      <w:r>
        <w:rPr/>
        <w:t>号）。</w:t>
      </w:r>
    </w:p>
    <w:p>
      <w:pPr>
        <w:pStyle w:val="BodyText"/>
        <w:spacing w:line="307" w:lineRule="auto" w:before="13"/>
        <w:ind w:right="1040" w:firstLine="360"/>
        <w:jc w:val="left"/>
      </w:pPr>
      <w:r>
        <w:rPr>
          <w:spacing w:val="-6"/>
        </w:rPr>
        <w:t>（</w:t>
      </w:r>
      <w:r>
        <w:rPr>
          <w:rFonts w:ascii="Times New Roman" w:hAnsi="Times New Roman" w:cs="Times New Roman" w:eastAsia="Times New Roman" w:hint="default"/>
          <w:spacing w:val="-6"/>
        </w:rPr>
        <w:t>5</w:t>
      </w:r>
      <w:r>
        <w:rPr>
          <w:spacing w:val="-6"/>
        </w:rPr>
        <w:t>）</w:t>
      </w:r>
      <w:r>
        <w:rPr>
          <w:rFonts w:ascii="Times New Roman" w:hAnsi="Times New Roman" w:cs="Times New Roman" w:eastAsia="Times New Roman" w:hint="default"/>
          <w:spacing w:val="-6"/>
        </w:rPr>
        <w:t>2019</w:t>
      </w:r>
      <w:r>
        <w:rPr>
          <w:spacing w:val="-6"/>
        </w:rPr>
        <w:t>年</w:t>
      </w:r>
      <w:r>
        <w:rPr>
          <w:rFonts w:ascii="Times New Roman" w:hAnsi="Times New Roman" w:cs="Times New Roman" w:eastAsia="Times New Roman" w:hint="default"/>
          <w:spacing w:val="-6"/>
        </w:rPr>
        <w:t>3</w:t>
      </w:r>
      <w:r>
        <w:rPr>
          <w:spacing w:val="-6"/>
        </w:rPr>
        <w:t>月</w:t>
      </w:r>
      <w:r>
        <w:rPr>
          <w:rFonts w:ascii="Times New Roman" w:hAnsi="Times New Roman" w:cs="Times New Roman" w:eastAsia="Times New Roman" w:hint="default"/>
          <w:spacing w:val="-6"/>
        </w:rPr>
        <w:t>28</w:t>
      </w:r>
      <w:r>
        <w:rPr>
          <w:spacing w:val="-6"/>
        </w:rPr>
        <w:t>日，鉴于公司第一期员工持股计划持有的</w:t>
      </w:r>
      <w:r>
        <w:rPr/>
        <w:t> </w:t>
      </w:r>
      <w:r>
        <w:rPr>
          <w:rFonts w:ascii="Times New Roman" w:hAnsi="Times New Roman" w:cs="Times New Roman" w:eastAsia="Times New Roman" w:hint="default"/>
          <w:spacing w:val="-1"/>
        </w:rPr>
        <w:t>23,121,021</w:t>
      </w:r>
      <w:r>
        <w:rPr>
          <w:rFonts w:ascii="Times New Roman" w:hAnsi="Times New Roman" w:cs="Times New Roman" w:eastAsia="Times New Roman" w:hint="default"/>
        </w:rPr>
        <w:t> </w:t>
      </w:r>
      <w:r>
        <w:rPr>
          <w:spacing w:val="-5"/>
        </w:rPr>
        <w:t>股公司股票已出售完毕，占公司总股本的</w:t>
      </w:r>
      <w:r>
        <w:rPr>
          <w:spacing w:val="-6"/>
        </w:rPr>
        <w:t> </w:t>
      </w:r>
      <w:r>
        <w:rPr>
          <w:rFonts w:ascii="Times New Roman" w:hAnsi="Times New Roman" w:cs="Times New Roman" w:eastAsia="Times New Roman" w:hint="default"/>
          <w:spacing w:val="-1"/>
        </w:rPr>
        <w:t>4.49%</w:t>
      </w:r>
      <w:r>
        <w:rPr>
          <w:spacing w:val="-1"/>
        </w:rPr>
        <w:t>。</w:t>
      </w:r>
      <w:r>
        <w:rPr/>
        <w:t> </w:t>
      </w:r>
      <w:r>
        <w:rPr>
          <w:spacing w:val="-4"/>
        </w:rPr>
        <w:t>根据《公司第一期员工持股计划</w:t>
      </w:r>
      <w:r>
        <w:rPr>
          <w:rFonts w:ascii="Times New Roman" w:hAnsi="Times New Roman" w:cs="Times New Roman" w:eastAsia="Times New Roman" w:hint="default"/>
          <w:spacing w:val="-4"/>
        </w:rPr>
        <w:t>(</w:t>
      </w:r>
      <w:r>
        <w:rPr>
          <w:spacing w:val="-4"/>
        </w:rPr>
        <w:t>草案</w:t>
      </w:r>
      <w:r>
        <w:rPr>
          <w:rFonts w:ascii="Times New Roman" w:hAnsi="Times New Roman" w:cs="Times New Roman" w:eastAsia="Times New Roman" w:hint="default"/>
          <w:spacing w:val="-4"/>
        </w:rPr>
        <w:t>)</w:t>
      </w:r>
      <w:r>
        <w:rPr>
          <w:spacing w:val="-4"/>
        </w:rPr>
        <w:t>》的相关规定，本期员工持股计划实施完毕并终止，后续将进行财产清算和分配工作。</w:t>
      </w:r>
      <w:r>
        <w:rPr>
          <w:spacing w:val="-70"/>
        </w:rPr>
        <w:t> </w:t>
      </w:r>
      <w:r>
        <w:rPr>
          <w:spacing w:val="-70"/>
        </w:rPr>
      </w:r>
      <w:r>
        <w:rPr/>
        <w:t>相关事项详见公司披露于《证券时报》及巨潮资讯网上的《公司关于第一期员工持股计划出售完毕暨终止的公告》（编号：</w:t>
      </w:r>
      <w:r>
        <w:rPr>
          <w:spacing w:val="-86"/>
        </w:rPr>
        <w:t> </w:t>
      </w:r>
      <w:r>
        <w:rPr>
          <w:spacing w:val="-86"/>
        </w:rPr>
      </w:r>
      <w:r>
        <w:rPr>
          <w:rFonts w:ascii="Times New Roman" w:hAnsi="Times New Roman" w:cs="Times New Roman" w:eastAsia="Times New Roman" w:hint="default"/>
        </w:rPr>
        <w:t>2019-027</w:t>
      </w:r>
      <w:r>
        <w:rPr/>
        <w:t>号）。截止本公告披露日，相关财产清算和分配工作在推进中。</w:t>
      </w:r>
    </w:p>
    <w:p>
      <w:pPr>
        <w:spacing w:line="240" w:lineRule="auto" w:before="12"/>
        <w:rPr>
          <w:rFonts w:ascii="宋体" w:hAnsi="宋体" w:cs="宋体" w:eastAsia="宋体" w:hint="default"/>
          <w:sz w:val="19"/>
          <w:szCs w:val="19"/>
        </w:rPr>
      </w:pPr>
    </w:p>
    <w:p>
      <w:pPr>
        <w:pStyle w:val="Heading2"/>
        <w:spacing w:line="240" w:lineRule="auto"/>
        <w:ind w:right="0"/>
        <w:jc w:val="both"/>
        <w:rPr>
          <w:b w:val="0"/>
          <w:bCs w:val="0"/>
        </w:rPr>
      </w:pPr>
      <w:r>
        <w:rPr/>
        <w:t>十六、重大关联交易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0"/>
        <w:gridCol w:w="677"/>
        <w:gridCol w:w="679"/>
        <w:gridCol w:w="704"/>
        <w:gridCol w:w="682"/>
        <w:gridCol w:w="672"/>
        <w:gridCol w:w="674"/>
        <w:gridCol w:w="675"/>
        <w:gridCol w:w="674"/>
        <w:gridCol w:w="674"/>
        <w:gridCol w:w="674"/>
        <w:gridCol w:w="673"/>
        <w:gridCol w:w="672"/>
        <w:gridCol w:w="641"/>
      </w:tblGrid>
      <w:tr>
        <w:trPr>
          <w:trHeight w:val="133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05" w:right="32"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4" w:right="60"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67" w:right="60"/>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76" w:right="75"/>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4" w:right="65"/>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62" w:right="59"/>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4" w:right="59"/>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6" w:lineRule="auto" w:before="19"/>
              <w:ind w:left="153" w:right="149"/>
              <w:jc w:val="left"/>
              <w:rPr>
                <w:rFonts w:ascii="宋体" w:hAnsi="宋体" w:cs="宋体" w:eastAsia="宋体" w:hint="default"/>
                <w:sz w:val="18"/>
                <w:szCs w:val="18"/>
              </w:rPr>
            </w:pPr>
            <w:r>
              <w:rPr>
                <w:rFonts w:ascii="宋体" w:hAnsi="宋体" w:cs="宋体" w:eastAsia="宋体" w:hint="default"/>
                <w:sz w:val="18"/>
                <w:szCs w:val="18"/>
              </w:rPr>
              <w:t>（万 元）</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58"/>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2"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5" w:right="43"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446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44"/>
              <w:jc w:val="right"/>
              <w:rPr>
                <w:rFonts w:ascii="宋体" w:hAnsi="宋体" w:cs="宋体" w:eastAsia="宋体" w:hint="default"/>
                <w:sz w:val="18"/>
                <w:szCs w:val="18"/>
              </w:rPr>
            </w:pPr>
            <w:r>
              <w:rPr>
                <w:rFonts w:ascii="宋体" w:hAnsi="宋体" w:cs="宋体" w:eastAsia="宋体" w:hint="default"/>
                <w:sz w:val="18"/>
                <w:szCs w:val="18"/>
              </w:rPr>
              <w:t>盛灿科技</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38" w:lineRule="auto" w:before="122"/>
              <w:ind w:left="23" w:right="101"/>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公司持 有其 </w:t>
            </w:r>
            <w:r>
              <w:rPr>
                <w:rFonts w:ascii="Times New Roman" w:hAnsi="Times New Roman" w:cs="Times New Roman" w:eastAsia="Times New Roman" w:hint="default"/>
                <w:sz w:val="18"/>
                <w:szCs w:val="18"/>
              </w:rPr>
              <w:t>8.33%</w:t>
            </w:r>
          </w:p>
          <w:p>
            <w:pPr>
              <w:pStyle w:val="TableParagraph"/>
              <w:spacing w:line="217" w:lineRule="exact"/>
              <w:ind w:left="23" w:right="0"/>
              <w:jc w:val="left"/>
              <w:rPr>
                <w:rFonts w:ascii="宋体" w:hAnsi="宋体" w:cs="宋体" w:eastAsia="宋体" w:hint="default"/>
                <w:sz w:val="18"/>
                <w:szCs w:val="18"/>
              </w:rPr>
            </w:pPr>
            <w:r>
              <w:rPr>
                <w:rFonts w:ascii="宋体" w:hAnsi="宋体" w:cs="宋体" w:eastAsia="宋体" w:hint="default"/>
                <w:sz w:val="18"/>
                <w:szCs w:val="18"/>
              </w:rPr>
              <w:t>的出资</w:t>
            </w:r>
          </w:p>
          <w:p>
            <w:pPr>
              <w:pStyle w:val="TableParagraph"/>
              <w:spacing w:line="316" w:lineRule="auto" w:before="77"/>
              <w:ind w:left="23" w:right="101"/>
              <w:jc w:val="both"/>
              <w:rPr>
                <w:rFonts w:ascii="宋体" w:hAnsi="宋体" w:cs="宋体" w:eastAsia="宋体" w:hint="default"/>
                <w:sz w:val="18"/>
                <w:szCs w:val="18"/>
              </w:rPr>
            </w:pPr>
            <w:r>
              <w:rPr>
                <w:rFonts w:ascii="宋体" w:hAnsi="宋体" w:cs="宋体" w:eastAsia="宋体" w:hint="default"/>
                <w:sz w:val="18"/>
                <w:szCs w:val="18"/>
              </w:rPr>
              <w:t>比例； 公司副 总裁担 任其董 事</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9" w:lineRule="auto"/>
              <w:ind w:left="26" w:right="101"/>
              <w:jc w:val="both"/>
              <w:rPr>
                <w:rFonts w:ascii="宋体" w:hAnsi="宋体" w:cs="宋体" w:eastAsia="宋体" w:hint="default"/>
                <w:sz w:val="18"/>
                <w:szCs w:val="18"/>
              </w:rPr>
            </w:pPr>
            <w:r>
              <w:rPr>
                <w:rFonts w:ascii="宋体" w:hAnsi="宋体" w:cs="宋体" w:eastAsia="宋体" w:hint="default"/>
                <w:sz w:val="18"/>
                <w:szCs w:val="18"/>
              </w:rPr>
              <w:t>向关联 方提供 服务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9" w:lineRule="auto"/>
              <w:ind w:left="23" w:right="128"/>
              <w:jc w:val="both"/>
              <w:rPr>
                <w:rFonts w:ascii="宋体" w:hAnsi="宋体" w:cs="宋体" w:eastAsia="宋体" w:hint="default"/>
                <w:sz w:val="18"/>
                <w:szCs w:val="18"/>
              </w:rPr>
            </w:pPr>
            <w:r>
              <w:rPr>
                <w:rFonts w:ascii="宋体" w:hAnsi="宋体" w:cs="宋体" w:eastAsia="宋体" w:hint="default"/>
                <w:sz w:val="18"/>
                <w:szCs w:val="18"/>
              </w:rPr>
              <w:t>公司为 盛灿科 技提供 产品项 目服务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公允协 商价格</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155.66</w:t>
            </w: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9" w:lineRule="auto"/>
              <w:ind w:left="23" w:right="98"/>
              <w:jc w:val="both"/>
              <w:rPr>
                <w:rFonts w:ascii="宋体" w:hAnsi="宋体" w:cs="宋体" w:eastAsia="宋体" w:hint="default"/>
                <w:sz w:val="18"/>
                <w:szCs w:val="18"/>
              </w:rPr>
            </w:pPr>
            <w:r>
              <w:rPr>
                <w:rFonts w:ascii="宋体" w:hAnsi="宋体" w:cs="宋体" w:eastAsia="宋体" w:hint="default"/>
                <w:sz w:val="18"/>
                <w:szCs w:val="18"/>
              </w:rPr>
              <w:t>按合同 约定结 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5"/>
              <w:jc w:val="left"/>
              <w:rPr>
                <w:rFonts w:ascii="宋体" w:hAnsi="宋体" w:cs="宋体" w:eastAsia="宋体" w:hint="default"/>
                <w:sz w:val="18"/>
                <w:szCs w:val="18"/>
              </w:rPr>
            </w:pPr>
            <w:r>
              <w:rPr>
                <w:rFonts w:ascii="宋体" w:hAnsi="宋体" w:cs="宋体" w:eastAsia="宋体" w:hint="default"/>
                <w:sz w:val="18"/>
                <w:szCs w:val="18"/>
              </w:rPr>
              <w:t>巨潮资 讯网及</w:t>
            </w:r>
          </w:p>
          <w:p>
            <w:pPr>
              <w:pStyle w:val="TableParagraph"/>
              <w:spacing w:line="316" w:lineRule="auto" w:before="19"/>
              <w:ind w:left="23" w:right="65"/>
              <w:jc w:val="both"/>
              <w:rPr>
                <w:rFonts w:ascii="宋体" w:hAnsi="宋体" w:cs="宋体" w:eastAsia="宋体" w:hint="default"/>
                <w:sz w:val="18"/>
                <w:szCs w:val="18"/>
              </w:rPr>
            </w:pPr>
            <w:r>
              <w:rPr>
                <w:rFonts w:ascii="宋体" w:hAnsi="宋体" w:cs="宋体" w:eastAsia="宋体" w:hint="default"/>
                <w:sz w:val="18"/>
                <w:szCs w:val="18"/>
              </w:rPr>
              <w:t>《证券 时报》 刊登的</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2017-1</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《关于</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6" w:lineRule="auto" w:before="63"/>
              <w:ind w:left="23" w:right="65"/>
              <w:jc w:val="left"/>
              <w:rPr>
                <w:rFonts w:ascii="宋体" w:hAnsi="宋体" w:cs="宋体" w:eastAsia="宋体" w:hint="default"/>
                <w:sz w:val="18"/>
                <w:szCs w:val="18"/>
              </w:rPr>
            </w:pPr>
            <w:r>
              <w:rPr>
                <w:rFonts w:ascii="宋体" w:hAnsi="宋体" w:cs="宋体" w:eastAsia="宋体" w:hint="default"/>
                <w:sz w:val="18"/>
                <w:szCs w:val="18"/>
              </w:rPr>
              <w:t>度日常 关联交 易预计 的公 告》</w:t>
            </w:r>
          </w:p>
        </w:tc>
      </w:tr>
      <w:tr>
        <w:trPr>
          <w:trHeight w:val="133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44"/>
              <w:jc w:val="right"/>
              <w:rPr>
                <w:rFonts w:ascii="宋体" w:hAnsi="宋体" w:cs="宋体" w:eastAsia="宋体" w:hint="default"/>
                <w:sz w:val="18"/>
                <w:szCs w:val="18"/>
              </w:rPr>
            </w:pPr>
            <w:r>
              <w:rPr>
                <w:rFonts w:ascii="宋体" w:hAnsi="宋体" w:cs="宋体" w:eastAsia="宋体" w:hint="default"/>
                <w:sz w:val="18"/>
                <w:szCs w:val="18"/>
              </w:rPr>
              <w:t>盛灿科技</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68"/>
              <w:ind w:left="23" w:right="101"/>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公司持 有其 </w:t>
            </w:r>
            <w:r>
              <w:rPr>
                <w:rFonts w:ascii="Times New Roman" w:hAnsi="Times New Roman" w:cs="Times New Roman" w:eastAsia="Times New Roman" w:hint="default"/>
                <w:sz w:val="18"/>
                <w:szCs w:val="18"/>
              </w:rPr>
              <w:t>8.33%</w:t>
            </w:r>
          </w:p>
          <w:p>
            <w:pPr>
              <w:pStyle w:val="TableParagraph"/>
              <w:spacing w:line="217" w:lineRule="exact"/>
              <w:ind w:left="23" w:right="0"/>
              <w:jc w:val="left"/>
              <w:rPr>
                <w:rFonts w:ascii="宋体" w:hAnsi="宋体" w:cs="宋体" w:eastAsia="宋体" w:hint="default"/>
                <w:sz w:val="18"/>
                <w:szCs w:val="18"/>
              </w:rPr>
            </w:pPr>
            <w:r>
              <w:rPr>
                <w:rFonts w:ascii="宋体" w:hAnsi="宋体" w:cs="宋体" w:eastAsia="宋体" w:hint="default"/>
                <w:sz w:val="18"/>
                <w:szCs w:val="18"/>
              </w:rPr>
              <w:t>的出资</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101"/>
              <w:jc w:val="both"/>
              <w:rPr>
                <w:rFonts w:ascii="宋体" w:hAnsi="宋体" w:cs="宋体" w:eastAsia="宋体" w:hint="default"/>
                <w:sz w:val="18"/>
                <w:szCs w:val="18"/>
              </w:rPr>
            </w:pPr>
            <w:r>
              <w:rPr>
                <w:rFonts w:ascii="宋体" w:hAnsi="宋体" w:cs="宋体" w:eastAsia="宋体" w:hint="default"/>
                <w:sz w:val="18"/>
                <w:szCs w:val="18"/>
              </w:rPr>
              <w:t>为关联 方提供 技术服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8"/>
              <w:ind w:left="23" w:right="128"/>
              <w:jc w:val="both"/>
              <w:rPr>
                <w:rFonts w:ascii="宋体" w:hAnsi="宋体" w:cs="宋体" w:eastAsia="宋体" w:hint="default"/>
                <w:sz w:val="18"/>
                <w:szCs w:val="18"/>
              </w:rPr>
            </w:pPr>
            <w:r>
              <w:rPr>
                <w:rFonts w:ascii="宋体" w:hAnsi="宋体" w:cs="宋体" w:eastAsia="宋体" w:hint="default"/>
                <w:sz w:val="18"/>
                <w:szCs w:val="18"/>
              </w:rPr>
              <w:t>盛灿科 技为公 司提供 软件开</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07"/>
              <w:jc w:val="left"/>
              <w:rPr>
                <w:rFonts w:ascii="宋体" w:hAnsi="宋体" w:cs="宋体" w:eastAsia="宋体" w:hint="default"/>
                <w:sz w:val="18"/>
                <w:szCs w:val="18"/>
              </w:rPr>
            </w:pPr>
            <w:r>
              <w:rPr>
                <w:rFonts w:ascii="宋体" w:hAnsi="宋体" w:cs="宋体" w:eastAsia="宋体" w:hint="default"/>
                <w:sz w:val="18"/>
                <w:szCs w:val="18"/>
              </w:rPr>
              <w:t>公允协 商价格</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471.7</w:t>
            </w: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98"/>
              <w:jc w:val="both"/>
              <w:rPr>
                <w:rFonts w:ascii="宋体" w:hAnsi="宋体" w:cs="宋体" w:eastAsia="宋体" w:hint="default"/>
                <w:sz w:val="18"/>
                <w:szCs w:val="18"/>
              </w:rPr>
            </w:pPr>
            <w:r>
              <w:rPr>
                <w:rFonts w:ascii="宋体" w:hAnsi="宋体" w:cs="宋体" w:eastAsia="宋体" w:hint="default"/>
                <w:sz w:val="18"/>
                <w:szCs w:val="18"/>
              </w:rPr>
              <w:t>按合同 约定结 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65"/>
              <w:jc w:val="left"/>
              <w:rPr>
                <w:rFonts w:ascii="宋体" w:hAnsi="宋体" w:cs="宋体" w:eastAsia="宋体" w:hint="default"/>
                <w:sz w:val="18"/>
                <w:szCs w:val="18"/>
              </w:rPr>
            </w:pPr>
            <w:r>
              <w:rPr>
                <w:rFonts w:ascii="宋体" w:hAnsi="宋体" w:cs="宋体" w:eastAsia="宋体" w:hint="default"/>
                <w:sz w:val="18"/>
                <w:szCs w:val="18"/>
              </w:rPr>
              <w:t>巨潮资 讯网及</w:t>
            </w:r>
          </w:p>
          <w:p>
            <w:pPr>
              <w:pStyle w:val="TableParagraph"/>
              <w:spacing w:line="316" w:lineRule="auto" w:before="19"/>
              <w:ind w:left="23" w:right="65"/>
              <w:jc w:val="left"/>
              <w:rPr>
                <w:rFonts w:ascii="宋体" w:hAnsi="宋体" w:cs="宋体" w:eastAsia="宋体" w:hint="default"/>
                <w:sz w:val="18"/>
                <w:szCs w:val="18"/>
              </w:rPr>
            </w:pPr>
            <w:r>
              <w:rPr>
                <w:rFonts w:ascii="宋体" w:hAnsi="宋体" w:cs="宋体" w:eastAsia="宋体" w:hint="default"/>
                <w:sz w:val="18"/>
                <w:szCs w:val="18"/>
              </w:rPr>
              <w:t>《证券 时报》</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677"/>
        <w:gridCol w:w="679"/>
        <w:gridCol w:w="704"/>
        <w:gridCol w:w="682"/>
        <w:gridCol w:w="672"/>
        <w:gridCol w:w="674"/>
        <w:gridCol w:w="675"/>
        <w:gridCol w:w="674"/>
        <w:gridCol w:w="674"/>
        <w:gridCol w:w="674"/>
        <w:gridCol w:w="673"/>
        <w:gridCol w:w="672"/>
        <w:gridCol w:w="641"/>
      </w:tblGrid>
      <w:tr>
        <w:trPr>
          <w:trHeight w:val="3171"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1"/>
              <w:jc w:val="both"/>
              <w:rPr>
                <w:rFonts w:ascii="宋体" w:hAnsi="宋体" w:cs="宋体" w:eastAsia="宋体" w:hint="default"/>
                <w:sz w:val="18"/>
                <w:szCs w:val="18"/>
              </w:rPr>
            </w:pPr>
            <w:r>
              <w:rPr>
                <w:rFonts w:ascii="宋体" w:hAnsi="宋体" w:cs="宋体" w:eastAsia="宋体" w:hint="default"/>
                <w:sz w:val="18"/>
                <w:szCs w:val="18"/>
              </w:rPr>
              <w:t>比例； 公司副 总裁担 任其董 事</w:t>
            </w:r>
          </w:p>
        </w:tc>
        <w:tc>
          <w:tcPr>
            <w:tcW w:w="679"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发服务</w:t>
            </w:r>
          </w:p>
        </w:tc>
        <w:tc>
          <w:tcPr>
            <w:tcW w:w="68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刊登的</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2017-1</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《关于</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6" w:lineRule="auto" w:before="63"/>
              <w:ind w:left="23" w:right="65"/>
              <w:jc w:val="left"/>
              <w:rPr>
                <w:rFonts w:ascii="宋体" w:hAnsi="宋体" w:cs="宋体" w:eastAsia="宋体" w:hint="default"/>
                <w:sz w:val="18"/>
                <w:szCs w:val="18"/>
              </w:rPr>
            </w:pPr>
            <w:r>
              <w:rPr>
                <w:rFonts w:ascii="宋体" w:hAnsi="宋体" w:cs="宋体" w:eastAsia="宋体" w:hint="default"/>
                <w:sz w:val="18"/>
                <w:szCs w:val="18"/>
              </w:rPr>
              <w:t>度日常 关联交 易预计 的公 告》</w:t>
            </w:r>
          </w:p>
        </w:tc>
      </w:tr>
      <w:tr>
        <w:trPr>
          <w:trHeight w:val="401"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627.36</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left="235" w:right="0"/>
              <w:jc w:val="left"/>
              <w:rPr>
                <w:rFonts w:ascii="Times New Roman" w:hAnsi="Times New Roman" w:cs="Times New Roman" w:eastAsia="Times New Roman" w:hint="default"/>
                <w:sz w:val="18"/>
                <w:szCs w:val="18"/>
              </w:rPr>
            </w:pPr>
            <w:r>
              <w:rPr>
                <w:rFonts w:ascii="Times New Roman"/>
                <w:sz w:val="18"/>
              </w:rPr>
              <w:t>3,400</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960" w:hRule="exact"/>
        </w:trPr>
        <w:tc>
          <w:tcPr>
            <w:tcW w:w="2859"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711"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3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日召开第四届董事会第十九次（临时）会议，审议通</w:t>
            </w:r>
          </w:p>
          <w:p>
            <w:pPr>
              <w:pStyle w:val="TableParagraph"/>
              <w:spacing w:line="309" w:lineRule="auto" w:before="63"/>
              <w:ind w:left="16" w:right="22"/>
              <w:jc w:val="left"/>
              <w:rPr>
                <w:rFonts w:ascii="宋体" w:hAnsi="宋体" w:cs="宋体" w:eastAsia="宋体" w:hint="default"/>
                <w:sz w:val="18"/>
                <w:szCs w:val="18"/>
              </w:rPr>
            </w:pPr>
            <w:r>
              <w:rPr>
                <w:rFonts w:ascii="宋体" w:hAnsi="宋体" w:cs="宋体" w:eastAsia="宋体" w:hint="default"/>
                <w:sz w:val="18"/>
                <w:szCs w:val="18"/>
              </w:rPr>
              <w:t>过《关于公司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年度日常关联交易预计的议案》，公司按类别对</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年将发生的</w:t>
            </w:r>
            <w:r>
              <w:rPr>
                <w:rFonts w:ascii="宋体" w:hAnsi="宋体" w:cs="宋体" w:eastAsia="宋体" w:hint="default"/>
                <w:spacing w:val="-86"/>
                <w:sz w:val="18"/>
                <w:szCs w:val="18"/>
              </w:rPr>
              <w:t> </w:t>
            </w:r>
            <w:r>
              <w:rPr>
                <w:rFonts w:ascii="宋体" w:hAnsi="宋体" w:cs="宋体" w:eastAsia="宋体" w:hint="default"/>
                <w:sz w:val="18"/>
                <w:szCs w:val="18"/>
              </w:rPr>
              <w:t>日常关联交易进行总金额预计，确立公司与关联方盛灿科技、益趣科技、深圳市国溢</w:t>
            </w:r>
            <w:r>
              <w:rPr>
                <w:rFonts w:ascii="宋体" w:hAnsi="宋体" w:cs="宋体" w:eastAsia="宋体" w:hint="default"/>
                <w:sz w:val="18"/>
                <w:szCs w:val="18"/>
              </w:rPr>
              <w:t> 工程服务有限公司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年预计累计发生的关联交易金额不超过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3,600 </w:t>
            </w:r>
            <w:r>
              <w:rPr>
                <w:rFonts w:ascii="宋体" w:hAnsi="宋体" w:cs="宋体" w:eastAsia="宋体" w:hint="default"/>
                <w:sz w:val="18"/>
                <w:szCs w:val="18"/>
              </w:rPr>
              <w:t>万元。</w:t>
            </w:r>
          </w:p>
          <w:p>
            <w:pPr>
              <w:pStyle w:val="TableParagraph"/>
              <w:spacing w:line="300" w:lineRule="auto" w:before="43"/>
              <w:ind w:left="16" w:right="14"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年实际发生关联交易情况列示于上表中，公司关联方年度日常关联交易 预计金额为</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3,600</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万元，实际发生日常关联交易金额</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627.36</w:t>
            </w:r>
            <w:r>
              <w:rPr>
                <w:rFonts w:ascii="Times New Roman" w:hAnsi="Times New Roman" w:cs="Times New Roman" w:eastAsia="Times New Roman" w:hint="default"/>
                <w:spacing w:val="3"/>
                <w:sz w:val="18"/>
                <w:szCs w:val="18"/>
              </w:rPr>
              <w:t> </w:t>
            </w:r>
            <w:r>
              <w:rPr>
                <w:rFonts w:ascii="宋体" w:hAnsi="宋体" w:cs="宋体" w:eastAsia="宋体" w:hint="default"/>
                <w:spacing w:val="-9"/>
                <w:sz w:val="18"/>
                <w:szCs w:val="18"/>
              </w:rPr>
              <w:t>万元（不含税），在预计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范围内。较预计的关联交易总额存在的差异原因主要系：（</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年度市场环境发</w:t>
            </w:r>
            <w:r>
              <w:rPr>
                <w:rFonts w:ascii="宋体" w:hAnsi="宋体" w:cs="宋体" w:eastAsia="宋体" w:hint="default"/>
                <w:spacing w:val="-83"/>
                <w:sz w:val="18"/>
                <w:szCs w:val="18"/>
              </w:rPr>
              <w:t> </w:t>
            </w:r>
            <w:r>
              <w:rPr>
                <w:rFonts w:ascii="宋体" w:hAnsi="宋体" w:cs="宋体" w:eastAsia="宋体" w:hint="default"/>
                <w:spacing w:val="-3"/>
                <w:sz w:val="18"/>
                <w:szCs w:val="18"/>
              </w:rPr>
              <w:t>生改变，公司局部调整了市场策略，减少了关联商品的销售和关联劳务的提供；（</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宋体" w:hAnsi="宋体" w:cs="宋体" w:eastAsia="宋体" w:hint="default"/>
                <w:spacing w:val="-66"/>
                <w:sz w:val="18"/>
                <w:szCs w:val="18"/>
              </w:rPr>
              <w:t> </w:t>
            </w:r>
            <w:r>
              <w:rPr>
                <w:rFonts w:ascii="宋体" w:hAnsi="宋体" w:cs="宋体" w:eastAsia="宋体" w:hint="default"/>
                <w:sz w:val="18"/>
                <w:szCs w:val="18"/>
              </w:rPr>
              <w:t>公司自身业务需求减少了对关联方劳务服务的需求。</w:t>
            </w:r>
          </w:p>
        </w:tc>
      </w:tr>
      <w:tr>
        <w:trPr>
          <w:trHeight w:val="1018" w:hRule="exact"/>
        </w:trPr>
        <w:tc>
          <w:tcPr>
            <w:tcW w:w="2859"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实际履行情况（如有）</w:t>
            </w:r>
          </w:p>
        </w:tc>
        <w:tc>
          <w:tcPr>
            <w:tcW w:w="6711" w:type="dxa"/>
            <w:gridSpan w:val="10"/>
            <w:vMerge/>
            <w:tcBorders>
              <w:left w:val="single" w:sz="10" w:space="0" w:color="D2D2D2"/>
              <w:right w:val="single" w:sz="4" w:space="0" w:color="000000"/>
            </w:tcBorders>
          </w:tcPr>
          <w:p>
            <w:pPr/>
          </w:p>
        </w:tc>
      </w:tr>
      <w:tr>
        <w:trPr>
          <w:trHeight w:val="960" w:hRule="exact"/>
        </w:trPr>
        <w:tc>
          <w:tcPr>
            <w:tcW w:w="2859"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711" w:type="dxa"/>
            <w:gridSpan w:val="10"/>
            <w:vMerge/>
            <w:tcBorders>
              <w:left w:val="single" w:sz="10" w:space="0" w:color="D2D2D2"/>
              <w:bottom w:val="single" w:sz="4" w:space="0" w:color="000000"/>
              <w:right w:val="single" w:sz="4" w:space="0" w:color="000000"/>
            </w:tcBorders>
          </w:tcPr>
          <w:p>
            <w:pPr/>
          </w:p>
        </w:tc>
      </w:tr>
      <w:tr>
        <w:trPr>
          <w:trHeight w:val="715"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513" w:right="1034"/>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16</w:t>
      </w:r>
      <w:r>
        <w:rPr/>
        <w:t>日，经公司第四届董事会第十四次（临时）会议审议通过的《关于公司投资成立互联网小额贷款公司暨关</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9" w:lineRule="auto" w:before="44"/>
        <w:ind w:right="1133"/>
        <w:jc w:val="both"/>
      </w:pPr>
      <w:r>
        <w:rPr>
          <w:spacing w:val="-1"/>
        </w:rPr>
        <w:t>联交易的议案》，公司拟以自有资金人民币出资</w:t>
      </w:r>
      <w:r>
        <w:rPr>
          <w:rFonts w:ascii="Times New Roman" w:hAnsi="Times New Roman" w:cs="Times New Roman" w:eastAsia="Times New Roman" w:hint="default"/>
          <w:spacing w:val="-1"/>
        </w:rPr>
        <w:t>17,500</w:t>
      </w:r>
      <w:r>
        <w:rPr>
          <w:spacing w:val="-1"/>
        </w:rPr>
        <w:t>万元，作为主发起人与贵州永安金融控股股份有限公司、杭州一骑轻</w:t>
      </w:r>
      <w:r>
        <w:rPr>
          <w:spacing w:val="-76"/>
        </w:rPr>
        <w:t> </w:t>
      </w:r>
      <w:r>
        <w:rPr>
          <w:spacing w:val="-76"/>
        </w:rPr>
      </w:r>
      <w:r>
        <w:rPr>
          <w:spacing w:val="-2"/>
        </w:rPr>
        <w:t>尘信息技术有限公司、深圳市和网零售有限公司及公司关联方盛灿科技共同投资设立江西赣江新区证好永盛网络小额贷款有</w:t>
      </w:r>
      <w:r>
        <w:rPr>
          <w:spacing w:val="-64"/>
        </w:rPr>
        <w:t> </w:t>
      </w:r>
      <w:r>
        <w:rPr>
          <w:spacing w:val="-64"/>
        </w:rPr>
      </w:r>
      <w:r>
        <w:rPr/>
        <w:t>限公司（以下简称</w:t>
      </w:r>
      <w:r>
        <w:rPr>
          <w:rFonts w:ascii="Times New Roman" w:hAnsi="Times New Roman" w:cs="Times New Roman" w:eastAsia="Times New Roman" w:hint="default"/>
        </w:rPr>
        <w:t>“</w:t>
      </w:r>
      <w:r>
        <w:rPr/>
        <w:t>小贷公司</w:t>
      </w:r>
      <w:r>
        <w:rPr>
          <w:rFonts w:ascii="Times New Roman" w:hAnsi="Times New Roman" w:cs="Times New Roman" w:eastAsia="Times New Roman" w:hint="default"/>
        </w:rPr>
        <w:t>”</w:t>
      </w:r>
      <w:r>
        <w:rPr/>
        <w:t>）。小贷公司注册资本拟定为人民币</w:t>
      </w:r>
      <w:r>
        <w:rPr>
          <w:rFonts w:ascii="Times New Roman" w:hAnsi="Times New Roman" w:cs="Times New Roman" w:eastAsia="Times New Roman" w:hint="default"/>
        </w:rPr>
        <w:t>50,000</w:t>
      </w:r>
      <w:r>
        <w:rPr/>
        <w:t>万元，公司出资比例为</w:t>
      </w:r>
      <w:r>
        <w:rPr>
          <w:rFonts w:ascii="Times New Roman" w:hAnsi="Times New Roman" w:cs="Times New Roman" w:eastAsia="Times New Roman" w:hint="default"/>
        </w:rPr>
        <w:t>35.00%</w:t>
      </w:r>
      <w:r>
        <w:rPr/>
        <w:t>。</w:t>
      </w:r>
    </w:p>
    <w:p>
      <w:pPr>
        <w:pStyle w:val="BodyText"/>
        <w:spacing w:line="314" w:lineRule="auto" w:before="5"/>
        <w:ind w:right="1034"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21</w:t>
      </w:r>
      <w:r>
        <w:rPr/>
        <w:t>日，互联网金融风险专项整治工作领导小组办公室下发《关于立即暂停批设网络小额贷款公司的通知》， </w:t>
      </w:r>
      <w:r>
        <w:rPr>
          <w:spacing w:val="-2"/>
        </w:rPr>
        <w:t>根据文件要求，本投资事项需获得相关政府主管部门的批准，因投资方案及该项投资是否能够完成存在不确定性，经各相关</w:t>
      </w:r>
      <w:r>
        <w:rPr>
          <w:spacing w:val="-63"/>
        </w:rPr>
        <w:t> </w:t>
      </w:r>
      <w:r>
        <w:rPr>
          <w:spacing w:val="-63"/>
        </w:rPr>
      </w:r>
      <w:r>
        <w:rPr>
          <w:spacing w:val="-2"/>
        </w:rPr>
        <w:t>出资方讨论，一致决定将投资事项延期搁置，待监管部门有进一步发文公告相关指导政策，公司再根据实际情况推进后续事</w:t>
      </w:r>
      <w:r>
        <w:rPr>
          <w:spacing w:val="-63"/>
        </w:rPr>
        <w:t> </w:t>
      </w:r>
      <w:r>
        <w:rPr>
          <w:spacing w:val="-63"/>
        </w:rPr>
      </w:r>
      <w:r>
        <w:rPr>
          <w:spacing w:val="-5"/>
        </w:rPr>
        <w:t>宜。公司已将拟设立的小贷相关申报材料报送至江西省人民政府金融办公室，未完成报批程序，小贷公司尚未工商注册成立，</w:t>
      </w:r>
      <w:r>
        <w:rPr>
          <w:spacing w:val="-76"/>
        </w:rPr>
        <w:t> </w:t>
      </w:r>
      <w:r>
        <w:rPr>
          <w:spacing w:val="-76"/>
        </w:rPr>
      </w:r>
      <w:r>
        <w:rPr/>
        <w:t>公司及各相关出资方尚未实质性出资。</w:t>
      </w:r>
    </w:p>
    <w:p>
      <w:pPr>
        <w:pStyle w:val="BodyText"/>
        <w:spacing w:line="309" w:lineRule="auto" w:before="20"/>
        <w:ind w:right="1131"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24</w:t>
      </w:r>
      <w:r>
        <w:rPr/>
        <w:t>日，在综合判断国家相关行业监管政策形势、资金导向及相关筹措实际变化情况后，经与贵州永安金融控 </w:t>
      </w:r>
      <w:r>
        <w:rPr>
          <w:spacing w:val="-2"/>
        </w:rPr>
        <w:t>股股份有限公司、深圳市和网零售有限公司、广东中信融资租赁有限公司、盛灿科技各出资方讨论，一致决定终止投资设立</w:t>
      </w:r>
      <w:r>
        <w:rPr>
          <w:spacing w:val="-65"/>
        </w:rPr>
        <w:t> </w:t>
      </w:r>
      <w:r>
        <w:rPr>
          <w:spacing w:val="-65"/>
        </w:rPr>
      </w:r>
      <w:r>
        <w:rPr/>
        <w:t>小贷公司，并于当日签署了《终止合作协议》。</w:t>
      </w:r>
    </w:p>
    <w:p>
      <w:pPr>
        <w:pStyle w:val="BodyText"/>
        <w:spacing w:line="240" w:lineRule="auto" w:before="65"/>
        <w:ind w:left="513" w:right="1133"/>
        <w:jc w:val="left"/>
      </w:pPr>
      <w:r>
        <w:rPr/>
        <w:t>重大关联交易临时报告披露网站相关查询</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59"/>
        <w:gridCol w:w="2650"/>
        <w:gridCol w:w="3461"/>
      </w:tblGrid>
      <w:tr>
        <w:trPr>
          <w:trHeight w:val="403"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9"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8"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《公司关于投资成立互联网小额贷款公司 暨关联交易的公告》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5"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《公司关于拟投资设立互联网小额贷款公 司的进展公告》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《公司终止投资设立互联网小额贷款公司 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十七、重大合同及其履行情况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footerReference w:type="default" r:id="rId16"/>
          <w:pgSz w:w="11910" w:h="16840"/>
          <w:pgMar w:footer="979" w:header="745" w:top="1060" w:bottom="1160" w:left="980" w:right="0"/>
          <w:pgNumType w:start="62"/>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9"/>
        <w:gridCol w:w="928"/>
        <w:gridCol w:w="923"/>
        <w:gridCol w:w="1296"/>
        <w:gridCol w:w="1064"/>
        <w:gridCol w:w="1034"/>
        <w:gridCol w:w="1049"/>
        <w:gridCol w:w="792"/>
        <w:gridCol w:w="780"/>
      </w:tblGrid>
      <w:tr>
        <w:trPr>
          <w:trHeight w:val="403"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07"/>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28"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316" w:lineRule="auto" w:before="49"/>
              <w:ind w:left="100" w:right="9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652"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53"/>
              <w:jc w:val="both"/>
              <w:rPr>
                <w:rFonts w:ascii="宋体" w:hAnsi="宋体" w:cs="宋体" w:eastAsia="宋体" w:hint="default"/>
                <w:sz w:val="18"/>
                <w:szCs w:val="18"/>
              </w:rPr>
            </w:pPr>
            <w:r>
              <w:rPr>
                <w:rFonts w:ascii="宋体" w:hAnsi="宋体" w:cs="宋体" w:eastAsia="宋体" w:hint="default"/>
                <w:sz w:val="18"/>
                <w:szCs w:val="18"/>
              </w:rPr>
              <w:t>拥有公司应付账款债 务等条件的产业链链 条企业（供应商及其 上游各层级供应商）</w:t>
            </w:r>
          </w:p>
        </w:tc>
        <w:tc>
          <w:tcPr>
            <w:tcW w:w="92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2,153.92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13"/>
              <w:jc w:val="both"/>
              <w:rPr>
                <w:rFonts w:ascii="宋体" w:hAnsi="宋体" w:cs="宋体" w:eastAsia="宋体" w:hint="default"/>
                <w:sz w:val="18"/>
                <w:szCs w:val="18"/>
              </w:rPr>
            </w:pPr>
            <w:r>
              <w:rPr>
                <w:rFonts w:ascii="宋体" w:hAnsi="宋体" w:cs="宋体" w:eastAsia="宋体" w:hint="default"/>
                <w:sz w:val="18"/>
                <w:szCs w:val="18"/>
              </w:rPr>
              <w:t>保证期间为 该合同相应 债务履行期 届满之日起 两年。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6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19"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5,000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1"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2,153.92</w:t>
            </w:r>
          </w:p>
        </w:tc>
      </w:tr>
      <w:tr>
        <w:trPr>
          <w:trHeight w:val="720" w:hRule="exact"/>
        </w:trPr>
        <w:tc>
          <w:tcPr>
            <w:tcW w:w="26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19"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5,000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1"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2,153.92</w:t>
            </w:r>
          </w:p>
        </w:tc>
      </w:tr>
      <w:tr>
        <w:trPr>
          <w:trHeight w:val="39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6"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2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95" w:right="10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vMerge w:val="restart"/>
            <w:tcBorders>
              <w:top w:val="single" w:sz="4" w:space="0" w:color="000000"/>
              <w:left w:val="single" w:sz="4" w:space="0" w:color="000000"/>
              <w:right w:val="single" w:sz="4" w:space="0" w:color="000000"/>
            </w:tcBorders>
            <w:shd w:val="clear" w:color="auto" w:fill="D2D2D2"/>
          </w:tcPr>
          <w:p>
            <w:pPr/>
          </w:p>
        </w:tc>
        <w:tc>
          <w:tcPr>
            <w:tcW w:w="1296" w:type="dxa"/>
            <w:vMerge w:val="restart"/>
            <w:tcBorders>
              <w:top w:val="single" w:sz="4" w:space="0" w:color="000000"/>
              <w:left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4" w:type="dxa"/>
            <w:vMerge w:val="restart"/>
            <w:tcBorders>
              <w:top w:val="single" w:sz="4" w:space="0" w:color="000000"/>
              <w:left w:val="single" w:sz="4" w:space="0" w:color="000000"/>
              <w:right w:val="single" w:sz="4" w:space="0" w:color="000000"/>
            </w:tcBorders>
            <w:shd w:val="clear" w:color="auto" w:fill="D2D2D2"/>
          </w:tcPr>
          <w:p>
            <w:pPr/>
          </w:p>
        </w:tc>
        <w:tc>
          <w:tcPr>
            <w:tcW w:w="1049" w:type="dxa"/>
            <w:vMerge w:val="restart"/>
            <w:tcBorders>
              <w:top w:val="single" w:sz="4" w:space="0" w:color="000000"/>
              <w:left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28" w:type="dxa"/>
            <w:vMerge/>
            <w:tcBorders>
              <w:left w:val="single" w:sz="4" w:space="0" w:color="000000"/>
              <w:right w:val="single" w:sz="4" w:space="0" w:color="000000"/>
            </w:tcBorders>
            <w:shd w:val="clear" w:color="auto" w:fill="D2D2D2"/>
          </w:tcPr>
          <w:p>
            <w:pPr/>
          </w:p>
        </w:tc>
        <w:tc>
          <w:tcPr>
            <w:tcW w:w="923" w:type="dxa"/>
            <w:vMerge/>
            <w:tcBorders>
              <w:left w:val="single" w:sz="4" w:space="0" w:color="000000"/>
              <w:bottom w:val="nil" w:sz="6" w:space="0" w:color="auto"/>
              <w:right w:val="single" w:sz="4" w:space="0" w:color="000000"/>
            </w:tcBorders>
            <w:shd w:val="clear" w:color="auto" w:fill="D2D2D2"/>
          </w:tcPr>
          <w:p>
            <w:pPr/>
          </w:p>
        </w:tc>
        <w:tc>
          <w:tcPr>
            <w:tcW w:w="1296" w:type="dxa"/>
            <w:vMerge/>
            <w:tcBorders>
              <w:left w:val="single" w:sz="4" w:space="0" w:color="000000"/>
              <w:bottom w:val="nil" w:sz="6" w:space="0" w:color="auto"/>
              <w:right w:val="single" w:sz="4" w:space="0" w:color="000000"/>
            </w:tcBorders>
            <w:shd w:val="clear" w:color="auto" w:fill="D2D2D2"/>
          </w:tcPr>
          <w:p>
            <w:pPr/>
          </w:p>
        </w:tc>
        <w:tc>
          <w:tcPr>
            <w:tcW w:w="10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vMerge/>
            <w:tcBorders>
              <w:left w:val="single" w:sz="4" w:space="0" w:color="000000"/>
              <w:bottom w:val="nil" w:sz="6" w:space="0" w:color="auto"/>
              <w:right w:val="single" w:sz="4" w:space="0" w:color="000000"/>
            </w:tcBorders>
            <w:shd w:val="clear" w:color="auto" w:fill="D2D2D2"/>
          </w:tcPr>
          <w:p>
            <w:pPr/>
          </w:p>
        </w:tc>
        <w:tc>
          <w:tcPr>
            <w:tcW w:w="1049" w:type="dxa"/>
            <w:vMerge/>
            <w:tcBorders>
              <w:left w:val="single" w:sz="4" w:space="0" w:color="000000"/>
              <w:bottom w:val="nil" w:sz="6" w:space="0" w:color="auto"/>
              <w:right w:val="single" w:sz="4" w:space="0" w:color="000000"/>
            </w:tcBorders>
            <w:shd w:val="clear" w:color="auto" w:fill="D2D2D2"/>
          </w:tcPr>
          <w:p>
            <w:pP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11"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4"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07"/>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28" w:type="dxa"/>
            <w:vMerge/>
            <w:tcBorders>
              <w:left w:val="single" w:sz="4" w:space="0" w:color="000000"/>
              <w:right w:val="single" w:sz="4" w:space="0" w:color="000000"/>
            </w:tcBorders>
            <w:shd w:val="clear" w:color="auto" w:fill="D2D2D2"/>
          </w:tcPr>
          <w:p>
            <w:pPr/>
          </w:p>
        </w:tc>
        <w:tc>
          <w:tcPr>
            <w:tcW w:w="9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4" w:type="dxa"/>
            <w:vMerge/>
            <w:tcBorders>
              <w:left w:val="single" w:sz="4" w:space="0" w:color="000000"/>
              <w:right w:val="single" w:sz="4" w:space="0" w:color="000000"/>
            </w:tcBorders>
            <w:shd w:val="clear" w:color="auto" w:fill="D2D2D2"/>
          </w:tcPr>
          <w:p>
            <w:pPr/>
          </w:p>
        </w:tc>
        <w:tc>
          <w:tcPr>
            <w:tcW w:w="10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928" w:type="dxa"/>
            <w:vMerge/>
            <w:tcBorders>
              <w:left w:val="single" w:sz="4" w:space="0" w:color="000000"/>
              <w:right w:val="single" w:sz="4" w:space="0" w:color="000000"/>
            </w:tcBorders>
            <w:shd w:val="clear" w:color="auto" w:fill="D2D2D2"/>
          </w:tcPr>
          <w:p>
            <w:pPr/>
          </w:p>
        </w:tc>
        <w:tc>
          <w:tcPr>
            <w:tcW w:w="923" w:type="dxa"/>
            <w:vMerge w:val="restart"/>
            <w:tcBorders>
              <w:top w:val="nil" w:sz="6" w:space="0" w:color="auto"/>
              <w:left w:val="single" w:sz="4" w:space="0" w:color="000000"/>
              <w:right w:val="single" w:sz="4" w:space="0" w:color="000000"/>
            </w:tcBorders>
            <w:shd w:val="clear" w:color="auto" w:fill="D2D2D2"/>
          </w:tcPr>
          <w:p>
            <w:pPr/>
          </w:p>
        </w:tc>
        <w:tc>
          <w:tcPr>
            <w:tcW w:w="1296" w:type="dxa"/>
            <w:vMerge w:val="restart"/>
            <w:tcBorders>
              <w:top w:val="nil" w:sz="6" w:space="0" w:color="auto"/>
              <w:left w:val="single" w:sz="4" w:space="0" w:color="000000"/>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1034" w:type="dxa"/>
            <w:vMerge w:val="restart"/>
            <w:tcBorders>
              <w:top w:val="nil" w:sz="6" w:space="0" w:color="auto"/>
              <w:left w:val="single" w:sz="4" w:space="0" w:color="000000"/>
              <w:right w:val="single" w:sz="4" w:space="0" w:color="000000"/>
            </w:tcBorders>
            <w:shd w:val="clear" w:color="auto" w:fill="D2D2D2"/>
          </w:tcPr>
          <w:p>
            <w:pPr/>
          </w:p>
        </w:tc>
        <w:tc>
          <w:tcPr>
            <w:tcW w:w="1049" w:type="dxa"/>
            <w:vMerge w:val="restart"/>
            <w:tcBorders>
              <w:top w:val="nil" w:sz="6" w:space="0" w:color="auto"/>
              <w:left w:val="single" w:sz="4" w:space="0" w:color="000000"/>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c>
          <w:tcPr>
            <w:tcW w:w="78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928" w:type="dxa"/>
            <w:vMerge/>
            <w:tcBorders>
              <w:left w:val="single" w:sz="4" w:space="0" w:color="000000"/>
              <w:bottom w:val="single" w:sz="4" w:space="0" w:color="000000"/>
              <w:right w:val="single" w:sz="4" w:space="0" w:color="000000"/>
            </w:tcBorders>
            <w:shd w:val="clear" w:color="auto" w:fill="D2D2D2"/>
          </w:tcPr>
          <w:p>
            <w:pPr/>
          </w:p>
        </w:tc>
        <w:tc>
          <w:tcPr>
            <w:tcW w:w="923" w:type="dxa"/>
            <w:vMerge/>
            <w:tcBorders>
              <w:left w:val="single" w:sz="4" w:space="0" w:color="000000"/>
              <w:bottom w:val="single" w:sz="4" w:space="0" w:color="000000"/>
              <w:right w:val="single" w:sz="4" w:space="0" w:color="000000"/>
            </w:tcBorders>
            <w:shd w:val="clear" w:color="auto" w:fill="D2D2D2"/>
          </w:tcPr>
          <w:p>
            <w:pPr/>
          </w:p>
        </w:tc>
        <w:tc>
          <w:tcPr>
            <w:tcW w:w="1296" w:type="dxa"/>
            <w:vMerge/>
            <w:tcBorders>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4" w:type="dxa"/>
            <w:vMerge/>
            <w:tcBorders>
              <w:left w:val="single" w:sz="4" w:space="0" w:color="000000"/>
              <w:bottom w:val="single" w:sz="4" w:space="0" w:color="000000"/>
              <w:right w:val="single" w:sz="4" w:space="0" w:color="000000"/>
            </w:tcBorders>
            <w:shd w:val="clear" w:color="auto" w:fill="D2D2D2"/>
          </w:tcPr>
          <w:p>
            <w:pPr/>
          </w:p>
        </w:tc>
        <w:tc>
          <w:tcPr>
            <w:tcW w:w="1049" w:type="dxa"/>
            <w:vMerge/>
            <w:tcBorders>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0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云硕科技</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5,379.09</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3"/>
              <w:jc w:val="left"/>
              <w:rPr>
                <w:rFonts w:ascii="宋体" w:hAnsi="宋体" w:cs="宋体" w:eastAsia="宋体" w:hint="default"/>
                <w:sz w:val="18"/>
                <w:szCs w:val="18"/>
              </w:rPr>
            </w:pPr>
            <w:r>
              <w:rPr>
                <w:rFonts w:ascii="宋体" w:hAnsi="宋体" w:cs="宋体" w:eastAsia="宋体" w:hint="default"/>
                <w:sz w:val="18"/>
                <w:szCs w:val="18"/>
              </w:rPr>
              <w:t>自本《保证 合同》生效 之日至《售 后回租赁合 同》主合同 项下所负的 所有债务履 行期届满之 日起两年 止。</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96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云硕科技</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3,333.33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3"/>
              <w:jc w:val="both"/>
              <w:rPr>
                <w:rFonts w:ascii="宋体" w:hAnsi="宋体" w:cs="宋体" w:eastAsia="宋体" w:hint="default"/>
                <w:sz w:val="18"/>
                <w:szCs w:val="18"/>
              </w:rPr>
            </w:pPr>
            <w:r>
              <w:rPr>
                <w:rFonts w:ascii="宋体" w:hAnsi="宋体" w:cs="宋体" w:eastAsia="宋体" w:hint="default"/>
                <w:sz w:val="18"/>
                <w:szCs w:val="18"/>
              </w:rPr>
              <w:t>保证期间为 该合同相应 债务开始之 日起，债务 履行期届满 之日止。</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4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宏达通信</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3"/>
              <w:jc w:val="both"/>
              <w:rPr>
                <w:rFonts w:ascii="宋体" w:hAnsi="宋体" w:cs="宋体" w:eastAsia="宋体" w:hint="default"/>
                <w:sz w:val="18"/>
                <w:szCs w:val="18"/>
              </w:rPr>
            </w:pPr>
            <w:r>
              <w:rPr>
                <w:rFonts w:ascii="宋体" w:hAnsi="宋体" w:cs="宋体" w:eastAsia="宋体" w:hint="default"/>
                <w:sz w:val="18"/>
                <w:szCs w:val="18"/>
              </w:rPr>
              <w:t>保证期间为 该合同相应 债务履行期 届满之日起 两年。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32.910004pt;margin-top:303.889984pt;width:63.4pt;height:31.2pt;mso-position-horizontal-relative:page;mso-position-vertical-relative:page;z-index:-1203328" type="#_x0000_t202" filled="false" stroked="false">
            <v:textbox inset="0,0,0,0">
              <w:txbxContent>
                <w:p>
                  <w:pPr>
                    <w:spacing w:line="240" w:lineRule="auto" w:before="6"/>
                    <w:rPr>
                      <w:rFonts w:ascii="Times New Roman" w:hAnsi="Times New Roman" w:cs="Times New Roman" w:eastAsia="Times New Roman" w:hint="default"/>
                      <w:sz w:val="24"/>
                      <w:szCs w:val="24"/>
                    </w:rPr>
                  </w:pPr>
                </w:p>
                <w:p>
                  <w:pPr>
                    <w:pStyle w:val="BodyText"/>
                    <w:spacing w:line="240" w:lineRule="auto"/>
                    <w:ind w:left="0" w:right="0"/>
                    <w:jc w:val="left"/>
                  </w:pPr>
                  <w:r>
                    <w:rPr/>
                    <w:t>年内。</w:t>
                  </w:r>
                </w:p>
              </w:txbxContent>
            </v:textbox>
            <w10:wrap type="none"/>
          </v:shape>
        </w:pict>
      </w:r>
      <w:r>
        <w:rPr/>
        <w:pict>
          <v:shape style="position:absolute;margin-left:432.910004pt;margin-top:386.445984pt;width:63.4pt;height:31.25pt;mso-position-horizontal-relative:page;mso-position-vertical-relative:page;z-index:-1203304" type="#_x0000_t202" filled="false" stroked="false">
            <v:textbox inset="0,0,0,0">
              <w:txbxContent>
                <w:p>
                  <w:pPr>
                    <w:spacing w:line="240" w:lineRule="auto" w:before="4"/>
                    <w:rPr>
                      <w:rFonts w:ascii="Times New Roman" w:hAnsi="Times New Roman" w:cs="Times New Roman" w:eastAsia="Times New Roman" w:hint="default"/>
                      <w:sz w:val="24"/>
                      <w:szCs w:val="24"/>
                    </w:rPr>
                  </w:pPr>
                </w:p>
                <w:p>
                  <w:pPr>
                    <w:pStyle w:val="BodyText"/>
                    <w:spacing w:line="240" w:lineRule="auto"/>
                    <w:ind w:left="0" w:right="0"/>
                    <w:jc w:val="left"/>
                  </w:pPr>
                  <w:r>
                    <w:rPr/>
                    <w:t>年内。</w:t>
                  </w:r>
                </w:p>
              </w:txbxContent>
            </v:textbox>
            <w10:wrap type="none"/>
          </v:shape>
        </w:pict>
      </w:r>
      <w:r>
        <w:rPr/>
        <w:pict>
          <v:shape style="position:absolute;margin-left:432.910004pt;margin-top:468.909973pt;width:63.4pt;height:31.2pt;mso-position-horizontal-relative:page;mso-position-vertical-relative:page;z-index:-1203280" type="#_x0000_t202" filled="false" stroked="false">
            <v:textbox inset="0,0,0,0">
              <w:txbxContent>
                <w:p>
                  <w:pPr>
                    <w:spacing w:line="240" w:lineRule="auto" w:before="6"/>
                    <w:rPr>
                      <w:rFonts w:ascii="Times New Roman" w:hAnsi="Times New Roman" w:cs="Times New Roman" w:eastAsia="Times New Roman" w:hint="default"/>
                      <w:sz w:val="24"/>
                      <w:szCs w:val="24"/>
                    </w:rPr>
                  </w:pPr>
                </w:p>
                <w:p>
                  <w:pPr>
                    <w:pStyle w:val="BodyText"/>
                    <w:spacing w:line="240" w:lineRule="auto"/>
                    <w:ind w:left="0" w:right="0"/>
                    <w:jc w:val="left"/>
                  </w:pPr>
                  <w:r>
                    <w:rPr/>
                    <w:t>年内。</w:t>
                  </w:r>
                </w:p>
              </w:txbxContent>
            </v:textbox>
            <w10:wrap type="none"/>
          </v:shape>
        </w:pict>
      </w:r>
      <w:r>
        <w:rPr/>
        <w:pict>
          <v:group style="position:absolute;margin-left:456.940002pt;margin-top:303.889984pt;width:39.4pt;height:31.2pt;mso-position-horizontal-relative:page;mso-position-vertical-relative:page;z-index:-1203256" coordorigin="9139,6078" coordsize="788,624">
            <v:shape style="position:absolute;left:9139;top:6078;width:788;height:624" coordorigin="9139,6078" coordsize="788,624" path="m9139,6702l9926,6702,9926,6078,9139,6078,9139,6702xe" filled="true" fillcolor="#ffffff" stroked="false">
              <v:path arrowok="t"/>
              <v:fill type="solid"/>
            </v:shape>
            <w10:wrap type="none"/>
          </v:group>
        </w:pict>
      </w:r>
      <w:r>
        <w:rPr/>
        <w:pict>
          <v:group style="position:absolute;margin-left:456.940002pt;margin-top:386.445984pt;width:39.4pt;height:31.25pt;mso-position-horizontal-relative:page;mso-position-vertical-relative:page;z-index:-1203232" coordorigin="9139,7729" coordsize="788,625">
            <v:shape style="position:absolute;left:9139;top:7729;width:788;height:625" coordorigin="9139,7729" coordsize="788,625" path="m9139,8353l9926,8353,9926,7729,9139,7729,9139,8353xe" filled="true" fillcolor="#ffffff" stroked="false">
              <v:path arrowok="t"/>
              <v:fill type="solid"/>
            </v:shape>
            <w10:wrap type="none"/>
          </v:group>
        </w:pict>
      </w:r>
      <w:r>
        <w:rPr/>
        <w:pict>
          <v:group style="position:absolute;margin-left:456.940002pt;margin-top:468.909973pt;width:39.4pt;height:31.2pt;mso-position-horizontal-relative:page;mso-position-vertical-relative:page;z-index:-1203208" coordorigin="9139,9378" coordsize="788,624">
            <v:shape style="position:absolute;left:9139;top:9378;width:788;height:624" coordorigin="9139,9378" coordsize="788,624" path="m9139,10002l9926,10002,9926,9378,9139,9378,9139,10002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15"/>
        <w:gridCol w:w="912"/>
        <w:gridCol w:w="925"/>
        <w:gridCol w:w="1312"/>
        <w:gridCol w:w="1041"/>
        <w:gridCol w:w="1046"/>
        <w:gridCol w:w="1057"/>
        <w:gridCol w:w="784"/>
        <w:gridCol w:w="784"/>
      </w:tblGrid>
      <w:tr>
        <w:trPr>
          <w:trHeight w:val="1649"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宏达通信</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50,000</w:t>
            </w:r>
          </w:p>
        </w:tc>
        <w:tc>
          <w:tcPr>
            <w:tcW w:w="1312" w:type="dxa"/>
            <w:tcBorders>
              <w:top w:val="single" w:sz="4" w:space="0" w:color="000000"/>
              <w:left w:val="single" w:sz="4" w:space="0" w:color="000000"/>
              <w:bottom w:val="single" w:sz="4" w:space="0" w:color="000000"/>
              <w:right w:val="single" w:sz="4" w:space="0" w:color="000000"/>
            </w:tcBorders>
          </w:tcPr>
          <w:p>
            <w:pPr/>
          </w:p>
        </w:tc>
        <w:tc>
          <w:tcPr>
            <w:tcW w:w="1041"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38" w:right="9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7" w:right="117"/>
              <w:jc w:val="both"/>
              <w:rPr>
                <w:rFonts w:ascii="宋体" w:hAnsi="宋体" w:cs="宋体" w:eastAsia="宋体" w:hint="default"/>
                <w:sz w:val="18"/>
                <w:szCs w:val="18"/>
              </w:rPr>
            </w:pPr>
            <w:r>
              <w:rPr>
                <w:rFonts w:ascii="宋体" w:hAnsi="宋体" w:cs="宋体" w:eastAsia="宋体" w:hint="default"/>
                <w:sz w:val="18"/>
                <w:szCs w:val="18"/>
              </w:rPr>
              <w:t>保证期间为 该合同相应 债务履行期 届满之日起 两年。</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96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证通金信</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1,600</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1"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4" w:lineRule="auto"/>
              <w:ind w:left="38" w:right="9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7" w:right="117"/>
              <w:jc w:val="both"/>
              <w:rPr>
                <w:rFonts w:ascii="宋体" w:hAnsi="宋体" w:cs="宋体" w:eastAsia="宋体" w:hint="default"/>
                <w:sz w:val="18"/>
                <w:szCs w:val="18"/>
              </w:rPr>
            </w:pPr>
            <w:r>
              <w:rPr>
                <w:rFonts w:ascii="宋体" w:hAnsi="宋体" w:cs="宋体" w:eastAsia="宋体" w:hint="default"/>
                <w:sz w:val="18"/>
                <w:szCs w:val="18"/>
              </w:rPr>
              <w:t>保证期间为 该合同相应 债务开始之 日起，债务 履行期届满 之日止。</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49"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长沙证通云计算</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20,000</w:t>
            </w:r>
          </w:p>
        </w:tc>
        <w:tc>
          <w:tcPr>
            <w:tcW w:w="1312" w:type="dxa"/>
            <w:tcBorders>
              <w:top w:val="single" w:sz="4" w:space="0" w:color="000000"/>
              <w:left w:val="single" w:sz="4" w:space="0" w:color="000000"/>
              <w:bottom w:val="single" w:sz="4" w:space="0" w:color="000000"/>
              <w:right w:val="single" w:sz="4" w:space="0" w:color="000000"/>
            </w:tcBorders>
          </w:tcPr>
          <w:p>
            <w:pPr/>
          </w:p>
        </w:tc>
        <w:tc>
          <w:tcPr>
            <w:tcW w:w="1041"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38" w:right="9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7" w:right="117"/>
              <w:jc w:val="both"/>
              <w:rPr>
                <w:rFonts w:ascii="Times New Roman" w:hAnsi="Times New Roman" w:cs="Times New Roman" w:eastAsia="Times New Roman" w:hint="default"/>
                <w:sz w:val="18"/>
                <w:szCs w:val="18"/>
              </w:rPr>
            </w:pPr>
            <w:r>
              <w:rPr>
                <w:rFonts w:ascii="宋体" w:hAnsi="宋体" w:cs="宋体" w:eastAsia="宋体" w:hint="default"/>
                <w:sz w:val="18"/>
                <w:szCs w:val="18"/>
              </w:rPr>
              <w:t>担保额度的 有效期为自 本次董事会 审议通过之 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2"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云硕科技</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10,000</w:t>
            </w:r>
          </w:p>
        </w:tc>
        <w:tc>
          <w:tcPr>
            <w:tcW w:w="1312" w:type="dxa"/>
            <w:tcBorders>
              <w:top w:val="single" w:sz="4" w:space="0" w:color="000000"/>
              <w:left w:val="single" w:sz="4" w:space="0" w:color="000000"/>
              <w:bottom w:val="single" w:sz="4" w:space="0" w:color="000000"/>
              <w:right w:val="single" w:sz="4" w:space="0" w:color="000000"/>
            </w:tcBorders>
          </w:tcPr>
          <w:p>
            <w:pPr/>
          </w:p>
        </w:tc>
        <w:tc>
          <w:tcPr>
            <w:tcW w:w="1041"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38" w:right="9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7" w:right="117"/>
              <w:jc w:val="both"/>
              <w:rPr>
                <w:rFonts w:ascii="Times New Roman" w:hAnsi="Times New Roman" w:cs="Times New Roman" w:eastAsia="Times New Roman" w:hint="default"/>
                <w:sz w:val="18"/>
                <w:szCs w:val="18"/>
              </w:rPr>
            </w:pPr>
            <w:r>
              <w:rPr>
                <w:rFonts w:ascii="宋体" w:hAnsi="宋体" w:cs="宋体" w:eastAsia="宋体" w:hint="default"/>
                <w:sz w:val="18"/>
                <w:szCs w:val="18"/>
              </w:rPr>
              <w:t>担保额度的 有效期为自 本次董事会 审议通过之 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49"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宏达通信</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5,000</w:t>
            </w:r>
          </w:p>
        </w:tc>
        <w:tc>
          <w:tcPr>
            <w:tcW w:w="1312" w:type="dxa"/>
            <w:tcBorders>
              <w:top w:val="single" w:sz="4" w:space="0" w:color="000000"/>
              <w:left w:val="single" w:sz="4" w:space="0" w:color="000000"/>
              <w:bottom w:val="single" w:sz="4" w:space="0" w:color="000000"/>
              <w:right w:val="single" w:sz="4" w:space="0" w:color="000000"/>
            </w:tcBorders>
          </w:tcPr>
          <w:p>
            <w:pPr/>
          </w:p>
        </w:tc>
        <w:tc>
          <w:tcPr>
            <w:tcW w:w="1041"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38" w:right="9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7" w:right="117"/>
              <w:jc w:val="both"/>
              <w:rPr>
                <w:rFonts w:ascii="Times New Roman" w:hAnsi="Times New Roman" w:cs="Times New Roman" w:eastAsia="Times New Roman" w:hint="default"/>
                <w:sz w:val="18"/>
                <w:szCs w:val="18"/>
              </w:rPr>
            </w:pPr>
            <w:r>
              <w:rPr>
                <w:rFonts w:ascii="宋体" w:hAnsi="宋体" w:cs="宋体" w:eastAsia="宋体" w:hint="default"/>
                <w:sz w:val="18"/>
                <w:szCs w:val="18"/>
              </w:rPr>
              <w:t>担保额度的 有效期为自 本次董事会 审议通过之 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71"/>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86,600</w:t>
            </w:r>
          </w:p>
        </w:tc>
        <w:tc>
          <w:tcPr>
            <w:tcW w:w="20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6" w:right="78"/>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5"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13,592.8</w:t>
            </w:r>
          </w:p>
        </w:tc>
      </w:tr>
      <w:tr>
        <w:trPr>
          <w:trHeight w:val="721"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1"/>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128,600</w:t>
            </w:r>
          </w:p>
        </w:tc>
        <w:tc>
          <w:tcPr>
            <w:tcW w:w="20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 w:right="78"/>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5"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8,712.42</w:t>
            </w:r>
          </w:p>
        </w:tc>
      </w:tr>
      <w:tr>
        <w:trPr>
          <w:trHeight w:val="39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1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87" w:right="92"/>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5" w:type="dxa"/>
            <w:vMerge w:val="restart"/>
            <w:tcBorders>
              <w:top w:val="single" w:sz="4" w:space="0" w:color="000000"/>
              <w:left w:val="single" w:sz="4" w:space="0" w:color="000000"/>
              <w:right w:val="single" w:sz="4" w:space="0" w:color="000000"/>
            </w:tcBorders>
            <w:shd w:val="clear" w:color="auto" w:fill="D2D2D2"/>
          </w:tcPr>
          <w:p>
            <w:pPr/>
          </w:p>
        </w:tc>
        <w:tc>
          <w:tcPr>
            <w:tcW w:w="1312" w:type="dxa"/>
            <w:vMerge w:val="restart"/>
            <w:tcBorders>
              <w:top w:val="single" w:sz="4" w:space="0" w:color="000000"/>
              <w:left w:val="single" w:sz="4" w:space="0" w:color="000000"/>
              <w:right w:val="single" w:sz="4" w:space="0" w:color="000000"/>
            </w:tcBorders>
            <w:shd w:val="clear" w:color="auto" w:fill="D2D2D2"/>
          </w:tcPr>
          <w:p>
            <w:pPr/>
          </w:p>
        </w:tc>
        <w:tc>
          <w:tcPr>
            <w:tcW w:w="1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6" w:type="dxa"/>
            <w:vMerge w:val="restart"/>
            <w:tcBorders>
              <w:top w:val="single" w:sz="4" w:space="0" w:color="000000"/>
              <w:left w:val="single" w:sz="4" w:space="0" w:color="000000"/>
              <w:right w:val="single" w:sz="4" w:space="0" w:color="000000"/>
            </w:tcBorders>
            <w:shd w:val="clear" w:color="auto" w:fill="D2D2D2"/>
          </w:tcPr>
          <w:p>
            <w:pPr/>
          </w:p>
        </w:tc>
        <w:tc>
          <w:tcPr>
            <w:tcW w:w="1057" w:type="dxa"/>
            <w:vMerge w:val="restart"/>
            <w:tcBorders>
              <w:top w:val="single" w:sz="4" w:space="0" w:color="000000"/>
              <w:left w:val="single" w:sz="4" w:space="0" w:color="000000"/>
              <w:right w:val="single" w:sz="4" w:space="0" w:color="000000"/>
            </w:tcBorders>
            <w:shd w:val="clear" w:color="auto" w:fill="D2D2D2"/>
          </w:tcPr>
          <w:p>
            <w:pPr/>
          </w:p>
        </w:tc>
        <w:tc>
          <w:tcPr>
            <w:tcW w:w="7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12" w:type="dxa"/>
            <w:vMerge/>
            <w:tcBorders>
              <w:left w:val="single" w:sz="4" w:space="0" w:color="000000"/>
              <w:right w:val="single" w:sz="4" w:space="0" w:color="000000"/>
            </w:tcBorders>
            <w:shd w:val="clear" w:color="auto" w:fill="D2D2D2"/>
          </w:tcPr>
          <w:p>
            <w:pPr/>
          </w:p>
        </w:tc>
        <w:tc>
          <w:tcPr>
            <w:tcW w:w="925" w:type="dxa"/>
            <w:vMerge/>
            <w:tcBorders>
              <w:left w:val="single" w:sz="4" w:space="0" w:color="000000"/>
              <w:bottom w:val="nil" w:sz="6" w:space="0" w:color="auto"/>
              <w:right w:val="single" w:sz="4" w:space="0" w:color="000000"/>
            </w:tcBorders>
            <w:shd w:val="clear" w:color="auto" w:fill="D2D2D2"/>
          </w:tcPr>
          <w:p>
            <w:pPr/>
          </w:p>
        </w:tc>
        <w:tc>
          <w:tcPr>
            <w:tcW w:w="1312" w:type="dxa"/>
            <w:vMerge/>
            <w:tcBorders>
              <w:left w:val="single" w:sz="4" w:space="0" w:color="000000"/>
              <w:bottom w:val="nil" w:sz="6" w:space="0" w:color="auto"/>
              <w:right w:val="single" w:sz="4" w:space="0" w:color="000000"/>
            </w:tcBorders>
            <w:shd w:val="clear" w:color="auto" w:fill="D2D2D2"/>
          </w:tcPr>
          <w:p>
            <w:pPr/>
          </w:p>
        </w:tc>
        <w:tc>
          <w:tcPr>
            <w:tcW w:w="104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19" w:right="69"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6" w:type="dxa"/>
            <w:vMerge/>
            <w:tcBorders>
              <w:left w:val="single" w:sz="4" w:space="0" w:color="000000"/>
              <w:bottom w:val="nil" w:sz="6" w:space="0" w:color="auto"/>
              <w:right w:val="single" w:sz="4" w:space="0" w:color="000000"/>
            </w:tcBorders>
            <w:shd w:val="clear" w:color="auto" w:fill="D2D2D2"/>
          </w:tcPr>
          <w:p>
            <w:pPr/>
          </w:p>
        </w:tc>
        <w:tc>
          <w:tcPr>
            <w:tcW w:w="1057" w:type="dxa"/>
            <w:vMerge/>
            <w:tcBorders>
              <w:left w:val="single" w:sz="4" w:space="0" w:color="000000"/>
              <w:bottom w:val="nil" w:sz="6" w:space="0" w:color="auto"/>
              <w:right w:val="single" w:sz="4" w:space="0" w:color="000000"/>
            </w:tcBorders>
            <w:shd w:val="clear" w:color="auto" w:fill="D2D2D2"/>
          </w:tcPr>
          <w:p>
            <w:pPr/>
          </w:p>
        </w:tc>
        <w:tc>
          <w:tcPr>
            <w:tcW w:w="7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02"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1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2" w:type="dxa"/>
            <w:vMerge/>
            <w:tcBorders>
              <w:left w:val="single" w:sz="4" w:space="0" w:color="000000"/>
              <w:right w:val="single" w:sz="4" w:space="0" w:color="000000"/>
            </w:tcBorders>
            <w:shd w:val="clear" w:color="auto" w:fill="D2D2D2"/>
          </w:tcPr>
          <w:p>
            <w:pPr/>
          </w:p>
        </w:tc>
        <w:tc>
          <w:tcPr>
            <w:tcW w:w="9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41" w:type="dxa"/>
            <w:vMerge/>
            <w:tcBorders>
              <w:left w:val="single" w:sz="4" w:space="0" w:color="000000"/>
              <w:right w:val="single" w:sz="4" w:space="0" w:color="000000"/>
            </w:tcBorders>
            <w:shd w:val="clear" w:color="auto" w:fill="D2D2D2"/>
          </w:tcPr>
          <w:p>
            <w:pPr/>
          </w:p>
        </w:tc>
        <w:tc>
          <w:tcPr>
            <w:tcW w:w="10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0"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4" w:type="dxa"/>
            <w:vMerge/>
            <w:tcBorders>
              <w:left w:val="single" w:sz="4" w:space="0" w:color="000000"/>
              <w:right w:val="single" w:sz="4" w:space="0" w:color="000000"/>
            </w:tcBorders>
            <w:shd w:val="clear" w:color="auto" w:fill="D2D2D2"/>
          </w:tcPr>
          <w:p>
            <w:pPr/>
          </w:p>
        </w:tc>
        <w:tc>
          <w:tcPr>
            <w:tcW w:w="784" w:type="dxa"/>
            <w:vMerge/>
            <w:tcBorders>
              <w:left w:val="single" w:sz="4" w:space="0" w:color="000000"/>
              <w:right w:val="single" w:sz="4" w:space="0" w:color="000000"/>
            </w:tcBorders>
            <w:shd w:val="clear" w:color="auto" w:fill="D2D2D2"/>
          </w:tcPr>
          <w:p>
            <w:pPr/>
          </w:p>
        </w:tc>
      </w:tr>
      <w:tr>
        <w:trPr>
          <w:trHeight w:val="156"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12" w:type="dxa"/>
            <w:vMerge/>
            <w:tcBorders>
              <w:left w:val="single" w:sz="4" w:space="0" w:color="000000"/>
              <w:right w:val="single" w:sz="4" w:space="0" w:color="000000"/>
            </w:tcBorders>
            <w:shd w:val="clear" w:color="auto" w:fill="D2D2D2"/>
          </w:tcPr>
          <w:p>
            <w:pPr/>
          </w:p>
        </w:tc>
        <w:tc>
          <w:tcPr>
            <w:tcW w:w="925" w:type="dxa"/>
            <w:vMerge w:val="restart"/>
            <w:tcBorders>
              <w:top w:val="nil" w:sz="6" w:space="0" w:color="auto"/>
              <w:left w:val="single" w:sz="4" w:space="0" w:color="000000"/>
              <w:right w:val="single" w:sz="4" w:space="0" w:color="000000"/>
            </w:tcBorders>
            <w:shd w:val="clear" w:color="auto" w:fill="D2D2D2"/>
          </w:tcPr>
          <w:p>
            <w:pPr/>
          </w:p>
        </w:tc>
        <w:tc>
          <w:tcPr>
            <w:tcW w:w="1312" w:type="dxa"/>
            <w:vMerge w:val="restart"/>
            <w:tcBorders>
              <w:top w:val="nil" w:sz="6" w:space="0" w:color="auto"/>
              <w:left w:val="single" w:sz="4" w:space="0" w:color="000000"/>
              <w:right w:val="single" w:sz="4" w:space="0" w:color="000000"/>
            </w:tcBorders>
            <w:shd w:val="clear" w:color="auto" w:fill="D2D2D2"/>
          </w:tcPr>
          <w:p>
            <w:pPr/>
          </w:p>
        </w:tc>
        <w:tc>
          <w:tcPr>
            <w:tcW w:w="1041" w:type="dxa"/>
            <w:vMerge/>
            <w:tcBorders>
              <w:left w:val="single" w:sz="4" w:space="0" w:color="000000"/>
              <w:bottom w:val="nil" w:sz="6" w:space="0" w:color="auto"/>
              <w:right w:val="single" w:sz="4" w:space="0" w:color="000000"/>
            </w:tcBorders>
            <w:shd w:val="clear" w:color="auto" w:fill="D2D2D2"/>
          </w:tcPr>
          <w:p>
            <w:pPr/>
          </w:p>
        </w:tc>
        <w:tc>
          <w:tcPr>
            <w:tcW w:w="1046" w:type="dxa"/>
            <w:vMerge w:val="restart"/>
            <w:tcBorders>
              <w:top w:val="nil" w:sz="6" w:space="0" w:color="auto"/>
              <w:left w:val="single" w:sz="4" w:space="0" w:color="000000"/>
              <w:right w:val="single" w:sz="4" w:space="0" w:color="000000"/>
            </w:tcBorders>
            <w:shd w:val="clear" w:color="auto" w:fill="D2D2D2"/>
          </w:tcPr>
          <w:p>
            <w:pPr/>
          </w:p>
        </w:tc>
        <w:tc>
          <w:tcPr>
            <w:tcW w:w="1057" w:type="dxa"/>
            <w:vMerge w:val="restart"/>
            <w:tcBorders>
              <w:top w:val="nil" w:sz="6" w:space="0" w:color="auto"/>
              <w:left w:val="single" w:sz="4" w:space="0" w:color="000000"/>
              <w:right w:val="single" w:sz="4" w:space="0" w:color="000000"/>
            </w:tcBorders>
            <w:shd w:val="clear" w:color="auto" w:fill="D2D2D2"/>
          </w:tcPr>
          <w:p>
            <w:pPr/>
          </w:p>
        </w:tc>
        <w:tc>
          <w:tcPr>
            <w:tcW w:w="784" w:type="dxa"/>
            <w:vMerge/>
            <w:tcBorders>
              <w:left w:val="single" w:sz="4" w:space="0" w:color="000000"/>
              <w:bottom w:val="nil" w:sz="6" w:space="0" w:color="auto"/>
              <w:right w:val="single" w:sz="4" w:space="0" w:color="000000"/>
            </w:tcBorders>
            <w:shd w:val="clear" w:color="auto" w:fill="D2D2D2"/>
          </w:tcPr>
          <w:p>
            <w:pPr/>
          </w:p>
        </w:tc>
        <w:tc>
          <w:tcPr>
            <w:tcW w:w="784" w:type="dxa"/>
            <w:vMerge/>
            <w:tcBorders>
              <w:left w:val="single" w:sz="4" w:space="0" w:color="000000"/>
              <w:bottom w:val="nil" w:sz="6" w:space="0" w:color="auto"/>
              <w:right w:val="single" w:sz="4" w:space="0" w:color="000000"/>
            </w:tcBorders>
            <w:shd w:val="clear" w:color="auto" w:fill="D2D2D2"/>
          </w:tcPr>
          <w:p>
            <w:pPr/>
          </w:p>
        </w:tc>
      </w:tr>
      <w:tr>
        <w:trPr>
          <w:trHeight w:val="162"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12" w:type="dxa"/>
            <w:vMerge/>
            <w:tcBorders>
              <w:left w:val="single" w:sz="4" w:space="0" w:color="000000"/>
              <w:bottom w:val="single" w:sz="4" w:space="0" w:color="000000"/>
              <w:right w:val="single" w:sz="4" w:space="0" w:color="000000"/>
            </w:tcBorders>
            <w:shd w:val="clear" w:color="auto" w:fill="D2D2D2"/>
          </w:tcPr>
          <w:p>
            <w:pPr/>
          </w:p>
        </w:tc>
        <w:tc>
          <w:tcPr>
            <w:tcW w:w="925" w:type="dxa"/>
            <w:vMerge/>
            <w:tcBorders>
              <w:left w:val="single" w:sz="4" w:space="0" w:color="000000"/>
              <w:bottom w:val="single" w:sz="4" w:space="0" w:color="000000"/>
              <w:right w:val="single" w:sz="4" w:space="0" w:color="000000"/>
            </w:tcBorders>
            <w:shd w:val="clear" w:color="auto" w:fill="D2D2D2"/>
          </w:tcPr>
          <w:p>
            <w:pPr/>
          </w:p>
        </w:tc>
        <w:tc>
          <w:tcPr>
            <w:tcW w:w="1312" w:type="dxa"/>
            <w:vMerge/>
            <w:tcBorders>
              <w:left w:val="single" w:sz="4" w:space="0" w:color="000000"/>
              <w:bottom w:val="single" w:sz="4" w:space="0" w:color="000000"/>
              <w:right w:val="single" w:sz="4" w:space="0" w:color="000000"/>
            </w:tcBorders>
            <w:shd w:val="clear" w:color="auto" w:fill="D2D2D2"/>
          </w:tcPr>
          <w:p>
            <w:pPr/>
          </w:p>
        </w:tc>
        <w:tc>
          <w:tcPr>
            <w:tcW w:w="1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1057" w:type="dxa"/>
            <w:vMerge/>
            <w:tcBorders>
              <w:left w:val="single" w:sz="4" w:space="0" w:color="000000"/>
              <w:bottom w:val="single" w:sz="4" w:space="0" w:color="000000"/>
              <w:right w:val="single" w:sz="4" w:space="0" w:color="000000"/>
            </w:tcBorders>
            <w:shd w:val="clear" w:color="auto" w:fill="D2D2D2"/>
          </w:tcPr>
          <w:p>
            <w:pPr/>
          </w:p>
        </w:tc>
        <w:tc>
          <w:tcPr>
            <w:tcW w:w="78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91,600</w:t>
            </w:r>
          </w:p>
        </w:tc>
        <w:tc>
          <w:tcPr>
            <w:tcW w:w="20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6" w:right="78"/>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5"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15,746.72</w:t>
            </w:r>
          </w:p>
        </w:tc>
      </w:tr>
      <w:tr>
        <w:trPr>
          <w:trHeight w:val="714"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133,600</w:t>
            </w:r>
          </w:p>
        </w:tc>
        <w:tc>
          <w:tcPr>
            <w:tcW w:w="20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6" w:right="78"/>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5"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10,866.34</w:t>
            </w:r>
          </w:p>
        </w:tc>
      </w:tr>
      <w:tr>
        <w:trPr>
          <w:trHeight w:val="404" w:hRule="exact"/>
        </w:trPr>
        <w:tc>
          <w:tcPr>
            <w:tcW w:w="486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1"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833"/>
        <w:gridCol w:w="4730"/>
      </w:tblGrid>
      <w:tr>
        <w:trPr>
          <w:trHeight w:val="396" w:hRule="exact"/>
        </w:trPr>
        <w:tc>
          <w:tcPr>
            <w:tcW w:w="95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8"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3"/>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8,712.42</w:t>
            </w:r>
          </w:p>
        </w:tc>
      </w:tr>
      <w:tr>
        <w:trPr>
          <w:trHeight w:val="402"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8,712.42</w:t>
            </w:r>
          </w:p>
        </w:tc>
      </w:tr>
      <w:tr>
        <w:trPr>
          <w:trHeight w:val="714"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9"/>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责任的情况说明（如有）</w:t>
            </w:r>
          </w:p>
        </w:tc>
        <w:tc>
          <w:tcPr>
            <w:tcW w:w="47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57" w:lineRule="auto" w:before="49"/>
        <w:ind w:right="8054"/>
        <w:jc w:val="left"/>
      </w:pPr>
      <w:r>
        <w:rPr/>
        <w:t>采用复合方式担保的具体情况说明 不适用。</w:t>
      </w:r>
    </w:p>
    <w:p>
      <w:pPr>
        <w:spacing w:line="240" w:lineRule="auto" w:before="6"/>
        <w:rPr>
          <w:rFonts w:ascii="宋体" w:hAnsi="宋体" w:cs="宋体" w:eastAsia="宋体" w:hint="default"/>
          <w:sz w:val="20"/>
          <w:szCs w:val="20"/>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公司报告期无违规对外担保情况。</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公司报告期不存在委托理财。</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6"/>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35"/>
        <w:gridCol w:w="638"/>
        <w:gridCol w:w="641"/>
        <w:gridCol w:w="638"/>
        <w:gridCol w:w="639"/>
        <w:gridCol w:w="641"/>
        <w:gridCol w:w="638"/>
        <w:gridCol w:w="638"/>
        <w:gridCol w:w="639"/>
        <w:gridCol w:w="636"/>
        <w:gridCol w:w="638"/>
        <w:gridCol w:w="638"/>
        <w:gridCol w:w="639"/>
        <w:gridCol w:w="638"/>
        <w:gridCol w:w="636"/>
      </w:tblGrid>
      <w:tr>
        <w:trPr>
          <w:trHeight w:val="2274" w:hRule="exact"/>
        </w:trPr>
        <w:tc>
          <w:tcPr>
            <w:tcW w:w="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42" w:right="41"/>
              <w:jc w:val="both"/>
              <w:rPr>
                <w:rFonts w:ascii="宋体" w:hAnsi="宋体" w:cs="宋体" w:eastAsia="宋体" w:hint="default"/>
                <w:sz w:val="18"/>
                <w:szCs w:val="18"/>
              </w:rPr>
            </w:pPr>
            <w:r>
              <w:rPr>
                <w:rFonts w:ascii="宋体" w:hAnsi="宋体" w:cs="宋体" w:eastAsia="宋体" w:hint="default"/>
                <w:sz w:val="18"/>
                <w:szCs w:val="18"/>
              </w:rPr>
              <w:t>合同订 立公司 方名称</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合同订 立对方 名称</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3"/>
              <w:ind w:left="225" w:right="43" w:hanging="180"/>
              <w:jc w:val="left"/>
              <w:rPr>
                <w:rFonts w:ascii="宋体" w:hAnsi="宋体" w:cs="宋体" w:eastAsia="宋体" w:hint="default"/>
                <w:sz w:val="18"/>
                <w:szCs w:val="18"/>
              </w:rPr>
            </w:pPr>
            <w:r>
              <w:rPr>
                <w:rFonts w:ascii="宋体" w:hAnsi="宋体" w:cs="宋体" w:eastAsia="宋体" w:hint="default"/>
                <w:sz w:val="18"/>
                <w:szCs w:val="18"/>
              </w:rPr>
              <w:t>合同标 的</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3"/>
              <w:ind w:left="45" w:right="41"/>
              <w:jc w:val="left"/>
              <w:rPr>
                <w:rFonts w:ascii="宋体" w:hAnsi="宋体" w:cs="宋体" w:eastAsia="宋体" w:hint="default"/>
                <w:sz w:val="18"/>
                <w:szCs w:val="18"/>
              </w:rPr>
            </w:pPr>
            <w:r>
              <w:rPr>
                <w:rFonts w:ascii="宋体" w:hAnsi="宋体" w:cs="宋体" w:eastAsia="宋体" w:hint="default"/>
                <w:sz w:val="18"/>
                <w:szCs w:val="18"/>
              </w:rPr>
              <w:t>合同签 订日期</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5" w:right="41"/>
              <w:jc w:val="both"/>
              <w:rPr>
                <w:rFonts w:ascii="宋体" w:hAnsi="宋体" w:cs="宋体" w:eastAsia="宋体" w:hint="default"/>
                <w:sz w:val="18"/>
                <w:szCs w:val="18"/>
              </w:rPr>
            </w:pPr>
            <w:r>
              <w:rPr>
                <w:rFonts w:ascii="宋体" w:hAnsi="宋体" w:cs="宋体" w:eastAsia="宋体" w:hint="default"/>
                <w:sz w:val="18"/>
                <w:szCs w:val="18"/>
              </w:rPr>
              <w:t>合同涉 及资产 的账面 价值</w:t>
            </w:r>
          </w:p>
          <w:p>
            <w:pPr>
              <w:pStyle w:val="TableParagraph"/>
              <w:spacing w:line="316" w:lineRule="auto" w:before="19"/>
              <w:ind w:left="24" w:right="22" w:firstLine="1"/>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7" w:right="41"/>
              <w:jc w:val="both"/>
              <w:rPr>
                <w:rFonts w:ascii="宋体" w:hAnsi="宋体" w:cs="宋体" w:eastAsia="宋体" w:hint="default"/>
                <w:sz w:val="18"/>
                <w:szCs w:val="18"/>
              </w:rPr>
            </w:pPr>
            <w:r>
              <w:rPr>
                <w:rFonts w:ascii="宋体" w:hAnsi="宋体" w:cs="宋体" w:eastAsia="宋体" w:hint="default"/>
                <w:sz w:val="18"/>
                <w:szCs w:val="18"/>
              </w:rPr>
              <w:t>合同涉 及资产 的评估 价值</w:t>
            </w:r>
          </w:p>
          <w:p>
            <w:pPr>
              <w:pStyle w:val="TableParagraph"/>
              <w:spacing w:line="316" w:lineRule="auto" w:before="19"/>
              <w:ind w:left="26" w:right="21" w:hanging="1"/>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45" w:right="41"/>
              <w:jc w:val="left"/>
              <w:rPr>
                <w:rFonts w:ascii="宋体" w:hAnsi="宋体" w:cs="宋体" w:eastAsia="宋体" w:hint="default"/>
                <w:sz w:val="18"/>
                <w:szCs w:val="18"/>
              </w:rPr>
            </w:pPr>
            <w:r>
              <w:rPr>
                <w:rFonts w:ascii="宋体" w:hAnsi="宋体" w:cs="宋体" w:eastAsia="宋体" w:hint="default"/>
                <w:sz w:val="18"/>
                <w:szCs w:val="18"/>
              </w:rPr>
              <w:t>评估机 构名称</w:t>
            </w:r>
          </w:p>
          <w:p>
            <w:pPr>
              <w:pStyle w:val="TableParagraph"/>
              <w:spacing w:line="316" w:lineRule="auto" w:before="20"/>
              <w:ind w:left="134"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134" w:right="41" w:hanging="89"/>
              <w:jc w:val="left"/>
              <w:rPr>
                <w:rFonts w:ascii="宋体" w:hAnsi="宋体" w:cs="宋体" w:eastAsia="宋体" w:hint="default"/>
                <w:sz w:val="18"/>
                <w:szCs w:val="18"/>
              </w:rPr>
            </w:pPr>
            <w:r>
              <w:rPr>
                <w:rFonts w:ascii="宋体" w:hAnsi="宋体" w:cs="宋体" w:eastAsia="宋体" w:hint="default"/>
                <w:sz w:val="18"/>
                <w:szCs w:val="18"/>
              </w:rPr>
              <w:t>评估基 准日</w:t>
            </w:r>
          </w:p>
          <w:p>
            <w:pPr>
              <w:pStyle w:val="TableParagraph"/>
              <w:spacing w:line="316" w:lineRule="auto" w:before="20"/>
              <w:ind w:left="134"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3"/>
              <w:ind w:left="226" w:right="41" w:hanging="181"/>
              <w:jc w:val="left"/>
              <w:rPr>
                <w:rFonts w:ascii="宋体" w:hAnsi="宋体" w:cs="宋体" w:eastAsia="宋体" w:hint="default"/>
                <w:sz w:val="18"/>
                <w:szCs w:val="18"/>
              </w:rPr>
            </w:pPr>
            <w:r>
              <w:rPr>
                <w:rFonts w:ascii="宋体" w:hAnsi="宋体" w:cs="宋体" w:eastAsia="宋体" w:hint="default"/>
                <w:sz w:val="18"/>
                <w:szCs w:val="18"/>
              </w:rPr>
              <w:t>定价原 则</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45" w:right="38"/>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3"/>
              <w:ind w:left="47" w:right="38"/>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3"/>
              <w:ind w:left="225" w:right="4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截至报 告期末 的执行 情况</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3"/>
              <w:ind w:left="225" w:right="41"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3"/>
              <w:ind w:left="223" w:right="41"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716"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60"/>
              <w:jc w:val="left"/>
              <w:rPr>
                <w:rFonts w:ascii="宋体" w:hAnsi="宋体" w:cs="宋体" w:eastAsia="宋体" w:hint="default"/>
                <w:sz w:val="18"/>
                <w:szCs w:val="18"/>
              </w:rPr>
            </w:pPr>
            <w:r>
              <w:rPr>
                <w:rFonts w:ascii="宋体" w:hAnsi="宋体" w:cs="宋体" w:eastAsia="宋体" w:hint="default"/>
                <w:sz w:val="18"/>
                <w:szCs w:val="18"/>
              </w:rPr>
              <w:t>证通电 子</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62"/>
              <w:jc w:val="left"/>
              <w:rPr>
                <w:rFonts w:ascii="宋体" w:hAnsi="宋体" w:cs="宋体" w:eastAsia="宋体" w:hint="default"/>
                <w:sz w:val="18"/>
                <w:szCs w:val="18"/>
              </w:rPr>
            </w:pPr>
            <w:r>
              <w:rPr>
                <w:rFonts w:ascii="宋体" w:hAnsi="宋体" w:cs="宋体" w:eastAsia="宋体" w:hint="default"/>
                <w:sz w:val="18"/>
                <w:szCs w:val="18"/>
              </w:rPr>
              <w:t>深圳平 安通信</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数</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据中心</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21,045.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3"/>
              <w:jc w:val="left"/>
              <w:rPr>
                <w:rFonts w:ascii="宋体" w:hAnsi="宋体" w:cs="宋体" w:eastAsia="宋体" w:hint="default"/>
                <w:sz w:val="18"/>
                <w:szCs w:val="18"/>
              </w:rPr>
            </w:pPr>
            <w:r>
              <w:rPr>
                <w:rFonts w:ascii="宋体" w:hAnsi="宋体" w:cs="宋体" w:eastAsia="宋体" w:hint="default"/>
                <w:sz w:val="18"/>
                <w:szCs w:val="18"/>
              </w:rPr>
              <w:t>公允协 商价格</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88,500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62"/>
              <w:jc w:val="left"/>
              <w:rPr>
                <w:rFonts w:ascii="宋体" w:hAnsi="宋体" w:cs="宋体" w:eastAsia="宋体" w:hint="default"/>
                <w:sz w:val="18"/>
                <w:szCs w:val="18"/>
              </w:rPr>
            </w:pPr>
            <w:r>
              <w:rPr>
                <w:rFonts w:ascii="宋体" w:hAnsi="宋体" w:cs="宋体" w:eastAsia="宋体" w:hint="default"/>
                <w:sz w:val="18"/>
                <w:szCs w:val="18"/>
              </w:rPr>
              <w:t>不存在 关联关</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已签署 </w:t>
            </w:r>
            <w:r>
              <w:rPr>
                <w:rFonts w:ascii="宋体" w:hAnsi="宋体" w:cs="宋体" w:eastAsia="宋体" w:hint="default"/>
                <w:spacing w:val="-18"/>
                <w:w w:val="99"/>
                <w:sz w:val="18"/>
                <w:szCs w:val="18"/>
              </w:rPr>
              <w:t>了《</w:t>
            </w:r>
            <w:r>
              <w:rPr>
                <w:rFonts w:ascii="Times New Roman" w:hAnsi="Times New Roman" w:cs="Times New Roman" w:eastAsia="Times New Roman" w:hint="default"/>
                <w:spacing w:val="-18"/>
                <w:w w:val="99"/>
                <w:sz w:val="18"/>
                <w:szCs w:val="18"/>
              </w:rPr>
              <w:t>IDC</w:t>
            </w:r>
            <w:r>
              <w:rPr>
                <w:rFonts w:ascii="Times New Roman" w:hAnsi="Times New Roman" w:cs="Times New Roman" w:eastAsia="Times New Roman" w:hint="default"/>
                <w:spacing w:val="-18"/>
                <w:sz w:val="18"/>
                <w:szCs w:val="18"/>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60"/>
              <w:jc w:val="left"/>
              <w:rPr>
                <w:rFonts w:ascii="宋体" w:hAnsi="宋体" w:cs="宋体" w:eastAsia="宋体" w:hint="default"/>
                <w:sz w:val="18"/>
                <w:szCs w:val="18"/>
              </w:rPr>
            </w:pPr>
            <w:r>
              <w:rPr>
                <w:rFonts w:ascii="宋体" w:hAnsi="宋体" w:cs="宋体" w:eastAsia="宋体" w:hint="default"/>
                <w:sz w:val="18"/>
                <w:szCs w:val="18"/>
              </w:rPr>
              <w:t>巨潮资 讯网及</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36"/>
        <w:gridCol w:w="638"/>
        <w:gridCol w:w="641"/>
        <w:gridCol w:w="638"/>
        <w:gridCol w:w="639"/>
        <w:gridCol w:w="641"/>
        <w:gridCol w:w="638"/>
        <w:gridCol w:w="638"/>
        <w:gridCol w:w="639"/>
        <w:gridCol w:w="636"/>
        <w:gridCol w:w="638"/>
        <w:gridCol w:w="638"/>
        <w:gridCol w:w="639"/>
        <w:gridCol w:w="638"/>
        <w:gridCol w:w="636"/>
      </w:tblGrid>
      <w:tr>
        <w:trPr>
          <w:trHeight w:val="3171" w:hRule="exact"/>
        </w:trPr>
        <w:tc>
          <w:tcPr>
            <w:tcW w:w="63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62"/>
              <w:jc w:val="left"/>
              <w:rPr>
                <w:rFonts w:ascii="宋体" w:hAnsi="宋体" w:cs="宋体" w:eastAsia="宋体" w:hint="default"/>
                <w:sz w:val="18"/>
                <w:szCs w:val="18"/>
              </w:rPr>
            </w:pPr>
            <w:r>
              <w:rPr>
                <w:rFonts w:ascii="宋体" w:hAnsi="宋体" w:cs="宋体" w:eastAsia="宋体" w:hint="default"/>
                <w:sz w:val="18"/>
                <w:szCs w:val="18"/>
              </w:rPr>
              <w:t>科技有 限公司</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65"/>
              <w:jc w:val="both"/>
              <w:rPr>
                <w:rFonts w:ascii="宋体" w:hAnsi="宋体" w:cs="宋体" w:eastAsia="宋体" w:hint="default"/>
                <w:sz w:val="18"/>
                <w:szCs w:val="18"/>
              </w:rPr>
            </w:pPr>
            <w:r>
              <w:rPr>
                <w:rFonts w:ascii="宋体" w:hAnsi="宋体" w:cs="宋体" w:eastAsia="宋体" w:hint="default"/>
                <w:sz w:val="18"/>
                <w:szCs w:val="18"/>
              </w:rPr>
              <w:t>场地租 赁、机 柜托管 及相关 软硬件 设备与 服务等</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系</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2"/>
              <w:jc w:val="left"/>
              <w:rPr>
                <w:rFonts w:ascii="宋体" w:hAnsi="宋体" w:cs="宋体" w:eastAsia="宋体" w:hint="default"/>
                <w:sz w:val="18"/>
                <w:szCs w:val="18"/>
              </w:rPr>
            </w:pPr>
            <w:r>
              <w:rPr>
                <w:rFonts w:ascii="宋体" w:hAnsi="宋体" w:cs="宋体" w:eastAsia="宋体" w:hint="default"/>
                <w:sz w:val="18"/>
                <w:szCs w:val="18"/>
              </w:rPr>
              <w:t>基础业 务服务 合同 </w:t>
            </w:r>
            <w:r>
              <w:rPr>
                <w:rFonts w:ascii="宋体" w:hAnsi="宋体" w:cs="宋体" w:eastAsia="宋体" w:hint="default"/>
                <w:spacing w:val="-36"/>
                <w:sz w:val="18"/>
                <w:szCs w:val="18"/>
              </w:rPr>
              <w:t>书》，按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协议约 定履行 推进 中。</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60"/>
              <w:jc w:val="both"/>
              <w:rPr>
                <w:rFonts w:ascii="宋体" w:hAnsi="宋体" w:cs="宋体" w:eastAsia="宋体" w:hint="default"/>
                <w:sz w:val="18"/>
                <w:szCs w:val="18"/>
              </w:rPr>
            </w:pPr>
            <w:r>
              <w:rPr>
                <w:rFonts w:ascii="宋体" w:hAnsi="宋体" w:cs="宋体" w:eastAsia="宋体" w:hint="default"/>
                <w:sz w:val="18"/>
                <w:szCs w:val="18"/>
              </w:rPr>
              <w:t>《证券 时报》 刊登的</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2018-0</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p>
            <w:pPr>
              <w:pStyle w:val="TableParagraph"/>
              <w:spacing w:line="316" w:lineRule="auto" w:before="63"/>
              <w:ind w:left="23" w:right="60"/>
              <w:jc w:val="left"/>
              <w:rPr>
                <w:rFonts w:ascii="宋体" w:hAnsi="宋体" w:cs="宋体" w:eastAsia="宋体" w:hint="default"/>
                <w:sz w:val="18"/>
                <w:szCs w:val="18"/>
              </w:rPr>
            </w:pPr>
            <w:r>
              <w:rPr>
                <w:rFonts w:ascii="宋体" w:hAnsi="宋体" w:cs="宋体" w:eastAsia="宋体" w:hint="default"/>
                <w:sz w:val="18"/>
                <w:szCs w:val="18"/>
              </w:rPr>
              <w:t>《关于 签订重 大合同 的公 告》</w:t>
            </w:r>
          </w:p>
        </w:tc>
      </w:tr>
    </w:tbl>
    <w:p>
      <w:pPr>
        <w:spacing w:line="240" w:lineRule="auto" w:before="1"/>
        <w:rPr>
          <w:rFonts w:ascii="宋体" w:hAnsi="宋体" w:cs="宋体" w:eastAsia="宋体" w:hint="default"/>
          <w:sz w:val="18"/>
          <w:szCs w:val="18"/>
        </w:rPr>
      </w:pPr>
    </w:p>
    <w:p>
      <w:pPr>
        <w:pStyle w:val="Heading2"/>
        <w:spacing w:line="240" w:lineRule="auto" w:before="26"/>
        <w:ind w:right="0"/>
        <w:jc w:val="both"/>
        <w:rPr>
          <w:b w:val="0"/>
          <w:bCs w:val="0"/>
        </w:rPr>
      </w:pPr>
      <w:r>
        <w:rPr/>
        <w:t>十八、社会责任情况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3" w:firstLine="360"/>
        <w:jc w:val="left"/>
      </w:pPr>
      <w:r>
        <w:rPr>
          <w:spacing w:val="-2"/>
        </w:rPr>
        <w:t>报告期内，公司积极履行企业的社会责任，积极维护股东利益，以及员工、客户及供应商等相关方的合法权益，坚持做</w:t>
      </w:r>
      <w:r>
        <w:rPr/>
        <w:t> 到经济效益、社会效益与环境效益并重，实现社会和公司的可持续发展。</w:t>
      </w:r>
    </w:p>
    <w:p>
      <w:pPr>
        <w:pStyle w:val="BodyText"/>
        <w:spacing w:line="300" w:lineRule="auto" w:before="19"/>
        <w:ind w:left="513" w:right="1129"/>
        <w:jc w:val="left"/>
      </w:pPr>
      <w:r>
        <w:rPr/>
        <w:t>（</w:t>
      </w:r>
      <w:r>
        <w:rPr>
          <w:rFonts w:ascii="Times New Roman" w:hAnsi="Times New Roman" w:cs="Times New Roman" w:eastAsia="Times New Roman" w:hint="default"/>
        </w:rPr>
        <w:t>1</w:t>
      </w:r>
      <w:r>
        <w:rPr/>
        <w:t>）股东和债权人权益保护 </w:t>
      </w:r>
      <w:r>
        <w:rPr>
          <w:spacing w:val="-2"/>
        </w:rPr>
        <w:t>公司根据《公司法》、《证券法》、《上市公司治理准则》等法律法规的相关要求，不断完善公司治理结构，公司股东</w:t>
      </w:r>
    </w:p>
    <w:p>
      <w:pPr>
        <w:pStyle w:val="BodyText"/>
        <w:spacing w:line="319" w:lineRule="auto" w:before="31"/>
        <w:ind w:right="1128"/>
        <w:jc w:val="both"/>
      </w:pPr>
      <w:r>
        <w:rPr>
          <w:spacing w:val="-2"/>
        </w:rPr>
        <w:t>大会、董事会、监事会规范运作，构建了权责分明、协调运作、互相制衡的治理机制。通过信息披露、专线电话交流、专用</w:t>
      </w:r>
      <w:r>
        <w:rPr>
          <w:spacing w:val="-65"/>
        </w:rPr>
        <w:t> </w:t>
      </w:r>
      <w:r>
        <w:rPr>
          <w:spacing w:val="-65"/>
        </w:rPr>
      </w:r>
      <w:r>
        <w:rPr>
          <w:spacing w:val="-2"/>
        </w:rPr>
        <w:t>邮箱沟通、业绩说明会、投资者互动平台、投资者现场调研等多种方式与投资者互动，使投资者更加深入地了解公司经营管</w:t>
      </w:r>
      <w:r>
        <w:rPr>
          <w:spacing w:val="-62"/>
        </w:rPr>
        <w:t> </w:t>
      </w:r>
      <w:r>
        <w:rPr>
          <w:spacing w:val="-62"/>
        </w:rPr>
      </w:r>
      <w:r>
        <w:rPr>
          <w:spacing w:val="-2"/>
        </w:rPr>
        <w:t>理状况，确保其信息的知情权，促进公司与投资者建立长期、稳定的良好互动关系。公司重视对股东的合理回报，根据中国</w:t>
      </w:r>
      <w:r>
        <w:rPr>
          <w:spacing w:val="-67"/>
        </w:rPr>
        <w:t> </w:t>
      </w:r>
      <w:r>
        <w:rPr>
          <w:spacing w:val="-67"/>
        </w:rPr>
      </w:r>
      <w:r>
        <w:rPr>
          <w:spacing w:val="-2"/>
        </w:rPr>
        <w:t>证监会关于上市公司现金分红的有关规定，制定了公司股东分红回报规划并严格执行，在兼顾公司可持续发展的情况下，公</w:t>
      </w:r>
      <w:r>
        <w:rPr>
          <w:spacing w:val="-63"/>
        </w:rPr>
        <w:t> </w:t>
      </w:r>
      <w:r>
        <w:rPr>
          <w:spacing w:val="-63"/>
        </w:rPr>
      </w:r>
      <w:r>
        <w:rPr/>
        <w:t>司积极实施现金分红政策，报告期内，公司实施了</w:t>
      </w:r>
      <w:r>
        <w:rPr>
          <w:rFonts w:ascii="Times New Roman" w:hAnsi="Times New Roman" w:cs="Times New Roman" w:eastAsia="Times New Roman" w:hint="default"/>
        </w:rPr>
        <w:t>2017</w:t>
      </w:r>
      <w:r>
        <w:rPr/>
        <w:t>年度利润分配，保障了股东的收益权。</w:t>
      </w:r>
    </w:p>
    <w:p>
      <w:pPr>
        <w:pStyle w:val="BodyText"/>
        <w:spacing w:line="300" w:lineRule="auto"/>
        <w:ind w:left="513" w:right="1129"/>
        <w:jc w:val="left"/>
      </w:pPr>
      <w:r>
        <w:rPr/>
        <w:t>（</w:t>
      </w:r>
      <w:r>
        <w:rPr>
          <w:rFonts w:ascii="Times New Roman" w:hAnsi="Times New Roman" w:cs="Times New Roman" w:eastAsia="Times New Roman" w:hint="default"/>
        </w:rPr>
        <w:t>2</w:t>
      </w:r>
      <w:r>
        <w:rPr/>
        <w:t>）职工权益保护 </w:t>
      </w:r>
      <w:r>
        <w:rPr>
          <w:spacing w:val="-2"/>
        </w:rPr>
        <w:t>公司重视保障员工的权益，始终坚持以人为本的核心价值观，把改善员工的工作环境、实现员工的自我价值、提高员工</w:t>
      </w:r>
    </w:p>
    <w:p>
      <w:pPr>
        <w:pStyle w:val="BodyText"/>
        <w:spacing w:line="314" w:lineRule="auto" w:before="31"/>
        <w:ind w:right="1034"/>
        <w:jc w:val="left"/>
      </w:pPr>
      <w:r>
        <w:rPr>
          <w:spacing w:val="-2"/>
        </w:rPr>
        <w:t>的生活质量、推动员工的职业成长作为公司发展战略的重要组成部分，切实维护和保障员工的各项权益，构建和谐的劳动关</w:t>
      </w:r>
      <w:r>
        <w:rPr>
          <w:spacing w:val="-62"/>
        </w:rPr>
        <w:t> </w:t>
      </w:r>
      <w:r>
        <w:rPr>
          <w:spacing w:val="-62"/>
        </w:rPr>
      </w:r>
      <w:r>
        <w:rPr/>
        <w:t>系，致力实现员工和企业共同发展，提升企业的凝聚力。公司严格遵守《劳动法》、《劳动合同法》、《妇女权益保护法》</w:t>
      </w:r>
      <w:r>
        <w:rPr>
          <w:spacing w:val="-86"/>
        </w:rPr>
        <w:t> </w:t>
      </w:r>
      <w:r>
        <w:rPr>
          <w:spacing w:val="-86"/>
        </w:rPr>
      </w:r>
      <w:r>
        <w:rPr>
          <w:spacing w:val="-2"/>
        </w:rPr>
        <w:t>等各项劳动和社会保障法律法规。建立完善的用工管理制度，依法与员工签订劳动合同，按时足额发放员工工资和为在岗员</w:t>
      </w:r>
      <w:r>
        <w:rPr>
          <w:spacing w:val="-65"/>
        </w:rPr>
        <w:t> </w:t>
      </w:r>
      <w:r>
        <w:rPr>
          <w:spacing w:val="-65"/>
        </w:rPr>
      </w:r>
      <w:r>
        <w:rPr>
          <w:spacing w:val="-2"/>
        </w:rPr>
        <w:t>工缴纳各项法定社会保险及公积金。建立了健全的休假制度。报告期内，完成了公司事业部薪酬方案的修改及实施推行，通</w:t>
      </w:r>
      <w:r>
        <w:rPr>
          <w:spacing w:val="-66"/>
        </w:rPr>
        <w:t> </w:t>
      </w:r>
      <w:r>
        <w:rPr>
          <w:spacing w:val="-66"/>
        </w:rPr>
      </w:r>
      <w:r>
        <w:rPr>
          <w:spacing w:val="-2"/>
        </w:rPr>
        <w:t>过合理的薪酬结构和薪酬水平，让员工和公司成为利益共同体，充分调动员工的工作积极性。此外，公司为员工提供多种学</w:t>
      </w:r>
      <w:r>
        <w:rPr>
          <w:spacing w:val="-64"/>
        </w:rPr>
        <w:t> </w:t>
      </w:r>
      <w:r>
        <w:rPr>
          <w:spacing w:val="-64"/>
        </w:rPr>
      </w:r>
      <w:r>
        <w:rPr>
          <w:spacing w:val="-2"/>
        </w:rPr>
        <w:t>习、培训和提升渠道，如入职培训、岗前培训、管理干部培训、员工定期培训等多种形式培训体系，通过公开竞聘、推荐和</w:t>
      </w:r>
      <w:r>
        <w:rPr>
          <w:spacing w:val="-72"/>
        </w:rPr>
        <w:t> </w:t>
      </w:r>
      <w:r>
        <w:rPr>
          <w:spacing w:val="-72"/>
        </w:rPr>
      </w:r>
      <w:r>
        <w:rPr/>
        <w:t>自荐相结合的人才选拔机制，为员工提供良好的晋升渠道，使员工持续学习，提升员工自身素质和综合能力。并于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 </w:t>
      </w:r>
      <w:r>
        <w:rPr>
          <w:spacing w:val="-2"/>
        </w:rPr>
        <w:t>月，获得深圳市人力资源和社会保障局批准的</w:t>
      </w:r>
      <w:r>
        <w:rPr>
          <w:rFonts w:ascii="Times New Roman" w:hAnsi="Times New Roman" w:cs="Times New Roman" w:eastAsia="Times New Roman" w:hint="default"/>
          <w:spacing w:val="-2"/>
        </w:rPr>
        <w:t>“</w:t>
      </w:r>
      <w:r>
        <w:rPr>
          <w:spacing w:val="-2"/>
        </w:rPr>
        <w:t>博士后创新实践基地</w:t>
      </w:r>
      <w:r>
        <w:rPr>
          <w:rFonts w:ascii="Times New Roman" w:hAnsi="Times New Roman" w:cs="Times New Roman" w:eastAsia="Times New Roman" w:hint="default"/>
          <w:spacing w:val="-2"/>
        </w:rPr>
        <w:t>”</w:t>
      </w:r>
      <w:r>
        <w:rPr>
          <w:spacing w:val="-2"/>
        </w:rPr>
        <w:t>荣誉。为员工提供安全舒适的工作环境，关注与员工身</w:t>
      </w:r>
      <w:r>
        <w:rPr>
          <w:spacing w:val="-45"/>
        </w:rPr>
        <w:t> </w:t>
      </w:r>
      <w:r>
        <w:rPr>
          <w:spacing w:val="-45"/>
        </w:rPr>
      </w:r>
      <w:r>
        <w:rPr>
          <w:spacing w:val="-2"/>
        </w:rPr>
        <w:t>心健康和文化生活，通过组织企业月刊征文、趣味运动会、员工生日会、游园、羽毛球等各类文娱活动定期开展活动，丰富</w:t>
      </w:r>
      <w:r>
        <w:rPr>
          <w:spacing w:val="-68"/>
        </w:rPr>
        <w:t> </w:t>
      </w:r>
      <w:r>
        <w:rPr>
          <w:spacing w:val="-68"/>
        </w:rPr>
      </w:r>
      <w:r>
        <w:rPr>
          <w:spacing w:val="-2"/>
        </w:rPr>
        <w:t>员工的业余生活，有效激发员工集体荣誉感和团队凝聚力。同时，公司每年为员工安排免费体检、提供公司自有宿舍、积极</w:t>
      </w:r>
      <w:r>
        <w:rPr>
          <w:spacing w:val="-67"/>
        </w:rPr>
        <w:t> </w:t>
      </w:r>
      <w:r>
        <w:rPr>
          <w:spacing w:val="-67"/>
        </w:rPr>
      </w:r>
      <w:r>
        <w:rPr/>
        <w:t>申请政府住房补贴、配租，为员工提供更好的居住条件。</w:t>
      </w:r>
    </w:p>
    <w:p>
      <w:pPr>
        <w:pStyle w:val="BodyText"/>
        <w:spacing w:line="300" w:lineRule="auto" w:before="20"/>
        <w:ind w:left="513" w:right="1133"/>
        <w:jc w:val="left"/>
      </w:pPr>
      <w:r>
        <w:rPr/>
        <w:t>（</w:t>
      </w:r>
      <w:r>
        <w:rPr>
          <w:rFonts w:ascii="Times New Roman" w:hAnsi="Times New Roman" w:cs="Times New Roman" w:eastAsia="Times New Roman" w:hint="default"/>
        </w:rPr>
        <w:t>3</w:t>
      </w:r>
      <w:r>
        <w:rPr/>
        <w:t>）客户及供应商权益保护 </w:t>
      </w:r>
      <w:r>
        <w:rPr>
          <w:spacing w:val="-2"/>
        </w:rPr>
        <w:t>公司本着</w:t>
      </w:r>
      <w:r>
        <w:rPr>
          <w:rFonts w:ascii="Times New Roman" w:hAnsi="Times New Roman" w:cs="Times New Roman" w:eastAsia="Times New Roman" w:hint="default"/>
          <w:spacing w:val="-2"/>
        </w:rPr>
        <w:t>“</w:t>
      </w:r>
      <w:r>
        <w:rPr>
          <w:spacing w:val="-2"/>
        </w:rPr>
        <w:t>诚实守信、共享价值</w:t>
      </w:r>
      <w:r>
        <w:rPr>
          <w:rFonts w:ascii="Times New Roman" w:hAnsi="Times New Roman" w:cs="Times New Roman" w:eastAsia="Times New Roman" w:hint="default"/>
          <w:spacing w:val="-2"/>
        </w:rPr>
        <w:t>”</w:t>
      </w:r>
      <w:r>
        <w:rPr>
          <w:spacing w:val="-2"/>
        </w:rPr>
        <w:t>的经营理念，与客户、供应商建立良好的合作关系。对于客户，公司本着对客户负责的</w:t>
      </w:r>
    </w:p>
    <w:p>
      <w:pPr>
        <w:pStyle w:val="BodyText"/>
        <w:spacing w:line="319" w:lineRule="auto" w:before="13"/>
        <w:ind w:right="1133"/>
        <w:jc w:val="both"/>
      </w:pPr>
      <w:r>
        <w:rPr>
          <w:spacing w:val="-2"/>
        </w:rPr>
        <w:t>态度，以满足客户需求为基本出发点，以服务战略定位为导向，通过规范的流程、严格的实施标准和完善的监控方案，致力</w:t>
      </w:r>
      <w:r>
        <w:rPr>
          <w:spacing w:val="-67"/>
        </w:rPr>
        <w:t> </w:t>
      </w:r>
      <w:r>
        <w:rPr>
          <w:spacing w:val="-67"/>
        </w:rPr>
      </w:r>
      <w:r>
        <w:rPr>
          <w:spacing w:val="-5"/>
        </w:rPr>
        <w:t>于为客户提供优质的产品与服务。公司建立了客户服务中心，目前区域客服管理中心、售后服务网点覆盖全国（除港澳台），</w:t>
      </w:r>
      <w:r>
        <w:rPr>
          <w:spacing w:val="-80"/>
        </w:rPr>
        <w:t> </w:t>
      </w:r>
      <w:r>
        <w:rPr>
          <w:spacing w:val="-80"/>
        </w:rPr>
      </w:r>
      <w:r>
        <w:rPr>
          <w:spacing w:val="-2"/>
        </w:rPr>
        <w:t>通过公司网站、服务网点、服务电话，及时了解客户需求和意见反馈，做好售后服务工作，提高客户对产品的满意度。对于</w:t>
      </w:r>
      <w:r>
        <w:rPr>
          <w:spacing w:val="-68"/>
        </w:rPr>
        <w:t> </w:t>
      </w:r>
      <w:r>
        <w:rPr>
          <w:spacing w:val="-68"/>
        </w:rPr>
      </w:r>
      <w:r>
        <w:rPr>
          <w:spacing w:val="-5"/>
        </w:rPr>
        <w:t>供应商，公司秉承诚实守信、互惠互利、公平公正、协同发展的商业价值观，严格履行与供应商签订的合同约定与商业规则，</w:t>
      </w:r>
      <w:r>
        <w:rPr>
          <w:spacing w:val="-80"/>
        </w:rPr>
        <w:t> </w:t>
      </w:r>
      <w:r>
        <w:rPr>
          <w:spacing w:val="-80"/>
        </w:rPr>
      </w:r>
      <w:r>
        <w:rPr>
          <w:spacing w:val="-2"/>
        </w:rPr>
        <w:t>与供应商保持平等的沟通与合作，尊重供应商的合理报价，简历并严格执行采购标准和评估体系，对采购工作进行稳定有效</w:t>
      </w:r>
    </w:p>
    <w:p>
      <w:pPr>
        <w:spacing w:after="0" w:line="319" w:lineRule="auto"/>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29"/>
        <w:jc w:val="left"/>
      </w:pPr>
      <w:r>
        <w:rPr>
          <w:spacing w:val="-2"/>
        </w:rPr>
        <w:t>的管理，切实维护供应商的合法权益。遵循基本的市场法则，保守供应商商业秘密，对供应商的技术信息和经营信息严格保</w:t>
      </w:r>
      <w:r>
        <w:rPr>
          <w:spacing w:val="-64"/>
        </w:rPr>
        <w:t> </w:t>
      </w:r>
      <w:r>
        <w:rPr>
          <w:spacing w:val="-64"/>
        </w:rPr>
      </w:r>
      <w:r>
        <w:rPr/>
        <w:t>密，为供应商提供一个良好的竞争环境，促进公司与供应商长期稳定合作。</w:t>
      </w:r>
    </w:p>
    <w:p>
      <w:pPr>
        <w:pStyle w:val="BodyText"/>
        <w:spacing w:line="300" w:lineRule="auto" w:before="19"/>
        <w:ind w:left="513" w:right="1233"/>
        <w:jc w:val="left"/>
      </w:pPr>
      <w:r>
        <w:rPr/>
        <w:t>（</w:t>
      </w:r>
      <w:r>
        <w:rPr>
          <w:rFonts w:ascii="Times New Roman" w:hAnsi="Times New Roman" w:cs="Times New Roman" w:eastAsia="Times New Roman" w:hint="default"/>
        </w:rPr>
        <w:t>4</w:t>
      </w:r>
      <w:r>
        <w:rPr/>
        <w:t>）商品质量 公司以</w:t>
      </w:r>
      <w:r>
        <w:rPr>
          <w:rFonts w:ascii="Times New Roman" w:hAnsi="Times New Roman" w:cs="Times New Roman" w:eastAsia="Times New Roman" w:hint="default"/>
        </w:rPr>
        <w:t>“</w:t>
      </w:r>
      <w:r>
        <w:rPr/>
        <w:t>持续改善、构建价值和尊严，创行业领先，用品质与世界对话</w:t>
      </w:r>
      <w:r>
        <w:rPr>
          <w:rFonts w:ascii="Times New Roman" w:hAnsi="Times New Roman" w:cs="Times New Roman" w:eastAsia="Times New Roman" w:hint="default"/>
        </w:rPr>
        <w:t>”</w:t>
      </w:r>
      <w:r>
        <w:rPr/>
        <w:t>为质量方针。已通过国际先进的质量管理体系</w:t>
      </w:r>
    </w:p>
    <w:p>
      <w:pPr>
        <w:pStyle w:val="BodyText"/>
        <w:spacing w:line="309" w:lineRule="auto" w:before="13"/>
        <w:ind w:right="1034"/>
        <w:jc w:val="left"/>
      </w:pPr>
      <w:r>
        <w:rPr>
          <w:rFonts w:ascii="Times New Roman" w:hAnsi="Times New Roman" w:cs="Times New Roman" w:eastAsia="Times New Roman" w:hint="default"/>
        </w:rPr>
        <w:t>ISO9001</w:t>
      </w:r>
      <w:r>
        <w:rPr/>
        <w:t>认证，并建立了完善的产品及服务质量管理制度及周到的售后服务体系，设立了包括最高管理者，管理层及职员、</w:t>
      </w:r>
      <w:r>
        <w:rPr>
          <w:spacing w:val="-31"/>
        </w:rPr>
        <w:t> </w:t>
      </w:r>
      <w:r>
        <w:rPr>
          <w:spacing w:val="-31"/>
        </w:rPr>
      </w:r>
      <w:r>
        <w:rPr>
          <w:spacing w:val="-2"/>
        </w:rPr>
        <w:t>员工等各个层级在内的质量管理组织，围绕运营质量提升开展工作并达到预期目的。近年来，公司获深圳质量百强企业、深</w:t>
      </w:r>
      <w:r>
        <w:rPr>
          <w:spacing w:val="-64"/>
        </w:rPr>
        <w:t> </w:t>
      </w:r>
      <w:r>
        <w:rPr>
          <w:spacing w:val="-64"/>
        </w:rPr>
      </w:r>
      <w:r>
        <w:rPr/>
        <w:t>圳市质量强市卓越贡献奖、南山区人民政府质量奖等多个奖项。</w:t>
      </w:r>
    </w:p>
    <w:p>
      <w:pPr>
        <w:pStyle w:val="BodyText"/>
        <w:spacing w:line="300" w:lineRule="auto" w:before="24"/>
        <w:ind w:left="513" w:right="1173"/>
        <w:jc w:val="left"/>
      </w:pPr>
      <w:r>
        <w:rPr/>
        <w:t>（</w:t>
      </w:r>
      <w:r>
        <w:rPr>
          <w:rFonts w:ascii="Times New Roman" w:hAnsi="Times New Roman" w:cs="Times New Roman" w:eastAsia="Times New Roman" w:hint="default"/>
        </w:rPr>
        <w:t>5</w:t>
      </w:r>
      <w:r>
        <w:rPr/>
        <w:t>）环境保护和可持续发展 公司高度重视环境管理，已通过</w:t>
      </w:r>
      <w:r>
        <w:rPr>
          <w:rFonts w:ascii="Times New Roman" w:hAnsi="Times New Roman" w:cs="Times New Roman" w:eastAsia="Times New Roman" w:hint="default"/>
        </w:rPr>
        <w:t>ISO14001</w:t>
      </w:r>
      <w:r>
        <w:rPr/>
        <w:t>环境管理国际体系认证，并严格按</w:t>
      </w:r>
      <w:r>
        <w:rPr>
          <w:rFonts w:ascii="Times New Roman" w:hAnsi="Times New Roman" w:cs="Times New Roman" w:eastAsia="Times New Roman" w:hint="default"/>
        </w:rPr>
        <w:t>ISO14001</w:t>
      </w:r>
      <w:r>
        <w:rPr/>
        <w:t>体系管理公司的各项生产经营活</w:t>
      </w:r>
    </w:p>
    <w:p>
      <w:pPr>
        <w:pStyle w:val="BodyText"/>
        <w:spacing w:line="312" w:lineRule="auto" w:before="13"/>
        <w:ind w:right="1034"/>
        <w:jc w:val="left"/>
      </w:pPr>
      <w:r>
        <w:rPr/>
        <w:t>动，在日常生产经营过程中，通过降低</w:t>
      </w:r>
      <w:r>
        <w:rPr>
          <w:rFonts w:ascii="Times New Roman" w:hAnsi="Times New Roman" w:cs="Times New Roman" w:eastAsia="Times New Roman" w:hint="default"/>
        </w:rPr>
        <w:t>“</w:t>
      </w:r>
      <w:r>
        <w:rPr/>
        <w:t>废气、废水、废渣</w:t>
      </w:r>
      <w:r>
        <w:rPr>
          <w:rFonts w:ascii="Times New Roman" w:hAnsi="Times New Roman" w:cs="Times New Roman" w:eastAsia="Times New Roman" w:hint="default"/>
        </w:rPr>
        <w:t>”</w:t>
      </w:r>
      <w:r>
        <w:rPr/>
        <w:t>的排放，使用检测仪器进行在线监测水质状况是否达标或超标；</w:t>
      </w:r>
      <w:r>
        <w:rPr>
          <w:spacing w:val="-66"/>
        </w:rPr>
        <w:t> </w:t>
      </w:r>
      <w:r>
        <w:rPr>
          <w:spacing w:val="-66"/>
        </w:rPr>
      </w:r>
      <w:r>
        <w:rPr>
          <w:spacing w:val="-2"/>
        </w:rPr>
        <w:t>使用生物化学系统对污染废水进行处理、进一步保障水质安全；生产区域内利用隔挡的方式降低生产噪音；园区内提供新能</w:t>
      </w:r>
      <w:r>
        <w:rPr>
          <w:spacing w:val="-63"/>
        </w:rPr>
        <w:t> </w:t>
      </w:r>
      <w:r>
        <w:rPr>
          <w:spacing w:val="-63"/>
        </w:rPr>
      </w:r>
      <w:r>
        <w:rPr/>
        <w:t>源汽车充电桩设备；生产产品包装、废弃物料统一回收循环利用；增加产业园区绿化面积，培育植被、实施综合景观治理，</w:t>
      </w:r>
      <w:r>
        <w:rPr>
          <w:spacing w:val="-86"/>
        </w:rPr>
        <w:t> </w:t>
      </w:r>
      <w:r>
        <w:rPr>
          <w:spacing w:val="-86"/>
        </w:rPr>
      </w:r>
      <w:r>
        <w:rPr/>
        <w:t>改善产业园区和周边生态环境。</w:t>
      </w:r>
    </w:p>
    <w:p>
      <w:pPr>
        <w:pStyle w:val="BodyText"/>
        <w:spacing w:line="300" w:lineRule="auto" w:before="22"/>
        <w:ind w:left="513" w:right="2113"/>
        <w:jc w:val="left"/>
      </w:pPr>
      <w:r>
        <w:rPr/>
        <w:t>（</w:t>
      </w:r>
      <w:r>
        <w:rPr>
          <w:rFonts w:ascii="Times New Roman" w:hAnsi="Times New Roman" w:cs="Times New Roman" w:eastAsia="Times New Roman" w:hint="default"/>
        </w:rPr>
        <w:t>6</w:t>
      </w:r>
      <w:r>
        <w:rPr/>
        <w:t>）公共事业 公司积极关注国家和地方政府各项政策，积极支持国家和地方财政税收和经济建设，依法缴纳各项税费。</w:t>
      </w:r>
    </w:p>
    <w:p>
      <w:pPr>
        <w:pStyle w:val="BodyText"/>
        <w:spacing w:line="300" w:lineRule="auto" w:before="31"/>
        <w:ind w:left="513" w:right="1129"/>
        <w:jc w:val="left"/>
      </w:pPr>
      <w:r>
        <w:rPr/>
        <w:t>（</w:t>
      </w:r>
      <w:r>
        <w:rPr>
          <w:rFonts w:ascii="Times New Roman" w:hAnsi="Times New Roman" w:cs="Times New Roman" w:eastAsia="Times New Roman" w:hint="default"/>
        </w:rPr>
        <w:t>5</w:t>
      </w:r>
      <w:r>
        <w:rPr/>
        <w:t>）积极参与社会公益事业 </w:t>
      </w:r>
      <w:r>
        <w:rPr>
          <w:spacing w:val="-2"/>
        </w:rPr>
        <w:t>公司注重企业价值回馈社会，自觉履行社会责任，关爱社会弱势群体，积极投身社会工艺慈善事业，公司成立了爱心互</w:t>
      </w:r>
    </w:p>
    <w:p>
      <w:pPr>
        <w:pStyle w:val="BodyText"/>
        <w:spacing w:line="300" w:lineRule="auto" w:before="31"/>
        <w:ind w:right="1130"/>
        <w:jc w:val="both"/>
      </w:pPr>
      <w:r>
        <w:rPr>
          <w:spacing w:val="-2"/>
        </w:rPr>
        <w:t>助基金会，以</w:t>
      </w:r>
      <w:r>
        <w:rPr>
          <w:rFonts w:ascii="Times New Roman" w:hAnsi="Times New Roman" w:cs="Times New Roman" w:eastAsia="Times New Roman" w:hint="default"/>
          <w:spacing w:val="-2"/>
        </w:rPr>
        <w:t>“</w:t>
      </w:r>
      <w:r>
        <w:rPr>
          <w:spacing w:val="-2"/>
        </w:rPr>
        <w:t>奉献爱心、传播友爱、扶危帮困，共创和谐社会</w:t>
      </w:r>
      <w:r>
        <w:rPr>
          <w:rFonts w:ascii="Times New Roman" w:hAnsi="Times New Roman" w:cs="Times New Roman" w:eastAsia="Times New Roman" w:hint="default"/>
          <w:spacing w:val="-2"/>
        </w:rPr>
        <w:t>”</w:t>
      </w:r>
      <w:r>
        <w:rPr>
          <w:spacing w:val="-2"/>
        </w:rPr>
        <w:t>为宗旨，对重大疾病和突发事故、重大自然灾害、贫困山区</w:t>
      </w:r>
      <w:r>
        <w:rPr>
          <w:spacing w:val="-44"/>
        </w:rPr>
        <w:t> </w:t>
      </w:r>
      <w:r>
        <w:rPr>
          <w:spacing w:val="-44"/>
        </w:rPr>
      </w:r>
      <w:r>
        <w:rPr>
          <w:spacing w:val="-2"/>
        </w:rPr>
        <w:t>助学等提供爱与支援，爱心互助基金会自成立以来为员工及其亲属提供救助累计达</w:t>
      </w:r>
      <w:r>
        <w:rPr>
          <w:rFonts w:ascii="Times New Roman" w:hAnsi="Times New Roman" w:cs="Times New Roman" w:eastAsia="Times New Roman" w:hint="default"/>
          <w:spacing w:val="-2"/>
        </w:rPr>
        <w:t>36</w:t>
      </w:r>
      <w:r>
        <w:rPr>
          <w:spacing w:val="-2"/>
        </w:rPr>
        <w:t>人次，其中</w:t>
      </w:r>
      <w:r>
        <w:rPr>
          <w:rFonts w:ascii="Times New Roman" w:hAnsi="Times New Roman" w:cs="Times New Roman" w:eastAsia="Times New Roman" w:hint="default"/>
          <w:spacing w:val="-2"/>
        </w:rPr>
        <w:t>2018</w:t>
      </w:r>
      <w:r>
        <w:rPr>
          <w:spacing w:val="-2"/>
        </w:rPr>
        <w:t>年度为员工及其亲属患</w:t>
      </w:r>
      <w:r>
        <w:rPr>
          <w:spacing w:val="-59"/>
        </w:rPr>
        <w:t> </w:t>
      </w:r>
      <w:r>
        <w:rPr>
          <w:spacing w:val="-59"/>
        </w:rPr>
      </w:r>
      <w:r>
        <w:rPr/>
        <w:t>重大疾病无力医治提供救助累计达</w:t>
      </w:r>
      <w:r>
        <w:rPr>
          <w:rFonts w:ascii="Times New Roman" w:hAnsi="Times New Roman" w:cs="Times New Roman" w:eastAsia="Times New Roman" w:hint="default"/>
        </w:rPr>
        <w:t>8</w:t>
      </w:r>
      <w:r>
        <w:rPr/>
        <w:t>人次，其中</w:t>
      </w:r>
      <w:r>
        <w:rPr>
          <w:rFonts w:ascii="Times New Roman" w:hAnsi="Times New Roman" w:cs="Times New Roman" w:eastAsia="Times New Roman" w:hint="default"/>
        </w:rPr>
        <w:t>1</w:t>
      </w:r>
      <w:r>
        <w:rPr/>
        <w:t>人次为员工患重疾救助，</w:t>
      </w:r>
      <w:r>
        <w:rPr>
          <w:rFonts w:ascii="Times New Roman" w:hAnsi="Times New Roman" w:cs="Times New Roman" w:eastAsia="Times New Roman" w:hint="default"/>
        </w:rPr>
        <w:t>7</w:t>
      </w:r>
      <w:r>
        <w:rPr/>
        <w:t>人次为员工直系亲属患重疾救助。</w:t>
      </w:r>
    </w:p>
    <w:p>
      <w:pPr>
        <w:spacing w:line="240" w:lineRule="auto" w:before="5"/>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）精准扶贫规划</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报告期内，公司暂未开展精准扶贫工作。</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2</w:t>
      </w:r>
      <w:r>
        <w:rPr/>
        <w:t>）年度精准扶贫概要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报告期内，公司暂未开展精准扶贫工作。</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3</w:t>
      </w:r>
      <w:r>
        <w:rPr/>
        <w:t>）精准扶贫成效</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95"/>
        <w:gridCol w:w="1459"/>
        <w:gridCol w:w="4515"/>
      </w:tblGrid>
      <w:tr>
        <w:trPr>
          <w:trHeight w:val="403"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指标</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1"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595"/>
        <w:gridCol w:w="1459"/>
        <w:gridCol w:w="4515"/>
      </w:tblGrid>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b/>
          <w:bCs/>
          <w:sz w:val="19"/>
          <w:szCs w:val="19"/>
        </w:rPr>
      </w:pPr>
    </w:p>
    <w:p>
      <w:pPr>
        <w:spacing w:before="36"/>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）后续精准扶贫计划</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公司暂无后续精准扶贫计划。</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5714"/>
        <w:jc w:val="left"/>
      </w:pPr>
      <w:r>
        <w:rPr/>
        <w:t>上市公司及其子公司是否属于环境保护部门公布的重点排污单位 否</w:t>
      </w:r>
    </w:p>
    <w:p>
      <w:pPr>
        <w:pStyle w:val="BodyText"/>
        <w:spacing w:line="240" w:lineRule="auto" w:before="27"/>
        <w:ind w:right="1133"/>
        <w:jc w:val="left"/>
      </w:pPr>
      <w:r>
        <w:rPr/>
        <w:t>公司及公司子公司不属于环境保护部门公布的重点排污单位。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2"/>
        <w:spacing w:line="240" w:lineRule="auto"/>
        <w:ind w:right="1133"/>
        <w:jc w:val="left"/>
        <w:rPr>
          <w:b w:val="0"/>
          <w:bCs w:val="0"/>
        </w:rPr>
      </w:pPr>
      <w:r>
        <w:rPr/>
        <w:t>十九、其他重大事项的说明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4" w:lineRule="auto" w:before="103"/>
        <w:ind w:right="1046" w:firstLine="360"/>
        <w:jc w:val="left"/>
      </w:pPr>
      <w:r>
        <w:rPr>
          <w:rFonts w:ascii="Times New Roman" w:hAnsi="Times New Roman" w:cs="Times New Roman" w:eastAsia="Times New Roman" w:hint="default"/>
          <w:spacing w:val="-2"/>
        </w:rPr>
        <w:t>1</w:t>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7</w:t>
      </w:r>
      <w:r>
        <w:rPr>
          <w:spacing w:val="-2"/>
        </w:rPr>
        <w:t>日召开的第四届董事会第二十次（临时）会议及于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28</w:t>
      </w:r>
      <w:r>
        <w:rPr>
          <w:spacing w:val="-2"/>
        </w:rPr>
        <w:t>日召开的</w:t>
      </w:r>
      <w:r>
        <w:rPr>
          <w:rFonts w:ascii="Times New Roman" w:hAnsi="Times New Roman" w:cs="Times New Roman" w:eastAsia="Times New Roman" w:hint="default"/>
          <w:spacing w:val="-2"/>
        </w:rPr>
        <w:t>2018</w:t>
      </w:r>
      <w:r>
        <w:rPr>
          <w:spacing w:val="-2"/>
        </w:rPr>
        <w:t>年第一次临时股东大</w:t>
      </w:r>
      <w:r>
        <w:rPr/>
        <w:t> </w:t>
      </w:r>
      <w:r>
        <w:rPr>
          <w:spacing w:val="-2"/>
        </w:rPr>
        <w:t>会，审议通过了《关于公司运用闲置自有资金投资低风险理财产品的议案》，公司及全资子公司证通金信拟使用任一时点合</w:t>
      </w:r>
      <w:r>
        <w:rPr>
          <w:spacing w:val="-66"/>
        </w:rPr>
        <w:t> </w:t>
      </w:r>
      <w:r>
        <w:rPr>
          <w:spacing w:val="-66"/>
        </w:rPr>
      </w:r>
      <w:r>
        <w:rPr/>
        <w:t>计不超过</w:t>
      </w:r>
      <w:r>
        <w:rPr>
          <w:rFonts w:ascii="Times New Roman" w:hAnsi="Times New Roman" w:cs="Times New Roman" w:eastAsia="Times New Roman" w:hint="default"/>
        </w:rPr>
        <w:t>7</w:t>
      </w:r>
      <w:r>
        <w:rPr/>
        <w:t>亿元人民币的自有闲置资金额度进行投资理财，使用期限自股东大会决议通过之日起一年内有效。相关事项详见 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8</w:t>
      </w:r>
      <w:r>
        <w:rPr/>
        <w:t>日披露于巨潮资讯网及《证券时报》上的《关于公司运用闲置自有资金投资低风险理财产品的公告》（编号： </w:t>
      </w:r>
      <w:r>
        <w:rPr>
          <w:rFonts w:ascii="Times New Roman" w:hAnsi="Times New Roman" w:cs="Times New Roman" w:eastAsia="Times New Roman" w:hint="default"/>
        </w:rPr>
        <w:t>2018-007</w:t>
      </w:r>
      <w:r>
        <w:rPr/>
        <w:t>号）。报告期内，公司及证通金信暂未使用自有资金投资低风险理财产品。</w:t>
      </w:r>
    </w:p>
    <w:p>
      <w:pPr>
        <w:pStyle w:val="BodyText"/>
        <w:spacing w:line="302" w:lineRule="auto" w:before="9"/>
        <w:ind w:right="1050" w:firstLine="360"/>
        <w:jc w:val="left"/>
      </w:pP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4</w:t>
      </w:r>
      <w:r>
        <w:rPr/>
        <w:t>日召开的第四届董事会第二十二次（临时）会议，审议通过了《关于公司参与设立产业投资并购 基金的议案》，拟以自有资金以现金方式出资人民币</w:t>
      </w:r>
      <w:r>
        <w:rPr>
          <w:rFonts w:ascii="Times New Roman" w:hAnsi="Times New Roman" w:cs="Times New Roman" w:eastAsia="Times New Roman" w:hint="default"/>
        </w:rPr>
        <w:t>15,000</w:t>
      </w:r>
      <w:r>
        <w:rPr/>
        <w:t>万元作为有限合伙人，与前海友胜、和盛资本作为普通合伙人，</w:t>
      </w:r>
      <w:r>
        <w:rPr>
          <w:spacing w:val="-50"/>
        </w:rPr>
        <w:t> </w:t>
      </w:r>
      <w:r>
        <w:rPr>
          <w:spacing w:val="-50"/>
        </w:rPr>
      </w:r>
      <w:r>
        <w:rPr/>
        <w:t>三方共同发起设立产业投资并购基金，该并购基金目标规模约为人民币</w:t>
      </w:r>
      <w:r>
        <w:rPr>
          <w:rFonts w:ascii="Times New Roman" w:hAnsi="Times New Roman" w:cs="Times New Roman" w:eastAsia="Times New Roman" w:hint="default"/>
        </w:rPr>
        <w:t>50,000</w:t>
      </w:r>
      <w:r>
        <w:rPr/>
        <w:t>万元，重点关注与公司主营业务产业链相关方 面的投资机遇；</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11</w:t>
      </w:r>
      <w:r>
        <w:rPr/>
        <w:t>日，公司与和盛资本、前海友胜、深圳市和星信息投资管理中心（有限合伙）签署了《佛山市 证友和投资管理中心（有限合伙）合伙协议》，相关事项详见于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日披露于巨潮资讯网及《证券 时报》上的《关于参与设立产业投资并购基金的公告》（编号：</w:t>
      </w:r>
      <w:r>
        <w:rPr>
          <w:rFonts w:ascii="Times New Roman" w:hAnsi="Times New Roman" w:cs="Times New Roman" w:eastAsia="Times New Roman" w:hint="default"/>
        </w:rPr>
        <w:t>2018-031</w:t>
      </w:r>
      <w:r>
        <w:rPr/>
        <w:t>号）、《关于参与设立产业投资并购基金的进展公 告》（编号：</w:t>
      </w:r>
      <w:r>
        <w:rPr>
          <w:rFonts w:ascii="Times New Roman" w:hAnsi="Times New Roman" w:cs="Times New Roman" w:eastAsia="Times New Roman" w:hint="default"/>
        </w:rPr>
        <w:t>2018-060</w:t>
      </w:r>
      <w:r>
        <w:rPr/>
        <w:t>号），截至本报告披露日，该基金已完成工商注册登记，各方尚未缴纳出资，因受市场金融市场环境 </w:t>
      </w:r>
      <w:r>
        <w:rPr>
          <w:spacing w:val="-2"/>
        </w:rPr>
        <w:t>的影响，基金尚未进行对外投资，经与各方讨论，一致决定中止该基金的对外投资事项，后期将根据金融市场的实际情况再</w:t>
      </w:r>
      <w:r>
        <w:rPr>
          <w:spacing w:val="-64"/>
        </w:rPr>
        <w:t> </w:t>
      </w:r>
      <w:r>
        <w:rPr>
          <w:spacing w:val="-64"/>
        </w:rPr>
      </w:r>
      <w:r>
        <w:rPr/>
        <w:t>继续推进。</w:t>
      </w:r>
    </w:p>
    <w:p>
      <w:pPr>
        <w:pStyle w:val="BodyText"/>
        <w:spacing w:line="300" w:lineRule="auto" w:before="29"/>
        <w:ind w:right="1048" w:firstLine="360"/>
        <w:jc w:val="left"/>
      </w:pPr>
      <w:r>
        <w:rPr>
          <w:rFonts w:ascii="Times New Roman" w:hAnsi="Times New Roman" w:cs="Times New Roman" w:eastAsia="Times New Roman" w:hint="default"/>
        </w:rPr>
        <w:t>3</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日与深圳市裕沣实业有限公司（以下简称</w:t>
      </w:r>
      <w:r>
        <w:rPr>
          <w:rFonts w:ascii="Times New Roman" w:hAnsi="Times New Roman" w:cs="Times New Roman" w:eastAsia="Times New Roman" w:hint="default"/>
        </w:rPr>
        <w:t>“</w:t>
      </w:r>
      <w:r>
        <w:rPr/>
        <w:t>裕沣实业</w:t>
      </w:r>
      <w:r>
        <w:rPr>
          <w:rFonts w:ascii="Times New Roman" w:hAnsi="Times New Roman" w:cs="Times New Roman" w:eastAsia="Times New Roman" w:hint="default"/>
        </w:rPr>
        <w:t>”</w:t>
      </w:r>
      <w:r>
        <w:rPr/>
        <w:t>）签署了《股权转让协议书》，将持有的鹏 鼎创盈</w:t>
      </w:r>
      <w:r>
        <w:rPr>
          <w:rFonts w:ascii="Times New Roman" w:hAnsi="Times New Roman" w:cs="Times New Roman" w:eastAsia="Times New Roman" w:hint="default"/>
        </w:rPr>
        <w:t>2.68%</w:t>
      </w:r>
      <w:r>
        <w:rPr/>
        <w:t>股权以</w:t>
      </w:r>
      <w:r>
        <w:rPr>
          <w:rFonts w:ascii="Times New Roman" w:hAnsi="Times New Roman" w:cs="Times New Roman" w:eastAsia="Times New Roman" w:hint="default"/>
        </w:rPr>
        <w:t>4,400</w:t>
      </w:r>
      <w:r>
        <w:rPr/>
        <w:t>万元的转让价款转让给裕沣实业，相关事项详见于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9</w:t>
      </w:r>
      <w:r>
        <w:rPr/>
        <w:t>日披露于巨潮资讯网及《证券时报》</w:t>
      </w:r>
      <w:r>
        <w:rPr>
          <w:spacing w:val="-69"/>
        </w:rPr>
        <w:t> </w:t>
      </w:r>
      <w:r>
        <w:rPr>
          <w:spacing w:val="-69"/>
        </w:rPr>
      </w:r>
      <w:r>
        <w:rPr/>
        <w:t>上的《关于转让深圳市鹏鼎创盈金融信息服务股份有限公司股权的公告》（编号：</w:t>
      </w:r>
      <w:r>
        <w:rPr>
          <w:rFonts w:ascii="Times New Roman" w:hAnsi="Times New Roman" w:cs="Times New Roman" w:eastAsia="Times New Roman" w:hint="default"/>
        </w:rPr>
        <w:t>2018-057</w:t>
      </w:r>
      <w:r>
        <w:rPr/>
        <w:t>号），截至报告期末，公司已收 到股权转让交易款项且完成了股份交易过户手续的办理，公司不再持有鹏鼎创盈股权。</w:t>
      </w:r>
    </w:p>
    <w:p>
      <w:pPr>
        <w:pStyle w:val="BodyText"/>
        <w:spacing w:line="304" w:lineRule="auto" w:before="31"/>
        <w:ind w:right="1131" w:firstLine="360"/>
        <w:jc w:val="both"/>
      </w:pPr>
      <w:r>
        <w:rPr>
          <w:rFonts w:ascii="Times New Roman" w:hAnsi="Times New Roman" w:cs="Times New Roman" w:eastAsia="Times New Roman" w:hint="default"/>
          <w:spacing w:val="-2"/>
        </w:rPr>
        <w:t>4</w:t>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14</w:t>
      </w:r>
      <w:r>
        <w:rPr>
          <w:spacing w:val="-2"/>
        </w:rPr>
        <w:t>日、</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3</w:t>
      </w:r>
      <w:r>
        <w:rPr>
          <w:spacing w:val="-2"/>
        </w:rPr>
        <w:t>日分别召开了第四届董事会第二十六次（临时）会议、</w:t>
      </w:r>
      <w:r>
        <w:rPr>
          <w:rFonts w:ascii="Times New Roman" w:hAnsi="Times New Roman" w:cs="Times New Roman" w:eastAsia="Times New Roman" w:hint="default"/>
          <w:spacing w:val="-2"/>
        </w:rPr>
        <w:t>2018</w:t>
      </w:r>
      <w:r>
        <w:rPr>
          <w:spacing w:val="-2"/>
        </w:rPr>
        <w:t>年第二次临时股东大会，审</w:t>
      </w:r>
      <w:r>
        <w:rPr/>
        <w:t> </w:t>
      </w:r>
      <w:r>
        <w:rPr>
          <w:spacing w:val="-2"/>
        </w:rPr>
        <w:t>议通过了《关于回购公司股份的预案》；于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16</w:t>
      </w:r>
      <w:r>
        <w:rPr>
          <w:spacing w:val="-2"/>
        </w:rPr>
        <w:t>日召开了第四届董事会第三十二次（临时）会议，审议通过了《关</w:t>
      </w:r>
      <w:r>
        <w:rPr>
          <w:spacing w:val="-68"/>
        </w:rPr>
        <w:t> </w:t>
      </w:r>
      <w:r>
        <w:rPr>
          <w:spacing w:val="-68"/>
        </w:rPr>
      </w:r>
      <w:r>
        <w:rPr/>
        <w:t>于公司股份回购实施期限延期的议案》；股份回购期限自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w:t>
      </w:r>
      <w:r>
        <w:rPr/>
        <w:t>日起至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w:t>
      </w:r>
      <w:r>
        <w:rPr/>
        <w:t>日止；公司根据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11</w:t>
      </w:r>
      <w:r>
        <w:rPr/>
        <w:t>日深圳 </w:t>
      </w:r>
      <w:r>
        <w:rPr>
          <w:spacing w:val="-5"/>
        </w:rPr>
        <w:t>证券交易所发布的《深圳证券交易所上市公司回购股份实施细则》相关要求对《回购公司股份的预案》部分内容进行了修订，</w:t>
      </w:r>
      <w:r>
        <w:rPr>
          <w:spacing w:val="-78"/>
        </w:rPr>
        <w:t> </w:t>
      </w:r>
      <w:r>
        <w:rPr>
          <w:spacing w:val="-78"/>
        </w:rPr>
      </w:r>
      <w:r>
        <w:rPr/>
        <w:t>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日分别召开第四届董事会第三十六次（临时</w:t>
      </w:r>
      <w:r>
        <w:rPr>
          <w:rFonts w:ascii="Times New Roman" w:hAnsi="Times New Roman" w:cs="Times New Roman" w:eastAsia="Times New Roman" w:hint="default"/>
        </w:rPr>
        <w:t>)</w:t>
      </w:r>
      <w:r>
        <w:rPr/>
        <w:t>会议、</w:t>
      </w:r>
      <w:r>
        <w:rPr>
          <w:rFonts w:ascii="Times New Roman" w:hAnsi="Times New Roman" w:cs="Times New Roman" w:eastAsia="Times New Roman" w:hint="default"/>
        </w:rPr>
        <w:t>2019</w:t>
      </w:r>
      <w:r>
        <w:rPr/>
        <w:t>年第二次临时股东大会审议通过了《关 </w:t>
      </w:r>
      <w:r>
        <w:rPr>
          <w:spacing w:val="-2"/>
        </w:rPr>
        <w:t>于修订</w:t>
      </w:r>
      <w:r>
        <w:rPr>
          <w:rFonts w:ascii="Times New Roman" w:hAnsi="Times New Roman" w:cs="Times New Roman" w:eastAsia="Times New Roman" w:hint="default"/>
          <w:spacing w:val="-2"/>
        </w:rPr>
        <w:t>&lt;</w:t>
      </w:r>
      <w:r>
        <w:rPr>
          <w:spacing w:val="-2"/>
        </w:rPr>
        <w:t>回购公司股份的预案</w:t>
      </w:r>
      <w:r>
        <w:rPr>
          <w:rFonts w:ascii="Times New Roman" w:hAnsi="Times New Roman" w:cs="Times New Roman" w:eastAsia="Times New Roman" w:hint="default"/>
          <w:spacing w:val="-2"/>
        </w:rPr>
        <w:t>&gt;</w:t>
      </w:r>
      <w:r>
        <w:rPr>
          <w:spacing w:val="-2"/>
        </w:rPr>
        <w:t>的议案》。公司拟使用不低于人民币</w:t>
      </w:r>
      <w:r>
        <w:rPr>
          <w:rFonts w:ascii="Times New Roman" w:hAnsi="Times New Roman" w:cs="Times New Roman" w:eastAsia="Times New Roman" w:hint="default"/>
          <w:spacing w:val="-2"/>
        </w:rPr>
        <w:t>6,000</w:t>
      </w:r>
      <w:r>
        <w:rPr>
          <w:spacing w:val="-2"/>
        </w:rPr>
        <w:t>万元（包含</w:t>
      </w:r>
      <w:r>
        <w:rPr>
          <w:rFonts w:ascii="Times New Roman" w:hAnsi="Times New Roman" w:cs="Times New Roman" w:eastAsia="Times New Roman" w:hint="default"/>
          <w:spacing w:val="-2"/>
        </w:rPr>
        <w:t>6,000</w:t>
      </w:r>
      <w:r>
        <w:rPr>
          <w:spacing w:val="-2"/>
        </w:rPr>
        <w:t>万元），不超过人民币</w:t>
      </w:r>
      <w:r>
        <w:rPr>
          <w:rFonts w:ascii="Times New Roman" w:hAnsi="Times New Roman" w:cs="Times New Roman" w:eastAsia="Times New Roman" w:hint="default"/>
          <w:spacing w:val="-2"/>
        </w:rPr>
        <w:t>1.2</w:t>
      </w:r>
      <w:r>
        <w:rPr>
          <w:spacing w:val="-2"/>
        </w:rPr>
        <w:t>亿元（包</w:t>
      </w:r>
    </w:p>
    <w:p>
      <w:pPr>
        <w:spacing w:after="0" w:line="304" w:lineRule="auto"/>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1130"/>
        <w:jc w:val="both"/>
      </w:pPr>
      <w:r>
        <w:rPr/>
        <w:t>含</w:t>
      </w:r>
      <w:r>
        <w:rPr>
          <w:rFonts w:ascii="Times New Roman" w:hAnsi="Times New Roman" w:cs="Times New Roman" w:eastAsia="Times New Roman" w:hint="default"/>
        </w:rPr>
        <w:t>1.2</w:t>
      </w:r>
      <w:r>
        <w:rPr/>
        <w:t>亿的资金以集中竞价交易、大宗交易或其他监管允许的方式回购公司股份。公司本次回购股份的用途将用于公司股权 </w:t>
      </w:r>
      <w:r>
        <w:rPr>
          <w:spacing w:val="-2"/>
        </w:rPr>
        <w:t>激励计划、员工持股计划。公司如未能在股份回购完成之后</w:t>
      </w:r>
      <w:r>
        <w:rPr>
          <w:rFonts w:ascii="Times New Roman" w:hAnsi="Times New Roman" w:cs="Times New Roman" w:eastAsia="Times New Roman" w:hint="default"/>
          <w:spacing w:val="-2"/>
        </w:rPr>
        <w:t>36</w:t>
      </w:r>
      <w:r>
        <w:rPr>
          <w:spacing w:val="-2"/>
        </w:rPr>
        <w:t>个月内实施前述用途，回购股份应全部予以注销。修订后的股</w:t>
      </w:r>
      <w:r>
        <w:rPr>
          <w:spacing w:val="-61"/>
        </w:rPr>
        <w:t> </w:t>
      </w:r>
      <w:r>
        <w:rPr>
          <w:spacing w:val="-61"/>
        </w:rPr>
      </w:r>
      <w:r>
        <w:rPr/>
        <w:t>份回购方案具体内容详见于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21</w:t>
      </w:r>
      <w:r>
        <w:rPr/>
        <w:t>日披露于巨潮资讯网及《证券时报》上的《关于回购公司股份的方案》。截止报告 </w:t>
      </w:r>
      <w:r>
        <w:rPr>
          <w:spacing w:val="-1"/>
        </w:rPr>
        <w:t>期末，公司通过回购专用证券账户以集中竞价交易方式累计回购股份</w:t>
      </w:r>
      <w:r>
        <w:rPr>
          <w:rFonts w:ascii="Times New Roman" w:hAnsi="Times New Roman" w:cs="Times New Roman" w:eastAsia="Times New Roman" w:hint="default"/>
          <w:spacing w:val="-1"/>
        </w:rPr>
        <w:t>3,716,500</w:t>
      </w:r>
      <w:r>
        <w:rPr>
          <w:spacing w:val="-1"/>
        </w:rPr>
        <w:t>股，占公司总股本的</w:t>
      </w:r>
      <w:r>
        <w:rPr>
          <w:rFonts w:ascii="Times New Roman" w:hAnsi="Times New Roman" w:cs="Times New Roman" w:eastAsia="Times New Roman" w:hint="default"/>
          <w:spacing w:val="-1"/>
        </w:rPr>
        <w:t>0.72%</w:t>
      </w:r>
      <w:r>
        <w:rPr>
          <w:spacing w:val="-1"/>
        </w:rPr>
        <w:t>，其中最高成交价</w:t>
      </w:r>
      <w:r>
        <w:rPr>
          <w:spacing w:val="-41"/>
        </w:rPr>
        <w:t> </w:t>
      </w:r>
      <w:r>
        <w:rPr>
          <w:spacing w:val="-41"/>
        </w:rPr>
      </w:r>
      <w:r>
        <w:rPr/>
        <w:t>为</w:t>
      </w:r>
      <w:r>
        <w:rPr>
          <w:rFonts w:ascii="Times New Roman" w:hAnsi="Times New Roman" w:cs="Times New Roman" w:eastAsia="Times New Roman" w:hint="default"/>
        </w:rPr>
        <w:t>7.74</w:t>
      </w:r>
      <w:r>
        <w:rPr/>
        <w:t>元</w:t>
      </w:r>
      <w:r>
        <w:rPr>
          <w:rFonts w:ascii="Times New Roman" w:hAnsi="Times New Roman" w:cs="Times New Roman" w:eastAsia="Times New Roman" w:hint="default"/>
        </w:rPr>
        <w:t>/</w:t>
      </w:r>
      <w:r>
        <w:rPr/>
        <w:t>股，最低成交价为</w:t>
      </w:r>
      <w:r>
        <w:rPr>
          <w:rFonts w:ascii="Times New Roman" w:hAnsi="Times New Roman" w:cs="Times New Roman" w:eastAsia="Times New Roman" w:hint="default"/>
        </w:rPr>
        <w:t>7.22</w:t>
      </w:r>
      <w:r>
        <w:rPr/>
        <w:t>元</w:t>
      </w:r>
      <w:r>
        <w:rPr>
          <w:rFonts w:ascii="Times New Roman" w:hAnsi="Times New Roman" w:cs="Times New Roman" w:eastAsia="Times New Roman" w:hint="default"/>
        </w:rPr>
        <w:t>/</w:t>
      </w:r>
      <w:r>
        <w:rPr/>
        <w:t>股，合计支付的总金额为</w:t>
      </w:r>
      <w:r>
        <w:rPr>
          <w:rFonts w:ascii="Times New Roman" w:hAnsi="Times New Roman" w:cs="Times New Roman" w:eastAsia="Times New Roman" w:hint="default"/>
        </w:rPr>
        <w:t>27,891,403.45</w:t>
      </w:r>
      <w:r>
        <w:rPr/>
        <w:t>元。</w:t>
      </w:r>
    </w:p>
    <w:p>
      <w:pPr>
        <w:pStyle w:val="BodyText"/>
        <w:spacing w:line="304" w:lineRule="auto" w:before="13"/>
        <w:ind w:right="1042" w:firstLine="360"/>
        <w:jc w:val="left"/>
      </w:pPr>
      <w:r>
        <w:rPr>
          <w:rFonts w:ascii="Times New Roman" w:hAnsi="Times New Roman" w:cs="Times New Roman" w:eastAsia="Times New Roman" w:hint="default"/>
          <w:spacing w:val="-2"/>
        </w:rPr>
        <w:t>5</w:t>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10</w:t>
      </w:r>
      <w:r>
        <w:rPr>
          <w:spacing w:val="-2"/>
        </w:rPr>
        <w:t>日召开的第四届董事会第二十七次会议，审议通过了《关于公司及子公司开展融资租赁业务及提</w:t>
      </w:r>
      <w:r>
        <w:rPr/>
        <w:t> </w:t>
      </w:r>
      <w:r>
        <w:rPr>
          <w:spacing w:val="-2"/>
        </w:rPr>
        <w:t>供担保额度的议案》，公司及全资子公司长沙证通云计算、控股子公司云硕科技、宏达通信拟与不存在关联关系的融资租赁</w:t>
      </w:r>
      <w:r>
        <w:rPr>
          <w:spacing w:val="-64"/>
        </w:rPr>
        <w:t> </w:t>
      </w:r>
      <w:r>
        <w:rPr>
          <w:spacing w:val="-64"/>
        </w:rPr>
      </w:r>
      <w:r>
        <w:rPr/>
        <w:t>公司或银行开展累计总金额不超过人民币 </w:t>
      </w:r>
      <w:r>
        <w:rPr>
          <w:rFonts w:ascii="Times New Roman" w:hAnsi="Times New Roman" w:cs="Times New Roman" w:eastAsia="Times New Roman" w:hint="default"/>
        </w:rPr>
        <w:t>5</w:t>
      </w:r>
      <w:r>
        <w:rPr>
          <w:rFonts w:ascii="Times New Roman" w:hAnsi="Times New Roman" w:cs="Times New Roman" w:eastAsia="Times New Roman" w:hint="default"/>
          <w:spacing w:val="-19"/>
        </w:rPr>
        <w:t> </w:t>
      </w:r>
      <w:r>
        <w:rPr/>
        <w:t>亿元的融资租赁业务。相关事项详见于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11</w:t>
      </w:r>
      <w:r>
        <w:rPr/>
        <w:t>日披露于巨潮资讯网及《证 券时报》上的《公司关于公司及子公司开展融资租赁业务及提供担保额度的公告》（编号：</w:t>
      </w:r>
      <w:r>
        <w:rPr>
          <w:rFonts w:ascii="Times New Roman" w:hAnsi="Times New Roman" w:cs="Times New Roman" w:eastAsia="Times New Roman" w:hint="default"/>
        </w:rPr>
        <w:t>2018-084</w:t>
      </w:r>
      <w:r>
        <w:rPr/>
        <w:t>号）。截止报告期末，</w:t>
      </w:r>
      <w:r>
        <w:rPr>
          <w:spacing w:val="-59"/>
        </w:rPr>
        <w:t> </w:t>
      </w:r>
      <w:r>
        <w:rPr>
          <w:spacing w:val="-59"/>
        </w:rPr>
      </w:r>
      <w:r>
        <w:rPr/>
        <w:t>该融资租赁业务尚未开展。</w:t>
      </w:r>
    </w:p>
    <w:p>
      <w:pPr>
        <w:pStyle w:val="BodyText"/>
        <w:spacing w:line="302" w:lineRule="auto" w:before="28"/>
        <w:ind w:right="1132" w:firstLine="360"/>
        <w:jc w:val="left"/>
      </w:pPr>
      <w:r>
        <w:rPr>
          <w:rFonts w:ascii="Times New Roman" w:hAnsi="Times New Roman" w:cs="Times New Roman" w:eastAsia="Times New Roman" w:hint="default"/>
        </w:rPr>
        <w:t>6</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日召开的第四届董事会第三十四次（临时）会议，审议通过了《关于公司受让内蒙古呼和浩特 金谷农村商业银行股份有限公司股权的议案》，公司拟受让中科恒源持有的部分金谷农商行股份，以抵消中科恒源对公司 </w:t>
      </w:r>
      <w:r>
        <w:rPr>
          <w:rFonts w:ascii="Times New Roman" w:hAnsi="Times New Roman" w:cs="Times New Roman" w:eastAsia="Times New Roman" w:hint="default"/>
        </w:rPr>
        <w:t>7,100</w:t>
      </w:r>
      <w:r>
        <w:rPr/>
        <w:t>万元的债务。双方于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日签署了《内蒙古呼和浩特金谷农村商业银行股份有限公司股权转让协议》，相关 </w:t>
      </w:r>
      <w:r>
        <w:rPr>
          <w:spacing w:val="-2"/>
        </w:rPr>
        <w:t>事项详见于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w:t>
      </w:r>
      <w:r>
        <w:rPr>
          <w:spacing w:val="-2"/>
        </w:rPr>
        <w:t>日披露于巨潮资讯网及《证券时报》上的《公司关于受让内蒙古呼和浩特金谷农村商业银行股份有限</w:t>
      </w:r>
      <w:r>
        <w:rPr>
          <w:spacing w:val="-62"/>
        </w:rPr>
        <w:t> </w:t>
      </w:r>
      <w:r>
        <w:rPr>
          <w:spacing w:val="-62"/>
        </w:rPr>
      </w:r>
      <w:r>
        <w:rPr/>
        <w:t>公司股权的公告》（编号：</w:t>
      </w:r>
      <w:r>
        <w:rPr>
          <w:rFonts w:ascii="Times New Roman" w:hAnsi="Times New Roman" w:cs="Times New Roman" w:eastAsia="Times New Roman" w:hint="default"/>
        </w:rPr>
        <w:t>2019-003</w:t>
      </w:r>
      <w:r>
        <w:rPr/>
        <w:t>号）。截止本公告披露日，因中科恒源未按照前述转让协议的约定日期（</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日）前解除金谷农商行的股份质押状态，并于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日前完成该股权过户登记，鉴于前述违约行为，公司通过向法院 申请仲裁。</w:t>
      </w:r>
    </w:p>
    <w:p>
      <w:pPr>
        <w:spacing w:line="240" w:lineRule="auto" w:before="9"/>
        <w:rPr>
          <w:rFonts w:ascii="宋体" w:hAnsi="宋体" w:cs="宋体" w:eastAsia="宋体" w:hint="default"/>
          <w:sz w:val="21"/>
          <w:szCs w:val="21"/>
        </w:rPr>
      </w:pPr>
    </w:p>
    <w:p>
      <w:pPr>
        <w:pStyle w:val="Heading2"/>
        <w:spacing w:line="240" w:lineRule="auto"/>
        <w:ind w:right="0"/>
        <w:jc w:val="both"/>
        <w:rPr>
          <w:b w:val="0"/>
          <w:bCs w:val="0"/>
        </w:rPr>
      </w:pPr>
      <w:r>
        <w:rPr/>
        <w:t>二十、公司子公司重大事项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1"/>
        <w:ind w:right="1132" w:firstLine="360"/>
        <w:jc w:val="both"/>
      </w:pP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日与证通网络、纳鑫控股签署了《股权转让协议》，公司拟以人民币</w:t>
      </w:r>
      <w:r>
        <w:rPr>
          <w:rFonts w:ascii="Times New Roman" w:hAnsi="Times New Roman" w:cs="Times New Roman" w:eastAsia="Times New Roman" w:hint="default"/>
        </w:rPr>
        <w:t>2,000</w:t>
      </w:r>
      <w:r>
        <w:rPr/>
        <w:t>万元向纳鑫控股出售 所持有的证通网络</w:t>
      </w:r>
      <w:r>
        <w:rPr>
          <w:rFonts w:ascii="Times New Roman" w:hAnsi="Times New Roman" w:cs="Times New Roman" w:eastAsia="Times New Roman" w:hint="default"/>
        </w:rPr>
        <w:t>20%</w:t>
      </w:r>
      <w:r>
        <w:rPr/>
        <w:t>股权，相关事项详见于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日披露于巨潮资讯网及《证券时报》上的《关于出售全资子公司 </w:t>
      </w:r>
      <w:r>
        <w:rPr>
          <w:spacing w:val="-1"/>
        </w:rPr>
        <w:t>部分股权的公告》（编号：</w:t>
      </w:r>
      <w:r>
        <w:rPr>
          <w:rFonts w:ascii="Times New Roman" w:hAnsi="Times New Roman" w:cs="Times New Roman" w:eastAsia="Times New Roman" w:hint="default"/>
          <w:spacing w:val="-1"/>
        </w:rPr>
        <w:t>2018-027</w:t>
      </w:r>
      <w:r>
        <w:rPr>
          <w:spacing w:val="-1"/>
        </w:rPr>
        <w:t>号），截至本报告期末，公司尚未收到本次股权转让相关款项，尚未完成股权转让工商</w:t>
      </w:r>
      <w:r>
        <w:rPr/>
        <w:t> 登记手续，证通网络仍为公司的全资子公司。</w:t>
      </w:r>
    </w:p>
    <w:p>
      <w:pPr>
        <w:pStyle w:val="BodyText"/>
        <w:spacing w:line="307" w:lineRule="auto" w:before="31"/>
        <w:ind w:right="1129" w:firstLine="360"/>
        <w:jc w:val="both"/>
      </w:pPr>
      <w:r>
        <w:rPr>
          <w:rFonts w:ascii="Times New Roman" w:hAnsi="Times New Roman" w:cs="Times New Roman" w:eastAsia="Times New Roman" w:hint="default"/>
          <w:spacing w:val="-2"/>
        </w:rPr>
        <w:t>2</w:t>
      </w: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14</w:t>
      </w:r>
      <w:r>
        <w:rPr>
          <w:spacing w:val="-2"/>
        </w:rPr>
        <w:t>日披露了《公司关于全资子公司获得国家高新技术企业证书的公告》。公司全资子公司长沙证通</w:t>
      </w:r>
      <w:r>
        <w:rPr/>
        <w:t> </w:t>
      </w:r>
      <w:r>
        <w:rPr>
          <w:spacing w:val="-2"/>
        </w:rPr>
        <w:t>云计算收到了由湖南省科学技术厅、湖南省财政厅、国家税务总局湖南省税务局联合颁发的《高新技术企业证书》，证书编</w:t>
      </w:r>
      <w:r>
        <w:rPr>
          <w:spacing w:val="-65"/>
        </w:rPr>
        <w:t> </w:t>
      </w:r>
      <w:r>
        <w:rPr>
          <w:spacing w:val="-65"/>
        </w:rPr>
      </w:r>
      <w:r>
        <w:rPr>
          <w:spacing w:val="-2"/>
        </w:rPr>
        <w:t>号为：</w:t>
      </w:r>
      <w:r>
        <w:rPr>
          <w:rFonts w:ascii="Times New Roman" w:hAnsi="Times New Roman" w:cs="Times New Roman" w:eastAsia="Times New Roman" w:hint="default"/>
          <w:spacing w:val="-2"/>
        </w:rPr>
        <w:t>GR201843001660</w:t>
      </w:r>
      <w:r>
        <w:rPr>
          <w:spacing w:val="-2"/>
        </w:rPr>
        <w:t>，发证时间：</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w:t>
      </w:r>
      <w:r>
        <w:rPr>
          <w:spacing w:val="-2"/>
        </w:rPr>
        <w:t>日，有效期为三年。根据国家对高新技术企业的相关税收优惠政策，长沙</w:t>
      </w:r>
      <w:r>
        <w:rPr>
          <w:spacing w:val="-33"/>
        </w:rPr>
        <w:t> </w:t>
      </w:r>
      <w:r>
        <w:rPr>
          <w:spacing w:val="-33"/>
        </w:rPr>
      </w:r>
      <w:r>
        <w:rPr/>
        <w:t>证通云计算在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-2020</w:t>
      </w:r>
      <w:r>
        <w:rPr/>
        <w:t>年连续三年可享受高新技术企业所得税优惠政策，按</w:t>
      </w:r>
      <w:r>
        <w:rPr>
          <w:rFonts w:ascii="Times New Roman" w:hAnsi="Times New Roman" w:cs="Times New Roman" w:eastAsia="Times New Roman" w:hint="default"/>
        </w:rPr>
        <w:t>15%</w:t>
      </w:r>
      <w:r>
        <w:rPr/>
        <w:t>的税率缴纳企业所得税。</w:t>
      </w:r>
    </w:p>
    <w:p>
      <w:pPr>
        <w:pStyle w:val="BodyText"/>
        <w:spacing w:line="300" w:lineRule="auto" w:before="7"/>
        <w:ind w:right="1129" w:firstLine="360"/>
        <w:jc w:val="both"/>
      </w:pPr>
      <w:r>
        <w:rPr>
          <w:rFonts w:ascii="Times New Roman" w:hAnsi="Times New Roman" w:cs="Times New Roman" w:eastAsia="Times New Roman" w:hint="default"/>
          <w:spacing w:val="-2"/>
        </w:rPr>
        <w:t>3</w:t>
      </w: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29</w:t>
      </w:r>
      <w:r>
        <w:rPr>
          <w:spacing w:val="-2"/>
        </w:rPr>
        <w:t>日披露了《公司关于出资参股成立证通邦客（广州）信息科技有限公司的对外投资公告》，公司</w:t>
      </w:r>
      <w:r>
        <w:rPr/>
        <w:t> 与自然人于谦先生共同出资设立证通邦客，注册资本总计</w:t>
      </w:r>
      <w:r>
        <w:rPr>
          <w:rFonts w:ascii="Times New Roman" w:hAnsi="Times New Roman" w:cs="Times New Roman" w:eastAsia="Times New Roman" w:hint="default"/>
        </w:rPr>
        <w:t>1500</w:t>
      </w:r>
      <w:r>
        <w:rPr/>
        <w:t>万元，其中公司以自有资金出资</w:t>
      </w:r>
      <w:r>
        <w:rPr>
          <w:rFonts w:ascii="Times New Roman" w:hAnsi="Times New Roman" w:cs="Times New Roman" w:eastAsia="Times New Roman" w:hint="default"/>
        </w:rPr>
        <w:t>900</w:t>
      </w:r>
      <w:r>
        <w:rPr/>
        <w:t>万元，占证通邦客的股权</w:t>
      </w:r>
      <w:r>
        <w:rPr>
          <w:spacing w:val="-85"/>
        </w:rPr>
        <w:t> </w:t>
      </w:r>
      <w:r>
        <w:rPr/>
        <w:t>比例为</w:t>
      </w:r>
      <w:r>
        <w:rPr>
          <w:rFonts w:ascii="Times New Roman" w:hAnsi="Times New Roman" w:cs="Times New Roman" w:eastAsia="Times New Roman" w:hint="default"/>
        </w:rPr>
        <w:t>60%</w:t>
      </w:r>
      <w:r>
        <w:rPr/>
        <w:t>，公司实缴证通邦客注册资金</w:t>
      </w:r>
      <w:r>
        <w:rPr>
          <w:rFonts w:ascii="Times New Roman" w:hAnsi="Times New Roman" w:cs="Times New Roman" w:eastAsia="Times New Roman" w:hint="default"/>
        </w:rPr>
        <w:t>300</w:t>
      </w:r>
      <w:r>
        <w:rPr/>
        <w:t>万元。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17</w:t>
      </w:r>
      <w:r>
        <w:rPr/>
        <w:t>日，公司、北京水晶智联科技有限公司及自然人李宏先生 签署了《关于证通邦客（广州）信息科技有限公司股权转让协议》，公司拟以</w:t>
      </w:r>
      <w:r>
        <w:rPr>
          <w:rFonts w:ascii="Times New Roman" w:hAnsi="Times New Roman" w:cs="Times New Roman" w:eastAsia="Times New Roman" w:hint="default"/>
        </w:rPr>
        <w:t>225</w:t>
      </w:r>
      <w:r>
        <w:rPr/>
        <w:t>万受让其持有的证通邦客</w:t>
      </w:r>
      <w:r>
        <w:rPr>
          <w:rFonts w:ascii="Times New Roman" w:hAnsi="Times New Roman" w:cs="Times New Roman" w:eastAsia="Times New Roman" w:hint="default"/>
        </w:rPr>
        <w:t>45%</w:t>
      </w:r>
      <w:r>
        <w:rPr/>
        <w:t>股权给北京 </w:t>
      </w:r>
      <w:r>
        <w:rPr>
          <w:spacing w:val="-1"/>
        </w:rPr>
        <w:t>水晶智联科技有限公司，公司持有证通邦客股权比例由</w:t>
      </w:r>
      <w:r>
        <w:rPr>
          <w:rFonts w:ascii="Times New Roman" w:hAnsi="Times New Roman" w:cs="Times New Roman" w:eastAsia="Times New Roman" w:hint="default"/>
          <w:spacing w:val="-1"/>
        </w:rPr>
        <w:t>60%</w:t>
      </w:r>
      <w:r>
        <w:rPr>
          <w:spacing w:val="-1"/>
        </w:rPr>
        <w:t>降至</w:t>
      </w:r>
      <w:r>
        <w:rPr>
          <w:rFonts w:ascii="Times New Roman" w:hAnsi="Times New Roman" w:cs="Times New Roman" w:eastAsia="Times New Roman" w:hint="default"/>
          <w:spacing w:val="-1"/>
        </w:rPr>
        <w:t>15%</w:t>
      </w:r>
      <w:r>
        <w:rPr>
          <w:spacing w:val="-1"/>
        </w:rPr>
        <w:t>。证通邦客于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30</w:t>
      </w:r>
      <w:r>
        <w:rPr>
          <w:spacing w:val="-1"/>
        </w:rPr>
        <w:t>日完成了相关的工商变更工</w:t>
      </w:r>
      <w:r>
        <w:rPr>
          <w:spacing w:val="-56"/>
        </w:rPr>
        <w:t> </w:t>
      </w:r>
      <w:r>
        <w:rPr>
          <w:spacing w:val="-56"/>
        </w:rPr>
      </w:r>
      <w:r>
        <w:rPr>
          <w:spacing w:val="-2"/>
        </w:rPr>
        <w:t>作，其公司名称变更为广州水晶智联科技有限公司（以下简称</w:t>
      </w:r>
      <w:r>
        <w:rPr>
          <w:rFonts w:ascii="Times New Roman" w:hAnsi="Times New Roman" w:cs="Times New Roman" w:eastAsia="Times New Roman" w:hint="default"/>
          <w:spacing w:val="-2"/>
        </w:rPr>
        <w:t>“</w:t>
      </w:r>
      <w:r>
        <w:rPr>
          <w:spacing w:val="-2"/>
        </w:rPr>
        <w:t>水晶智联</w:t>
      </w:r>
      <w:r>
        <w:rPr>
          <w:rFonts w:ascii="Times New Roman" w:hAnsi="Times New Roman" w:cs="Times New Roman" w:eastAsia="Times New Roman" w:hint="default"/>
          <w:spacing w:val="-2"/>
        </w:rPr>
        <w:t>”</w:t>
      </w:r>
      <w:r>
        <w:rPr>
          <w:spacing w:val="-2"/>
        </w:rPr>
        <w:t>）。截止本公告披露日，公司尚未收到北京水晶智</w:t>
      </w:r>
      <w:r>
        <w:rPr>
          <w:spacing w:val="-46"/>
        </w:rPr>
        <w:t> </w:t>
      </w:r>
      <w:r>
        <w:rPr>
          <w:spacing w:val="-46"/>
        </w:rPr>
      </w:r>
      <w:r>
        <w:rPr/>
        <w:t>联科技有限公司的前述股权受让款。</w:t>
      </w:r>
    </w:p>
    <w:p>
      <w:pPr>
        <w:spacing w:after="0" w:line="300"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1133"/>
        <w:jc w:val="left"/>
        <w:rPr>
          <w:b w:val="0"/>
          <w:bCs w:val="0"/>
        </w:rPr>
      </w:pPr>
      <w:bookmarkStart w:name="_bookmark5" w:id="6"/>
      <w:bookmarkEnd w:id="6"/>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33"/>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994"/>
        <w:gridCol w:w="823"/>
        <w:gridCol w:w="823"/>
        <w:gridCol w:w="821"/>
        <w:gridCol w:w="823"/>
        <w:gridCol w:w="821"/>
        <w:gridCol w:w="824"/>
        <w:gridCol w:w="869"/>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4"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3"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8"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tcBorders>
              <w:left w:val="single" w:sz="4" w:space="0" w:color="000000"/>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69"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80,527,634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15.63%</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80,578,634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15.64%</w:t>
            </w: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80,527,634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15.63%</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51,000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80,578,634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15.64%</w:t>
            </w: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境内自然人持股</w:t>
            </w:r>
          </w:p>
        </w:tc>
        <w:tc>
          <w:tcPr>
            <w:tcW w:w="9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80,527,634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15.63%</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80,578,634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15.64%</w:t>
            </w:r>
          </w:p>
        </w:tc>
      </w:tr>
      <w:tr>
        <w:trPr>
          <w:trHeight w:val="16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vMerge w:val="restart"/>
            <w:tcBorders>
              <w:top w:val="single" w:sz="4" w:space="0" w:color="000000"/>
              <w:left w:val="single" w:sz="9"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434,629,314</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84.37%</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-51,000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-51,000</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434,578,31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84.36%</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9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434,629,314</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84.37%</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-51,000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-51,000</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434,578,31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84.36%</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9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vMerge w:val="restart"/>
            <w:tcBorders>
              <w:top w:val="single" w:sz="4" w:space="0" w:color="000000"/>
              <w:left w:val="single" w:sz="9"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515,156,948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515,156,94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9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0"/>
        <w:jc w:val="both"/>
      </w:pPr>
      <w:r>
        <w:rPr/>
        <w:t>股份变动的原因</w:t>
      </w:r>
    </w:p>
    <w:p>
      <w:pPr>
        <w:pStyle w:val="BodyText"/>
        <w:spacing w:line="340" w:lineRule="auto" w:before="115"/>
        <w:ind w:left="513" w:right="1129"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根据《上市公司董事、监事和高级管理人员所持本公司股份及其变动管理规则》和《深圳证券交易所上市公司股东及董</w:t>
      </w:r>
    </w:p>
    <w:p>
      <w:pPr>
        <w:pStyle w:val="BodyText"/>
        <w:spacing w:line="309" w:lineRule="auto" w:before="1"/>
        <w:ind w:right="1133"/>
        <w:jc w:val="both"/>
      </w:pPr>
      <w:r>
        <w:rPr>
          <w:spacing w:val="-2"/>
        </w:rPr>
        <w:t>事、监事、高级管理人员减持股份实施细则》，因首期限制性股票股权激励计划的限制性股票回购注销和高管年初可转让股</w:t>
      </w:r>
      <w:r>
        <w:rPr>
          <w:spacing w:val="-66"/>
        </w:rPr>
        <w:t> </w:t>
      </w:r>
      <w:r>
        <w:rPr>
          <w:spacing w:val="-66"/>
        </w:rPr>
      </w:r>
      <w:r>
        <w:rPr/>
        <w:t>份额度变化，导致公司高管张锦鸿、董事方进、原高管周青伟、麦昊天持有股份性质调整，及原监事李明月卖出</w:t>
      </w:r>
      <w:r>
        <w:rPr>
          <w:rFonts w:ascii="Times New Roman" w:hAnsi="Times New Roman" w:cs="Times New Roman" w:eastAsia="Times New Roman" w:hint="default"/>
        </w:rPr>
        <w:t>200</w:t>
      </w:r>
      <w:r>
        <w:rPr/>
        <w:t>股等原 因，导致报告期内公司合计增加限售流通股</w:t>
      </w:r>
      <w:r>
        <w:rPr>
          <w:rFonts w:ascii="Times New Roman" w:hAnsi="Times New Roman" w:cs="Times New Roman" w:eastAsia="Times New Roman" w:hint="default"/>
        </w:rPr>
        <w:t>51,000</w:t>
      </w:r>
      <w:r>
        <w:rPr/>
        <w:t>股，减少无限售流通股</w:t>
      </w:r>
      <w:r>
        <w:rPr>
          <w:rFonts w:ascii="Times New Roman" w:hAnsi="Times New Roman" w:cs="Times New Roman" w:eastAsia="Times New Roman" w:hint="default"/>
        </w:rPr>
        <w:t>51,000</w:t>
      </w:r>
      <w:r>
        <w:rPr/>
        <w:t>股。</w:t>
      </w:r>
    </w:p>
    <w:p>
      <w:pPr>
        <w:pStyle w:val="BodyText"/>
        <w:spacing w:line="240" w:lineRule="auto" w:before="46"/>
        <w:ind w:right="0"/>
        <w:jc w:val="both"/>
      </w:pPr>
      <w:r>
        <w:rPr/>
        <w:t>股份变动的批准情况</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股份变动的过户情况</w:t>
      </w:r>
    </w:p>
    <w:p>
      <w:pPr>
        <w:pStyle w:val="BodyText"/>
        <w:spacing w:line="338" w:lineRule="auto" w:before="41"/>
        <w:ind w:right="8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股份回购的实施进展情况</w:t>
      </w:r>
    </w:p>
    <w:p>
      <w:pPr>
        <w:pStyle w:val="BodyText"/>
        <w:spacing w:line="415" w:lineRule="auto" w:before="43"/>
        <w:ind w:left="513" w:right="1129"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1"/>
        </w:rPr>
        <w:t>公司通过近几年的战略调整及业务转型升级，已从金融电子产品提供商转型成为金融科技和</w:t>
      </w:r>
      <w:r>
        <w:rPr>
          <w:rFonts w:ascii="Times New Roman" w:hAnsi="Times New Roman" w:cs="Times New Roman" w:eastAsia="Times New Roman" w:hint="default"/>
          <w:spacing w:val="-1"/>
        </w:rPr>
        <w:t>IDC</w:t>
      </w:r>
      <w:r>
        <w:rPr>
          <w:spacing w:val="-1"/>
        </w:rPr>
        <w:t>及云计算两大业务协同</w:t>
      </w:r>
    </w:p>
    <w:p>
      <w:pPr>
        <w:pStyle w:val="BodyText"/>
        <w:spacing w:line="477" w:lineRule="auto" w:before="73"/>
        <w:ind w:right="1130"/>
        <w:jc w:val="both"/>
      </w:pPr>
      <w:r>
        <w:rPr>
          <w:spacing w:val="-2"/>
        </w:rPr>
        <w:t>发展的集自主研发、生产、销售及服务为一体的整体解决方案提供商。在粤港澳大湾区及中部地区投资了五大数据中心。金</w:t>
      </w:r>
      <w:r>
        <w:rPr>
          <w:spacing w:val="-66"/>
        </w:rPr>
        <w:t> </w:t>
      </w:r>
      <w:r>
        <w:rPr>
          <w:spacing w:val="-66"/>
        </w:rPr>
      </w:r>
      <w:r>
        <w:rPr>
          <w:spacing w:val="-2"/>
        </w:rPr>
        <w:t>融科技业务领域也从银行扩展至了互联网企业、其他行业及海外市场，公司已进入新的发展阶段。基于对公司未来发展前景</w:t>
      </w:r>
      <w:r>
        <w:rPr>
          <w:spacing w:val="-63"/>
        </w:rPr>
        <w:t> </w:t>
      </w:r>
      <w:r>
        <w:rPr>
          <w:spacing w:val="-63"/>
        </w:rPr>
      </w:r>
      <w:r>
        <w:rPr>
          <w:spacing w:val="-2"/>
        </w:rPr>
        <w:t>的信心和基本面的判断，公司管理层在综合考虑公司近期股票二级市场表现，结合公司经营情况、财务状况以及未来的盈利</w:t>
      </w:r>
      <w:r>
        <w:rPr>
          <w:spacing w:val="-63"/>
        </w:rPr>
        <w:t> </w:t>
      </w:r>
      <w:r>
        <w:rPr>
          <w:spacing w:val="-63"/>
        </w:rPr>
      </w:r>
      <w:r>
        <w:rPr/>
        <w:t>能力和发展前景，为维护广大投资者的利益，增强投资者信心，公司于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14</w:t>
      </w:r>
      <w:r>
        <w:rPr/>
        <w:t>日、</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w:t>
      </w:r>
      <w:r>
        <w:rPr/>
        <w:t>日分别召开了第四届董事会第</w:t>
      </w:r>
    </w:p>
    <w:p>
      <w:pPr>
        <w:spacing w:after="0" w:line="477"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right="1034"/>
        <w:jc w:val="left"/>
      </w:pPr>
      <w:r>
        <w:rPr>
          <w:spacing w:val="-2"/>
        </w:rPr>
        <w:t>二十六次（临时）会议、</w:t>
      </w:r>
      <w:r>
        <w:rPr>
          <w:rFonts w:ascii="Times New Roman" w:hAnsi="Times New Roman" w:cs="Times New Roman" w:eastAsia="Times New Roman" w:hint="default"/>
          <w:spacing w:val="-2"/>
        </w:rPr>
        <w:t>2018</w:t>
      </w:r>
      <w:r>
        <w:rPr>
          <w:spacing w:val="-2"/>
        </w:rPr>
        <w:t>年第二次临时股东大会，审议通过了《关于回购公司股份的预案》；于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16</w:t>
      </w:r>
      <w:r>
        <w:rPr>
          <w:spacing w:val="-2"/>
        </w:rPr>
        <w:t>日召开了</w:t>
      </w:r>
      <w:r>
        <w:rPr>
          <w:spacing w:val="-63"/>
        </w:rPr>
        <w:t> </w:t>
      </w:r>
      <w:r>
        <w:rPr>
          <w:spacing w:val="-63"/>
        </w:rPr>
      </w:r>
      <w:r>
        <w:rPr/>
        <w:t>第四届董事会第三十二次（临时）会议，审议通过了《关于公司股份回购实施期限延期的议案》；股份回购期限自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 </w:t>
      </w:r>
      <w:r>
        <w:rPr/>
        <w:t>月</w:t>
      </w:r>
      <w:r>
        <w:rPr>
          <w:rFonts w:ascii="Times New Roman" w:hAnsi="Times New Roman" w:cs="Times New Roman" w:eastAsia="Times New Roman" w:hint="default"/>
        </w:rPr>
        <w:t>3</w:t>
      </w:r>
      <w:r>
        <w:rPr/>
        <w:t>日起至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w:t>
      </w:r>
      <w:r>
        <w:rPr/>
        <w:t>日止；公司根据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11</w:t>
      </w:r>
      <w:r>
        <w:rPr/>
        <w:t>日深圳证券交易所发布的《深圳证券交易所上市公司回购股份实施细则》 </w:t>
      </w:r>
      <w:r>
        <w:rPr>
          <w:spacing w:val="-2"/>
        </w:rPr>
        <w:t>相关要求对《回购公司股份的预案》部分内容进行了修订，并于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28</w:t>
      </w:r>
      <w:r>
        <w:rPr>
          <w:spacing w:val="-2"/>
        </w:rPr>
        <w:t>日、</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20</w:t>
      </w:r>
      <w:r>
        <w:rPr>
          <w:spacing w:val="-2"/>
        </w:rPr>
        <w:t>日分别召开第四届董事会第三十六次</w:t>
      </w:r>
    </w:p>
    <w:p>
      <w:pPr>
        <w:pStyle w:val="BodyText"/>
        <w:spacing w:line="451" w:lineRule="auto" w:before="43"/>
        <w:ind w:left="513" w:right="1034" w:hanging="361"/>
        <w:jc w:val="left"/>
      </w:pPr>
      <w:r>
        <w:rPr/>
        <w:t>（临时</w:t>
      </w:r>
      <w:r>
        <w:rPr>
          <w:rFonts w:ascii="Times New Roman" w:hAnsi="Times New Roman" w:cs="Times New Roman" w:eastAsia="Times New Roman" w:hint="default"/>
        </w:rPr>
        <w:t>)</w:t>
      </w:r>
      <w:r>
        <w:rPr/>
        <w:t>会议、</w:t>
      </w:r>
      <w:r>
        <w:rPr>
          <w:rFonts w:ascii="Times New Roman" w:hAnsi="Times New Roman" w:cs="Times New Roman" w:eastAsia="Times New Roman" w:hint="default"/>
        </w:rPr>
        <w:t>2019</w:t>
      </w:r>
      <w:r>
        <w:rPr/>
        <w:t>年第二次临时股东大会审议通过了《关于修订</w:t>
      </w:r>
      <w:r>
        <w:rPr>
          <w:rFonts w:ascii="Times New Roman" w:hAnsi="Times New Roman" w:cs="Times New Roman" w:eastAsia="Times New Roman" w:hint="default"/>
        </w:rPr>
        <w:t>&lt;</w:t>
      </w:r>
      <w:r>
        <w:rPr/>
        <w:t>回购公司股份的预案</w:t>
      </w:r>
      <w:r>
        <w:rPr>
          <w:rFonts w:ascii="Times New Roman" w:hAnsi="Times New Roman" w:cs="Times New Roman" w:eastAsia="Times New Roman" w:hint="default"/>
        </w:rPr>
        <w:t>&gt;</w:t>
      </w:r>
      <w:r>
        <w:rPr/>
        <w:t>的议案》。</w:t>
      </w:r>
      <w:r>
        <w:rPr>
          <w:rFonts w:ascii="宋体" w:hAnsi="宋体" w:cs="宋体" w:eastAsia="宋体" w:hint="default"/>
        </w:rPr>
        <w:t> </w:t>
      </w:r>
      <w:r>
        <w:rPr>
          <w:spacing w:val="-2"/>
        </w:rPr>
        <w:t>截至报告期末及报告披露日，公司通过回购专用证券账户以集中竞价交易方式累计回购股份</w:t>
      </w:r>
      <w:r>
        <w:rPr>
          <w:rFonts w:ascii="Times New Roman" w:hAnsi="Times New Roman" w:cs="Times New Roman" w:eastAsia="Times New Roman" w:hint="default"/>
          <w:spacing w:val="-2"/>
        </w:rPr>
        <w:t>3,716,500</w:t>
      </w:r>
      <w:r>
        <w:rPr>
          <w:spacing w:val="-2"/>
        </w:rPr>
        <w:t>股，占公司总股本</w:t>
      </w:r>
    </w:p>
    <w:p>
      <w:pPr>
        <w:pStyle w:val="BodyText"/>
        <w:spacing w:line="451" w:lineRule="auto" w:before="43"/>
        <w:ind w:left="513" w:right="1129" w:hanging="361"/>
        <w:jc w:val="left"/>
      </w:pPr>
      <w:r>
        <w:rPr/>
        <w:t>的</w:t>
      </w:r>
      <w:r>
        <w:rPr>
          <w:rFonts w:ascii="Times New Roman" w:hAnsi="Times New Roman" w:cs="Times New Roman" w:eastAsia="Times New Roman" w:hint="default"/>
        </w:rPr>
        <w:t>0.72%</w:t>
      </w:r>
      <w:r>
        <w:rPr/>
        <w:t>，其中</w:t>
      </w:r>
      <w:r>
        <w:rPr>
          <w:spacing w:val="-20"/>
        </w:rPr>
        <w:t> </w:t>
      </w:r>
      <w:r>
        <w:rPr/>
        <w:t>，最高成交价为</w:t>
      </w:r>
      <w:r>
        <w:rPr>
          <w:rFonts w:ascii="Times New Roman" w:hAnsi="Times New Roman" w:cs="Times New Roman" w:eastAsia="Times New Roman" w:hint="default"/>
        </w:rPr>
        <w:t>7.74</w:t>
      </w:r>
      <w:r>
        <w:rPr/>
        <w:t>元</w:t>
      </w:r>
      <w:r>
        <w:rPr>
          <w:rFonts w:ascii="Times New Roman" w:hAnsi="Times New Roman" w:cs="Times New Roman" w:eastAsia="Times New Roman" w:hint="default"/>
        </w:rPr>
        <w:t>/</w:t>
      </w:r>
      <w:r>
        <w:rPr/>
        <w:t>股，最低成交价为</w:t>
      </w:r>
      <w:r>
        <w:rPr>
          <w:rFonts w:ascii="Times New Roman" w:hAnsi="Times New Roman" w:cs="Times New Roman" w:eastAsia="Times New Roman" w:hint="default"/>
        </w:rPr>
        <w:t>7.22</w:t>
      </w:r>
      <w:r>
        <w:rPr/>
        <w:t>元</w:t>
      </w:r>
      <w:r>
        <w:rPr>
          <w:rFonts w:ascii="Times New Roman" w:hAnsi="Times New Roman" w:cs="Times New Roman" w:eastAsia="Times New Roman" w:hint="default"/>
        </w:rPr>
        <w:t>/</w:t>
      </w:r>
      <w:r>
        <w:rPr/>
        <w:t>股，合计支付的总金额为</w:t>
      </w:r>
      <w:r>
        <w:rPr>
          <w:rFonts w:ascii="Times New Roman" w:hAnsi="Times New Roman" w:cs="Times New Roman" w:eastAsia="Times New Roman" w:hint="default"/>
        </w:rPr>
        <w:t>27,891,403.45</w:t>
      </w:r>
      <w:r>
        <w:rPr/>
        <w:t>元。</w:t>
      </w:r>
      <w:r>
        <w:rPr>
          <w:rFonts w:ascii="宋体" w:hAnsi="宋体" w:cs="宋体" w:eastAsia="宋体" w:hint="default"/>
        </w:rPr>
        <w:t> </w:t>
      </w:r>
      <w:r>
        <w:rPr>
          <w:spacing w:val="-2"/>
        </w:rPr>
        <w:t>截止报告披露日，公司尚未实施完回购股份的购买工作，后续公司将根据关于敏感期、回购数量和节奏等相关要求，以</w:t>
      </w:r>
    </w:p>
    <w:p>
      <w:pPr>
        <w:pStyle w:val="BodyText"/>
        <w:spacing w:line="436" w:lineRule="auto" w:before="74"/>
        <w:ind w:right="6974"/>
        <w:jc w:val="left"/>
      </w:pPr>
      <w:r>
        <w:rPr/>
        <w:t>及市场情况、资金安排继续实施回购。 采用集中竞价方式减持回购股份的实施进展情况</w:t>
      </w:r>
    </w:p>
    <w:p>
      <w:pPr>
        <w:pStyle w:val="BodyText"/>
        <w:spacing w:line="216" w:lineRule="exact"/>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133"/>
        <w:jc w:val="left"/>
      </w:pPr>
      <w:r>
        <w:rPr/>
        <w:t>股份变动对最近一年和最近一期基本每股收益和稀释每股收益、归属于公司普通股股东的每股净资产等财务指标的影响</w:t>
      </w:r>
    </w:p>
    <w:p>
      <w:pPr>
        <w:pStyle w:val="BodyText"/>
        <w:spacing w:line="412" w:lineRule="auto" w:before="117"/>
        <w:ind w:left="513" w:right="1034"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报告期内，公司虽通过回购专用证券账户以集中竞价交易方式累计回购股份</w:t>
      </w:r>
      <w:r>
        <w:rPr>
          <w:rFonts w:ascii="Times New Roman" w:hAnsi="Times New Roman" w:cs="Times New Roman" w:eastAsia="Times New Roman" w:hint="default"/>
          <w:spacing w:val="-2"/>
        </w:rPr>
        <w:t>3,716,500</w:t>
      </w:r>
      <w:r>
        <w:rPr>
          <w:spacing w:val="-2"/>
        </w:rPr>
        <w:t>股，但因数量较少，未对最近一年</w:t>
      </w:r>
    </w:p>
    <w:p>
      <w:pPr>
        <w:pStyle w:val="BodyText"/>
        <w:spacing w:line="518" w:lineRule="auto" w:before="75"/>
        <w:ind w:right="2294"/>
        <w:jc w:val="left"/>
      </w:pPr>
      <w:r>
        <w:rPr/>
        <w:t>和最近一期基本每股收益和稀释每股收益、归属于公司普通股股东的每股净资产等财务指标产生重大影响。 公司认为必要或证券监管机构要求披露的其他内容</w:t>
      </w:r>
    </w:p>
    <w:p>
      <w:pPr>
        <w:pStyle w:val="BodyText"/>
        <w:spacing w:line="234" w:lineRule="exact"/>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单位：股</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87"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88" w:right="46"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37"/>
              <w:jc w:val="righ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78,507,878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78,507,878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5"/>
              <w:jc w:val="left"/>
              <w:rPr>
                <w:rFonts w:ascii="宋体" w:hAnsi="宋体" w:cs="宋体" w:eastAsia="宋体" w:hint="default"/>
                <w:sz w:val="18"/>
                <w:szCs w:val="18"/>
              </w:rPr>
            </w:pPr>
            <w:r>
              <w:rPr>
                <w:rFonts w:ascii="宋体" w:hAnsi="宋体" w:cs="宋体" w:eastAsia="宋体" w:hint="default"/>
                <w:sz w:val="18"/>
                <w:szCs w:val="18"/>
              </w:rPr>
              <w:t>每年首个交易日 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许忠慈</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1,543,488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1,543,488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55"/>
              <w:jc w:val="left"/>
              <w:rPr>
                <w:rFonts w:ascii="宋体" w:hAnsi="宋体" w:cs="宋体" w:eastAsia="宋体" w:hint="default"/>
                <w:sz w:val="18"/>
                <w:szCs w:val="18"/>
              </w:rPr>
            </w:pPr>
            <w:r>
              <w:rPr>
                <w:rFonts w:ascii="宋体" w:hAnsi="宋体" w:cs="宋体" w:eastAsia="宋体" w:hint="default"/>
                <w:sz w:val="18"/>
                <w:szCs w:val="18"/>
              </w:rPr>
              <w:t>每年首个交易日 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方进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5"/>
              <w:jc w:val="left"/>
              <w:rPr>
                <w:rFonts w:ascii="宋体" w:hAnsi="宋体" w:cs="宋体" w:eastAsia="宋体" w:hint="default"/>
                <w:sz w:val="18"/>
                <w:szCs w:val="18"/>
              </w:rPr>
            </w:pPr>
            <w:r>
              <w:rPr>
                <w:rFonts w:ascii="宋体" w:hAnsi="宋体" w:cs="宋体" w:eastAsia="宋体" w:hint="default"/>
                <w:sz w:val="18"/>
                <w:szCs w:val="18"/>
              </w:rPr>
              <w:t>每年首个交易日 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张锦鸿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55"/>
              <w:jc w:val="left"/>
              <w:rPr>
                <w:rFonts w:ascii="宋体" w:hAnsi="宋体" w:cs="宋体" w:eastAsia="宋体" w:hint="default"/>
                <w:sz w:val="18"/>
                <w:szCs w:val="18"/>
              </w:rPr>
            </w:pPr>
            <w:r>
              <w:rPr>
                <w:rFonts w:ascii="宋体" w:hAnsi="宋体" w:cs="宋体" w:eastAsia="宋体" w:hint="default"/>
                <w:sz w:val="18"/>
                <w:szCs w:val="18"/>
              </w:rPr>
              <w:t>每年首个交易日 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李国政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5"/>
              <w:jc w:val="left"/>
              <w:rPr>
                <w:rFonts w:ascii="宋体" w:hAnsi="宋体" w:cs="宋体" w:eastAsia="宋体" w:hint="default"/>
                <w:sz w:val="18"/>
                <w:szCs w:val="18"/>
              </w:rPr>
            </w:pPr>
            <w:r>
              <w:rPr>
                <w:rFonts w:ascii="宋体" w:hAnsi="宋体" w:cs="宋体" w:eastAsia="宋体" w:hint="default"/>
                <w:sz w:val="18"/>
                <w:szCs w:val="18"/>
              </w:rPr>
              <w:t>每年首个交易日 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周青伟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292,968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312,168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72"/>
              <w:jc w:val="right"/>
              <w:rPr>
                <w:rFonts w:ascii="宋体" w:hAnsi="宋体" w:cs="宋体" w:eastAsia="宋体" w:hint="default"/>
                <w:sz w:val="18"/>
                <w:szCs w:val="18"/>
              </w:rPr>
            </w:pPr>
            <w:r>
              <w:rPr>
                <w:rFonts w:ascii="宋体" w:hAnsi="宋体" w:cs="宋体" w:eastAsia="宋体" w:hint="default"/>
                <w:sz w:val="18"/>
                <w:szCs w:val="18"/>
              </w:rPr>
              <w:t>每年首个交易日</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363"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1"/>
              <w:jc w:val="center"/>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李明月</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公司原监事，离 任满</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个月后股 份全部解锁及卖 出</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麦昊天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5"/>
              <w:jc w:val="left"/>
              <w:rPr>
                <w:rFonts w:ascii="宋体" w:hAnsi="宋体" w:cs="宋体" w:eastAsia="宋体" w:hint="default"/>
                <w:sz w:val="18"/>
                <w:szCs w:val="18"/>
              </w:rPr>
            </w:pPr>
            <w:r>
              <w:rPr>
                <w:rFonts w:ascii="宋体" w:hAnsi="宋体" w:cs="宋体" w:eastAsia="宋体" w:hint="default"/>
                <w:sz w:val="18"/>
                <w:szCs w:val="18"/>
              </w:rPr>
              <w:t>每年首个交易日 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80,527,634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80,578,634</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513" w:right="175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本报告期内，公司通过回购专用证券账户以集中竞价交易方式累计回购股份</w:t>
      </w:r>
      <w:r>
        <w:rPr>
          <w:rFonts w:ascii="Times New Roman" w:hAnsi="Times New Roman" w:cs="Times New Roman" w:eastAsia="Times New Roman" w:hint="default"/>
        </w:rPr>
        <w:t>3,716,500</w:t>
      </w:r>
      <w:r>
        <w:rPr/>
        <w:t>股，合计支付的总金额为</w:t>
      </w:r>
    </w:p>
    <w:p>
      <w:pPr>
        <w:pStyle w:val="BodyText"/>
        <w:spacing w:line="228" w:lineRule="exact"/>
        <w:ind w:right="1133"/>
        <w:jc w:val="left"/>
      </w:pPr>
      <w:r>
        <w:rPr>
          <w:rFonts w:ascii="Times New Roman" w:hAnsi="Times New Roman" w:cs="Times New Roman" w:eastAsia="Times New Roman" w:hint="default"/>
        </w:rPr>
        <w:t>27,891,403.45</w:t>
      </w:r>
      <w:r>
        <w:rPr/>
        <w:t>元，其中费用</w:t>
      </w:r>
      <w:r>
        <w:rPr>
          <w:rFonts w:ascii="Times New Roman" w:hAnsi="Times New Roman" w:cs="Times New Roman" w:eastAsia="Times New Roman" w:hint="default"/>
        </w:rPr>
        <w:t>8,371.45</w:t>
      </w:r>
      <w:r>
        <w:rPr/>
        <w:t>元，库存股</w:t>
      </w:r>
      <w:r>
        <w:rPr>
          <w:rFonts w:ascii="Times New Roman" w:hAnsi="Times New Roman" w:cs="Times New Roman" w:eastAsia="Times New Roman" w:hint="default"/>
        </w:rPr>
        <w:t>27,883,032</w:t>
      </w:r>
      <w:r>
        <w:rPr/>
        <w:t>元。</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274"/>
        <w:gridCol w:w="934"/>
        <w:gridCol w:w="149"/>
        <w:gridCol w:w="853"/>
        <w:gridCol w:w="174"/>
        <w:gridCol w:w="877"/>
        <w:gridCol w:w="341"/>
        <w:gridCol w:w="449"/>
        <w:gridCol w:w="724"/>
        <w:gridCol w:w="270"/>
        <w:gridCol w:w="994"/>
        <w:gridCol w:w="132"/>
        <w:gridCol w:w="1033"/>
        <w:gridCol w:w="140"/>
        <w:gridCol w:w="1206"/>
      </w:tblGrid>
      <w:tr>
        <w:trPr>
          <w:trHeight w:val="161" w:hRule="exact"/>
        </w:trPr>
        <w:tc>
          <w:tcPr>
            <w:tcW w:w="1184" w:type="dxa"/>
            <w:vMerge w:val="restart"/>
            <w:tcBorders>
              <w:top w:val="single" w:sz="4" w:space="0" w:color="000000"/>
              <w:left w:val="single" w:sz="4" w:space="0" w:color="000000"/>
              <w:right w:val="single" w:sz="4" w:space="0" w:color="000000"/>
            </w:tcBorders>
            <w:shd w:val="clear" w:color="auto" w:fill="D2D2D2"/>
          </w:tcPr>
          <w:p>
            <w:pPr/>
          </w:p>
        </w:tc>
        <w:tc>
          <w:tcPr>
            <w:tcW w:w="12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663" w:right="0"/>
              <w:jc w:val="left"/>
              <w:rPr>
                <w:rFonts w:ascii="Times New Roman" w:hAnsi="Times New Roman" w:cs="Times New Roman" w:eastAsia="Times New Roman" w:hint="default"/>
                <w:sz w:val="18"/>
                <w:szCs w:val="18"/>
              </w:rPr>
            </w:pPr>
            <w:r>
              <w:rPr>
                <w:rFonts w:ascii="Times New Roman"/>
                <w:sz w:val="18"/>
              </w:rPr>
              <w:t>49,063</w:t>
            </w:r>
          </w:p>
        </w:tc>
        <w:tc>
          <w:tcPr>
            <w:tcW w:w="1175" w:type="dxa"/>
            <w:gridSpan w:val="3"/>
            <w:vMerge w:val="restart"/>
            <w:tcBorders>
              <w:top w:val="single" w:sz="4" w:space="0" w:color="000000"/>
              <w:left w:val="single" w:sz="4" w:space="0" w:color="000000"/>
              <w:right w:val="single" w:sz="4" w:space="0" w:color="000000"/>
            </w:tcBorders>
            <w:shd w:val="clear" w:color="auto" w:fill="D2D2D2"/>
          </w:tcPr>
          <w:p>
            <w:pPr/>
          </w:p>
        </w:tc>
        <w:tc>
          <w:tcPr>
            <w:tcW w:w="1218" w:type="dxa"/>
            <w:gridSpan w:val="2"/>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674" w:right="0"/>
              <w:jc w:val="left"/>
              <w:rPr>
                <w:rFonts w:ascii="Times New Roman" w:hAnsi="Times New Roman" w:cs="Times New Roman" w:eastAsia="Times New Roman" w:hint="default"/>
                <w:sz w:val="18"/>
                <w:szCs w:val="18"/>
              </w:rPr>
            </w:pPr>
            <w:r>
              <w:rPr>
                <w:rFonts w:ascii="Times New Roman"/>
                <w:sz w:val="18"/>
              </w:rPr>
              <w:t>55,579</w:t>
            </w:r>
          </w:p>
        </w:tc>
        <w:tc>
          <w:tcPr>
            <w:tcW w:w="117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396" w:type="dxa"/>
            <w:gridSpan w:val="3"/>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6" w:type="dxa"/>
            <w:vMerge w:val="restart"/>
            <w:tcBorders>
              <w:top w:val="single" w:sz="4" w:space="0" w:color="000000"/>
              <w:left w:val="single" w:sz="12"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84" w:type="dxa"/>
            <w:vMerge/>
            <w:tcBorders>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3"/>
            <w:vMerge/>
            <w:tcBorders>
              <w:left w:val="single" w:sz="4" w:space="0" w:color="000000"/>
              <w:bottom w:val="nil" w:sz="6" w:space="0" w:color="auto"/>
              <w:right w:val="single" w:sz="4" w:space="0" w:color="000000"/>
            </w:tcBorders>
            <w:shd w:val="clear" w:color="auto" w:fill="D2D2D2"/>
          </w:tcPr>
          <w:p>
            <w:pPr/>
          </w:p>
        </w:tc>
        <w:tc>
          <w:tcPr>
            <w:tcW w:w="1218" w:type="dxa"/>
            <w:gridSpan w:val="2"/>
            <w:vMerge/>
            <w:tcBorders>
              <w:left w:val="single" w:sz="9" w:space="0" w:color="D2D2D2"/>
              <w:right w:val="single" w:sz="10" w:space="0" w:color="D2D2D2"/>
            </w:tcBorders>
          </w:tcPr>
          <w:p>
            <w:pPr/>
          </w:p>
        </w:tc>
        <w:tc>
          <w:tcPr>
            <w:tcW w:w="117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69"/>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6" w:lineRule="auto" w:before="19"/>
              <w:ind w:left="11" w:right="11"/>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396" w:type="dxa"/>
            <w:gridSpan w:val="3"/>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6" w:type="dxa"/>
            <w:vMerge/>
            <w:tcBorders>
              <w:left w:val="single" w:sz="12" w:space="0" w:color="D2D2D2"/>
              <w:right w:val="single" w:sz="4" w:space="0" w:color="000000"/>
            </w:tcBorders>
          </w:tcPr>
          <w:p>
            <w:pPr/>
          </w:p>
        </w:tc>
      </w:tr>
      <w:tr>
        <w:trPr>
          <w:trHeight w:val="313"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71"/>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2"/>
            <w:vMerge/>
            <w:tcBorders>
              <w:left w:val="single" w:sz="9" w:space="0" w:color="D2D2D2"/>
              <w:right w:val="single" w:sz="10"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396" w:type="dxa"/>
            <w:gridSpan w:val="3"/>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6" w:type="dxa"/>
            <w:vMerge/>
            <w:tcBorders>
              <w:left w:val="single" w:sz="12" w:space="0" w:color="D2D2D2"/>
              <w:right w:val="single" w:sz="4" w:space="0" w:color="000000"/>
            </w:tcBorders>
          </w:tcPr>
          <w:p>
            <w:pPr/>
          </w:p>
        </w:tc>
      </w:tr>
      <w:tr>
        <w:trPr>
          <w:trHeight w:val="706"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7" w:type="dxa"/>
            <w:gridSpan w:val="2"/>
            <w:vMerge/>
            <w:tcBorders>
              <w:left w:val="single" w:sz="9" w:space="0" w:color="D2D2D2"/>
              <w:right w:val="single" w:sz="9" w:space="0" w:color="D2D2D2"/>
            </w:tcBorders>
          </w:tcPr>
          <w:p>
            <w:pPr/>
          </w:p>
        </w:tc>
        <w:tc>
          <w:tcPr>
            <w:tcW w:w="1175" w:type="dxa"/>
            <w:gridSpan w:val="3"/>
            <w:vMerge/>
            <w:tcBorders>
              <w:left w:val="single" w:sz="4" w:space="0" w:color="000000"/>
              <w:right w:val="single" w:sz="4" w:space="0" w:color="000000"/>
            </w:tcBorders>
            <w:shd w:val="clear" w:color="auto" w:fill="D2D2D2"/>
          </w:tcPr>
          <w:p>
            <w:pPr/>
          </w:p>
        </w:tc>
        <w:tc>
          <w:tcPr>
            <w:tcW w:w="1218" w:type="dxa"/>
            <w:gridSpan w:val="2"/>
            <w:vMerge/>
            <w:tcBorders>
              <w:left w:val="single" w:sz="9" w:space="0" w:color="D2D2D2"/>
              <w:right w:val="single" w:sz="10"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396" w:type="dxa"/>
            <w:gridSpan w:val="3"/>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6" w:type="dxa"/>
            <w:vMerge/>
            <w:tcBorders>
              <w:left w:val="single" w:sz="12" w:space="0" w:color="D2D2D2"/>
              <w:right w:val="single" w:sz="4" w:space="0" w:color="000000"/>
            </w:tcBorders>
          </w:tcPr>
          <w:p>
            <w:pPr/>
          </w:p>
        </w:tc>
      </w:tr>
      <w:tr>
        <w:trPr>
          <w:trHeight w:val="31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3"/>
            <w:vMerge/>
            <w:tcBorders>
              <w:left w:val="single" w:sz="4" w:space="0" w:color="000000"/>
              <w:bottom w:val="nil" w:sz="6" w:space="0" w:color="auto"/>
              <w:right w:val="single" w:sz="4" w:space="0" w:color="000000"/>
            </w:tcBorders>
            <w:shd w:val="clear" w:color="auto" w:fill="D2D2D2"/>
          </w:tcPr>
          <w:p>
            <w:pPr/>
          </w:p>
        </w:tc>
        <w:tc>
          <w:tcPr>
            <w:tcW w:w="1218" w:type="dxa"/>
            <w:gridSpan w:val="2"/>
            <w:vMerge/>
            <w:tcBorders>
              <w:left w:val="single" w:sz="9" w:space="0" w:color="D2D2D2"/>
              <w:right w:val="single" w:sz="10"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396" w:type="dxa"/>
            <w:gridSpan w:val="3"/>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6" w:type="dxa"/>
            <w:vMerge/>
            <w:tcBorders>
              <w:left w:val="single" w:sz="12" w:space="0" w:color="D2D2D2"/>
              <w:right w:val="single" w:sz="4" w:space="0" w:color="000000"/>
            </w:tcBorders>
          </w:tcPr>
          <w:p>
            <w:pPr/>
          </w:p>
        </w:tc>
      </w:tr>
      <w:tr>
        <w:trPr>
          <w:trHeight w:val="156" w:hRule="exact"/>
        </w:trPr>
        <w:tc>
          <w:tcPr>
            <w:tcW w:w="1184" w:type="dxa"/>
            <w:vMerge/>
            <w:tcBorders>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3"/>
            <w:vMerge w:val="restart"/>
            <w:tcBorders>
              <w:top w:val="nil" w:sz="6" w:space="0" w:color="auto"/>
              <w:left w:val="single" w:sz="4" w:space="0" w:color="000000"/>
              <w:right w:val="single" w:sz="4" w:space="0" w:color="000000"/>
            </w:tcBorders>
            <w:shd w:val="clear" w:color="auto" w:fill="D2D2D2"/>
          </w:tcPr>
          <w:p>
            <w:pPr/>
          </w:p>
        </w:tc>
        <w:tc>
          <w:tcPr>
            <w:tcW w:w="1218" w:type="dxa"/>
            <w:gridSpan w:val="2"/>
            <w:vMerge/>
            <w:tcBorders>
              <w:left w:val="single" w:sz="9" w:space="0" w:color="D2D2D2"/>
              <w:right w:val="single" w:sz="10" w:space="0" w:color="D2D2D2"/>
            </w:tcBorders>
          </w:tcPr>
          <w:p>
            <w:pPr/>
          </w:p>
        </w:tc>
        <w:tc>
          <w:tcPr>
            <w:tcW w:w="1173" w:type="dxa"/>
            <w:gridSpan w:val="2"/>
            <w:vMerge/>
            <w:tcBorders>
              <w:left w:val="single" w:sz="4" w:space="0" w:color="000000"/>
              <w:bottom w:val="nil" w:sz="6" w:space="0" w:color="auto"/>
              <w:right w:val="single" w:sz="4" w:space="0" w:color="000000"/>
            </w:tcBorders>
            <w:shd w:val="clear" w:color="auto" w:fill="D2D2D2"/>
          </w:tcPr>
          <w:p>
            <w:pPr/>
          </w:p>
        </w:tc>
        <w:tc>
          <w:tcPr>
            <w:tcW w:w="1396" w:type="dxa"/>
            <w:gridSpan w:val="3"/>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6" w:type="dxa"/>
            <w:vMerge/>
            <w:tcBorders>
              <w:left w:val="single" w:sz="12" w:space="0" w:color="D2D2D2"/>
              <w:right w:val="single" w:sz="4" w:space="0" w:color="000000"/>
            </w:tcBorders>
          </w:tcPr>
          <w:p>
            <w:pPr/>
          </w:p>
        </w:tc>
      </w:tr>
      <w:tr>
        <w:trPr>
          <w:trHeight w:val="166" w:hRule="exact"/>
        </w:trPr>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gridSpan w:val="2"/>
            <w:vMerge/>
            <w:tcBorders>
              <w:left w:val="single" w:sz="9" w:space="0" w:color="D2D2D2"/>
              <w:bottom w:val="single" w:sz="4" w:space="0" w:color="000000"/>
              <w:right w:val="single" w:sz="9" w:space="0" w:color="D2D2D2"/>
            </w:tcBorders>
          </w:tcPr>
          <w:p>
            <w:pPr/>
          </w:p>
        </w:tc>
        <w:tc>
          <w:tcPr>
            <w:tcW w:w="1175" w:type="dxa"/>
            <w:gridSpan w:val="3"/>
            <w:vMerge/>
            <w:tcBorders>
              <w:left w:val="single" w:sz="4" w:space="0" w:color="000000"/>
              <w:bottom w:val="single" w:sz="4" w:space="0" w:color="000000"/>
              <w:right w:val="single" w:sz="4" w:space="0" w:color="000000"/>
            </w:tcBorders>
            <w:shd w:val="clear" w:color="auto" w:fill="D2D2D2"/>
          </w:tcPr>
          <w:p>
            <w:pPr/>
          </w:p>
        </w:tc>
        <w:tc>
          <w:tcPr>
            <w:tcW w:w="1218" w:type="dxa"/>
            <w:gridSpan w:val="2"/>
            <w:vMerge/>
            <w:tcBorders>
              <w:left w:val="single" w:sz="9" w:space="0" w:color="D2D2D2"/>
              <w:bottom w:val="single" w:sz="4" w:space="0" w:color="000000"/>
              <w:right w:val="single" w:sz="10" w:space="0" w:color="D2D2D2"/>
            </w:tcBorders>
          </w:tcPr>
          <w:p>
            <w:pPr/>
          </w:p>
        </w:tc>
        <w:tc>
          <w:tcPr>
            <w:tcW w:w="117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396" w:type="dxa"/>
            <w:gridSpan w:val="3"/>
            <w:vMerge/>
            <w:tcBorders>
              <w:left w:val="single" w:sz="10" w:space="0" w:color="D2D2D2"/>
              <w:bottom w:val="single" w:sz="4" w:space="0" w:color="000000"/>
              <w:right w:val="single" w:sz="13"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6" w:type="dxa"/>
            <w:vMerge/>
            <w:tcBorders>
              <w:left w:val="single" w:sz="12" w:space="0" w:color="D2D2D2"/>
              <w:bottom w:val="single" w:sz="4" w:space="0" w:color="000000"/>
              <w:right w:val="single" w:sz="4" w:space="0" w:color="000000"/>
            </w:tcBorders>
          </w:tcPr>
          <w:p>
            <w:pPr/>
          </w:p>
        </w:tc>
      </w:tr>
      <w:tr>
        <w:trPr>
          <w:trHeight w:val="391" w:hRule="exact"/>
        </w:trPr>
        <w:tc>
          <w:tcPr>
            <w:tcW w:w="9732"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137"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57" w:type="dxa"/>
            <w:gridSpan w:val="2"/>
            <w:vMerge w:val="restart"/>
            <w:tcBorders>
              <w:top w:val="single" w:sz="4" w:space="0" w:color="000000"/>
              <w:left w:val="single" w:sz="4" w:space="0" w:color="000000"/>
              <w:right w:val="single" w:sz="4" w:space="0" w:color="000000"/>
            </w:tcBorders>
            <w:shd w:val="clear" w:color="auto" w:fill="D2D2D2"/>
          </w:tcPr>
          <w:p>
            <w:pPr/>
          </w:p>
        </w:tc>
        <w:tc>
          <w:tcPr>
            <w:tcW w:w="1082" w:type="dxa"/>
            <w:gridSpan w:val="2"/>
            <w:vMerge w:val="restart"/>
            <w:tcBorders>
              <w:top w:val="single" w:sz="4" w:space="0" w:color="000000"/>
              <w:left w:val="single" w:sz="4" w:space="0" w:color="000000"/>
              <w:right w:val="single" w:sz="4" w:space="0" w:color="000000"/>
            </w:tcBorders>
            <w:shd w:val="clear" w:color="auto" w:fill="D2D2D2"/>
          </w:tcPr>
          <w:p>
            <w:pPr/>
          </w:p>
        </w:tc>
        <w:tc>
          <w:tcPr>
            <w:tcW w:w="853" w:type="dxa"/>
            <w:vMerge w:val="restart"/>
            <w:tcBorders>
              <w:top w:val="single" w:sz="4" w:space="0" w:color="000000"/>
              <w:left w:val="single" w:sz="4" w:space="0" w:color="000000"/>
              <w:right w:val="single" w:sz="4" w:space="0" w:color="000000"/>
            </w:tcBorders>
            <w:shd w:val="clear" w:color="auto" w:fill="D2D2D2"/>
          </w:tcPr>
          <w:p>
            <w:pPr/>
          </w:p>
        </w:tc>
        <w:tc>
          <w:tcPr>
            <w:tcW w:w="105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1" w:right="27"/>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9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3" w:right="3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0" w:right="41"/>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511"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2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57" w:type="dxa"/>
            <w:gridSpan w:val="2"/>
            <w:vMerge/>
            <w:tcBorders>
              <w:left w:val="single" w:sz="4" w:space="0" w:color="000000"/>
              <w:bottom w:val="nil" w:sz="6" w:space="0" w:color="auto"/>
              <w:right w:val="single" w:sz="4" w:space="0" w:color="000000"/>
            </w:tcBorders>
            <w:shd w:val="clear" w:color="auto" w:fill="D2D2D2"/>
          </w:tcPr>
          <w:p>
            <w:pPr/>
          </w:p>
        </w:tc>
        <w:tc>
          <w:tcPr>
            <w:tcW w:w="1082" w:type="dxa"/>
            <w:gridSpan w:val="2"/>
            <w:vMerge/>
            <w:tcBorders>
              <w:left w:val="single" w:sz="4" w:space="0" w:color="000000"/>
              <w:bottom w:val="nil" w:sz="6" w:space="0" w:color="auto"/>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105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51" w:right="67"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790" w:type="dxa"/>
            <w:gridSpan w:val="2"/>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2511" w:type="dxa"/>
            <w:gridSpan w:val="4"/>
            <w:vMerge/>
            <w:tcBorders>
              <w:left w:val="single" w:sz="4" w:space="0" w:color="000000"/>
              <w:right w:val="single" w:sz="4" w:space="0" w:color="000000"/>
            </w:tcBorders>
            <w:shd w:val="clear" w:color="auto" w:fill="D2D2D2"/>
          </w:tcPr>
          <w:p>
            <w:pPr/>
          </w:p>
        </w:tc>
      </w:tr>
      <w:tr>
        <w:trPr>
          <w:trHeight w:val="142" w:hRule="exact"/>
        </w:trPr>
        <w:tc>
          <w:tcPr>
            <w:tcW w:w="145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8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51" w:type="dxa"/>
            <w:gridSpan w:val="2"/>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2511" w:type="dxa"/>
            <w:gridSpan w:val="4"/>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57" w:type="dxa"/>
            <w:gridSpan w:val="2"/>
            <w:vMerge/>
            <w:tcBorders>
              <w:left w:val="single" w:sz="4" w:space="0" w:color="000000"/>
              <w:bottom w:val="nil" w:sz="6" w:space="0" w:color="auto"/>
              <w:right w:val="single" w:sz="4" w:space="0" w:color="000000"/>
            </w:tcBorders>
            <w:shd w:val="clear" w:color="auto" w:fill="D2D2D2"/>
          </w:tcPr>
          <w:p>
            <w:pPr/>
          </w:p>
        </w:tc>
        <w:tc>
          <w:tcPr>
            <w:tcW w:w="1082" w:type="dxa"/>
            <w:gridSpan w:val="2"/>
            <w:vMerge/>
            <w:tcBorders>
              <w:left w:val="single" w:sz="4" w:space="0" w:color="000000"/>
              <w:bottom w:val="nil" w:sz="6" w:space="0" w:color="auto"/>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1051" w:type="dxa"/>
            <w:gridSpan w:val="2"/>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116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21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57" w:type="dxa"/>
            <w:gridSpan w:val="2"/>
            <w:vMerge w:val="restart"/>
            <w:tcBorders>
              <w:top w:val="nil" w:sz="6" w:space="0" w:color="auto"/>
              <w:left w:val="single" w:sz="4" w:space="0" w:color="000000"/>
              <w:right w:val="single" w:sz="4" w:space="0" w:color="000000"/>
            </w:tcBorders>
            <w:shd w:val="clear" w:color="auto" w:fill="D2D2D2"/>
          </w:tcPr>
          <w:p>
            <w:pPr/>
          </w:p>
        </w:tc>
        <w:tc>
          <w:tcPr>
            <w:tcW w:w="1082" w:type="dxa"/>
            <w:gridSpan w:val="2"/>
            <w:vMerge w:val="restart"/>
            <w:tcBorders>
              <w:top w:val="nil" w:sz="6" w:space="0" w:color="auto"/>
              <w:left w:val="single" w:sz="4" w:space="0" w:color="000000"/>
              <w:right w:val="single" w:sz="4" w:space="0" w:color="000000"/>
            </w:tcBorders>
            <w:shd w:val="clear" w:color="auto" w:fill="D2D2D2"/>
          </w:tcPr>
          <w:p>
            <w:pPr/>
          </w:p>
        </w:tc>
        <w:tc>
          <w:tcPr>
            <w:tcW w:w="853" w:type="dxa"/>
            <w:vMerge w:val="restart"/>
            <w:tcBorders>
              <w:top w:val="nil" w:sz="6" w:space="0" w:color="auto"/>
              <w:left w:val="single" w:sz="4" w:space="0" w:color="000000"/>
              <w:right w:val="single" w:sz="4" w:space="0" w:color="000000"/>
            </w:tcBorders>
            <w:shd w:val="clear" w:color="auto" w:fill="D2D2D2"/>
          </w:tcPr>
          <w:p>
            <w:pPr/>
          </w:p>
        </w:tc>
        <w:tc>
          <w:tcPr>
            <w:tcW w:w="1051" w:type="dxa"/>
            <w:gridSpan w:val="2"/>
            <w:vMerge/>
            <w:tcBorders>
              <w:left w:val="single" w:sz="4" w:space="0" w:color="000000"/>
              <w:bottom w:val="nil" w:sz="6" w:space="0" w:color="auto"/>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1165" w:type="dxa"/>
            <w:gridSpan w:val="2"/>
            <w:vMerge/>
            <w:tcBorders>
              <w:left w:val="single" w:sz="4" w:space="0" w:color="000000"/>
              <w:right w:val="single" w:sz="4" w:space="0" w:color="000000"/>
            </w:tcBorders>
            <w:shd w:val="clear" w:color="auto" w:fill="D2D2D2"/>
          </w:tcPr>
          <w:p>
            <w:pPr/>
          </w:p>
        </w:tc>
        <w:tc>
          <w:tcPr>
            <w:tcW w:w="1346" w:type="dxa"/>
            <w:gridSpan w:val="2"/>
            <w:vMerge/>
            <w:tcBorders>
              <w:left w:val="single" w:sz="4" w:space="0" w:color="000000"/>
              <w:right w:val="single" w:sz="4" w:space="0" w:color="000000"/>
            </w:tcBorders>
            <w:shd w:val="clear" w:color="auto" w:fill="D2D2D2"/>
          </w:tcPr>
          <w:p>
            <w:pPr/>
          </w:p>
        </w:tc>
      </w:tr>
      <w:tr>
        <w:trPr>
          <w:trHeight w:val="161" w:hRule="exact"/>
        </w:trPr>
        <w:tc>
          <w:tcPr>
            <w:tcW w:w="1457" w:type="dxa"/>
            <w:gridSpan w:val="2"/>
            <w:vMerge/>
            <w:tcBorders>
              <w:left w:val="single" w:sz="4" w:space="0" w:color="000000"/>
              <w:bottom w:val="single" w:sz="4" w:space="0" w:color="000000"/>
              <w:right w:val="single" w:sz="4" w:space="0" w:color="000000"/>
            </w:tcBorders>
            <w:shd w:val="clear" w:color="auto" w:fill="D2D2D2"/>
          </w:tcPr>
          <w:p>
            <w:pPr/>
          </w:p>
        </w:tc>
        <w:tc>
          <w:tcPr>
            <w:tcW w:w="1082" w:type="dxa"/>
            <w:gridSpan w:val="2"/>
            <w:vMerge/>
            <w:tcBorders>
              <w:left w:val="single" w:sz="4" w:space="0" w:color="000000"/>
              <w:bottom w:val="single" w:sz="4" w:space="0" w:color="000000"/>
              <w:right w:val="single" w:sz="4" w:space="0" w:color="000000"/>
            </w:tcBorders>
            <w:shd w:val="clear" w:color="auto" w:fill="D2D2D2"/>
          </w:tcPr>
          <w:p>
            <w:pPr/>
          </w:p>
        </w:tc>
        <w:tc>
          <w:tcPr>
            <w:tcW w:w="853" w:type="dxa"/>
            <w:vMerge/>
            <w:tcBorders>
              <w:left w:val="single" w:sz="4" w:space="0" w:color="000000"/>
              <w:bottom w:val="single" w:sz="4" w:space="0" w:color="000000"/>
              <w:right w:val="single" w:sz="4" w:space="0" w:color="000000"/>
            </w:tcBorders>
            <w:shd w:val="clear" w:color="auto" w:fill="D2D2D2"/>
          </w:tcPr>
          <w:p>
            <w:pPr/>
          </w:p>
        </w:tc>
        <w:tc>
          <w:tcPr>
            <w:tcW w:w="105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994" w:type="dxa"/>
            <w:gridSpan w:val="2"/>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165" w:type="dxa"/>
            <w:gridSpan w:val="2"/>
            <w:vMerge/>
            <w:tcBorders>
              <w:left w:val="single" w:sz="4" w:space="0" w:color="000000"/>
              <w:bottom w:val="single" w:sz="4" w:space="0" w:color="000000"/>
              <w:right w:val="single" w:sz="4" w:space="0" w:color="000000"/>
            </w:tcBorders>
            <w:shd w:val="clear" w:color="auto" w:fill="D2D2D2"/>
          </w:tcPr>
          <w:p>
            <w:pPr/>
          </w:p>
        </w:tc>
        <w:tc>
          <w:tcPr>
            <w:tcW w:w="1346" w:type="dxa"/>
            <w:gridSpan w:val="2"/>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4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1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20.32%</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9" w:right="0"/>
              <w:jc w:val="left"/>
              <w:rPr>
                <w:rFonts w:ascii="Times New Roman" w:hAnsi="Times New Roman" w:cs="Times New Roman" w:eastAsia="Times New Roman" w:hint="default"/>
                <w:sz w:val="18"/>
                <w:szCs w:val="18"/>
              </w:rPr>
            </w:pPr>
            <w:r>
              <w:rPr>
                <w:rFonts w:ascii="Times New Roman"/>
                <w:sz w:val="18"/>
              </w:rPr>
              <w:t>104,677,171</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1" w:right="0"/>
              <w:jc w:val="left"/>
              <w:rPr>
                <w:rFonts w:ascii="Times New Roman" w:hAnsi="Times New Roman" w:cs="Times New Roman" w:eastAsia="Times New Roman" w:hint="default"/>
                <w:sz w:val="18"/>
                <w:szCs w:val="18"/>
              </w:rPr>
            </w:pPr>
            <w:r>
              <w:rPr>
                <w:rFonts w:ascii="Times New Roman"/>
                <w:sz w:val="18"/>
              </w:rPr>
              <w:t>78,507,878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26,169,293</w:t>
            </w:r>
          </w:p>
        </w:tc>
        <w:tc>
          <w:tcPr>
            <w:tcW w:w="1165" w:type="dxa"/>
            <w:gridSpan w:val="2"/>
            <w:tcBorders>
              <w:top w:val="single" w:sz="49" w:space="0" w:color="D2D2D2"/>
              <w:left w:val="single" w:sz="4" w:space="0" w:color="000000"/>
              <w:bottom w:val="single" w:sz="4" w:space="0" w:color="000000"/>
              <w:right w:val="single" w:sz="4" w:space="0" w:color="000000"/>
            </w:tcBorders>
          </w:tcPr>
          <w:p>
            <w:pPr>
              <w:pStyle w:val="TableParagraph"/>
              <w:spacing w:line="229" w:lineRule="exact"/>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6" w:type="dxa"/>
            <w:gridSpan w:val="2"/>
            <w:tcBorders>
              <w:top w:val="single" w:sz="49" w:space="0" w:color="D2D2D2"/>
              <w:left w:val="single" w:sz="4" w:space="0" w:color="000000"/>
              <w:bottom w:val="single" w:sz="4" w:space="0" w:color="000000"/>
              <w:right w:val="single" w:sz="4" w:space="0" w:color="000000"/>
            </w:tcBorders>
          </w:tcPr>
          <w:p>
            <w:pPr>
              <w:pStyle w:val="TableParagraph"/>
              <w:spacing w:line="240" w:lineRule="auto" w:before="35"/>
              <w:ind w:left="504" w:right="0"/>
              <w:jc w:val="left"/>
              <w:rPr>
                <w:rFonts w:ascii="Times New Roman" w:hAnsi="Times New Roman" w:cs="Times New Roman" w:eastAsia="Times New Roman" w:hint="default"/>
                <w:sz w:val="18"/>
                <w:szCs w:val="18"/>
              </w:rPr>
            </w:pPr>
            <w:r>
              <w:rPr>
                <w:rFonts w:ascii="Times New Roman"/>
                <w:sz w:val="18"/>
              </w:rPr>
              <w:t>91,875,293</w:t>
            </w:r>
          </w:p>
        </w:tc>
      </w:tr>
      <w:tr>
        <w:trPr>
          <w:trHeight w:val="403" w:hRule="exact"/>
        </w:trPr>
        <w:tc>
          <w:tcPr>
            <w:tcW w:w="14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曾胜辉</w:t>
            </w:r>
          </w:p>
        </w:tc>
        <w:tc>
          <w:tcPr>
            <w:tcW w:w="1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5.83%</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30,032,403</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30,032,403</w:t>
            </w:r>
          </w:p>
        </w:tc>
        <w:tc>
          <w:tcPr>
            <w:tcW w:w="11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4" w:right="0"/>
              <w:jc w:val="left"/>
              <w:rPr>
                <w:rFonts w:ascii="Times New Roman" w:hAnsi="Times New Roman" w:cs="Times New Roman" w:eastAsia="Times New Roman" w:hint="default"/>
                <w:sz w:val="18"/>
                <w:szCs w:val="18"/>
              </w:rPr>
            </w:pPr>
            <w:r>
              <w:rPr>
                <w:rFonts w:ascii="Times New Roman"/>
                <w:sz w:val="18"/>
              </w:rPr>
              <w:t>15,000,100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69"/>
        <w:gridCol w:w="1082"/>
        <w:gridCol w:w="329"/>
        <w:gridCol w:w="523"/>
        <w:gridCol w:w="1051"/>
        <w:gridCol w:w="790"/>
        <w:gridCol w:w="994"/>
        <w:gridCol w:w="806"/>
        <w:gridCol w:w="187"/>
        <w:gridCol w:w="1165"/>
        <w:gridCol w:w="1346"/>
      </w:tblGrid>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许忠桂</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3" w:right="0"/>
              <w:jc w:val="left"/>
              <w:rPr>
                <w:rFonts w:ascii="Times New Roman" w:hAnsi="Times New Roman" w:cs="Times New Roman" w:eastAsia="Times New Roman" w:hint="default"/>
                <w:sz w:val="18"/>
                <w:szCs w:val="18"/>
              </w:rPr>
            </w:pPr>
            <w:r>
              <w:rPr>
                <w:rFonts w:ascii="Times New Roman"/>
                <w:sz w:val="18"/>
              </w:rPr>
              <w:t>5.83%</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30,020,698</w:t>
            </w:r>
          </w:p>
        </w:tc>
        <w:tc>
          <w:tcPr>
            <w:tcW w:w="79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30,020,698</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19,000,000</w:t>
            </w:r>
          </w:p>
        </w:tc>
      </w:tr>
      <w:tr>
        <w:trPr>
          <w:trHeight w:val="165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华澳国际信托有 限公司－华澳</w:t>
            </w:r>
            <w:r>
              <w:rPr>
                <w:rFonts w:ascii="Times New Roman" w:hAnsi="Times New Roman" w:cs="Times New Roman" w:eastAsia="Times New Roman" w:hint="default"/>
                <w:sz w:val="18"/>
                <w:szCs w:val="18"/>
              </w:rPr>
              <w:t>·</w:t>
            </w:r>
            <w:r>
              <w:rPr>
                <w:rFonts w:ascii="宋体" w:hAnsi="宋体" w:cs="宋体" w:eastAsia="宋体" w:hint="default"/>
                <w:sz w:val="18"/>
                <w:szCs w:val="18"/>
              </w:rPr>
              <w:t>臻 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号－证通电 子第一期员工持 股集合信托计划</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4.49%</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23,121,021</w:t>
            </w:r>
          </w:p>
        </w:tc>
        <w:tc>
          <w:tcPr>
            <w:tcW w:w="79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23,121,021</w:t>
            </w:r>
          </w:p>
        </w:tc>
        <w:tc>
          <w:tcPr>
            <w:tcW w:w="1165"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林启生</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3.36%</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17,298,109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17,298,10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9</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17,298,109</w:t>
            </w:r>
          </w:p>
        </w:tc>
        <w:tc>
          <w:tcPr>
            <w:tcW w:w="1165"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东海基金－上海 银行－盈科</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w:t>
            </w:r>
          </w:p>
          <w:p>
            <w:pPr>
              <w:pStyle w:val="TableParagraph"/>
              <w:spacing w:line="300" w:lineRule="auto" w:before="1"/>
              <w:ind w:left="24" w:right="17"/>
              <w:jc w:val="left"/>
              <w:rPr>
                <w:rFonts w:ascii="宋体" w:hAnsi="宋体" w:cs="宋体" w:eastAsia="宋体" w:hint="default"/>
                <w:sz w:val="18"/>
                <w:szCs w:val="18"/>
              </w:rPr>
            </w:pPr>
            <w:r>
              <w:rPr>
                <w:rFonts w:ascii="宋体" w:hAnsi="宋体" w:cs="宋体" w:eastAsia="宋体" w:hint="default"/>
                <w:sz w:val="18"/>
                <w:szCs w:val="18"/>
              </w:rPr>
              <w:t>鑫龙</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185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号资产管 理计划</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53" w:right="0"/>
              <w:jc w:val="left"/>
              <w:rPr>
                <w:rFonts w:ascii="Times New Roman" w:hAnsi="Times New Roman" w:cs="Times New Roman" w:eastAsia="Times New Roman" w:hint="default"/>
                <w:sz w:val="18"/>
                <w:szCs w:val="18"/>
              </w:rPr>
            </w:pPr>
            <w:r>
              <w:rPr>
                <w:rFonts w:ascii="Times New Roman"/>
                <w:sz w:val="18"/>
              </w:rPr>
              <w:t>2.26%</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11,667,701</w:t>
            </w:r>
          </w:p>
        </w:tc>
        <w:tc>
          <w:tcPr>
            <w:tcW w:w="79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55" w:right="0"/>
              <w:jc w:val="left"/>
              <w:rPr>
                <w:rFonts w:ascii="Times New Roman" w:hAnsi="Times New Roman" w:cs="Times New Roman" w:eastAsia="Times New Roman" w:hint="default"/>
                <w:sz w:val="18"/>
                <w:szCs w:val="18"/>
              </w:rPr>
            </w:pPr>
            <w:r>
              <w:rPr>
                <w:rFonts w:ascii="Times New Roman"/>
                <w:sz w:val="18"/>
              </w:rPr>
              <w:t>11,667,701</w:t>
            </w:r>
          </w:p>
        </w:tc>
        <w:tc>
          <w:tcPr>
            <w:tcW w:w="1165"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东海基金－上海 银行－盈科</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w:t>
            </w:r>
          </w:p>
          <w:p>
            <w:pPr>
              <w:pStyle w:val="TableParagraph"/>
              <w:spacing w:line="300" w:lineRule="auto"/>
              <w:ind w:left="24" w:right="17"/>
              <w:jc w:val="left"/>
              <w:rPr>
                <w:rFonts w:ascii="宋体" w:hAnsi="宋体" w:cs="宋体" w:eastAsia="宋体" w:hint="default"/>
                <w:sz w:val="18"/>
                <w:szCs w:val="18"/>
              </w:rPr>
            </w:pPr>
            <w:r>
              <w:rPr>
                <w:rFonts w:ascii="宋体" w:hAnsi="宋体" w:cs="宋体" w:eastAsia="宋体" w:hint="default"/>
                <w:sz w:val="18"/>
                <w:szCs w:val="18"/>
              </w:rPr>
              <w:t>鑫龙</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186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号资产管 理计划</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53" w:right="0"/>
              <w:jc w:val="left"/>
              <w:rPr>
                <w:rFonts w:ascii="Times New Roman" w:hAnsi="Times New Roman" w:cs="Times New Roman" w:eastAsia="Times New Roman" w:hint="default"/>
                <w:sz w:val="18"/>
                <w:szCs w:val="18"/>
              </w:rPr>
            </w:pPr>
            <w:r>
              <w:rPr>
                <w:rFonts w:ascii="Times New Roman"/>
                <w:sz w:val="18"/>
              </w:rPr>
              <w:t>1.22%</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6,282,609</w:t>
            </w:r>
          </w:p>
        </w:tc>
        <w:tc>
          <w:tcPr>
            <w:tcW w:w="79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9" w:right="0"/>
              <w:jc w:val="left"/>
              <w:rPr>
                <w:rFonts w:ascii="Times New Roman" w:hAnsi="Times New Roman" w:cs="Times New Roman" w:eastAsia="Times New Roman" w:hint="default"/>
                <w:sz w:val="18"/>
                <w:szCs w:val="18"/>
              </w:rPr>
            </w:pPr>
            <w:r>
              <w:rPr>
                <w:rFonts w:ascii="Times New Roman"/>
                <w:sz w:val="18"/>
              </w:rPr>
              <w:t>6,282,609</w:t>
            </w:r>
          </w:p>
        </w:tc>
        <w:tc>
          <w:tcPr>
            <w:tcW w:w="1165"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both"/>
              <w:rPr>
                <w:rFonts w:ascii="宋体" w:hAnsi="宋体" w:cs="宋体" w:eastAsia="宋体" w:hint="default"/>
                <w:sz w:val="18"/>
                <w:szCs w:val="18"/>
              </w:rPr>
            </w:pPr>
            <w:r>
              <w:rPr>
                <w:rFonts w:ascii="宋体" w:hAnsi="宋体" w:cs="宋体" w:eastAsia="宋体" w:hint="default"/>
                <w:sz w:val="18"/>
                <w:szCs w:val="18"/>
              </w:rPr>
              <w:t>财通基金－工商 银行－国海证券 股份有限公司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0.66%</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3,425,402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-906,981</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3,425,402</w:t>
            </w:r>
          </w:p>
        </w:tc>
        <w:tc>
          <w:tcPr>
            <w:tcW w:w="1165"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财通基金－中国 银行－财通基金</w:t>
            </w:r>
          </w:p>
          <w:p>
            <w:pPr>
              <w:pStyle w:val="TableParagraph"/>
              <w:spacing w:line="240" w:lineRule="auto" w:before="1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－富春中益定增</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号资产管理计划</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53" w:right="0"/>
              <w:jc w:val="left"/>
              <w:rPr>
                <w:rFonts w:ascii="Times New Roman" w:hAnsi="Times New Roman" w:cs="Times New Roman" w:eastAsia="Times New Roman" w:hint="default"/>
                <w:sz w:val="18"/>
                <w:szCs w:val="18"/>
              </w:rPr>
            </w:pPr>
            <w:r>
              <w:rPr>
                <w:rFonts w:ascii="Times New Roman"/>
                <w:sz w:val="18"/>
              </w:rPr>
              <w:t>0.60%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3,066,591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-3,431,98</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9" w:right="0"/>
              <w:jc w:val="left"/>
              <w:rPr>
                <w:rFonts w:ascii="Times New Roman" w:hAnsi="Times New Roman" w:cs="Times New Roman" w:eastAsia="Times New Roman" w:hint="default"/>
                <w:sz w:val="18"/>
                <w:szCs w:val="18"/>
              </w:rPr>
            </w:pPr>
            <w:r>
              <w:rPr>
                <w:rFonts w:ascii="Times New Roman"/>
                <w:sz w:val="18"/>
              </w:rPr>
              <w:t>3,066,591</w:t>
            </w:r>
          </w:p>
        </w:tc>
        <w:tc>
          <w:tcPr>
            <w:tcW w:w="1165"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肖军</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3" w:right="0"/>
              <w:jc w:val="left"/>
              <w:rPr>
                <w:rFonts w:ascii="Times New Roman" w:hAnsi="Times New Roman" w:cs="Times New Roman" w:eastAsia="Times New Roman" w:hint="default"/>
                <w:sz w:val="18"/>
                <w:szCs w:val="18"/>
              </w:rPr>
            </w:pPr>
            <w:r>
              <w:rPr>
                <w:rFonts w:ascii="Times New Roman"/>
                <w:sz w:val="18"/>
              </w:rPr>
              <w:t>0.45%</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2,326,279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1,570,877</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9" w:right="0"/>
              <w:jc w:val="left"/>
              <w:rPr>
                <w:rFonts w:ascii="Times New Roman" w:hAnsi="Times New Roman" w:cs="Times New Roman" w:eastAsia="Times New Roman" w:hint="default"/>
                <w:sz w:val="18"/>
                <w:szCs w:val="18"/>
              </w:rPr>
            </w:pPr>
            <w:r>
              <w:rPr>
                <w:rFonts w:ascii="Times New Roman"/>
                <w:sz w:val="18"/>
              </w:rPr>
              <w:t>2,326,279</w:t>
            </w:r>
          </w:p>
        </w:tc>
        <w:tc>
          <w:tcPr>
            <w:tcW w:w="1165"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55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192" w:type="dxa"/>
            <w:gridSpan w:val="9"/>
            <w:vMerge w:val="restart"/>
            <w:tcBorders>
              <w:top w:val="single" w:sz="4" w:space="0" w:color="000000"/>
              <w:left w:val="single" w:sz="10" w:space="0" w:color="D2D2D2"/>
              <w:right w:val="single" w:sz="4" w:space="0" w:color="000000"/>
            </w:tcBorders>
          </w:tcPr>
          <w:p>
            <w:pPr>
              <w:pStyle w:val="TableParagraph"/>
              <w:spacing w:line="240" w:lineRule="auto" w:before="49"/>
              <w:ind w:left="377" w:right="0"/>
              <w:jc w:val="left"/>
              <w:rPr>
                <w:rFonts w:ascii="宋体" w:hAnsi="宋体" w:cs="宋体" w:eastAsia="宋体" w:hint="default"/>
                <w:sz w:val="18"/>
                <w:szCs w:val="18"/>
              </w:rPr>
            </w:pPr>
            <w:r>
              <w:rPr>
                <w:rFonts w:ascii="宋体" w:hAnsi="宋体" w:cs="宋体" w:eastAsia="宋体" w:hint="default"/>
                <w:sz w:val="18"/>
                <w:szCs w:val="18"/>
              </w:rPr>
              <w:t>东海基金－上海银行－盈科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号－鑫龙</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185</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号资产管理计划、东海基金－上海银行－盈</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科</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号－鑫龙</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186</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号资产管理计划、财通基金－工商银行－国海证券股份有限公司、财通基</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金－中国银行－财通基金－富春中益定增</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号资产管理计划</w:t>
            </w:r>
            <w:r>
              <w:rPr>
                <w:rFonts w:ascii="宋体" w:hAnsi="宋体" w:cs="宋体" w:eastAsia="宋体" w:hint="default"/>
                <w:spacing w:val="-92"/>
                <w:sz w:val="18"/>
                <w:szCs w:val="18"/>
              </w:rPr>
              <w:t>，</w:t>
            </w:r>
            <w:r>
              <w:rPr>
                <w:rFonts w:ascii="宋体" w:hAnsi="宋体" w:cs="宋体" w:eastAsia="宋体" w:hint="default"/>
                <w:sz w:val="18"/>
                <w:szCs w:val="18"/>
              </w:rPr>
              <w:t>以上四位股东因参与公司</w:t>
            </w:r>
            <w:r>
              <w:rPr>
                <w:rFonts w:ascii="宋体" w:hAnsi="宋体" w:cs="宋体" w:eastAsia="宋体" w:hint="default"/>
                <w:spacing w:val="-51"/>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年度非公开发行股票而成为公司前十名股东。</w:t>
            </w:r>
          </w:p>
        </w:tc>
      </w:tr>
      <w:tr>
        <w:trPr>
          <w:trHeight w:val="1015" w:hRule="exact"/>
        </w:trPr>
        <w:tc>
          <w:tcPr>
            <w:tcW w:w="255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9"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pacing w:val="-12"/>
                <w:sz w:val="18"/>
                <w:szCs w:val="18"/>
              </w:rPr>
              <w:t>名股东的情况（如</w:t>
            </w:r>
            <w:r>
              <w:rPr>
                <w:rFonts w:ascii="宋体" w:hAnsi="宋体" w:cs="宋体" w:eastAsia="宋体" w:hint="default"/>
                <w:sz w:val="18"/>
                <w:szCs w:val="18"/>
              </w:rPr>
              <w:t> </w:t>
            </w:r>
            <w:r>
              <w:rPr>
                <w:rFonts w:ascii="宋体" w:hAnsi="宋体" w:cs="宋体" w:eastAsia="宋体" w:hint="default"/>
                <w:spacing w:val="-16"/>
                <w:sz w:val="18"/>
                <w:szCs w:val="18"/>
              </w:rPr>
              <w:t>有）（参见注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192" w:type="dxa"/>
            <w:gridSpan w:val="9"/>
            <w:vMerge/>
            <w:tcBorders>
              <w:left w:val="single" w:sz="10" w:space="0" w:color="D2D2D2"/>
              <w:right w:val="single" w:sz="4" w:space="0" w:color="000000"/>
            </w:tcBorders>
          </w:tcPr>
          <w:p>
            <w:pPr/>
          </w:p>
        </w:tc>
      </w:tr>
      <w:tr>
        <w:trPr>
          <w:trHeight w:val="161" w:hRule="exact"/>
        </w:trPr>
        <w:tc>
          <w:tcPr>
            <w:tcW w:w="255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192" w:type="dxa"/>
            <w:gridSpan w:val="9"/>
            <w:vMerge/>
            <w:tcBorders>
              <w:left w:val="single" w:sz="10" w:space="0" w:color="D2D2D2"/>
              <w:bottom w:val="single" w:sz="4" w:space="0" w:color="000000"/>
              <w:right w:val="single" w:sz="4" w:space="0" w:color="000000"/>
            </w:tcBorders>
          </w:tcPr>
          <w:p>
            <w:pPr/>
          </w:p>
        </w:tc>
      </w:tr>
      <w:tr>
        <w:trPr>
          <w:trHeight w:val="476" w:hRule="exact"/>
        </w:trPr>
        <w:tc>
          <w:tcPr>
            <w:tcW w:w="255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192" w:type="dxa"/>
            <w:gridSpan w:val="9"/>
            <w:vMerge w:val="restart"/>
            <w:tcBorders>
              <w:top w:val="single" w:sz="4" w:space="0" w:color="000000"/>
              <w:left w:val="single" w:sz="10" w:space="0" w:color="D2D2D2"/>
              <w:right w:val="single" w:sz="4" w:space="0" w:color="000000"/>
            </w:tcBorders>
          </w:tcPr>
          <w:p>
            <w:pPr>
              <w:pStyle w:val="TableParagraph"/>
              <w:spacing w:line="316" w:lineRule="auto" w:before="51"/>
              <w:ind w:left="16" w:right="20" w:firstLine="360"/>
              <w:jc w:val="left"/>
              <w:rPr>
                <w:rFonts w:ascii="宋体" w:hAnsi="宋体" w:cs="宋体" w:eastAsia="宋体" w:hint="default"/>
                <w:sz w:val="18"/>
                <w:szCs w:val="18"/>
              </w:rPr>
            </w:pPr>
            <w:r>
              <w:rPr>
                <w:rFonts w:ascii="宋体" w:hAnsi="宋体" w:cs="宋体" w:eastAsia="宋体" w:hint="default"/>
                <w:spacing w:val="-2"/>
                <w:sz w:val="18"/>
                <w:szCs w:val="18"/>
              </w:rPr>
              <w:t>上述股东中，曾胜强与许忠桂是配偶关系，曾胜辉为曾胜强之弟，前述股东为一致行动</w:t>
            </w:r>
            <w:r>
              <w:rPr>
                <w:rFonts w:ascii="宋体" w:hAnsi="宋体" w:cs="宋体" w:eastAsia="宋体" w:hint="default"/>
                <w:sz w:val="18"/>
                <w:szCs w:val="18"/>
              </w:rPr>
              <w:t> </w:t>
            </w:r>
            <w:r>
              <w:rPr>
                <w:rFonts w:ascii="宋体" w:hAnsi="宋体" w:cs="宋体" w:eastAsia="宋体" w:hint="default"/>
                <w:spacing w:val="-5"/>
                <w:sz w:val="18"/>
                <w:szCs w:val="18"/>
              </w:rPr>
              <w:t>人；东海基金－上海银行－盈科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号－鑫龙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号资产管理计划和东海基金－上海银行－盈</w:t>
            </w:r>
          </w:p>
          <w:p>
            <w:pPr>
              <w:pStyle w:val="TableParagraph"/>
              <w:spacing w:line="248" w:lineRule="exact"/>
              <w:ind w:left="16" w:right="0"/>
              <w:jc w:val="left"/>
              <w:rPr>
                <w:rFonts w:ascii="宋体" w:hAnsi="宋体" w:cs="宋体" w:eastAsia="宋体" w:hint="default"/>
                <w:sz w:val="18"/>
                <w:szCs w:val="18"/>
              </w:rPr>
            </w:pPr>
            <w:r>
              <w:rPr>
                <w:rFonts w:ascii="宋体" w:hAnsi="宋体" w:cs="宋体" w:eastAsia="宋体" w:hint="default"/>
                <w:sz w:val="18"/>
                <w:szCs w:val="18"/>
              </w:rPr>
              <w:t>科</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号－鑫龙</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186</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号资产管理计划同为东海基金管理有限公司产品；财通基金－工商银行－</w:t>
            </w:r>
          </w:p>
          <w:p>
            <w:pPr>
              <w:pStyle w:val="TableParagraph"/>
              <w:spacing w:line="300" w:lineRule="auto" w:before="63"/>
              <w:ind w:left="16" w:right="17"/>
              <w:jc w:val="left"/>
              <w:rPr>
                <w:rFonts w:ascii="宋体" w:hAnsi="宋体" w:cs="宋体" w:eastAsia="宋体" w:hint="default"/>
                <w:sz w:val="18"/>
                <w:szCs w:val="18"/>
              </w:rPr>
            </w:pPr>
            <w:r>
              <w:rPr>
                <w:rFonts w:ascii="宋体" w:hAnsi="宋体" w:cs="宋体" w:eastAsia="宋体" w:hint="default"/>
                <w:spacing w:val="-3"/>
                <w:sz w:val="18"/>
                <w:szCs w:val="18"/>
              </w:rPr>
              <w:t>国海证券股份有限公司、财通基金－中国银行－财通基金－富春中益定增</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号资产管理计划</w:t>
            </w:r>
            <w:r>
              <w:rPr>
                <w:rFonts w:ascii="宋体" w:hAnsi="宋体" w:cs="宋体" w:eastAsia="宋体" w:hint="default"/>
                <w:spacing w:val="-85"/>
                <w:sz w:val="18"/>
                <w:szCs w:val="18"/>
              </w:rPr>
              <w:t> </w:t>
            </w:r>
            <w:r>
              <w:rPr>
                <w:rFonts w:ascii="宋体" w:hAnsi="宋体" w:cs="宋体" w:eastAsia="宋体" w:hint="default"/>
                <w:sz w:val="18"/>
                <w:szCs w:val="18"/>
              </w:rPr>
              <w:t>同为财通基金管理有限公司产品、其余股东未知其关联关系或是否为一致行动人。</w:t>
            </w:r>
          </w:p>
        </w:tc>
      </w:tr>
      <w:tr>
        <w:trPr>
          <w:trHeight w:val="703" w:hRule="exact"/>
        </w:trPr>
        <w:tc>
          <w:tcPr>
            <w:tcW w:w="255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177"/>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192" w:type="dxa"/>
            <w:gridSpan w:val="9"/>
            <w:vMerge/>
            <w:tcBorders>
              <w:left w:val="single" w:sz="10" w:space="0" w:color="D2D2D2"/>
              <w:right w:val="single" w:sz="4" w:space="0" w:color="000000"/>
            </w:tcBorders>
          </w:tcPr>
          <w:p>
            <w:pPr/>
          </w:p>
        </w:tc>
      </w:tr>
      <w:tr>
        <w:trPr>
          <w:trHeight w:val="473" w:hRule="exact"/>
        </w:trPr>
        <w:tc>
          <w:tcPr>
            <w:tcW w:w="255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192" w:type="dxa"/>
            <w:gridSpan w:val="9"/>
            <w:vMerge/>
            <w:tcBorders>
              <w:left w:val="single" w:sz="10" w:space="0" w:color="D2D2D2"/>
              <w:bottom w:val="single" w:sz="4" w:space="0" w:color="000000"/>
              <w:right w:val="single" w:sz="4" w:space="0" w:color="000000"/>
            </w:tcBorders>
          </w:tcPr>
          <w:p>
            <w:pPr/>
          </w:p>
        </w:tc>
      </w:tr>
      <w:tr>
        <w:trPr>
          <w:trHeight w:val="402" w:hRule="exact"/>
        </w:trPr>
        <w:tc>
          <w:tcPr>
            <w:tcW w:w="974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5" w:hRule="exact"/>
        </w:trPr>
        <w:tc>
          <w:tcPr>
            <w:tcW w:w="2881"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4164"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1"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64"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2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881" w:type="dxa"/>
            <w:gridSpan w:val="3"/>
            <w:vMerge/>
            <w:tcBorders>
              <w:left w:val="single" w:sz="4" w:space="0" w:color="000000"/>
              <w:bottom w:val="nil" w:sz="6" w:space="0" w:color="auto"/>
              <w:right w:val="single" w:sz="4" w:space="0" w:color="000000"/>
            </w:tcBorders>
            <w:shd w:val="clear" w:color="auto" w:fill="D2D2D2"/>
          </w:tcPr>
          <w:p>
            <w:pPr/>
          </w:p>
        </w:tc>
        <w:tc>
          <w:tcPr>
            <w:tcW w:w="4164" w:type="dxa"/>
            <w:gridSpan w:val="5"/>
            <w:vMerge/>
            <w:tcBorders>
              <w:left w:val="single" w:sz="4" w:space="0" w:color="000000"/>
              <w:bottom w:val="nil" w:sz="6" w:space="0" w:color="auto"/>
              <w:right w:val="single" w:sz="4" w:space="0" w:color="000000"/>
            </w:tcBorders>
            <w:shd w:val="clear" w:color="auto" w:fill="D2D2D2"/>
          </w:tcPr>
          <w:p>
            <w:pPr/>
          </w:p>
        </w:tc>
        <w:tc>
          <w:tcPr>
            <w:tcW w:w="13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1"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881"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4164"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52" w:type="dxa"/>
            <w:gridSpan w:val="2"/>
            <w:vMerge/>
            <w:tcBorders>
              <w:left w:val="single" w:sz="4" w:space="0" w:color="000000"/>
              <w:bottom w:val="single" w:sz="4" w:space="0" w:color="000000"/>
              <w:right w:val="single" w:sz="4" w:space="0" w:color="000000"/>
            </w:tcBorders>
            <w:shd w:val="clear" w:color="auto" w:fill="D2D2D2"/>
          </w:tcPr>
          <w:p>
            <w:pPr/>
          </w:p>
        </w:tc>
        <w:tc>
          <w:tcPr>
            <w:tcW w:w="134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8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曾胜辉</w:t>
            </w:r>
          </w:p>
        </w:tc>
        <w:tc>
          <w:tcPr>
            <w:tcW w:w="41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30,032,403</w:t>
            </w:r>
          </w:p>
        </w:tc>
        <w:tc>
          <w:tcPr>
            <w:tcW w:w="1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30,032,403</w:t>
            </w:r>
          </w:p>
        </w:tc>
      </w:tr>
      <w:tr>
        <w:trPr>
          <w:trHeight w:val="401" w:hRule="exact"/>
        </w:trPr>
        <w:tc>
          <w:tcPr>
            <w:tcW w:w="28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许忠桂</w:t>
            </w:r>
          </w:p>
        </w:tc>
        <w:tc>
          <w:tcPr>
            <w:tcW w:w="41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30,020,698</w:t>
            </w:r>
          </w:p>
        </w:tc>
        <w:tc>
          <w:tcPr>
            <w:tcW w:w="1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30,020,698</w:t>
            </w:r>
          </w:p>
        </w:tc>
      </w:tr>
      <w:tr>
        <w:trPr>
          <w:trHeight w:val="404" w:hRule="exact"/>
        </w:trPr>
        <w:tc>
          <w:tcPr>
            <w:tcW w:w="28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41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pacing w:val="-1"/>
                <w:sz w:val="18"/>
              </w:rPr>
              <w:t>26,169,293</w:t>
            </w:r>
          </w:p>
        </w:tc>
        <w:tc>
          <w:tcPr>
            <w:tcW w:w="1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26,169,293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81"/>
        <w:gridCol w:w="4164"/>
        <w:gridCol w:w="1352"/>
        <w:gridCol w:w="1346"/>
      </w:tblGrid>
      <w:tr>
        <w:trPr>
          <w:trHeight w:val="1025"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86"/>
              <w:jc w:val="both"/>
              <w:rPr>
                <w:rFonts w:ascii="宋体" w:hAnsi="宋体" w:cs="宋体" w:eastAsia="宋体" w:hint="default"/>
                <w:sz w:val="18"/>
                <w:szCs w:val="18"/>
              </w:rPr>
            </w:pPr>
            <w:r>
              <w:rPr>
                <w:rFonts w:ascii="宋体" w:hAnsi="宋体" w:cs="宋体" w:eastAsia="宋体" w:hint="default"/>
                <w:sz w:val="18"/>
                <w:szCs w:val="18"/>
              </w:rPr>
              <w:t>华澳国际信托有限公司－华澳</w:t>
            </w:r>
            <w:r>
              <w:rPr>
                <w:rFonts w:ascii="Times New Roman" w:hAnsi="Times New Roman" w:cs="Times New Roman" w:eastAsia="Times New Roman" w:hint="default"/>
                <w:sz w:val="18"/>
                <w:szCs w:val="18"/>
              </w:rPr>
              <w:t>·</w:t>
            </w:r>
            <w:r>
              <w:rPr>
                <w:rFonts w:ascii="宋体" w:hAnsi="宋体" w:cs="宋体" w:eastAsia="宋体" w:hint="default"/>
                <w:sz w:val="18"/>
                <w:szCs w:val="18"/>
              </w:rPr>
              <w:t>臻智 </w:t>
            </w:r>
            <w:r>
              <w:rPr>
                <w:rFonts w:ascii="Times New Roman" w:hAnsi="Times New Roman" w:cs="Times New Roman" w:eastAsia="Times New Roman" w:hint="default"/>
                <w:sz w:val="18"/>
                <w:szCs w:val="18"/>
              </w:rPr>
              <w:t>57 </w:t>
            </w:r>
            <w:r>
              <w:rPr>
                <w:rFonts w:ascii="宋体" w:hAnsi="宋体" w:cs="宋体" w:eastAsia="宋体" w:hint="default"/>
                <w:sz w:val="18"/>
                <w:szCs w:val="18"/>
              </w:rPr>
              <w:t>号－证通电子第一期员工持股集 合信托计划</w:t>
            </w:r>
          </w:p>
        </w:tc>
        <w:tc>
          <w:tcPr>
            <w:tcW w:w="4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23,121,021</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23,121,021</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林启生</w:t>
            </w:r>
          </w:p>
        </w:tc>
        <w:tc>
          <w:tcPr>
            <w:tcW w:w="4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17,298,109</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17,298,109</w:t>
            </w:r>
          </w:p>
        </w:tc>
      </w:tr>
      <w:tr>
        <w:trPr>
          <w:trHeight w:val="71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东海基金－上海银行－盈科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鑫龙</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185 </w:t>
            </w:r>
            <w:r>
              <w:rPr>
                <w:rFonts w:ascii="宋体" w:hAnsi="宋体" w:cs="宋体" w:eastAsia="宋体" w:hint="default"/>
                <w:sz w:val="18"/>
                <w:szCs w:val="18"/>
              </w:rPr>
              <w:t>号资产管理计划</w:t>
            </w:r>
          </w:p>
        </w:tc>
        <w:tc>
          <w:tcPr>
            <w:tcW w:w="4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11,667,701</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11,667,701</w:t>
            </w:r>
          </w:p>
        </w:tc>
      </w:tr>
      <w:tr>
        <w:trPr>
          <w:trHeight w:val="715"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东海基金－上海银行－盈科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鑫龙</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186 </w:t>
            </w:r>
            <w:r>
              <w:rPr>
                <w:rFonts w:ascii="宋体" w:hAnsi="宋体" w:cs="宋体" w:eastAsia="宋体" w:hint="default"/>
                <w:sz w:val="18"/>
                <w:szCs w:val="18"/>
              </w:rPr>
              <w:t>号资产管理计划</w:t>
            </w:r>
          </w:p>
        </w:tc>
        <w:tc>
          <w:tcPr>
            <w:tcW w:w="4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6,282,609</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6,282,609</w:t>
            </w:r>
          </w:p>
        </w:tc>
      </w:tr>
      <w:tr>
        <w:trPr>
          <w:trHeight w:val="71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财通基金－工商银行－国海证券股 份有限公司</w:t>
            </w:r>
          </w:p>
        </w:tc>
        <w:tc>
          <w:tcPr>
            <w:tcW w:w="4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3,425,402</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3,425,402</w:t>
            </w:r>
          </w:p>
        </w:tc>
      </w:tr>
      <w:tr>
        <w:trPr>
          <w:trHeight w:val="715"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5"/>
              <w:jc w:val="left"/>
              <w:rPr>
                <w:rFonts w:ascii="宋体" w:hAnsi="宋体" w:cs="宋体" w:eastAsia="宋体" w:hint="default"/>
                <w:sz w:val="18"/>
                <w:szCs w:val="18"/>
              </w:rPr>
            </w:pPr>
            <w:r>
              <w:rPr>
                <w:rFonts w:ascii="宋体" w:hAnsi="宋体" w:cs="宋体" w:eastAsia="宋体" w:hint="default"/>
                <w:sz w:val="18"/>
                <w:szCs w:val="18"/>
              </w:rPr>
              <w:t>财通基金－中国银行－财通基金－ 富春中益定增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号资产管理计划</w:t>
            </w:r>
          </w:p>
        </w:tc>
        <w:tc>
          <w:tcPr>
            <w:tcW w:w="4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3,066,591</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3,066,591</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肖军</w:t>
            </w:r>
          </w:p>
        </w:tc>
        <w:tc>
          <w:tcPr>
            <w:tcW w:w="4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2,326,279</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2,326,279</w:t>
            </w:r>
          </w:p>
        </w:tc>
      </w:tr>
      <w:tr>
        <w:trPr>
          <w:trHeight w:val="1963"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0"/>
              <w:ind w:left="24"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863" w:type="dxa"/>
            <w:gridSpan w:val="3"/>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20" w:firstLine="360"/>
              <w:jc w:val="left"/>
              <w:rPr>
                <w:rFonts w:ascii="宋体" w:hAnsi="宋体" w:cs="宋体" w:eastAsia="宋体" w:hint="default"/>
                <w:sz w:val="18"/>
                <w:szCs w:val="18"/>
              </w:rPr>
            </w:pPr>
            <w:r>
              <w:rPr>
                <w:rFonts w:ascii="宋体" w:hAnsi="宋体" w:cs="宋体" w:eastAsia="宋体" w:hint="default"/>
                <w:spacing w:val="-2"/>
                <w:sz w:val="18"/>
                <w:szCs w:val="18"/>
              </w:rPr>
              <w:t>上述股东中，曾胜强与许忠桂是配偶关系，曾胜辉为曾胜强之弟，前述股东为一致</w:t>
            </w:r>
            <w:r>
              <w:rPr>
                <w:rFonts w:ascii="宋体" w:hAnsi="宋体" w:cs="宋体" w:eastAsia="宋体" w:hint="default"/>
                <w:sz w:val="18"/>
                <w:szCs w:val="18"/>
              </w:rPr>
              <w:t> </w:t>
            </w:r>
            <w:r>
              <w:rPr>
                <w:rFonts w:ascii="宋体" w:hAnsi="宋体" w:cs="宋体" w:eastAsia="宋体" w:hint="default"/>
                <w:spacing w:val="-3"/>
                <w:sz w:val="18"/>
                <w:szCs w:val="18"/>
              </w:rPr>
              <w:t>行动人；东海基金－上海银行－盈科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号－鑫龙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号资产管理计划和东海基金－上海</w:t>
            </w:r>
          </w:p>
          <w:p>
            <w:pPr>
              <w:pStyle w:val="TableParagraph"/>
              <w:spacing w:line="240" w:lineRule="auto" w:before="1"/>
              <w:ind w:left="26" w:right="0"/>
              <w:jc w:val="both"/>
              <w:rPr>
                <w:rFonts w:ascii="宋体" w:hAnsi="宋体" w:cs="宋体" w:eastAsia="宋体" w:hint="default"/>
                <w:sz w:val="18"/>
                <w:szCs w:val="18"/>
              </w:rPr>
            </w:pPr>
            <w:r>
              <w:rPr>
                <w:rFonts w:ascii="宋体" w:hAnsi="宋体" w:cs="宋体" w:eastAsia="宋体" w:hint="default"/>
                <w:sz w:val="18"/>
                <w:szCs w:val="18"/>
              </w:rPr>
              <w:t>银行－盈科</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号－鑫龙</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186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号资产管理计划同为东海基金管理有限公司产品；财通基金</w:t>
            </w:r>
          </w:p>
          <w:p>
            <w:pPr>
              <w:pStyle w:val="TableParagraph"/>
              <w:spacing w:line="309" w:lineRule="auto" w:before="63"/>
              <w:ind w:left="26" w:right="20"/>
              <w:jc w:val="both"/>
              <w:rPr>
                <w:rFonts w:ascii="宋体" w:hAnsi="宋体" w:cs="宋体" w:eastAsia="宋体" w:hint="default"/>
                <w:sz w:val="18"/>
                <w:szCs w:val="18"/>
              </w:rPr>
            </w:pPr>
            <w:r>
              <w:rPr>
                <w:rFonts w:ascii="宋体" w:hAnsi="宋体" w:cs="宋体" w:eastAsia="宋体" w:hint="default"/>
                <w:spacing w:val="-1"/>
                <w:sz w:val="18"/>
                <w:szCs w:val="18"/>
              </w:rPr>
              <w:t>－工商银行－国海证券股份有限公司、财通基金－中国银行－财通基金－富春中益定增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号资产管理计划同为财通基金管理有限公司产品、其余股东未知其关联关系或是否为 一致行动人。</w:t>
            </w:r>
          </w:p>
        </w:tc>
      </w:tr>
      <w:tr>
        <w:trPr>
          <w:trHeight w:val="716"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名普通股股东参与融资融券业 </w:t>
            </w:r>
            <w:r>
              <w:rPr>
                <w:rFonts w:ascii="宋体" w:hAnsi="宋体" w:cs="宋体" w:eastAsia="宋体" w:hint="default"/>
                <w:spacing w:val="-8"/>
                <w:sz w:val="18"/>
                <w:szCs w:val="18"/>
              </w:rPr>
              <w:t>务情况说明（如有）（参见注</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863" w:type="dxa"/>
            <w:gridSpan w:val="3"/>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6" w:right="17" w:firstLine="360"/>
              <w:jc w:val="left"/>
              <w:rPr>
                <w:rFonts w:ascii="宋体" w:hAnsi="宋体" w:cs="宋体" w:eastAsia="宋体" w:hint="default"/>
                <w:sz w:val="18"/>
                <w:szCs w:val="18"/>
              </w:rPr>
            </w:pPr>
            <w:r>
              <w:rPr>
                <w:rFonts w:ascii="宋体" w:hAnsi="宋体" w:cs="宋体" w:eastAsia="宋体" w:hint="default"/>
                <w:sz w:val="18"/>
                <w:szCs w:val="18"/>
              </w:rPr>
              <w:t>公司股东林启生所持有的</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17,298,109</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股股份为其通过信用账户持有，其他股东没有 参与融资融券业务的情况。</w:t>
            </w:r>
          </w:p>
        </w:tc>
      </w:tr>
    </w:tbl>
    <w:p>
      <w:pPr>
        <w:pStyle w:val="BodyText"/>
        <w:spacing w:line="240" w:lineRule="auto" w:before="49"/>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594"/>
        <w:jc w:val="left"/>
      </w:pPr>
      <w:r>
        <w:rPr/>
        <w:t>控股股东性质：自然人控股 控股股东类型：自然人</w:t>
      </w:r>
    </w:p>
    <w:tbl>
      <w:tblPr>
        <w:tblW w:w="0" w:type="auto"/>
        <w:jc w:val="left"/>
        <w:tblInd w:w="148" w:type="dxa"/>
        <w:tblLayout w:type="fixed"/>
        <w:tblCellMar>
          <w:top w:w="0" w:type="dxa"/>
          <w:left w:w="0" w:type="dxa"/>
          <w:bottom w:w="0" w:type="dxa"/>
          <w:right w:w="0" w:type="dxa"/>
        </w:tblCellMar>
        <w:tblLook w:val="01E0"/>
      </w:tblPr>
      <w:tblGrid>
        <w:gridCol w:w="3419"/>
        <w:gridCol w:w="2302"/>
        <w:gridCol w:w="3850"/>
      </w:tblGrid>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9"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曾胜强先生自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年起在本公司任职，现担任公司董事长、总裁职务。</w:t>
            </w:r>
          </w:p>
        </w:tc>
      </w:tr>
      <w:tr>
        <w:trPr>
          <w:trHeight w:val="715"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曾胜强先生除本公司外，过去十年未控股其他境内外上市公司。</w:t>
            </w:r>
          </w:p>
        </w:tc>
      </w:tr>
    </w:tbl>
    <w:p>
      <w:pPr>
        <w:pStyle w:val="BodyText"/>
        <w:spacing w:line="240" w:lineRule="auto" w:before="68"/>
        <w:ind w:right="1133"/>
        <w:jc w:val="left"/>
      </w:pPr>
      <w:r>
        <w:rPr/>
        <w:t>控股股东报告期内变更</w:t>
      </w:r>
    </w:p>
    <w:p>
      <w:pPr>
        <w:pStyle w:val="BodyText"/>
        <w:spacing w:line="340" w:lineRule="auto" w:before="115"/>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after="0" w:line="3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414"/>
        <w:jc w:val="left"/>
      </w:pPr>
      <w:r>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11" w:hanging="901"/>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许忠桂</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许忠慈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一致行动（含协议、亲属、同 一控制）</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曾胜辉</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一致行动（含协议、亲属、同 一控制）</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30"/>
              <w:jc w:val="left"/>
              <w:rPr>
                <w:rFonts w:ascii="宋体" w:hAnsi="宋体" w:cs="宋体" w:eastAsia="宋体" w:hint="default"/>
                <w:sz w:val="18"/>
                <w:szCs w:val="18"/>
              </w:rPr>
            </w:pPr>
            <w:r>
              <w:rPr>
                <w:rFonts w:ascii="宋体" w:hAnsi="宋体" w:cs="宋体" w:eastAsia="宋体" w:hint="default"/>
                <w:sz w:val="18"/>
                <w:szCs w:val="18"/>
              </w:rPr>
              <w:t>曾胜强先生自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年起在本公司任职，现担任公司董事长、总裁职务；许忠桂女士目前未 在公司任职；许忠慈先生现任公司董事、副总裁，曾胜辉先生现任子公司佳明光电董事。</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pacing w:val="-3"/>
                <w:sz w:val="18"/>
                <w:szCs w:val="18"/>
              </w:rPr>
              <w:t>曾胜强先生和许忠桂女士除本公司外，过去十年未控股其他境内外上市公司，许忠慈先生和</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曾胜辉先生过去十年未控股其他境内外上市公司。</w:t>
            </w:r>
          </w:p>
        </w:tc>
      </w:tr>
    </w:tbl>
    <w:p>
      <w:pPr>
        <w:pStyle w:val="BodyText"/>
        <w:spacing w:line="240" w:lineRule="auto" w:before="70"/>
        <w:ind w:right="1133"/>
        <w:jc w:val="left"/>
      </w:pPr>
      <w:r>
        <w:rPr/>
        <w:t>实际控制人报告期内变更</w:t>
      </w:r>
    </w:p>
    <w:p>
      <w:pPr>
        <w:pStyle w:val="BodyText"/>
        <w:spacing w:line="348"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5"/>
        <w:rPr>
          <w:rFonts w:ascii="宋体" w:hAnsi="宋体" w:cs="宋体" w:eastAsia="宋体" w:hint="default"/>
          <w:sz w:val="25"/>
          <w:szCs w:val="25"/>
        </w:rPr>
      </w:pPr>
    </w:p>
    <w:p>
      <w:pPr>
        <w:spacing w:line="3765" w:lineRule="exact"/>
        <w:ind w:left="1373" w:right="0" w:firstLine="0"/>
        <w:rPr>
          <w:rFonts w:ascii="宋体" w:hAnsi="宋体" w:cs="宋体" w:eastAsia="宋体" w:hint="default"/>
          <w:sz w:val="20"/>
          <w:szCs w:val="20"/>
        </w:rPr>
      </w:pPr>
      <w:r>
        <w:rPr>
          <w:rFonts w:ascii="宋体" w:hAnsi="宋体" w:cs="宋体" w:eastAsia="宋体" w:hint="default"/>
          <w:position w:val="-74"/>
          <w:sz w:val="20"/>
          <w:szCs w:val="20"/>
        </w:rPr>
        <w:drawing>
          <wp:inline distT="0" distB="0" distL="0" distR="0">
            <wp:extent cx="4591050" cy="239077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7" cstate="print"/>
                    <a:stretch>
                      <a:fillRect/>
                    </a:stretch>
                  </pic:blipFill>
                  <pic:spPr>
                    <a:xfrm>
                      <a:off x="0" y="0"/>
                      <a:ext cx="4591050" cy="2390775"/>
                    </a:xfrm>
                    <a:prstGeom prst="rect">
                      <a:avLst/>
                    </a:prstGeom>
                  </pic:spPr>
                </pic:pic>
              </a:graphicData>
            </a:graphic>
          </wp:inline>
        </w:drawing>
      </w:r>
      <w:r>
        <w:rPr>
          <w:rFonts w:ascii="宋体" w:hAnsi="宋体" w:cs="宋体" w:eastAsia="宋体" w:hint="default"/>
          <w:position w:val="-74"/>
          <w:sz w:val="20"/>
          <w:szCs w:val="20"/>
        </w:rPr>
      </w:r>
    </w:p>
    <w:p>
      <w:pPr>
        <w:spacing w:line="240" w:lineRule="auto" w:before="9"/>
        <w:rPr>
          <w:rFonts w:ascii="宋体" w:hAnsi="宋体" w:cs="宋体" w:eastAsia="宋体" w:hint="default"/>
          <w:sz w:val="23"/>
          <w:szCs w:val="23"/>
        </w:rPr>
      </w:pPr>
    </w:p>
    <w:p>
      <w:pPr>
        <w:spacing w:before="0"/>
        <w:ind w:left="152" w:right="1133"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8"/>
        <w:rPr>
          <w:rFonts w:ascii="宋体" w:hAnsi="宋体" w:cs="宋体" w:eastAsia="宋体" w:hint="default"/>
          <w:sz w:val="18"/>
          <w:szCs w:val="18"/>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1133"/>
        <w:jc w:val="left"/>
        <w:rPr>
          <w:b w:val="0"/>
          <w:bCs w:val="0"/>
        </w:rPr>
      </w:pPr>
      <w:bookmarkStart w:name="_bookmark6" w:id="7"/>
      <w:bookmarkEnd w:id="7"/>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1133"/>
        <w:jc w:val="left"/>
        <w:rPr>
          <w:b w:val="0"/>
          <w:bCs w:val="0"/>
        </w:rPr>
      </w:pPr>
      <w:bookmarkStart w:name="_bookmark7" w:id="8"/>
      <w:bookmarkEnd w:id="8"/>
      <w:r>
        <w:rPr>
          <w:b w:val="0"/>
          <w:bCs w:val="0"/>
        </w:rPr>
      </w:r>
      <w:r>
        <w:rPr/>
        <w:t>第八节</w:t>
      </w:r>
      <w:r>
        <w:rPr>
          <w:spacing w:val="-9"/>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584"/>
        <w:gridCol w:w="710"/>
        <w:gridCol w:w="850"/>
        <w:gridCol w:w="852"/>
        <w:gridCol w:w="991"/>
        <w:gridCol w:w="852"/>
        <w:gridCol w:w="915"/>
        <w:gridCol w:w="643"/>
        <w:gridCol w:w="1030"/>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7"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72"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0" w:right="60"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 w:right="60"/>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5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89"/>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8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3"/>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19"/>
              <w:ind w:left="4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董事长、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05</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104,677,171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104,677,171</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许忠慈</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董事、常 务副总裁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2,057,984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2,057,984</w:t>
            </w:r>
          </w:p>
        </w:tc>
      </w:tr>
      <w:tr>
        <w:trPr>
          <w:trHeight w:val="133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方进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both"/>
              <w:rPr>
                <w:rFonts w:ascii="宋体" w:hAnsi="宋体" w:cs="宋体" w:eastAsia="宋体" w:hint="default"/>
                <w:sz w:val="18"/>
                <w:szCs w:val="18"/>
              </w:rPr>
            </w:pPr>
            <w:r>
              <w:rPr>
                <w:rFonts w:ascii="宋体" w:hAnsi="宋体" w:cs="宋体" w:eastAsia="宋体" w:hint="default"/>
                <w:sz w:val="18"/>
                <w:szCs w:val="18"/>
              </w:rPr>
              <w:t>董事（现 </w:t>
            </w:r>
            <w:r>
              <w:rPr>
                <w:rFonts w:ascii="宋体" w:hAnsi="宋体" w:cs="宋体" w:eastAsia="宋体" w:hint="default"/>
                <w:spacing w:val="-33"/>
                <w:sz w:val="18"/>
                <w:szCs w:val="18"/>
              </w:rPr>
              <w:t>任）、副总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裁（已辞 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72,000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72,000</w:t>
            </w:r>
          </w:p>
        </w:tc>
      </w:tr>
      <w:tr>
        <w:trPr>
          <w:trHeight w:val="71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张跃华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马映冰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孙海法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邓鸿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薛宁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钟艳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05</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黄洪</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张锦鸿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48,000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傅德亮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副总裁、 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杨义仁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05</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584"/>
        <w:gridCol w:w="710"/>
        <w:gridCol w:w="850"/>
        <w:gridCol w:w="852"/>
        <w:gridCol w:w="991"/>
        <w:gridCol w:w="852"/>
        <w:gridCol w:w="915"/>
        <w:gridCol w:w="643"/>
        <w:gridCol w:w="1030"/>
      </w:tblGrid>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106,855,155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106,855,155</w:t>
            </w:r>
          </w:p>
        </w:tc>
      </w:tr>
    </w:tbl>
    <w:p>
      <w:pPr>
        <w:spacing w:line="240" w:lineRule="auto" w:before="1"/>
        <w:rPr>
          <w:rFonts w:ascii="宋体" w:hAnsi="宋体" w:cs="宋体" w:eastAsia="宋体" w:hint="default"/>
          <w:b/>
          <w:bCs/>
          <w:sz w:val="18"/>
          <w:szCs w:val="18"/>
        </w:rPr>
      </w:pPr>
    </w:p>
    <w:p>
      <w:pPr>
        <w:spacing w:before="26"/>
        <w:ind w:left="152" w:right="1133" w:firstLine="0"/>
        <w:jc w:val="left"/>
        <w:rPr>
          <w:rFonts w:ascii="宋体" w:hAnsi="宋体" w:cs="宋体" w:eastAsia="宋体" w:hint="default"/>
          <w:sz w:val="24"/>
          <w:szCs w:val="24"/>
        </w:rPr>
      </w:pPr>
      <w:r>
        <w:rPr>
          <w:rFonts w:ascii="宋体" w:hAnsi="宋体" w:cs="宋体" w:eastAsia="宋体" w:hint="default"/>
          <w:b/>
          <w:bCs/>
          <w:sz w:val="24"/>
          <w:szCs w:val="24"/>
        </w:rPr>
        <w:t>二、公司董事、监事、高级管理人员变动情况</w:t>
      </w:r>
      <w:r>
        <w:rPr>
          <w:rFonts w:ascii="宋体" w:hAnsi="宋体" w:cs="宋体" w:eastAsia="宋体" w:hint="default"/>
          <w:sz w:val="24"/>
          <w:szCs w:val="24"/>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3"/>
        <w:gridCol w:w="1330"/>
        <w:gridCol w:w="4246"/>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方进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方进先生因个人原因，辞去副总裁职务，仍担任公司 董事职务。</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3" w:right="1133"/>
        <w:jc w:val="left"/>
      </w:pPr>
      <w:r>
        <w:rPr/>
        <w:t>公司现任董事、监事、高级管理人员专业背景、主要工作经历以及目前在公司的主要职责</w:t>
      </w:r>
    </w:p>
    <w:p>
      <w:pPr>
        <w:pStyle w:val="BodyText"/>
        <w:spacing w:line="316" w:lineRule="auto" w:before="76"/>
        <w:ind w:left="513" w:right="5173"/>
        <w:jc w:val="left"/>
      </w:pPr>
      <w:r>
        <w:rPr/>
        <w:t>（一）现任董事简介 公司现有董事</w:t>
      </w:r>
      <w:r>
        <w:rPr>
          <w:rFonts w:ascii="Times New Roman" w:hAnsi="Times New Roman" w:cs="Times New Roman" w:eastAsia="Times New Roman" w:hint="default"/>
        </w:rPr>
        <w:t>7</w:t>
      </w:r>
      <w:r>
        <w:rPr/>
        <w:t>名，任期至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日，各位董事的简介如下：</w:t>
      </w:r>
    </w:p>
    <w:p>
      <w:pPr>
        <w:pStyle w:val="BodyText"/>
        <w:spacing w:line="300" w:lineRule="auto"/>
        <w:ind w:right="1135" w:firstLine="360"/>
        <w:jc w:val="both"/>
      </w:pPr>
      <w:r>
        <w:rPr>
          <w:spacing w:val="-2"/>
        </w:rPr>
        <w:t>曾胜强：男，</w:t>
      </w:r>
      <w:r>
        <w:rPr>
          <w:rFonts w:ascii="Times New Roman" w:hAnsi="Times New Roman" w:cs="Times New Roman" w:eastAsia="Times New Roman" w:hint="default"/>
          <w:spacing w:val="-2"/>
        </w:rPr>
        <w:t>56</w:t>
      </w:r>
      <w:r>
        <w:rPr>
          <w:spacing w:val="-2"/>
        </w:rPr>
        <w:t>岁，研究生学历，中国国籍，无境外永久居留权。曾任湖南省建南机器厂研发部经理、深圳市建博公司</w:t>
      </w:r>
      <w:r>
        <w:rPr/>
        <w:t> 总经理，</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9</w:t>
      </w:r>
      <w:r>
        <w:rPr/>
        <w:t>月创建深圳市证通电子有限公司。现任公司董事长兼总裁，主持公司全面工作。</w:t>
      </w:r>
    </w:p>
    <w:p>
      <w:pPr>
        <w:pStyle w:val="BodyText"/>
        <w:spacing w:line="309" w:lineRule="auto" w:before="13"/>
        <w:ind w:right="1129" w:firstLine="360"/>
        <w:jc w:val="both"/>
      </w:pPr>
      <w:r>
        <w:rPr>
          <w:spacing w:val="-2"/>
        </w:rPr>
        <w:t>许忠慈：男，</w:t>
      </w:r>
      <w:r>
        <w:rPr>
          <w:rFonts w:ascii="Times New Roman" w:hAnsi="Times New Roman" w:cs="Times New Roman" w:eastAsia="Times New Roman" w:hint="default"/>
          <w:spacing w:val="-2"/>
        </w:rPr>
        <w:t>62</w:t>
      </w:r>
      <w:r>
        <w:rPr>
          <w:spacing w:val="-2"/>
        </w:rPr>
        <w:t>岁，本科学历，中国国籍，无境外永久居留权。高级工程师。曾任湖南省古丈县邮电局局长，广东省东</w:t>
      </w:r>
      <w:r>
        <w:rPr/>
        <w:t> </w:t>
      </w:r>
      <w:r>
        <w:rPr>
          <w:spacing w:val="-2"/>
        </w:rPr>
        <w:t>莞市市内电话局局长，广东省电信实业集团东莞市有限公司总经理。现任公司董事、常务副总裁、协助总裁管理公司日常经</w:t>
      </w:r>
      <w:r>
        <w:rPr>
          <w:spacing w:val="-64"/>
        </w:rPr>
        <w:t> </w:t>
      </w:r>
      <w:r>
        <w:rPr>
          <w:spacing w:val="-64"/>
        </w:rPr>
      </w:r>
      <w:r>
        <w:rPr/>
        <w:t>营工作。</w:t>
      </w:r>
    </w:p>
    <w:p>
      <w:pPr>
        <w:pStyle w:val="BodyText"/>
        <w:spacing w:line="300" w:lineRule="auto" w:before="24"/>
        <w:ind w:right="1132" w:firstLine="360"/>
        <w:jc w:val="both"/>
      </w:pPr>
      <w:r>
        <w:rPr>
          <w:spacing w:val="-5"/>
        </w:rPr>
        <w:t>方进：男，</w:t>
      </w:r>
      <w:r>
        <w:rPr>
          <w:rFonts w:ascii="Times New Roman" w:hAnsi="Times New Roman" w:cs="Times New Roman" w:eastAsia="Times New Roman" w:hint="default"/>
          <w:spacing w:val="-5"/>
        </w:rPr>
        <w:t>41</w:t>
      </w:r>
      <w:r>
        <w:rPr>
          <w:spacing w:val="-5"/>
        </w:rPr>
        <w:t>岁，本科学历，中国国籍，无境外永久居留权。曾任江苏泛太科技有限公司总经理，公司总经理助理职务，</w:t>
      </w:r>
      <w:r>
        <w:rPr/>
        <w:t> 副总裁，自助设备事业部总经理职务。现任公司董事。</w:t>
      </w:r>
    </w:p>
    <w:p>
      <w:pPr>
        <w:pStyle w:val="BodyText"/>
        <w:spacing w:line="309" w:lineRule="auto" w:before="31"/>
        <w:ind w:right="1134" w:firstLine="360"/>
        <w:jc w:val="both"/>
      </w:pPr>
      <w:r>
        <w:rPr/>
        <w:t>张跃华：男，</w:t>
      </w:r>
      <w:r>
        <w:rPr>
          <w:rFonts w:ascii="Times New Roman" w:hAnsi="Times New Roman" w:cs="Times New Roman" w:eastAsia="Times New Roman" w:hint="default"/>
        </w:rPr>
        <w:t>55</w:t>
      </w:r>
      <w:r>
        <w:rPr/>
        <w:t>岁，博士学历，中国国籍，无境外永久居留权。高级职业经理人。</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8</w:t>
      </w:r>
      <w:r>
        <w:rPr/>
        <w:t>月加入深圳安华集团公司， </w:t>
      </w:r>
      <w:r>
        <w:rPr>
          <w:spacing w:val="-2"/>
        </w:rPr>
        <w:t>历任副总经理、总经理，现任深圳市安华企业发展有限公司执行董事、总经理，深圳市长商投资管理有限公司执行董事，深</w:t>
      </w:r>
      <w:r>
        <w:rPr>
          <w:spacing w:val="-67"/>
        </w:rPr>
        <w:t> </w:t>
      </w:r>
      <w:r>
        <w:rPr>
          <w:spacing w:val="-67"/>
        </w:rPr>
      </w:r>
      <w:r>
        <w:rPr/>
        <w:t>圳市警业实业发展有限公司董事、湘乡华松房地产开发有限公司执行董事、总经理、深圳市长沙商会会长，本公司董事。</w:t>
      </w:r>
    </w:p>
    <w:p>
      <w:pPr>
        <w:pStyle w:val="BodyText"/>
        <w:spacing w:line="300" w:lineRule="auto" w:before="24"/>
        <w:ind w:right="1132" w:firstLine="360"/>
        <w:jc w:val="both"/>
      </w:pPr>
      <w:r>
        <w:rPr>
          <w:spacing w:val="-2"/>
        </w:rPr>
        <w:t>马映冰：男，</w:t>
      </w:r>
      <w:r>
        <w:rPr>
          <w:rFonts w:ascii="Times New Roman" w:hAnsi="Times New Roman" w:cs="Times New Roman" w:eastAsia="Times New Roman" w:hint="default"/>
          <w:spacing w:val="-2"/>
        </w:rPr>
        <w:t>50</w:t>
      </w:r>
      <w:r>
        <w:rPr>
          <w:spacing w:val="-2"/>
        </w:rPr>
        <w:t>岁，研究生学历，中国国籍，无境外永久居留权。曾任甲骨文（中国）软件系统有限公司华南区区域经</w:t>
      </w:r>
      <w:r>
        <w:rPr/>
        <w:t> 理，科森信息科技（亚洲）有限公司华南区总经理。现任文思海辉技术有限公司副总裁，本公司独立董事。</w:t>
      </w:r>
    </w:p>
    <w:p>
      <w:pPr>
        <w:pStyle w:val="BodyText"/>
        <w:spacing w:line="309" w:lineRule="auto" w:before="32"/>
        <w:ind w:right="1131" w:firstLine="360"/>
        <w:jc w:val="both"/>
      </w:pPr>
      <w:r>
        <w:rPr/>
        <w:t>孙海法：男，</w:t>
      </w:r>
      <w:r>
        <w:rPr>
          <w:rFonts w:ascii="Times New Roman" w:hAnsi="Times New Roman" w:cs="Times New Roman" w:eastAsia="Times New Roman" w:hint="default"/>
        </w:rPr>
        <w:t>63</w:t>
      </w:r>
      <w:r>
        <w:rPr/>
        <w:t>岁，博士学历，中国国籍，无境外永久居留权。教授，博士生导师，</w:t>
      </w:r>
      <w:r>
        <w:rPr>
          <w:rFonts w:ascii="Times New Roman" w:hAnsi="Times New Roman" w:cs="Times New Roman" w:eastAsia="Times New Roman" w:hint="default"/>
        </w:rPr>
        <w:t>2000</w:t>
      </w:r>
      <w:r>
        <w:rPr>
          <w:rFonts w:ascii="Times New Roman" w:hAnsi="Times New Roman" w:cs="Times New Roman" w:eastAsia="Times New Roman" w:hint="default"/>
          <w:spacing w:val="24"/>
        </w:rPr>
        <w:t> </w:t>
      </w:r>
      <w:r>
        <w:rPr/>
        <w:t>年至今任职于中山大学管理 </w:t>
      </w:r>
      <w:r>
        <w:rPr>
          <w:spacing w:val="-2"/>
        </w:rPr>
        <w:t>学院，曾任工商管理系副主任，现任人力资源开发与管理研究中心主任，广东省人社厅顾问，广东省组织与人力资源管理学</w:t>
      </w:r>
      <w:r>
        <w:rPr>
          <w:spacing w:val="-65"/>
        </w:rPr>
        <w:t> </w:t>
      </w:r>
      <w:r>
        <w:rPr>
          <w:spacing w:val="-65"/>
        </w:rPr>
      </w:r>
      <w:r>
        <w:rPr/>
        <w:t>会会长，本公司独立董事。</w:t>
      </w:r>
    </w:p>
    <w:p>
      <w:pPr>
        <w:pStyle w:val="BodyText"/>
        <w:spacing w:line="300" w:lineRule="auto" w:before="24"/>
        <w:ind w:right="1034" w:firstLine="360"/>
        <w:jc w:val="left"/>
      </w:pPr>
      <w:r>
        <w:rPr/>
        <w:t>邓鸿：男，</w:t>
      </w:r>
      <w:r>
        <w:rPr>
          <w:rFonts w:ascii="Times New Roman" w:hAnsi="Times New Roman" w:cs="Times New Roman" w:eastAsia="Times New Roman" w:hint="default"/>
        </w:rPr>
        <w:t>55</w:t>
      </w:r>
      <w:r>
        <w:rPr/>
        <w:t>岁，研究生学历，中国国籍，无境外永久居留权。注册会计师。曾任中磊会计师事务所深圳分所合伙人、 深圳正一会计师事务所合伙人、亚太</w:t>
      </w:r>
      <w:r>
        <w:rPr>
          <w:rFonts w:ascii="Times New Roman" w:hAnsi="Times New Roman" w:cs="Times New Roman" w:eastAsia="Times New Roman" w:hint="default"/>
        </w:rPr>
        <w:t>(</w:t>
      </w:r>
      <w:r>
        <w:rPr/>
        <w:t>集团</w:t>
      </w:r>
      <w:r>
        <w:rPr>
          <w:rFonts w:ascii="Times New Roman" w:hAnsi="Times New Roman" w:cs="Times New Roman" w:eastAsia="Times New Roman" w:hint="default"/>
        </w:rPr>
        <w:t>)</w:t>
      </w:r>
      <w:r>
        <w:rPr/>
        <w:t>会计师事务所深圳分所合伙人，深圳市联建光电股份有限公司独立董事。现任本 公司独立董事。</w:t>
      </w:r>
    </w:p>
    <w:p>
      <w:pPr>
        <w:pStyle w:val="BodyText"/>
        <w:spacing w:line="316" w:lineRule="auto" w:before="31"/>
        <w:ind w:left="513" w:right="5173"/>
        <w:jc w:val="left"/>
      </w:pPr>
      <w:r>
        <w:rPr/>
        <w:t>（二）监事简介 公司现有监事</w:t>
      </w:r>
      <w:r>
        <w:rPr>
          <w:rFonts w:ascii="Times New Roman" w:hAnsi="Times New Roman" w:cs="Times New Roman" w:eastAsia="Times New Roman" w:hint="default"/>
        </w:rPr>
        <w:t>3</w:t>
      </w:r>
      <w:r>
        <w:rPr/>
        <w:t>名，任期至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日，各位监事的简介如下：</w:t>
      </w:r>
    </w:p>
    <w:p>
      <w:pPr>
        <w:pStyle w:val="BodyText"/>
        <w:spacing w:line="300" w:lineRule="auto"/>
        <w:ind w:right="1129" w:firstLine="360"/>
        <w:jc w:val="both"/>
      </w:pPr>
      <w:r>
        <w:rPr>
          <w:spacing w:val="-2"/>
        </w:rPr>
        <w:t>薛宁：男，</w:t>
      </w:r>
      <w:r>
        <w:rPr>
          <w:rFonts w:ascii="Times New Roman" w:hAnsi="Times New Roman" w:cs="Times New Roman" w:eastAsia="Times New Roman" w:hint="default"/>
          <w:spacing w:val="-2"/>
        </w:rPr>
        <w:t>39</w:t>
      </w:r>
      <w:r>
        <w:rPr>
          <w:spacing w:val="-2"/>
        </w:rPr>
        <w:t>岁，大专学历，中国国籍，无境外永久居留权。曾任公司自助产品线总监、华北分公司总经理、大客户部</w:t>
      </w:r>
      <w:r>
        <w:rPr/>
        <w:t> 总经理、市场总监、营销总监，现任深圳市证通云计算有限公司副总经理，监事会主席。</w:t>
      </w:r>
    </w:p>
    <w:p>
      <w:pPr>
        <w:pStyle w:val="BodyText"/>
        <w:spacing w:line="300" w:lineRule="auto" w:before="31"/>
        <w:ind w:right="1131" w:firstLine="360"/>
        <w:jc w:val="both"/>
      </w:pPr>
      <w:r>
        <w:rPr>
          <w:spacing w:val="-5"/>
        </w:rPr>
        <w:t>钟艳：女，</w:t>
      </w:r>
      <w:r>
        <w:rPr>
          <w:rFonts w:ascii="Times New Roman" w:hAnsi="Times New Roman" w:cs="Times New Roman" w:eastAsia="Times New Roman" w:hint="default"/>
          <w:spacing w:val="-5"/>
        </w:rPr>
        <w:t>40</w:t>
      </w:r>
      <w:r>
        <w:rPr>
          <w:spacing w:val="-5"/>
        </w:rPr>
        <w:t>岁，中国国籍，无境外永久居留权。公共关系专科学历。</w:t>
      </w:r>
      <w:r>
        <w:rPr>
          <w:rFonts w:ascii="Times New Roman" w:hAnsi="Times New Roman" w:cs="Times New Roman" w:eastAsia="Times New Roman" w:hint="default"/>
          <w:spacing w:val="-5"/>
        </w:rPr>
        <w:t>2007</w:t>
      </w:r>
      <w:r>
        <w:rPr>
          <w:spacing w:val="-5"/>
        </w:rPr>
        <w:t>年</w:t>
      </w:r>
      <w:r>
        <w:rPr>
          <w:rFonts w:ascii="Times New Roman" w:hAnsi="Times New Roman" w:cs="Times New Roman" w:eastAsia="Times New Roman" w:hint="default"/>
          <w:spacing w:val="-5"/>
        </w:rPr>
        <w:t>10</w:t>
      </w:r>
      <w:r>
        <w:rPr>
          <w:spacing w:val="-5"/>
        </w:rPr>
        <w:t>月至今就职于深圳市证通电子股份公司，</w:t>
      </w:r>
      <w:r>
        <w:rPr/>
        <w:t> 曾任公司研发管理部主管，现任公司安全支付事业部主管、监事。</w:t>
      </w:r>
    </w:p>
    <w:p>
      <w:pPr>
        <w:pStyle w:val="BodyText"/>
        <w:spacing w:line="240" w:lineRule="auto" w:before="31"/>
        <w:ind w:left="513" w:right="944"/>
        <w:jc w:val="left"/>
      </w:pPr>
      <w:r>
        <w:rPr/>
        <w:t>黄洪：男，</w:t>
      </w:r>
      <w:r>
        <w:rPr>
          <w:rFonts w:ascii="Times New Roman" w:hAnsi="Times New Roman" w:cs="Times New Roman" w:eastAsia="Times New Roman" w:hint="default"/>
        </w:rPr>
        <w:t>62</w:t>
      </w:r>
      <w:r>
        <w:rPr/>
        <w:t>岁，本科学历，中国国籍，无境外永久居留权。工程师，曾任公司总工程师、研发部经理、技术顾问等职</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1133"/>
        <w:jc w:val="left"/>
      </w:pPr>
      <w:r>
        <w:rPr/>
        <w:t>务，现任公司职工代表监事。</w:t>
      </w:r>
    </w:p>
    <w:p>
      <w:pPr>
        <w:pStyle w:val="BodyText"/>
        <w:spacing w:line="312" w:lineRule="auto" w:before="76"/>
        <w:ind w:left="513" w:right="3733"/>
        <w:jc w:val="left"/>
      </w:pPr>
      <w:r>
        <w:rPr/>
        <w:t>（三）高级管理人员简介 公司现有高级管理人员</w:t>
      </w:r>
      <w:r>
        <w:rPr>
          <w:rFonts w:ascii="Times New Roman" w:hAnsi="Times New Roman" w:cs="Times New Roman" w:eastAsia="Times New Roman" w:hint="default"/>
        </w:rPr>
        <w:t>7</w:t>
      </w:r>
      <w:r>
        <w:rPr/>
        <w:t>名，任期至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日，各位高级管理人员的简介如下： 曾胜强：总裁，简历参见现任董事简介中介绍。 许忠慈：常务副总裁，简历参见现任董事简介中介绍。</w:t>
      </w:r>
    </w:p>
    <w:p>
      <w:pPr>
        <w:pStyle w:val="BodyText"/>
        <w:spacing w:line="300" w:lineRule="auto" w:before="22"/>
        <w:ind w:right="1128" w:firstLine="360"/>
        <w:jc w:val="both"/>
      </w:pPr>
      <w:r>
        <w:rPr>
          <w:spacing w:val="-2"/>
        </w:rPr>
        <w:t>张锦鸿：男，</w:t>
      </w:r>
      <w:r>
        <w:rPr>
          <w:rFonts w:ascii="Times New Roman" w:hAnsi="Times New Roman" w:cs="Times New Roman" w:eastAsia="Times New Roman" w:hint="default"/>
          <w:spacing w:val="-2"/>
        </w:rPr>
        <w:t>50</w:t>
      </w:r>
      <w:r>
        <w:rPr>
          <w:spacing w:val="-2"/>
        </w:rPr>
        <w:t>岁，本科学历，中国国籍，无境外永久居留权。工程师，</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5</w:t>
      </w:r>
      <w:r>
        <w:rPr>
          <w:spacing w:val="-2"/>
        </w:rPr>
        <w:t>月后至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月在云南南天电子信息</w:t>
      </w:r>
      <w:r>
        <w:rPr/>
        <w:t> 产业股份有限公司任职，历任董事，副总裁，总裁，副董事长。现任公司副总裁兼自助事业部总经理。</w:t>
      </w:r>
    </w:p>
    <w:p>
      <w:pPr>
        <w:pStyle w:val="BodyText"/>
        <w:spacing w:line="300" w:lineRule="auto" w:before="31"/>
        <w:ind w:right="1155" w:firstLine="360"/>
        <w:jc w:val="both"/>
      </w:pPr>
      <w:r>
        <w:rPr/>
        <w:t>杨义仁：男，</w:t>
      </w:r>
      <w:r>
        <w:rPr>
          <w:rFonts w:ascii="Times New Roman" w:hAnsi="Times New Roman" w:cs="Times New Roman" w:eastAsia="Times New Roman" w:hint="default"/>
        </w:rPr>
        <w:t>48</w:t>
      </w:r>
      <w:r>
        <w:rPr/>
        <w:t>岁，硕士研究生学历，高级工程师。</w:t>
      </w:r>
      <w:r>
        <w:rPr>
          <w:rFonts w:ascii="Times New Roman" w:hAnsi="Times New Roman" w:cs="Times New Roman" w:eastAsia="Times New Roman" w:hint="default"/>
        </w:rPr>
        <w:t>2010</w:t>
      </w:r>
      <w:r>
        <w:rPr/>
        <w:t>年出任中通服软件科技有限公司总经理；</w:t>
      </w:r>
      <w:r>
        <w:rPr>
          <w:rFonts w:ascii="Times New Roman" w:hAnsi="Times New Roman" w:cs="Times New Roman" w:eastAsia="Times New Roman" w:hint="default"/>
        </w:rPr>
        <w:t>2011</w:t>
      </w:r>
      <w:r>
        <w:rPr>
          <w:rFonts w:ascii="Times New Roman" w:hAnsi="Times New Roman" w:cs="Times New Roman" w:eastAsia="Times New Roman" w:hint="default"/>
          <w:spacing w:val="24"/>
        </w:rPr>
        <w:t> </w:t>
      </w:r>
      <w:r>
        <w:rPr/>
        <w:t>年担任广东省 通信产业服务有限公司信息中心主任，</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月至今担任广东宏达通信有限公司总经理兼董事。现任公司副总裁，</w:t>
      </w:r>
      <w:r>
        <w:rPr>
          <w:rFonts w:ascii="Times New Roman" w:hAnsi="Times New Roman" w:cs="Times New Roman" w:eastAsia="Times New Roman" w:hint="default"/>
        </w:rPr>
        <w:t>IDC</w:t>
      </w:r>
      <w:r>
        <w:rPr/>
        <w:t>云 计算事业部总经理。</w:t>
      </w:r>
    </w:p>
    <w:p>
      <w:pPr>
        <w:pStyle w:val="BodyText"/>
        <w:spacing w:line="300" w:lineRule="auto" w:before="31"/>
        <w:ind w:right="1133" w:firstLine="360"/>
        <w:jc w:val="left"/>
      </w:pPr>
      <w:r>
        <w:rPr/>
        <w:t>傅德亮：男，</w:t>
      </w:r>
      <w:r>
        <w:rPr>
          <w:rFonts w:ascii="Times New Roman" w:hAnsi="Times New Roman" w:cs="Times New Roman" w:eastAsia="Times New Roman" w:hint="default"/>
        </w:rPr>
        <w:t>56</w:t>
      </w:r>
      <w:r>
        <w:rPr/>
        <w:t>岁，硕士研究生学历，中国国籍，无永久境外居留权。</w:t>
      </w:r>
      <w:r>
        <w:rPr>
          <w:rFonts w:ascii="Times New Roman" w:hAnsi="Times New Roman" w:cs="Times New Roman" w:eastAsia="Times New Roman" w:hint="default"/>
        </w:rPr>
        <w:t>1989</w:t>
      </w:r>
      <w:r>
        <w:rPr/>
        <w:t>年毕业于湖南大学计算机应用专业。</w:t>
      </w:r>
      <w:r>
        <w:rPr>
          <w:rFonts w:ascii="Times New Roman" w:hAnsi="Times New Roman" w:cs="Times New Roman" w:eastAsia="Times New Roman" w:hint="default"/>
        </w:rPr>
        <w:t>2007 </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月，就职于云南南天信息产业股份有限公司，任总裁特别助理；</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月，就职公司全资子公</w:t>
      </w:r>
      <w:r>
        <w:rPr>
          <w:spacing w:val="-55"/>
        </w:rPr>
        <w:t> </w:t>
      </w:r>
      <w:r>
        <w:rPr>
          <w:spacing w:val="-55"/>
        </w:rPr>
      </w:r>
      <w:r>
        <w:rPr/>
        <w:t>司广州证通网络科技有限公司，任总经理；现任公司副总裁、董事会秘书。</w:t>
      </w:r>
    </w:p>
    <w:p>
      <w:pPr>
        <w:pStyle w:val="BodyText"/>
        <w:spacing w:line="300" w:lineRule="auto" w:before="31"/>
        <w:ind w:right="1128" w:firstLine="360"/>
        <w:jc w:val="both"/>
        <w:rPr>
          <w:rFonts w:ascii="宋体" w:hAnsi="宋体" w:cs="宋体" w:eastAsia="宋体" w:hint="default"/>
        </w:rPr>
      </w:pPr>
      <w:r>
        <w:rPr>
          <w:spacing w:val="-2"/>
        </w:rPr>
        <w:t>张忠：男，</w:t>
      </w:r>
      <w:r>
        <w:rPr>
          <w:rFonts w:ascii="Times New Roman" w:hAnsi="Times New Roman" w:cs="Times New Roman" w:eastAsia="Times New Roman" w:hint="default"/>
          <w:spacing w:val="-2"/>
        </w:rPr>
        <w:t>49</w:t>
      </w:r>
      <w:r>
        <w:rPr>
          <w:spacing w:val="-2"/>
        </w:rPr>
        <w:t>岁，大专学历，中国国籍，无永久境外居留权。</w:t>
      </w:r>
      <w:r>
        <w:rPr>
          <w:rFonts w:ascii="Times New Roman" w:hAnsi="Times New Roman" w:cs="Times New Roman" w:eastAsia="Times New Roman" w:hint="default"/>
          <w:spacing w:val="-2"/>
        </w:rPr>
        <w:t>1991</w:t>
      </w:r>
      <w:r>
        <w:rPr>
          <w:spacing w:val="-2"/>
        </w:rPr>
        <w:t>年毕业于长沙铁道学院（现中南大学）工业企业管理</w:t>
      </w:r>
      <w:r>
        <w:rPr/>
        <w:t> </w:t>
      </w:r>
      <w:r>
        <w:rPr>
          <w:spacing w:val="-4"/>
        </w:rPr>
        <w:t>专业，</w:t>
      </w:r>
      <w:r>
        <w:rPr>
          <w:rFonts w:ascii="Times New Roman" w:hAnsi="Times New Roman" w:cs="Times New Roman" w:eastAsia="Times New Roman" w:hint="default"/>
          <w:spacing w:val="-4"/>
        </w:rPr>
        <w:t>1998</w:t>
      </w:r>
      <w:r>
        <w:rPr>
          <w:spacing w:val="-4"/>
        </w:rPr>
        <w:t>年</w:t>
      </w:r>
      <w:r>
        <w:rPr>
          <w:rFonts w:ascii="Times New Roman" w:hAnsi="Times New Roman" w:cs="Times New Roman" w:eastAsia="Times New Roman" w:hint="default"/>
          <w:spacing w:val="-4"/>
        </w:rPr>
        <w:t>3</w:t>
      </w:r>
      <w:r>
        <w:rPr>
          <w:spacing w:val="-4"/>
        </w:rPr>
        <w:t>月至</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1</w:t>
      </w:r>
      <w:r>
        <w:rPr>
          <w:spacing w:val="-4"/>
        </w:rPr>
        <w:t>月任公司销售经理职务，</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1</w:t>
      </w:r>
      <w:r>
        <w:rPr>
          <w:spacing w:val="-4"/>
        </w:rPr>
        <w:t>月至</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12</w:t>
      </w:r>
      <w:r>
        <w:rPr>
          <w:spacing w:val="-4"/>
        </w:rPr>
        <w:t>月，任公司总部销售总经理职务；</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1</w:t>
      </w:r>
      <w:r>
        <w:rPr>
          <w:spacing w:val="-4"/>
        </w:rPr>
        <w:t>月至今，</w:t>
      </w:r>
      <w:r>
        <w:rPr/>
        <w:t> 任公司全资子公司证通佳明总经理职务，现任公司副总裁、光电事业部总经理。</w:t>
      </w:r>
      <w:r>
        <w:rPr>
          <w:rFonts w:ascii="宋体" w:hAnsi="宋体" w:cs="宋体" w:eastAsia="宋体" w:hint="default"/>
        </w:rPr>
        <w:t> </w:t>
      </w:r>
    </w:p>
    <w:p>
      <w:pPr>
        <w:pStyle w:val="BodyText"/>
        <w:spacing w:line="309" w:lineRule="auto" w:before="31"/>
        <w:ind w:right="1044" w:firstLine="360"/>
        <w:jc w:val="both"/>
      </w:pPr>
      <w:r>
        <w:rPr>
          <w:spacing w:val="-5"/>
        </w:rPr>
        <w:t>黄毅：男，</w:t>
      </w:r>
      <w:r>
        <w:rPr>
          <w:rFonts w:ascii="Times New Roman" w:hAnsi="Times New Roman" w:cs="Times New Roman" w:eastAsia="Times New Roman" w:hint="default"/>
          <w:spacing w:val="-5"/>
        </w:rPr>
        <w:t>43</w:t>
      </w:r>
      <w:r>
        <w:rPr>
          <w:spacing w:val="-5"/>
        </w:rPr>
        <w:t>岁，硕士研究生学历，中国大陆国籍，无永久境外居留权。</w:t>
      </w:r>
      <w:r>
        <w:rPr>
          <w:rFonts w:ascii="Times New Roman" w:hAnsi="Times New Roman" w:cs="Times New Roman" w:eastAsia="Times New Roman" w:hint="default"/>
          <w:spacing w:val="-5"/>
        </w:rPr>
        <w:t>1998</w:t>
      </w:r>
      <w:r>
        <w:rPr>
          <w:spacing w:val="-5"/>
        </w:rPr>
        <w:t>年毕业于湖南财经学院财务管理专业，</w:t>
      </w:r>
      <w:r>
        <w:rPr>
          <w:rFonts w:ascii="Times New Roman" w:hAnsi="Times New Roman" w:cs="Times New Roman" w:eastAsia="Times New Roman" w:hint="default"/>
          <w:spacing w:val="-5"/>
        </w:rPr>
        <w:t>2015</w:t>
      </w:r>
      <w:r>
        <w:rPr>
          <w:rFonts w:ascii="Times New Roman" w:hAnsi="Times New Roman" w:cs="Times New Roman" w:eastAsia="Times New Roman" w:hint="default"/>
        </w:rPr>
        <w:t> </w:t>
      </w:r>
      <w:r>
        <w:rPr>
          <w:spacing w:val="-5"/>
        </w:rPr>
        <w:t>年毕业于上海财经大学工商管理专业，获硕士研究生学历，拥有中国注册会计师。曾任彩乐糖果（东莞）有限公司副总经理、</w:t>
      </w:r>
      <w:r>
        <w:rPr>
          <w:spacing w:val="-80"/>
        </w:rPr>
        <w:t> </w:t>
      </w:r>
      <w:r>
        <w:rPr>
          <w:spacing w:val="-80"/>
        </w:rPr>
      </w:r>
      <w:r>
        <w:rPr/>
        <w:t>深圳左右家私有限公司、深圳市讯方技术股份有限公司、深圳市桑格尔科技股份有限公司财务总监，现任本公司财务总监。</w:t>
      </w:r>
    </w:p>
    <w:p>
      <w:pPr>
        <w:pStyle w:val="BodyText"/>
        <w:spacing w:line="240" w:lineRule="auto" w:before="65"/>
        <w:ind w:right="1133"/>
        <w:jc w:val="left"/>
      </w:pPr>
      <w:r>
        <w:rPr/>
        <w:t>在股东单位任职情况</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在其他单位任职情况</w:t>
      </w:r>
    </w:p>
    <w:p>
      <w:pPr>
        <w:pStyle w:val="BodyText"/>
        <w:spacing w:line="240" w:lineRule="auto" w:before="4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715"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3"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深圳市证通金信科技有限公司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深圳市证通数码科技有限公司</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4" w:right="-34"/>
              <w:jc w:val="left"/>
              <w:rPr>
                <w:rFonts w:ascii="宋体" w:hAnsi="宋体" w:cs="宋体" w:eastAsia="宋体" w:hint="default"/>
                <w:sz w:val="18"/>
                <w:szCs w:val="18"/>
              </w:rPr>
            </w:pPr>
            <w:r>
              <w:rPr>
                <w:rFonts w:ascii="宋体" w:hAnsi="宋体" w:cs="宋体" w:eastAsia="宋体" w:hint="default"/>
                <w:sz w:val="18"/>
                <w:szCs w:val="18"/>
              </w:rPr>
              <w:t>执行（常务） 董事</w:t>
            </w:r>
          </w:p>
        </w:tc>
        <w:tc>
          <w:tcPr>
            <w:tcW w:w="1229"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49"/>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深圳市证通普润电子有限公司</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49"/>
              <w:ind w:left="24" w:right="-34"/>
              <w:jc w:val="left"/>
              <w:rPr>
                <w:rFonts w:ascii="宋体" w:hAnsi="宋体" w:cs="宋体" w:eastAsia="宋体" w:hint="default"/>
                <w:sz w:val="18"/>
                <w:szCs w:val="18"/>
              </w:rPr>
            </w:pPr>
            <w:r>
              <w:rPr>
                <w:rFonts w:ascii="宋体" w:hAnsi="宋体" w:cs="宋体" w:eastAsia="宋体" w:hint="default"/>
                <w:sz w:val="18"/>
                <w:szCs w:val="18"/>
              </w:rPr>
              <w:t>执行（常务） 董事</w:t>
            </w:r>
          </w:p>
        </w:tc>
        <w:tc>
          <w:tcPr>
            <w:tcW w:w="1229"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49"/>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深圳市通新源物业管理有限公司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证通国际投资有限公司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四川蜀信易电子商务有限公司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广州证通网络科技有限公司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01"/>
              <w:jc w:val="left"/>
              <w:rPr>
                <w:rFonts w:ascii="宋体" w:hAnsi="宋体" w:cs="宋体" w:eastAsia="宋体" w:hint="default"/>
                <w:sz w:val="18"/>
                <w:szCs w:val="18"/>
              </w:rPr>
            </w:pPr>
            <w:r>
              <w:rPr>
                <w:rFonts w:ascii="宋体" w:hAnsi="宋体" w:cs="宋体" w:eastAsia="宋体" w:hint="default"/>
                <w:sz w:val="18"/>
                <w:szCs w:val="18"/>
              </w:rPr>
              <w:t>广州水晶智联科技有限公司（原</w:t>
            </w:r>
            <w:r>
              <w:rPr>
                <w:rFonts w:ascii="Times New Roman" w:hAnsi="Times New Roman" w:cs="Times New Roman" w:eastAsia="Times New Roman" w:hint="default"/>
                <w:sz w:val="18"/>
                <w:szCs w:val="18"/>
              </w:rPr>
              <w:t>“</w:t>
            </w:r>
            <w:r>
              <w:rPr>
                <w:rFonts w:ascii="宋体" w:hAnsi="宋体" w:cs="宋体" w:eastAsia="宋体" w:hint="default"/>
                <w:sz w:val="18"/>
                <w:szCs w:val="18"/>
              </w:rPr>
              <w:t>证通邦 客</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深圳市证通佳明光电有限公司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许忠慈</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深圳市通新源物业管理有限公司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许忠慈</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深圳市证通数码科技有限公司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许忠慈</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长沙证通云计算有限公司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1"/>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许忠慈</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深圳市证通云计算有限公司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许忠慈</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广州云硕科技发展有限公司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许忠慈</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四川蜀信易电子商务有限公司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许忠慈</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广东宏达通信有限公司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方进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深圳市证通金信科技有限公司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方进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深圳市证通数码科技有限公司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13</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方进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南京市觅鑫蜂网络科技有限公司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杨义仁</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广东宏达通信有限公司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8"/>
                <w:sz w:val="18"/>
                <w:szCs w:val="18"/>
              </w:rPr>
              <w:t>董事、总经理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杨义仁</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深圳市证通云计算有限公司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张锦鸿</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四川蜀信易电子商务有限公司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1"/>
              <w:jc w:val="left"/>
              <w:rPr>
                <w:rFonts w:ascii="宋体" w:hAnsi="宋体" w:cs="宋体" w:eastAsia="宋体" w:hint="default"/>
                <w:sz w:val="18"/>
                <w:szCs w:val="18"/>
              </w:rPr>
            </w:pPr>
            <w:r>
              <w:rPr>
                <w:rFonts w:ascii="宋体" w:hAnsi="宋体" w:cs="宋体" w:eastAsia="宋体" w:hint="default"/>
                <w:spacing w:val="-8"/>
                <w:sz w:val="18"/>
                <w:szCs w:val="18"/>
              </w:rPr>
              <w:t>董事长、总经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张锦鸿</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广州证通网络科技有限公司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8"/>
                <w:sz w:val="18"/>
                <w:szCs w:val="18"/>
              </w:rPr>
              <w:t>董事、总经理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张锦鸿</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101"/>
              <w:jc w:val="left"/>
              <w:rPr>
                <w:rFonts w:ascii="宋体" w:hAnsi="宋体" w:cs="宋体" w:eastAsia="宋体" w:hint="default"/>
                <w:sz w:val="18"/>
                <w:szCs w:val="18"/>
              </w:rPr>
            </w:pPr>
            <w:r>
              <w:rPr>
                <w:rFonts w:ascii="宋体" w:hAnsi="宋体" w:cs="宋体" w:eastAsia="宋体" w:hint="default"/>
                <w:sz w:val="18"/>
                <w:szCs w:val="18"/>
              </w:rPr>
              <w:t>广州水晶智联科技有限公司（原</w:t>
            </w:r>
            <w:r>
              <w:rPr>
                <w:rFonts w:ascii="Times New Roman" w:hAnsi="Times New Roman" w:cs="Times New Roman" w:eastAsia="Times New Roman" w:hint="default"/>
                <w:sz w:val="18"/>
                <w:szCs w:val="18"/>
              </w:rPr>
              <w:t>“</w:t>
            </w:r>
            <w:r>
              <w:rPr>
                <w:rFonts w:ascii="宋体" w:hAnsi="宋体" w:cs="宋体" w:eastAsia="宋体" w:hint="default"/>
                <w:sz w:val="18"/>
                <w:szCs w:val="18"/>
              </w:rPr>
              <w:t>证通邦 客</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傅德亮</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深圳盛灿科技股份有限公司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傅德亮</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杭州益趣科技有限公司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傅德亮</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广州证通网络科技有限公司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傅德亮</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深圳领头羊投资合伙企业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傅德亮</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惠州启航壹号股权投资合伙企业（有限合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执行合伙人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张忠</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贵州证通光电有限公司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首席代表</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张忠</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深圳市证通佳明光电有限公司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8"/>
                <w:sz w:val="18"/>
                <w:szCs w:val="18"/>
              </w:rPr>
              <w:t>董事、总经理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张忠</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深圳市普天宜通技术股份有限公司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孙海法</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中山大学管理学院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6"/>
              <w:jc w:val="both"/>
              <w:rPr>
                <w:rFonts w:ascii="宋体" w:hAnsi="宋体" w:cs="宋体" w:eastAsia="宋体" w:hint="default"/>
                <w:sz w:val="18"/>
                <w:szCs w:val="18"/>
              </w:rPr>
            </w:pPr>
            <w:r>
              <w:rPr>
                <w:rFonts w:ascii="宋体" w:hAnsi="宋体" w:cs="宋体" w:eastAsia="宋体" w:hint="default"/>
                <w:sz w:val="18"/>
                <w:szCs w:val="18"/>
              </w:rPr>
              <w:t>人力资源开 发与管理研 究中心主任</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孙海法</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广州若羽臣科技股份有限公司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孙海法</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广州市华苑园林股份有限公司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孙海法</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广州港集团有限公司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张跃华</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深圳安华企业发展有限公司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1"/>
              <w:jc w:val="left"/>
              <w:rPr>
                <w:rFonts w:ascii="宋体" w:hAnsi="宋体" w:cs="宋体" w:eastAsia="宋体" w:hint="default"/>
                <w:sz w:val="18"/>
                <w:szCs w:val="18"/>
              </w:rPr>
            </w:pPr>
            <w:r>
              <w:rPr>
                <w:rFonts w:ascii="宋体" w:hAnsi="宋体" w:cs="宋体" w:eastAsia="宋体" w:hint="default"/>
                <w:spacing w:val="-8"/>
                <w:sz w:val="18"/>
                <w:szCs w:val="18"/>
              </w:rPr>
              <w:t>董事长、总经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张跃华</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深圳市长商投资管理有限公司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张跃华</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湘乡华松房地产开发有限公司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1"/>
              <w:jc w:val="left"/>
              <w:rPr>
                <w:rFonts w:ascii="宋体" w:hAnsi="宋体" w:cs="宋体" w:eastAsia="宋体" w:hint="default"/>
                <w:sz w:val="18"/>
                <w:szCs w:val="18"/>
              </w:rPr>
            </w:pPr>
            <w:r>
              <w:rPr>
                <w:rFonts w:ascii="宋体" w:hAnsi="宋体" w:cs="宋体" w:eastAsia="宋体" w:hint="default"/>
                <w:spacing w:val="-8"/>
                <w:sz w:val="18"/>
                <w:szCs w:val="18"/>
              </w:rPr>
              <w:t>董事长、总经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马映冰</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文思海辉技术有限公司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1133"/>
        <w:jc w:val="left"/>
      </w:pPr>
      <w:r>
        <w:rPr/>
        <w:t>公司现任及报告期内离任董事、监事和高级管理人员近三年证券监管机构处罚的情况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left="513" w:right="1129"/>
        <w:jc w:val="left"/>
      </w:pPr>
      <w:r>
        <w:rPr/>
        <w:t>董事、监事、高级管理人员报酬的决策程序、确定依据、实际支付情况 </w:t>
      </w:r>
      <w:r>
        <w:rPr>
          <w:spacing w:val="-2"/>
        </w:rPr>
        <w:t>董事会薪酬与考核委员会在董事会的授权下，负责拟订董事及高级管理人员的薪酬标准，负责审查董事、高级管理人员</w:t>
      </w:r>
    </w:p>
    <w:p>
      <w:pPr>
        <w:pStyle w:val="BodyText"/>
        <w:spacing w:line="224" w:lineRule="exact"/>
        <w:ind w:right="1133"/>
        <w:jc w:val="left"/>
      </w:pPr>
      <w:r>
        <w:rPr/>
        <w:t>的年度薪酬方案。</w:t>
      </w:r>
    </w:p>
    <w:p>
      <w:pPr>
        <w:pStyle w:val="BodyText"/>
        <w:spacing w:line="316" w:lineRule="auto" w:before="76"/>
        <w:ind w:right="1132" w:firstLine="360"/>
        <w:jc w:val="both"/>
      </w:pPr>
      <w:r>
        <w:rPr>
          <w:spacing w:val="-2"/>
        </w:rPr>
        <w:t>公司内部高级管理人员的绩效薪酬经董事会审议通过后才可发放，公司董事、兼任董事的高级管理人员的绩效薪酬经董</w:t>
      </w:r>
      <w:r>
        <w:rPr/>
        <w:t> 事会、股东大会审议通过后才可发放、公司监事的薪酬经监事会、股东大会审议通过后方可发放。</w:t>
      </w:r>
    </w:p>
    <w:p>
      <w:pPr>
        <w:pStyle w:val="BodyText"/>
        <w:spacing w:line="319" w:lineRule="auto" w:before="19"/>
        <w:ind w:right="1132" w:firstLine="360"/>
        <w:jc w:val="both"/>
      </w:pPr>
      <w:r>
        <w:rPr>
          <w:spacing w:val="-2"/>
        </w:rPr>
        <w:t>董事、监事、高级管理人员的薪酬按其在公司担任的最高职务，以公司规模和绩效为基础，根据公司经营计划和分管工</w:t>
      </w:r>
      <w:r>
        <w:rPr/>
        <w:t> </w:t>
      </w:r>
      <w:r>
        <w:rPr>
          <w:spacing w:val="-2"/>
        </w:rPr>
        <w:t>作的职责、目标进行综合考量，根据公司《董事、监事、高级管理人员薪酬管理制度》及《高管绩效管理制度》确定，在公</w:t>
      </w:r>
      <w:r>
        <w:rPr>
          <w:spacing w:val="-68"/>
        </w:rPr>
        <w:t> </w:t>
      </w:r>
      <w:r>
        <w:rPr>
          <w:spacing w:val="-68"/>
        </w:rPr>
      </w:r>
      <w:r>
        <w:rPr>
          <w:spacing w:val="-2"/>
        </w:rPr>
        <w:t>司任职且直接参与公司经营管理但不担任子公司负责人职务的董事、监事、高级管理人员的薪酬由岗位工资、绩效工资、年</w:t>
      </w:r>
    </w:p>
    <w:p>
      <w:pPr>
        <w:spacing w:after="0" w:line="319" w:lineRule="auto"/>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034"/>
        <w:jc w:val="left"/>
      </w:pPr>
      <w:r>
        <w:rPr>
          <w:spacing w:val="-2"/>
        </w:rPr>
        <w:t>终奖金组成。考核方式分为季度考核与年度考核，担任子公司负责人的董事、监事、高级管理人员的薪酬分为固定工资和经</w:t>
      </w:r>
      <w:r>
        <w:rPr>
          <w:spacing w:val="-64"/>
        </w:rPr>
        <w:t> </w:t>
      </w:r>
      <w:r>
        <w:rPr>
          <w:spacing w:val="-64"/>
        </w:rPr>
      </w:r>
      <w:r>
        <w:rPr/>
        <w:t>营责任状两部分，董事、监事、高级管理人员的岗位工资按月发放，在公司任职的董事、监事、高级管理人员的绩效工资、</w:t>
      </w:r>
      <w:r>
        <w:rPr>
          <w:spacing w:val="-86"/>
        </w:rPr>
        <w:t> </w:t>
      </w:r>
      <w:r>
        <w:rPr>
          <w:spacing w:val="-86"/>
        </w:rPr>
      </w:r>
      <w:r>
        <w:rPr/>
        <w:t>担任子公司负责人职务的董事、监事、高级管理人员的经营责任奖在会计年度结束后，根据经营业绩等进行考核后发放。</w:t>
      </w:r>
    </w:p>
    <w:p>
      <w:pPr>
        <w:pStyle w:val="BodyText"/>
        <w:spacing w:line="300" w:lineRule="auto" w:before="19"/>
        <w:ind w:right="1124" w:firstLine="360"/>
        <w:jc w:val="left"/>
      </w:pPr>
      <w:r>
        <w:rPr/>
        <w:t>根据公司《董事、监事、高级管理人员薪酬管理制度》，公司对独立董事每年给予固定津贴</w:t>
      </w:r>
      <w:r>
        <w:rPr>
          <w:rFonts w:ascii="Times New Roman" w:hAnsi="Times New Roman" w:cs="Times New Roman" w:eastAsia="Times New Roman" w:hint="default"/>
        </w:rPr>
        <w:t>5</w:t>
      </w:r>
      <w:r>
        <w:rPr/>
        <w:t>万元；非公司任职且不直 接参与经营管理的董事、监事每年给予固定津贴</w:t>
      </w:r>
      <w:r>
        <w:rPr>
          <w:rFonts w:ascii="Times New Roman" w:hAnsi="Times New Roman" w:cs="Times New Roman" w:eastAsia="Times New Roman" w:hint="default"/>
        </w:rPr>
        <w:t>3</w:t>
      </w:r>
      <w:r>
        <w:rPr/>
        <w:t>万元。</w:t>
      </w:r>
    </w:p>
    <w:p>
      <w:pPr>
        <w:pStyle w:val="BodyText"/>
        <w:spacing w:line="240" w:lineRule="auto" w:before="13"/>
        <w:ind w:left="513" w:right="1034"/>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25</w:t>
      </w:r>
      <w:r>
        <w:rPr/>
        <w:t>日，公司召开第四届董事会第三十五次会议、第四届监事会第二十九次会议，审议通过了《关于公司修订</w:t>
      </w:r>
    </w:p>
    <w:p>
      <w:pPr>
        <w:pStyle w:val="BodyText"/>
        <w:spacing w:line="307" w:lineRule="auto" w:before="63"/>
        <w:ind w:right="1129"/>
        <w:jc w:val="both"/>
      </w:pPr>
      <w:r>
        <w:rPr>
          <w:spacing w:val="-2"/>
        </w:rPr>
        <w:t>〈董事、监事、高级管理人员薪酬管理制度〉的议案》，公司根据《中华人民共和国公司法（</w:t>
      </w:r>
      <w:r>
        <w:rPr>
          <w:rFonts w:ascii="Times New Roman" w:hAnsi="Times New Roman" w:cs="Times New Roman" w:eastAsia="Times New Roman" w:hint="default"/>
          <w:spacing w:val="-2"/>
        </w:rPr>
        <w:t>2018</w:t>
      </w:r>
      <w:r>
        <w:rPr>
          <w:spacing w:val="-2"/>
        </w:rPr>
        <w:t>年修正）》、《中华人民</w:t>
      </w:r>
      <w:r>
        <w:rPr>
          <w:spacing w:val="-66"/>
        </w:rPr>
        <w:t> </w:t>
      </w:r>
      <w:r>
        <w:rPr>
          <w:spacing w:val="-66"/>
        </w:rPr>
      </w:r>
      <w:r>
        <w:rPr>
          <w:spacing w:val="-2"/>
        </w:rPr>
        <w:t>共和国证券法（</w:t>
      </w:r>
      <w:r>
        <w:rPr>
          <w:rFonts w:ascii="Times New Roman" w:hAnsi="Times New Roman" w:cs="Times New Roman" w:eastAsia="Times New Roman" w:hint="default"/>
          <w:spacing w:val="-2"/>
        </w:rPr>
        <w:t>2014</w:t>
      </w:r>
      <w:r>
        <w:rPr>
          <w:spacing w:val="-2"/>
        </w:rPr>
        <w:t>年修正）》等相关法律、法规、规章，在满足公司未来经营发展的基础上，拟在《公司章程》中增加与</w:t>
      </w:r>
      <w:r>
        <w:rPr>
          <w:spacing w:val="-66"/>
        </w:rPr>
        <w:t> </w:t>
      </w:r>
      <w:r>
        <w:rPr>
          <w:spacing w:val="-66"/>
        </w:rPr>
      </w:r>
      <w:r>
        <w:rPr>
          <w:spacing w:val="-2"/>
        </w:rPr>
        <w:t>董事、监事、高级管理人员薪酬相关的反收购条款，对《公司章程》中的条款相应在公司《董事、监事、高级管理人员薪酬</w:t>
      </w:r>
      <w:r>
        <w:rPr>
          <w:spacing w:val="-65"/>
        </w:rPr>
        <w:t> </w:t>
      </w:r>
      <w:r>
        <w:rPr>
          <w:spacing w:val="-65"/>
        </w:rPr>
      </w:r>
      <w:r>
        <w:rPr/>
        <w:t>管理制度》进行同步修订，同时结合公司薪酬制度修订的内容对《董事、监事、高级管理人员薪酬管理制度》进行修订。</w:t>
      </w:r>
    </w:p>
    <w:p>
      <w:pPr>
        <w:pStyle w:val="BodyText"/>
        <w:spacing w:line="319" w:lineRule="auto" w:before="26"/>
        <w:ind w:right="1133" w:firstLine="360"/>
        <w:jc w:val="left"/>
      </w:pPr>
      <w:r>
        <w:rPr>
          <w:spacing w:val="-2"/>
        </w:rPr>
        <w:t>上述人员按《公司法》和《公司章程》相关规定行使其他职责或出席公司董事会、监事会、股东大会等所需的合理费用</w:t>
      </w:r>
      <w:r>
        <w:rPr/>
        <w:t> 由公司承担。</w:t>
      </w:r>
      <w:r>
        <w:rPr>
          <w:rFonts w:ascii="Times New Roman" w:hAnsi="Times New Roman" w:cs="Times New Roman" w:eastAsia="Times New Roman" w:hint="default"/>
        </w:rPr>
        <w:t>2018</w:t>
      </w:r>
      <w:r>
        <w:rPr/>
        <w:t>年公司董事、监事和高级管理人员报酬合计为</w:t>
      </w:r>
      <w:r>
        <w:rPr>
          <w:rFonts w:ascii="Times New Roman" w:hAnsi="Times New Roman" w:cs="Times New Roman" w:eastAsia="Times New Roman" w:hint="default"/>
        </w:rPr>
        <w:t>558.49</w:t>
      </w:r>
      <w:r>
        <w:rPr/>
        <w:t>万元。</w:t>
      </w:r>
    </w:p>
    <w:p>
      <w:pPr>
        <w:pStyle w:val="BodyText"/>
        <w:spacing w:line="240" w:lineRule="auto" w:before="38"/>
        <w:ind w:left="513" w:right="1133"/>
        <w:jc w:val="left"/>
      </w:pPr>
      <w:r>
        <w:rPr/>
        <w:t>公司报告期内董事、监事和高级管理人员报酬情况</w:t>
      </w:r>
    </w:p>
    <w:p>
      <w:pPr>
        <w:pStyle w:val="BodyText"/>
        <w:spacing w:line="240" w:lineRule="auto" w:before="115"/>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总裁、董事长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72.83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许忠慈</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董事、常务副总 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方进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42.89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张跃华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马映冰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孙海法</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邓鸿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51.64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钟艳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黄洪</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张锦鸿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43.92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杨义仁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67.76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傅德亮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副总裁、董事会 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68.86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558.49</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1133"/>
        <w:jc w:val="left"/>
      </w:pPr>
      <w:r>
        <w:rPr/>
        <w:t>公司董事、高级管理人员报告期内被授予的股权激励情况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5"/>
        <w:gridCol w:w="4794"/>
      </w:tblGrid>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1,512</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464</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1,976</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1,976</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702</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861</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1,976</w:t>
            </w:r>
          </w:p>
        </w:tc>
      </w:tr>
      <w:tr>
        <w:trPr>
          <w:trHeight w:val="39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435</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528</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959</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1,976</w:t>
            </w:r>
          </w:p>
        </w:tc>
      </w:tr>
    </w:tbl>
    <w:p>
      <w:pPr>
        <w:spacing w:line="240" w:lineRule="auto" w:before="3"/>
        <w:rPr>
          <w:rFonts w:ascii="宋体" w:hAnsi="宋体" w:cs="宋体" w:eastAsia="宋体" w:hint="default"/>
          <w:b/>
          <w:bCs/>
          <w:sz w:val="19"/>
          <w:szCs w:val="19"/>
        </w:rPr>
      </w:pPr>
    </w:p>
    <w:p>
      <w:pPr>
        <w:spacing w:before="36"/>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、薪酬政策</w:t>
      </w:r>
      <w:r>
        <w:rPr>
          <w:rFonts w:ascii="宋体" w:hAnsi="宋体" w:cs="宋体" w:eastAsia="宋体" w:hint="default"/>
          <w:sz w:val="21"/>
          <w:szCs w:val="21"/>
        </w:rPr>
      </w:r>
    </w:p>
    <w:p>
      <w:pPr>
        <w:spacing w:line="240" w:lineRule="auto" w:before="5"/>
        <w:rPr>
          <w:rFonts w:ascii="宋体" w:hAnsi="宋体" w:cs="宋体" w:eastAsia="宋体" w:hint="default"/>
          <w:b/>
          <w:bCs/>
          <w:sz w:val="32"/>
          <w:szCs w:val="32"/>
        </w:rPr>
      </w:pPr>
    </w:p>
    <w:p>
      <w:pPr>
        <w:pStyle w:val="BodyText"/>
        <w:spacing w:line="477" w:lineRule="auto"/>
        <w:ind w:right="1130" w:firstLine="360"/>
        <w:jc w:val="both"/>
      </w:pPr>
      <w:r>
        <w:rPr>
          <w:rFonts w:ascii="宋体" w:hAnsi="宋体" w:cs="宋体" w:eastAsia="宋体" w:hint="default"/>
        </w:rPr>
        <w:t>2018</w:t>
      </w:r>
      <w:r>
        <w:rPr/>
        <w:t>年公司在事业部制下优化了公司组织机构，形成了光电、金融科技、</w:t>
      </w:r>
      <w:r>
        <w:rPr>
          <w:rFonts w:ascii="宋体" w:hAnsi="宋体" w:cs="宋体" w:eastAsia="宋体" w:hint="default"/>
        </w:rPr>
        <w:t>IDC</w:t>
      </w:r>
      <w:r>
        <w:rPr/>
        <w:t>三大事业部和一个管理总部的架构格局， </w:t>
      </w:r>
      <w:r>
        <w:rPr>
          <w:spacing w:val="-2"/>
        </w:rPr>
        <w:t>明确了事业部和各部门职责，有效地承接了公司的战略和业务需求；构建了管理和专业序列岗位库，保证部门权责在岗位中</w:t>
      </w:r>
      <w:r>
        <w:rPr>
          <w:spacing w:val="-63"/>
        </w:rPr>
        <w:t> </w:t>
      </w:r>
      <w:r>
        <w:rPr>
          <w:spacing w:val="-63"/>
        </w:rPr>
      </w:r>
      <w:r>
        <w:rPr>
          <w:spacing w:val="-2"/>
        </w:rPr>
        <w:t>得到落实，业务流程和管理流程在岗位中得到体现；经过多年探索，公司已形成管理总部以效益为导向，向事业部下达经营</w:t>
      </w:r>
      <w:r>
        <w:rPr>
          <w:spacing w:val="-65"/>
        </w:rPr>
        <w:t> </w:t>
      </w:r>
      <w:r>
        <w:rPr>
          <w:spacing w:val="-65"/>
        </w:rPr>
      </w:r>
      <w:r>
        <w:rPr>
          <w:spacing w:val="-2"/>
        </w:rPr>
        <w:t>指标，事业部向下将指标层层分解的绩效管理体系。考核对象从组织到个人，考核周期从年度到日常（月、季）。本年度公</w:t>
      </w:r>
      <w:r>
        <w:rPr>
          <w:spacing w:val="-71"/>
        </w:rPr>
        <w:t> </w:t>
      </w:r>
      <w:r>
        <w:rPr>
          <w:spacing w:val="-71"/>
        </w:rPr>
      </w:r>
      <w:r>
        <w:rPr>
          <w:spacing w:val="-2"/>
        </w:rPr>
        <w:t>司对绩效管理从绩效计划、指导、评估、反馈全流程优化，设计绩效指标库，增加绩效阶段沟通反馈环节，为年度绩效指标</w:t>
      </w:r>
      <w:r>
        <w:rPr>
          <w:spacing w:val="-70"/>
        </w:rPr>
        <w:t> </w:t>
      </w:r>
      <w:r>
        <w:rPr>
          <w:spacing w:val="-70"/>
        </w:rPr>
      </w:r>
      <w:r>
        <w:rPr>
          <w:spacing w:val="-2"/>
        </w:rPr>
        <w:t>的实现提供过程保障，及时纠偏调整。同时以岗位、绩效和个人能力为核心的付薪理念，对公司薪酬结构进行优化，将员工</w:t>
      </w:r>
      <w:r>
        <w:rPr>
          <w:spacing w:val="-67"/>
        </w:rPr>
        <w:t> </w:t>
      </w:r>
      <w:r>
        <w:rPr>
          <w:spacing w:val="-67"/>
        </w:rPr>
      </w:r>
      <w:r>
        <w:rPr>
          <w:spacing w:val="-2"/>
        </w:rPr>
        <w:t>资收入也分为岗位工资和绩效工资，绩效工资作为考核的基数，按考核结果由公司兑现总额，上下浮动，员工收入与公司的</w:t>
      </w:r>
      <w:r>
        <w:rPr>
          <w:spacing w:val="-64"/>
        </w:rPr>
        <w:t> </w:t>
      </w:r>
      <w:r>
        <w:rPr>
          <w:spacing w:val="-64"/>
        </w:rPr>
      </w:r>
      <w:r>
        <w:rPr>
          <w:spacing w:val="-2"/>
        </w:rPr>
        <w:t>经济效益挂钩的同时，也与所在经营单位的工作绩效和个人的工作质量挂钩。由此调动每一位员工的工作积极性，激发工作</w:t>
      </w:r>
    </w:p>
    <w:p>
      <w:pPr>
        <w:spacing w:after="0" w:line="477"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1133"/>
        <w:jc w:val="left"/>
        <w:rPr>
          <w:rFonts w:ascii="宋体" w:hAnsi="宋体" w:cs="宋体" w:eastAsia="宋体" w:hint="default"/>
        </w:rPr>
      </w:pPr>
      <w:r>
        <w:rPr/>
        <w:t>热情，强化主人翁的危机意识、责任意识，切实体现员工与企业的风险共担、利益共享。</w:t>
      </w:r>
      <w:r>
        <w:rPr>
          <w:rFonts w:ascii="宋体" w:hAnsi="宋体" w:cs="宋体" w:eastAsia="宋体" w:hint="default"/>
        </w:rPr>
        <w:t> </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1135" w:firstLine="360"/>
        <w:jc w:val="both"/>
        <w:rPr>
          <w:rFonts w:ascii="宋体" w:hAnsi="宋体" w:cs="宋体" w:eastAsia="宋体" w:hint="default"/>
        </w:rPr>
      </w:pPr>
      <w:r>
        <w:rPr/>
        <w:t>为了能有效帮助员工成长与发展，公司全面设立了职业发展系统，构建了“管理</w:t>
      </w:r>
      <w:r>
        <w:rPr>
          <w:rFonts w:ascii="宋体" w:hAnsi="宋体" w:cs="宋体" w:eastAsia="宋体" w:hint="default"/>
        </w:rPr>
        <w:t>-</w:t>
      </w:r>
      <w:r>
        <w:rPr/>
        <w:t>专业”双职业发展双通道，并推行任 </w:t>
      </w:r>
      <w:r>
        <w:rPr>
          <w:spacing w:val="-5"/>
        </w:rPr>
        <w:t>职资格管理，形成了以岗位、能力、绩效三位一体的晋升评价办法，打开纵向和横向的双向路径，为员工提供多种发展选择，</w:t>
      </w:r>
      <w:r>
        <w:rPr>
          <w:spacing w:val="-80"/>
        </w:rPr>
        <w:t> </w:t>
      </w:r>
      <w:r>
        <w:rPr>
          <w:spacing w:val="-80"/>
        </w:rPr>
      </w:r>
      <w:r>
        <w:rPr/>
        <w:t>突出激励性和能力引导。</w:t>
      </w:r>
      <w:r>
        <w:rPr>
          <w:rFonts w:ascii="宋体" w:hAnsi="宋体" w:cs="宋体" w:eastAsia="宋体" w:hint="default"/>
        </w:rPr>
        <w:t> </w:t>
      </w:r>
    </w:p>
    <w:p>
      <w:pPr>
        <w:pStyle w:val="BodyText"/>
        <w:spacing w:line="477" w:lineRule="auto" w:before="54"/>
        <w:ind w:right="1130" w:firstLine="360"/>
        <w:jc w:val="both"/>
        <w:rPr>
          <w:rFonts w:ascii="宋体" w:hAnsi="宋体" w:cs="宋体" w:eastAsia="宋体" w:hint="default"/>
        </w:rPr>
      </w:pPr>
      <w:r>
        <w:rPr>
          <w:rFonts w:ascii="宋体" w:hAnsi="宋体" w:cs="宋体" w:eastAsia="宋体" w:hint="default"/>
          <w:spacing w:val="-2"/>
        </w:rPr>
        <w:t>2018</w:t>
      </w:r>
      <w:r>
        <w:rPr>
          <w:spacing w:val="-2"/>
        </w:rPr>
        <w:t>年公司的培训政策遵循着内外训相结合的培训理念，针对公司高层管理人员、中基层骨干、新入职员工及应届大学</w:t>
      </w:r>
      <w:r>
        <w:rPr/>
        <w:t> 生等对象共开展了</w:t>
      </w:r>
      <w:r>
        <w:rPr>
          <w:rFonts w:ascii="宋体" w:hAnsi="宋体" w:cs="宋体" w:eastAsia="宋体" w:hint="default"/>
        </w:rPr>
        <w:t>268</w:t>
      </w:r>
      <w:r>
        <w:rPr/>
        <w:t>次培训，内训方面，组成了由各层级、各部门领导、专职培训岗位、专业技能岗位共</w:t>
      </w:r>
      <w:r>
        <w:rPr>
          <w:rFonts w:ascii="宋体" w:hAnsi="宋体" w:cs="宋体" w:eastAsia="宋体" w:hint="default"/>
        </w:rPr>
        <w:t>50</w:t>
      </w:r>
      <w:r>
        <w:rPr/>
        <w:t>余人的内训师 </w:t>
      </w:r>
      <w:r>
        <w:rPr>
          <w:spacing w:val="-2"/>
        </w:rPr>
        <w:t>队伍，培训内容包括管理课程、办公技能、生产管理、质量管理、品质意识、生产安全等，外训方面内容主要包括参加管理</w:t>
      </w:r>
      <w:r>
        <w:rPr>
          <w:spacing w:val="-73"/>
        </w:rPr>
        <w:t> </w:t>
      </w:r>
      <w:r>
        <w:rPr>
          <w:spacing w:val="-73"/>
        </w:rPr>
      </w:r>
      <w:r>
        <w:rPr/>
        <w:t>课程学习、参加各大行业协会、论坛的学习。</w:t>
      </w:r>
      <w:r>
        <w:rPr>
          <w:rFonts w:ascii="宋体" w:hAnsi="宋体" w:cs="宋体" w:eastAsia="宋体" w:hint="default"/>
        </w:rPr>
        <w:t> </w:t>
      </w:r>
    </w:p>
    <w:p>
      <w:pPr>
        <w:pStyle w:val="BodyText"/>
        <w:spacing w:line="477" w:lineRule="auto" w:before="54"/>
        <w:ind w:right="1034" w:firstLine="360"/>
        <w:jc w:val="left"/>
        <w:rPr>
          <w:rFonts w:ascii="宋体" w:hAnsi="宋体" w:cs="宋体" w:eastAsia="宋体" w:hint="default"/>
        </w:rPr>
      </w:pPr>
      <w:r>
        <w:rPr>
          <w:rFonts w:ascii="宋体" w:hAnsi="宋体" w:cs="宋体" w:eastAsia="宋体" w:hint="default"/>
          <w:spacing w:val="-2"/>
        </w:rPr>
        <w:t>2019</w:t>
      </w:r>
      <w:r>
        <w:rPr>
          <w:spacing w:val="-2"/>
        </w:rPr>
        <w:t>年将由人力资源部牵头做好内训工作，秉持着内外训相结合的培训理念，通过岗前培训、在职培训、专业技术培训</w:t>
      </w:r>
      <w:r>
        <w:rPr/>
        <w:t> </w:t>
      </w:r>
      <w:r>
        <w:rPr>
          <w:spacing w:val="-2"/>
        </w:rPr>
        <w:t>等形式进一步完善公司的培训体系，做好公司的人才队伍建设。同时在做好基础培训的基础上，公司将于</w:t>
      </w:r>
      <w:r>
        <w:rPr>
          <w:rFonts w:ascii="宋体" w:hAnsi="宋体" w:cs="宋体" w:eastAsia="宋体" w:hint="default"/>
          <w:spacing w:val="-2"/>
        </w:rPr>
        <w:t>2019</w:t>
      </w:r>
      <w:r>
        <w:rPr>
          <w:spacing w:val="-2"/>
        </w:rPr>
        <w:t>年面向公司全</w:t>
      </w:r>
      <w:r>
        <w:rPr>
          <w:spacing w:val="-59"/>
        </w:rPr>
        <w:t> </w:t>
      </w:r>
      <w:r>
        <w:rPr>
          <w:spacing w:val="-59"/>
        </w:rPr>
      </w:r>
      <w:r>
        <w:rPr/>
        <w:t>员开设“证通大讲堂”培训活动，由集团高管、公司各领域的专家开发精品课程并进行现场授课，授课内容涉及市场认知、</w:t>
      </w:r>
      <w:r>
        <w:rPr>
          <w:spacing w:val="-87"/>
        </w:rPr>
        <w:t> </w:t>
      </w:r>
      <w:r>
        <w:rPr>
          <w:spacing w:val="-87"/>
        </w:rPr>
      </w:r>
      <w:r>
        <w:rPr/>
        <w:t>技术认知、财务管理、人力资源管理、项目管理、市场机会及产品规划和管理、</w:t>
      </w:r>
      <w:r>
        <w:rPr>
          <w:spacing w:val="1"/>
        </w:rPr>
        <w:t> </w:t>
      </w:r>
      <w:r>
        <w:rPr>
          <w:rFonts w:ascii="宋体" w:hAnsi="宋体" w:cs="宋体" w:eastAsia="宋体" w:hint="default"/>
          <w:spacing w:val="1"/>
        </w:rPr>
      </w:r>
      <w:r>
        <w:rPr/>
        <w:t>公司发展规划等，以此拓宽管理层与员工 沟通渠道，确保公司战略的有效执行，同时激发员工学习热情，弥补自身短板，提升管理能力和工作技能。</w:t>
      </w:r>
      <w:r>
        <w:rPr>
          <w:rFonts w:ascii="宋体" w:hAnsi="宋体" w:cs="宋体" w:eastAsia="宋体" w:hint="default"/>
        </w:rPr>
        <w:t> </w:t>
      </w:r>
    </w:p>
    <w:p>
      <w:pPr>
        <w:spacing w:line="240" w:lineRule="auto" w:before="6"/>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83" w:right="1059"/>
        <w:jc w:val="center"/>
        <w:rPr>
          <w:b w:val="0"/>
          <w:bCs w:val="0"/>
        </w:rPr>
      </w:pPr>
      <w:bookmarkStart w:name="_bookmark8" w:id="9"/>
      <w:bookmarkEnd w:id="9"/>
      <w:r>
        <w:rPr>
          <w:b w:val="0"/>
          <w:bCs w:val="0"/>
        </w:rPr>
      </w:r>
      <w:r>
        <w:rPr/>
        <w:t>第九节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1" w:firstLine="360"/>
        <w:jc w:val="both"/>
        <w:rPr>
          <w:rFonts w:ascii="宋体" w:hAnsi="宋体" w:cs="宋体" w:eastAsia="宋体" w:hint="default"/>
        </w:rPr>
      </w:pPr>
      <w:r>
        <w:rPr>
          <w:spacing w:val="-2"/>
        </w:rPr>
        <w:t>报告期内，公司严格按照《公司法》、《证券法》、《上市公司治理准则》、《深圳证券交易所股票上市规则》和《深</w:t>
      </w:r>
      <w:r>
        <w:rPr/>
        <w:t> </w:t>
      </w:r>
      <w:r>
        <w:rPr>
          <w:spacing w:val="-2"/>
        </w:rPr>
        <w:t>圳证券交易所中小板上市公司规范运作指引》等相关法律、法规的规定，不断完善公司法人治理结构，进一步提高公司治理</w:t>
      </w:r>
      <w:r>
        <w:rPr>
          <w:spacing w:val="-64"/>
        </w:rPr>
        <w:t> </w:t>
      </w:r>
      <w:r>
        <w:rPr>
          <w:spacing w:val="-64"/>
        </w:rPr>
      </w:r>
      <w:r>
        <w:rPr/>
        <w:t>水平。</w:t>
      </w:r>
      <w:r>
        <w:rPr>
          <w:rFonts w:ascii="宋体" w:hAnsi="宋体" w:cs="宋体" w:eastAsia="宋体" w:hint="default"/>
        </w:rPr>
        <w:t> </w:t>
      </w:r>
    </w:p>
    <w:p>
      <w:pPr>
        <w:pStyle w:val="BodyText"/>
        <w:spacing w:line="316" w:lineRule="auto" w:before="19"/>
        <w:ind w:left="513" w:right="1133"/>
        <w:jc w:val="left"/>
      </w:pPr>
      <w:r>
        <w:rPr>
          <w:rFonts w:ascii="宋体" w:hAnsi="宋体" w:cs="宋体" w:eastAsia="宋体" w:hint="default"/>
        </w:rPr>
        <w:t>1</w:t>
      </w:r>
      <w:r>
        <w:rPr/>
        <w:t>、关于股东与股东大会</w:t>
      </w:r>
      <w:r>
        <w:rPr>
          <w:rFonts w:ascii="宋体" w:hAnsi="宋体" w:cs="宋体" w:eastAsia="宋体" w:hint="default"/>
        </w:rPr>
        <w:t> </w:t>
      </w:r>
      <w:r>
        <w:rPr>
          <w:spacing w:val="-6"/>
        </w:rPr>
        <w:t>公司严格按照《上市公司股东大会规则》、《公司章程》及《股东大会议事规则》等相关法律规定及公司的规定和要求，</w:t>
      </w:r>
    </w:p>
    <w:p>
      <w:pPr>
        <w:pStyle w:val="BodyText"/>
        <w:spacing w:line="316" w:lineRule="auto" w:before="19"/>
        <w:ind w:right="1135"/>
        <w:jc w:val="both"/>
        <w:rPr>
          <w:rFonts w:ascii="宋体" w:hAnsi="宋体" w:cs="宋体" w:eastAsia="宋体" w:hint="default"/>
        </w:rPr>
      </w:pPr>
      <w:r>
        <w:rPr>
          <w:spacing w:val="-2"/>
        </w:rPr>
        <w:t>召集召开股东大会，公平、公正地对待每一位股东，确保所有股东享有平等地位，能充分行使其权利，不存在任何损害股东</w:t>
      </w:r>
      <w:r>
        <w:rPr>
          <w:spacing w:val="-67"/>
        </w:rPr>
        <w:t> </w:t>
      </w:r>
      <w:r>
        <w:rPr>
          <w:spacing w:val="-67"/>
        </w:rPr>
      </w:r>
      <w:r>
        <w:rPr/>
        <w:t>利益的情形。同时聘请律师进行见证，保证会议召集、召开和表决程序的合法性。报告期内，公司共召开</w:t>
      </w:r>
      <w:r>
        <w:rPr>
          <w:rFonts w:ascii="宋体" w:hAnsi="宋体" w:cs="宋体" w:eastAsia="宋体" w:hint="default"/>
        </w:rPr>
        <w:t>5</w:t>
      </w:r>
      <w:r>
        <w:rPr/>
        <w:t>次股东大会，各</w:t>
      </w:r>
      <w:r>
        <w:rPr>
          <w:spacing w:val="-87"/>
        </w:rPr>
        <w:t> </w:t>
      </w:r>
      <w:r>
        <w:rPr/>
        <w:t>股东通过公司股东大会行使权力，保障公司的规范运作。</w:t>
      </w:r>
      <w:r>
        <w:rPr>
          <w:rFonts w:ascii="宋体" w:hAnsi="宋体" w:cs="宋体" w:eastAsia="宋体" w:hint="default"/>
        </w:rPr>
        <w:t> </w:t>
      </w:r>
    </w:p>
    <w:p>
      <w:pPr>
        <w:pStyle w:val="BodyText"/>
        <w:spacing w:line="316" w:lineRule="auto" w:before="19"/>
        <w:ind w:left="513" w:right="1034"/>
        <w:jc w:val="left"/>
      </w:pPr>
      <w:r>
        <w:rPr>
          <w:rFonts w:ascii="宋体" w:hAnsi="宋体" w:cs="宋体" w:eastAsia="宋体" w:hint="default"/>
        </w:rPr>
        <w:t>2</w:t>
      </w:r>
      <w:r>
        <w:rPr/>
        <w:t>、关于董事与董事会</w:t>
      </w:r>
      <w:r>
        <w:rPr>
          <w:rFonts w:ascii="宋体" w:hAnsi="宋体" w:cs="宋体" w:eastAsia="宋体" w:hint="default"/>
        </w:rPr>
        <w:t> </w:t>
      </w:r>
      <w:r>
        <w:rPr>
          <w:spacing w:val="-2"/>
        </w:rPr>
        <w:t>公司严格按照《公司法》、《公司章程》规定的选聘程序选举董事，公司董事会由</w:t>
      </w:r>
      <w:r>
        <w:rPr>
          <w:rFonts w:ascii="宋体" w:hAnsi="宋体" w:cs="宋体" w:eastAsia="宋体" w:hint="default"/>
          <w:spacing w:val="-2"/>
        </w:rPr>
        <w:t>7</w:t>
      </w:r>
      <w:r>
        <w:rPr>
          <w:spacing w:val="-2"/>
        </w:rPr>
        <w:t>名董事组成，其中独立董事</w:t>
      </w:r>
      <w:r>
        <w:rPr>
          <w:rFonts w:ascii="宋体" w:hAnsi="宋体" w:cs="宋体" w:eastAsia="宋体" w:hint="default"/>
          <w:spacing w:val="-2"/>
        </w:rPr>
        <w:t>3</w:t>
      </w:r>
      <w:r>
        <w:rPr>
          <w:spacing w:val="-2"/>
        </w:rPr>
        <w:t>名，董</w:t>
      </w:r>
    </w:p>
    <w:p>
      <w:pPr>
        <w:pStyle w:val="BodyText"/>
        <w:spacing w:line="316" w:lineRule="auto" w:before="19"/>
        <w:ind w:right="1131"/>
        <w:jc w:val="both"/>
        <w:rPr>
          <w:rFonts w:ascii="宋体" w:hAnsi="宋体" w:cs="宋体" w:eastAsia="宋体" w:hint="default"/>
        </w:rPr>
      </w:pPr>
      <w:r>
        <w:rPr>
          <w:spacing w:val="-5"/>
        </w:rPr>
        <w:t>事会的人数和人员结构符合法律法规和公司制度的要求。报告期内，公司共召开</w:t>
      </w:r>
      <w:r>
        <w:rPr>
          <w:rFonts w:ascii="宋体" w:hAnsi="宋体" w:cs="宋体" w:eastAsia="宋体" w:hint="default"/>
          <w:spacing w:val="-5"/>
        </w:rPr>
        <w:t>15</w:t>
      </w:r>
      <w:r>
        <w:rPr>
          <w:spacing w:val="-5"/>
        </w:rPr>
        <w:t>次董事会。公司董事会的召集、召开程序，</w:t>
      </w:r>
      <w:r>
        <w:rPr>
          <w:spacing w:val="-73"/>
        </w:rPr>
        <w:t> </w:t>
      </w:r>
      <w:r>
        <w:rPr>
          <w:spacing w:val="-73"/>
        </w:rPr>
      </w:r>
      <w:r>
        <w:rPr>
          <w:spacing w:val="-2"/>
        </w:rPr>
        <w:t>议案的审议程序和决策程序等严格按照《公司章程》、《董事会议事规则》的规定运行。公司董事出席董事会，认真审议各</w:t>
      </w:r>
      <w:r>
        <w:rPr>
          <w:spacing w:val="-69"/>
        </w:rPr>
        <w:t> </w:t>
      </w:r>
      <w:r>
        <w:rPr>
          <w:spacing w:val="-69"/>
        </w:rPr>
      </w:r>
      <w:r>
        <w:rPr>
          <w:spacing w:val="-2"/>
        </w:rPr>
        <w:t>项议案，履行董事职责。公司聘请的独立董事享有《公司法》、《公司章程》和《独立董事制度》中赋予的职权，能够独立</w:t>
      </w:r>
      <w:r>
        <w:rPr>
          <w:spacing w:val="-73"/>
        </w:rPr>
        <w:t> </w:t>
      </w:r>
      <w:r>
        <w:rPr>
          <w:spacing w:val="-73"/>
        </w:rPr>
      </w:r>
      <w:r>
        <w:rPr/>
        <w:t>公正地履行职责。</w:t>
      </w:r>
      <w:r>
        <w:rPr>
          <w:rFonts w:ascii="宋体" w:hAnsi="宋体" w:cs="宋体" w:eastAsia="宋体" w:hint="default"/>
        </w:rPr>
        <w:t> </w:t>
      </w:r>
    </w:p>
    <w:p>
      <w:pPr>
        <w:pStyle w:val="BodyText"/>
        <w:spacing w:line="319" w:lineRule="auto" w:before="19"/>
        <w:ind w:right="1129" w:firstLine="360"/>
        <w:jc w:val="both"/>
        <w:rPr>
          <w:rFonts w:ascii="宋体" w:hAnsi="宋体" w:cs="宋体" w:eastAsia="宋体" w:hint="default"/>
        </w:rPr>
      </w:pPr>
      <w:r>
        <w:rPr>
          <w:spacing w:val="-2"/>
        </w:rPr>
        <w:t>报告期内，公司为进一步提高公司治理水平，完善公司制度，在结合现阶段公司实际情况及未来战略规划的基础上，提</w:t>
      </w:r>
      <w:r>
        <w:rPr/>
        <w:t> </w:t>
      </w:r>
      <w:r>
        <w:rPr>
          <w:spacing w:val="-2"/>
        </w:rPr>
        <w:t>议对相关制度内容进行修订，包括《公司章程》、《股东大会议事规则》、《董事会议事规则》、《公司募集资金专项存储</w:t>
      </w:r>
      <w:r>
        <w:rPr>
          <w:spacing w:val="-66"/>
        </w:rPr>
        <w:t> </w:t>
      </w:r>
      <w:r>
        <w:rPr>
          <w:spacing w:val="-66"/>
        </w:rPr>
      </w:r>
      <w:r>
        <w:rPr>
          <w:spacing w:val="-2"/>
        </w:rPr>
        <w:t>及使用管理制度》、《独立董事制度》《公司对外投资管理制度》；并新增制定《重大信息内部报告和保密制度》、《定期</w:t>
      </w:r>
      <w:r>
        <w:rPr>
          <w:spacing w:val="-67"/>
        </w:rPr>
        <w:t> </w:t>
      </w:r>
      <w:r>
        <w:rPr>
          <w:spacing w:val="-67"/>
        </w:rPr>
      </w:r>
      <w:r>
        <w:rPr/>
        <w:t>报告编制和披露管理制度》，前述制度也已经公司董事会和股东大会审议通过并实施。</w:t>
      </w:r>
      <w:r>
        <w:rPr>
          <w:rFonts w:ascii="宋体" w:hAnsi="宋体" w:cs="宋体" w:eastAsia="宋体" w:hint="default"/>
        </w:rPr>
        <w:t> </w:t>
      </w:r>
    </w:p>
    <w:p>
      <w:pPr>
        <w:pStyle w:val="BodyText"/>
        <w:spacing w:line="316" w:lineRule="auto" w:before="17"/>
        <w:ind w:left="513" w:right="1123"/>
        <w:jc w:val="left"/>
      </w:pPr>
      <w:r>
        <w:rPr>
          <w:rFonts w:ascii="宋体" w:hAnsi="宋体" w:cs="宋体" w:eastAsia="宋体" w:hint="default"/>
        </w:rPr>
        <w:t>3</w:t>
      </w:r>
      <w:r>
        <w:rPr/>
        <w:t>、关于监事与监事会</w:t>
      </w:r>
      <w:r>
        <w:rPr>
          <w:rFonts w:ascii="宋体" w:hAnsi="宋体" w:cs="宋体" w:eastAsia="宋体" w:hint="default"/>
        </w:rPr>
        <w:t> </w:t>
      </w:r>
      <w:r>
        <w:rPr/>
        <w:t>公司严格按照《公司章程》和《监事会议事规则》的规定，规范监事会的召集、召开和表决程序。公司监事会由</w:t>
      </w:r>
      <w:r>
        <w:rPr>
          <w:rFonts w:ascii="宋体" w:hAnsi="宋体" w:cs="宋体" w:eastAsia="宋体" w:hint="default"/>
        </w:rPr>
        <w:t>3</w:t>
      </w:r>
      <w:r>
        <w:rPr/>
        <w:t>名监</w:t>
      </w:r>
    </w:p>
    <w:p>
      <w:pPr>
        <w:pStyle w:val="BodyText"/>
        <w:spacing w:line="316" w:lineRule="auto" w:before="19"/>
        <w:ind w:right="1132"/>
        <w:jc w:val="both"/>
        <w:rPr>
          <w:rFonts w:ascii="宋体" w:hAnsi="宋体" w:cs="宋体" w:eastAsia="宋体" w:hint="default"/>
        </w:rPr>
      </w:pPr>
      <w:r>
        <w:rPr/>
        <w:t>事组成，其中职工代表监事</w:t>
      </w:r>
      <w:r>
        <w:rPr>
          <w:rFonts w:ascii="宋体" w:hAnsi="宋体" w:cs="宋体" w:eastAsia="宋体" w:hint="default"/>
        </w:rPr>
        <w:t>1</w:t>
      </w:r>
      <w:r>
        <w:rPr/>
        <w:t>名。监事会的人数、构成及选聘程序均符合法律、法规和《公司章程》的规定。报告期内，公 </w:t>
      </w:r>
      <w:r>
        <w:rPr>
          <w:spacing w:val="-2"/>
        </w:rPr>
        <w:t>司共召开</w:t>
      </w:r>
      <w:r>
        <w:rPr>
          <w:rFonts w:ascii="宋体" w:hAnsi="宋体" w:cs="宋体" w:eastAsia="宋体" w:hint="default"/>
          <w:spacing w:val="-2"/>
        </w:rPr>
        <w:t>12</w:t>
      </w:r>
      <w:r>
        <w:rPr>
          <w:spacing w:val="-2"/>
        </w:rPr>
        <w:t>次监事会，公司监事按照《监事会议事规则》的要求，认真履行自己的职责，对公司重大事项、关联交易以及董</w:t>
      </w:r>
      <w:r>
        <w:rPr>
          <w:spacing w:val="-67"/>
        </w:rPr>
        <w:t> </w:t>
      </w:r>
      <w:r>
        <w:rPr>
          <w:spacing w:val="-67"/>
        </w:rPr>
      </w:r>
      <w:r>
        <w:rPr/>
        <w:t>事、高级管理人员等事项履行职责的合法合规性进行监督。</w:t>
      </w:r>
      <w:r>
        <w:rPr>
          <w:rFonts w:ascii="宋体" w:hAnsi="宋体" w:cs="宋体" w:eastAsia="宋体" w:hint="default"/>
          <w:spacing w:val="1"/>
        </w:rPr>
        <w:t> </w:t>
      </w:r>
      <w:r>
        <w:rPr>
          <w:rFonts w:ascii="宋体" w:hAnsi="宋体" w:cs="宋体" w:eastAsia="宋体" w:hint="default"/>
        </w:rPr>
        <w:t> </w:t>
      </w:r>
    </w:p>
    <w:p>
      <w:pPr>
        <w:pStyle w:val="BodyText"/>
        <w:spacing w:line="316" w:lineRule="auto" w:before="19"/>
        <w:ind w:left="513" w:right="1129"/>
        <w:jc w:val="left"/>
      </w:pPr>
      <w:r>
        <w:rPr>
          <w:rFonts w:ascii="宋体" w:hAnsi="宋体" w:cs="宋体" w:eastAsia="宋体" w:hint="default"/>
        </w:rPr>
        <w:t>4</w:t>
      </w:r>
      <w:r>
        <w:rPr/>
        <w:t>、关于公司与控股股东</w:t>
      </w:r>
      <w:r>
        <w:rPr>
          <w:rFonts w:ascii="宋体" w:hAnsi="宋体" w:cs="宋体" w:eastAsia="宋体" w:hint="default"/>
        </w:rPr>
        <w:t> </w:t>
      </w:r>
      <w:r>
        <w:rPr>
          <w:spacing w:val="-2"/>
        </w:rPr>
        <w:t>公司拥有独立的、完整的业务和自主经营能力。公司董事会、监事会和内部机构独立运作。公司控股股东能严格规范自</w:t>
      </w:r>
    </w:p>
    <w:p>
      <w:pPr>
        <w:pStyle w:val="BodyText"/>
        <w:spacing w:line="316" w:lineRule="auto" w:before="19"/>
        <w:ind w:right="1130"/>
        <w:jc w:val="both"/>
        <w:rPr>
          <w:rFonts w:ascii="宋体" w:hAnsi="宋体" w:cs="宋体" w:eastAsia="宋体" w:hint="default"/>
        </w:rPr>
      </w:pPr>
      <w:r>
        <w:rPr>
          <w:spacing w:val="-2"/>
        </w:rPr>
        <w:t>己的行为，通过股东大会行使股东权利，没有超越股东大会直接或间接干预公司的决策和经营活动。公司控股股东不存在占</w:t>
      </w:r>
      <w:r>
        <w:rPr>
          <w:spacing w:val="-63"/>
        </w:rPr>
        <w:t> </w:t>
      </w:r>
      <w:r>
        <w:rPr>
          <w:spacing w:val="-63"/>
        </w:rPr>
      </w:r>
      <w:r>
        <w:rPr/>
        <w:t>用公司资金的情况，公司也没有为控股股东提供担保的情况。</w:t>
      </w:r>
      <w:r>
        <w:rPr>
          <w:rFonts w:ascii="宋体" w:hAnsi="宋体" w:cs="宋体" w:eastAsia="宋体" w:hint="default"/>
        </w:rPr>
        <w:t> </w:t>
      </w:r>
    </w:p>
    <w:p>
      <w:pPr>
        <w:pStyle w:val="BodyText"/>
        <w:spacing w:line="316" w:lineRule="auto" w:before="19"/>
        <w:ind w:left="513" w:right="1129"/>
        <w:jc w:val="left"/>
      </w:pPr>
      <w:r>
        <w:rPr>
          <w:rFonts w:ascii="宋体" w:hAnsi="宋体" w:cs="宋体" w:eastAsia="宋体" w:hint="default"/>
        </w:rPr>
        <w:t>5</w:t>
      </w:r>
      <w:r>
        <w:rPr/>
        <w:t>、公司与投资者</w:t>
      </w:r>
      <w:r>
        <w:rPr>
          <w:rFonts w:ascii="宋体" w:hAnsi="宋体" w:cs="宋体" w:eastAsia="宋体" w:hint="default"/>
        </w:rPr>
        <w:t> </w:t>
      </w:r>
      <w:r>
        <w:rPr>
          <w:spacing w:val="-2"/>
        </w:rPr>
        <w:t>公司严格按照监管要求履行信息披露义务，多渠道多方式搭建投资者沟通交流平台；引导投资者树立长期投资和理性投</w:t>
      </w:r>
    </w:p>
    <w:p>
      <w:pPr>
        <w:pStyle w:val="BodyText"/>
        <w:spacing w:line="316" w:lineRule="auto" w:before="19"/>
        <w:ind w:left="513" w:right="1129" w:hanging="361"/>
        <w:jc w:val="left"/>
      </w:pPr>
      <w:r>
        <w:rPr/>
        <w:t>资的理念，切实保护广大投资者特别是中小投资者的合法权益。</w:t>
      </w:r>
      <w:r>
        <w:rPr>
          <w:rFonts w:ascii="宋体" w:hAnsi="宋体" w:cs="宋体" w:eastAsia="宋体" w:hint="default"/>
        </w:rPr>
        <w:t> </w:t>
      </w:r>
      <w:r>
        <w:rPr>
          <w:rFonts w:ascii="宋体" w:hAnsi="宋体" w:cs="宋体" w:eastAsia="宋体" w:hint="default"/>
          <w:spacing w:val="-2"/>
        </w:rPr>
        <w:t>2018</w:t>
      </w:r>
      <w:r>
        <w:rPr>
          <w:spacing w:val="-2"/>
        </w:rPr>
        <w:t>年度公司董事会办公室部门会定期向公司董事、监事及高级管理人员发送监管部门公布的违规操作案例，及时根据</w:t>
      </w:r>
    </w:p>
    <w:p>
      <w:pPr>
        <w:pStyle w:val="BodyText"/>
        <w:spacing w:line="316" w:lineRule="auto" w:before="19"/>
        <w:ind w:right="1133"/>
        <w:jc w:val="both"/>
        <w:rPr>
          <w:rFonts w:ascii="宋体" w:hAnsi="宋体" w:cs="宋体" w:eastAsia="宋体" w:hint="default"/>
        </w:rPr>
      </w:pPr>
      <w:r>
        <w:rPr>
          <w:spacing w:val="-2"/>
        </w:rPr>
        <w:t>相关法律法规规定，整理提醒董监高人员需关注的相关文件；同时积极安排公司董事、监事及高级管理人员参与上市公司协</w:t>
      </w:r>
      <w:r>
        <w:rPr>
          <w:spacing w:val="-66"/>
        </w:rPr>
        <w:t> </w:t>
      </w:r>
      <w:r>
        <w:rPr>
          <w:spacing w:val="-66"/>
        </w:rPr>
      </w:r>
      <w:r>
        <w:rPr/>
        <w:t>会等单位组织的培训及活动，以此督促公司高层人员，加强公司治理合法合规意识。</w:t>
      </w:r>
      <w:r>
        <w:rPr>
          <w:rFonts w:ascii="宋体" w:hAnsi="宋体" w:cs="宋体" w:eastAsia="宋体" w:hint="default"/>
        </w:rPr>
        <w:t> </w:t>
      </w:r>
    </w:p>
    <w:p>
      <w:pPr>
        <w:pStyle w:val="BodyText"/>
        <w:spacing w:line="316" w:lineRule="auto" w:before="19"/>
        <w:ind w:left="513" w:right="1129"/>
        <w:jc w:val="left"/>
      </w:pPr>
      <w:r>
        <w:rPr>
          <w:rFonts w:ascii="宋体" w:hAnsi="宋体" w:cs="宋体" w:eastAsia="宋体" w:hint="default"/>
        </w:rPr>
        <w:t>6</w:t>
      </w:r>
      <w:r>
        <w:rPr/>
        <w:t>、关于相关利益者</w:t>
      </w:r>
      <w:r>
        <w:rPr>
          <w:rFonts w:ascii="宋体" w:hAnsi="宋体" w:cs="宋体" w:eastAsia="宋体" w:hint="default"/>
        </w:rPr>
        <w:t> </w:t>
      </w:r>
      <w:r>
        <w:rPr>
          <w:spacing w:val="-2"/>
        </w:rPr>
        <w:t>公司在保持稳健发展、实现股东利益最大化的同时，充分尊重和维护相关利益者的合法权益，重视社会责任，加强与各</w:t>
      </w:r>
    </w:p>
    <w:p>
      <w:pPr>
        <w:pStyle w:val="BodyText"/>
        <w:spacing w:line="319" w:lineRule="auto" w:before="19"/>
        <w:ind w:left="513" w:right="1129" w:hanging="361"/>
        <w:jc w:val="left"/>
      </w:pPr>
      <w:r>
        <w:rPr/>
        <w:t>方的沟通和交流，实现股东、员工、特别是中小投资者等各方面利益的均衡，共同推动公司持续、稳定、健康地发展。</w:t>
      </w:r>
      <w:r>
        <w:rPr>
          <w:rFonts w:ascii="宋体" w:hAnsi="宋体" w:cs="宋体" w:eastAsia="宋体" w:hint="default"/>
        </w:rPr>
        <w:t> 7</w:t>
      </w:r>
      <w:r>
        <w:rPr/>
        <w:t>、关于信息披露与透明度</w:t>
      </w:r>
      <w:r>
        <w:rPr>
          <w:rFonts w:ascii="宋体" w:hAnsi="宋体" w:cs="宋体" w:eastAsia="宋体" w:hint="default"/>
        </w:rPr>
        <w:t> </w:t>
      </w:r>
      <w:r>
        <w:rPr>
          <w:spacing w:val="-2"/>
        </w:rPr>
        <w:t>公司严格按照《公司信息披露管理制度》的要求，指定公司董事会秘书负责信息披露工作，严格按照有关规定披露有关</w:t>
      </w:r>
    </w:p>
    <w:p>
      <w:pPr>
        <w:spacing w:after="0" w:line="319"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left="513" w:right="5534" w:hanging="361"/>
        <w:jc w:val="left"/>
        <w:rPr>
          <w:rFonts w:ascii="宋体" w:hAnsi="宋体" w:cs="宋体" w:eastAsia="宋体" w:hint="default"/>
        </w:rPr>
      </w:pPr>
      <w:r>
        <w:rPr/>
        <w:t>信息，确保公司所有股东能够以平等的机会获得信息。</w:t>
      </w:r>
      <w:r>
        <w:rPr>
          <w:rFonts w:ascii="宋体" w:hAnsi="宋体" w:cs="宋体" w:eastAsia="宋体" w:hint="default"/>
        </w:rPr>
        <w:t> 8</w:t>
      </w:r>
      <w:r>
        <w:rPr/>
        <w:t>、关于绩效评价与考核</w:t>
      </w:r>
      <w:r>
        <w:rPr>
          <w:rFonts w:ascii="宋体" w:hAnsi="宋体" w:cs="宋体" w:eastAsia="宋体" w:hint="default"/>
        </w:rPr>
        <w:t> </w:t>
      </w:r>
    </w:p>
    <w:p>
      <w:pPr>
        <w:pStyle w:val="BodyText"/>
        <w:spacing w:line="316" w:lineRule="auto" w:before="19"/>
        <w:ind w:right="1133" w:firstLine="360"/>
        <w:jc w:val="both"/>
        <w:rPr>
          <w:rFonts w:ascii="宋体" w:hAnsi="宋体" w:cs="宋体" w:eastAsia="宋体" w:hint="default"/>
        </w:rPr>
      </w:pPr>
      <w:r>
        <w:rPr>
          <w:spacing w:val="-2"/>
        </w:rPr>
        <w:t>公司建立了高级管理人员的选聘、考评、激励与约束机制并不断完善，高级管理人员薪酬的确定坚持市场导向原则、责</w:t>
      </w:r>
      <w:r>
        <w:rPr/>
        <w:t> </w:t>
      </w:r>
      <w:r>
        <w:rPr>
          <w:spacing w:val="-2"/>
        </w:rPr>
        <w:t>任权利统一原则、激励与约束并重原则，依据职责范围、岗位价值、个人能力、市场薪酬水平、公司经济效益及高级管理人</w:t>
      </w:r>
      <w:r>
        <w:rPr>
          <w:spacing w:val="-68"/>
        </w:rPr>
        <w:t> </w:t>
      </w:r>
      <w:r>
        <w:rPr>
          <w:spacing w:val="-68"/>
        </w:rPr>
      </w:r>
      <w:r>
        <w:rPr/>
        <w:t>员经营目标完成情况确定。</w:t>
      </w:r>
      <w:r>
        <w:rPr>
          <w:rFonts w:ascii="宋体" w:hAnsi="宋体" w:cs="宋体" w:eastAsia="宋体" w:hint="default"/>
        </w:rPr>
        <w:t> </w:t>
      </w:r>
    </w:p>
    <w:p>
      <w:pPr>
        <w:pStyle w:val="BodyText"/>
        <w:spacing w:line="240" w:lineRule="auto" w:before="59"/>
        <w:ind w:right="1133"/>
        <w:jc w:val="left"/>
      </w:pPr>
      <w:r>
        <w:rPr/>
        <w:t>公司治理的实际状况与中国证监会发布的有关上市公司治理的规范性文件是否存在重大差异</w:t>
      </w:r>
    </w:p>
    <w:p>
      <w:pPr>
        <w:pStyle w:val="BodyText"/>
        <w:spacing w:line="340" w:lineRule="auto" w:before="115"/>
        <w:ind w:right="35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5" w:firstLine="360"/>
        <w:jc w:val="both"/>
        <w:rPr>
          <w:rFonts w:ascii="宋体" w:hAnsi="宋体" w:cs="宋体" w:eastAsia="宋体" w:hint="default"/>
        </w:rPr>
      </w:pPr>
      <w:r>
        <w:rPr>
          <w:spacing w:val="-2"/>
        </w:rPr>
        <w:t>公司与控股股东在业务、资产、人员、机构、财务等方面完全分开。公司建立了独立完整的经营体系，具有独立完整的</w:t>
      </w:r>
      <w:r>
        <w:rPr/>
        <w:t> 业务自主经营能力。具体情况如下：</w:t>
      </w:r>
      <w:r>
        <w:rPr>
          <w:rFonts w:ascii="宋体" w:hAnsi="宋体" w:cs="宋体" w:eastAsia="宋体" w:hint="default"/>
        </w:rPr>
        <w:t> </w:t>
      </w:r>
    </w:p>
    <w:p>
      <w:pPr>
        <w:pStyle w:val="BodyText"/>
        <w:spacing w:line="316" w:lineRule="auto" w:before="19"/>
        <w:ind w:left="513" w:right="1129"/>
        <w:jc w:val="left"/>
      </w:pPr>
      <w:r>
        <w:rPr/>
        <w:t>（一）业务独立</w:t>
      </w:r>
      <w:r>
        <w:rPr>
          <w:rFonts w:ascii="宋体" w:hAnsi="宋体" w:cs="宋体" w:eastAsia="宋体" w:hint="default"/>
        </w:rPr>
        <w:t> </w:t>
      </w:r>
      <w:r>
        <w:rPr>
          <w:spacing w:val="-2"/>
        </w:rPr>
        <w:t>公司拥有完整的业务流程和独立生产经营场所，拥有独立的生产系统、辅助生产系统和配套设施，拥有独立的采购和销</w:t>
      </w:r>
    </w:p>
    <w:p>
      <w:pPr>
        <w:pStyle w:val="BodyText"/>
        <w:spacing w:line="240" w:lineRule="auto" w:before="19"/>
        <w:ind w:right="1133"/>
        <w:jc w:val="left"/>
        <w:rPr>
          <w:rFonts w:ascii="宋体" w:hAnsi="宋体" w:cs="宋体" w:eastAsia="宋体" w:hint="default"/>
        </w:rPr>
      </w:pPr>
      <w:r>
        <w:rPr/>
        <w:t>售系统，在业务上与控股股东、实际控制人及其控制的其他企业不存在同业竞争及依赖于控股股东的问题。</w:t>
      </w:r>
      <w:r>
        <w:rPr>
          <w:rFonts w:ascii="宋体" w:hAnsi="宋体" w:cs="宋体" w:eastAsia="宋体" w:hint="default"/>
        </w:rPr>
        <w:t> </w:t>
      </w:r>
    </w:p>
    <w:p>
      <w:pPr>
        <w:pStyle w:val="BodyText"/>
        <w:spacing w:line="316" w:lineRule="auto" w:before="76"/>
        <w:ind w:left="513" w:right="1129"/>
        <w:jc w:val="left"/>
      </w:pPr>
      <w:r>
        <w:rPr/>
        <w:t>（二）资产独立</w:t>
      </w:r>
      <w:r>
        <w:rPr>
          <w:rFonts w:ascii="宋体" w:hAnsi="宋体" w:cs="宋体" w:eastAsia="宋体" w:hint="default"/>
        </w:rPr>
        <w:t> </w:t>
      </w:r>
      <w:r>
        <w:rPr>
          <w:spacing w:val="-2"/>
        </w:rPr>
        <w:t>公司生产经营所需的厂房建筑物、机器设备、交通工具等固定资产和土地使用权、专利权、商标权等无形资产的权属清</w:t>
      </w:r>
    </w:p>
    <w:p>
      <w:pPr>
        <w:pStyle w:val="BodyText"/>
        <w:spacing w:line="316" w:lineRule="auto" w:before="19"/>
        <w:ind w:right="1034"/>
        <w:jc w:val="left"/>
        <w:rPr>
          <w:rFonts w:ascii="宋体" w:hAnsi="宋体" w:cs="宋体" w:eastAsia="宋体" w:hint="default"/>
        </w:rPr>
      </w:pPr>
      <w:r>
        <w:rPr>
          <w:spacing w:val="-2"/>
        </w:rPr>
        <w:t>晰，不存在重大法律纠纷或潜在纠纷，不存在股东单位违规占用上市公司资金、资产及其他资源的情况；公司对所拥有的资</w:t>
      </w:r>
      <w:r>
        <w:rPr>
          <w:spacing w:val="-64"/>
        </w:rPr>
        <w:t> </w:t>
      </w:r>
      <w:r>
        <w:rPr>
          <w:spacing w:val="-64"/>
        </w:rPr>
      </w:r>
      <w:r>
        <w:rPr>
          <w:spacing w:val="-5"/>
        </w:rPr>
        <w:t>产拥有完全的控制权和支配权，不存在以承包、委托经营、租赁或其它类似方式依赖控股股东及其它关联方开展经营的情况。</w:t>
      </w:r>
      <w:r>
        <w:rPr>
          <w:rFonts w:ascii="宋体" w:hAnsi="宋体" w:cs="宋体" w:eastAsia="宋体" w:hint="default"/>
        </w:rPr>
        <w:t> </w:t>
      </w:r>
    </w:p>
    <w:p>
      <w:pPr>
        <w:pStyle w:val="BodyText"/>
        <w:spacing w:line="319" w:lineRule="auto" w:before="19"/>
        <w:ind w:left="513" w:right="1123"/>
        <w:jc w:val="left"/>
      </w:pPr>
      <w:r>
        <w:rPr/>
        <w:t>（三）人员独立</w:t>
      </w:r>
      <w:r>
        <w:rPr>
          <w:rFonts w:ascii="宋体" w:hAnsi="宋体" w:cs="宋体" w:eastAsia="宋体" w:hint="default"/>
        </w:rPr>
        <w:t> 1</w:t>
      </w:r>
      <w:r>
        <w:rPr/>
        <w:t>、公司的高级管理人员在公司或子公司担任行政管理职务，在公司或子公司领取薪酬，不存在控股股东、实际控制人</w:t>
      </w:r>
    </w:p>
    <w:p>
      <w:pPr>
        <w:pStyle w:val="BodyText"/>
        <w:spacing w:line="316" w:lineRule="auto" w:before="17"/>
        <w:ind w:left="513" w:right="1123" w:hanging="361"/>
        <w:jc w:val="left"/>
      </w:pPr>
      <w:r>
        <w:rPr/>
        <w:t>及其控制的其他企业担任除董事、监事以外的其他职务或领薪的情形。</w:t>
      </w:r>
      <w:r>
        <w:rPr>
          <w:rFonts w:ascii="宋体" w:hAnsi="宋体" w:cs="宋体" w:eastAsia="宋体" w:hint="default"/>
        </w:rPr>
        <w:t> 2</w:t>
      </w:r>
      <w:r>
        <w:rPr/>
        <w:t>、公司主要股东推荐董事、监事以及由董事会聘请高级管理人员等行为均按照《公司章程》有关规定通过合法程序进</w:t>
      </w:r>
    </w:p>
    <w:p>
      <w:pPr>
        <w:pStyle w:val="BodyText"/>
        <w:spacing w:line="316" w:lineRule="auto" w:before="19"/>
        <w:ind w:left="513" w:right="1129" w:hanging="361"/>
        <w:jc w:val="left"/>
      </w:pPr>
      <w:r>
        <w:rPr/>
        <w:t>行，公司主要股东不存在干预董事会和股东大会已经作出的人事任免决定的情况。</w:t>
      </w:r>
      <w:r>
        <w:rPr>
          <w:rFonts w:ascii="宋体" w:hAnsi="宋体" w:cs="宋体" w:eastAsia="宋体" w:hint="default"/>
        </w:rPr>
        <w:t> 3</w:t>
      </w:r>
      <w:r>
        <w:rPr/>
        <w:t>、公司财务人员不存在控股股东、实际控制人及其控制的其他企业兼职的情况。</w:t>
      </w:r>
      <w:r>
        <w:rPr>
          <w:rFonts w:ascii="宋体" w:hAnsi="宋体" w:cs="宋体" w:eastAsia="宋体" w:hint="default"/>
        </w:rPr>
        <w:t> </w:t>
      </w:r>
      <w:r>
        <w:rPr>
          <w:spacing w:val="-2"/>
        </w:rPr>
        <w:t>公司员工的劳动、人事、工资薪酬以及相应的社会保障均独立管理；公司高级管理人员未在控股股东、实际控制人及其</w:t>
      </w:r>
    </w:p>
    <w:p>
      <w:pPr>
        <w:pStyle w:val="BodyText"/>
        <w:spacing w:line="316" w:lineRule="auto" w:before="19"/>
        <w:ind w:right="1129"/>
        <w:jc w:val="left"/>
        <w:rPr>
          <w:rFonts w:ascii="宋体" w:hAnsi="宋体" w:cs="宋体" w:eastAsia="宋体" w:hint="default"/>
        </w:rPr>
      </w:pPr>
      <w:r>
        <w:rPr>
          <w:spacing w:val="-2"/>
        </w:rPr>
        <w:t>控制的其他企业中担任除董事、监事以外的其他职务，并未在控股股东、实际控制人及其控制的其他企业领取薪酬；公司财</w:t>
      </w:r>
      <w:r>
        <w:rPr>
          <w:spacing w:val="-64"/>
        </w:rPr>
        <w:t> </w:t>
      </w:r>
      <w:r>
        <w:rPr>
          <w:spacing w:val="-64"/>
        </w:rPr>
      </w:r>
      <w:r>
        <w:rPr/>
        <w:t>务人员不存在控股股东、实际控制人及其控制的其他企业兼职的情况。</w:t>
      </w:r>
      <w:r>
        <w:rPr>
          <w:rFonts w:ascii="宋体" w:hAnsi="宋体" w:cs="宋体" w:eastAsia="宋体" w:hint="default"/>
        </w:rPr>
        <w:t> </w:t>
      </w:r>
    </w:p>
    <w:p>
      <w:pPr>
        <w:pStyle w:val="BodyText"/>
        <w:spacing w:line="316" w:lineRule="auto" w:before="19"/>
        <w:ind w:left="513" w:right="1118"/>
        <w:jc w:val="left"/>
      </w:pPr>
      <w:r>
        <w:rPr/>
        <w:t>（四）机构独立</w:t>
      </w:r>
      <w:r>
        <w:rPr>
          <w:rFonts w:ascii="宋体" w:hAnsi="宋体" w:cs="宋体" w:eastAsia="宋体" w:hint="default"/>
        </w:rPr>
        <w:t> </w:t>
      </w:r>
      <w:r>
        <w:rPr>
          <w:spacing w:val="-5"/>
        </w:rPr>
        <w:t>公司通过股东大会、董事会、监事会、独立董事及各专门委员会制度，强化权力制衡机制，形成了有效的法人治理结构。</w:t>
      </w:r>
    </w:p>
    <w:p>
      <w:pPr>
        <w:pStyle w:val="BodyText"/>
        <w:spacing w:line="319" w:lineRule="auto" w:before="19"/>
        <w:ind w:right="1034"/>
        <w:jc w:val="left"/>
        <w:rPr>
          <w:rFonts w:ascii="宋体" w:hAnsi="宋体" w:cs="宋体" w:eastAsia="宋体" w:hint="default"/>
        </w:rPr>
      </w:pPr>
      <w:r>
        <w:rPr>
          <w:spacing w:val="-2"/>
        </w:rPr>
        <w:t>在内部机构设置上，公司建立了适应自身发展需要的组织机构，明确了各机构职能，定员定岗，并制定了相应的内部管理与</w:t>
      </w:r>
      <w:r>
        <w:rPr>
          <w:spacing w:val="-63"/>
        </w:rPr>
        <w:t> </w:t>
      </w:r>
      <w:r>
        <w:rPr>
          <w:spacing w:val="-63"/>
        </w:rPr>
      </w:r>
      <w:r>
        <w:rPr>
          <w:spacing w:val="-2"/>
        </w:rPr>
        <w:t>控制制度。公司各职能部门均独立履行其职能，独立开展生产经营活动，不存在受实际控制人、股东或关联方干预之情形。</w:t>
      </w:r>
      <w:r>
        <w:rPr>
          <w:rFonts w:ascii="宋体" w:hAnsi="宋体" w:cs="宋体" w:eastAsia="宋体" w:hint="default"/>
        </w:rPr>
        <w:t> </w:t>
      </w:r>
    </w:p>
    <w:p>
      <w:pPr>
        <w:pStyle w:val="BodyText"/>
        <w:spacing w:line="316" w:lineRule="auto" w:before="17"/>
        <w:ind w:left="513" w:right="1129"/>
        <w:jc w:val="left"/>
      </w:pPr>
      <w:r>
        <w:rPr/>
        <w:t>（五）财务独立</w:t>
      </w:r>
      <w:r>
        <w:rPr>
          <w:rFonts w:ascii="宋体" w:hAnsi="宋体" w:cs="宋体" w:eastAsia="宋体" w:hint="default"/>
        </w:rPr>
        <w:t> </w:t>
      </w:r>
      <w:r>
        <w:rPr>
          <w:spacing w:val="-2"/>
        </w:rPr>
        <w:t>公司设有独立的财务部门，配置有独立的财务人员，并建立了独立的会计核算体系和财务管理制度，独立管理公司财务</w:t>
      </w:r>
    </w:p>
    <w:p>
      <w:pPr>
        <w:pStyle w:val="BodyText"/>
        <w:spacing w:line="240" w:lineRule="auto" w:before="19"/>
        <w:ind w:right="1133"/>
        <w:jc w:val="left"/>
      </w:pPr>
      <w:r>
        <w:rPr/>
        <w:t>档案，能够根据《公司章程》规定的程序和权限，独立做出财务决策。</w:t>
      </w:r>
    </w:p>
    <w:p>
      <w:pPr>
        <w:spacing w:line="240" w:lineRule="auto" w:before="1"/>
        <w:rPr>
          <w:rFonts w:ascii="宋体" w:hAnsi="宋体" w:cs="宋体" w:eastAsia="宋体" w:hint="default"/>
          <w:sz w:val="25"/>
          <w:szCs w:val="25"/>
        </w:rPr>
      </w:pPr>
    </w:p>
    <w:p>
      <w:pPr>
        <w:pStyle w:val="Heading2"/>
        <w:spacing w:line="240" w:lineRule="auto"/>
        <w:ind w:right="1133"/>
        <w:jc w:val="left"/>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7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97" w:lineRule="auto" w:before="122"/>
              <w:ind w:left="24"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21.03%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9"/>
              <w:jc w:val="left"/>
              <w:rPr>
                <w:rFonts w:ascii="宋体" w:hAnsi="宋体" w:cs="宋体" w:eastAsia="宋体" w:hint="default"/>
                <w:sz w:val="18"/>
                <w:szCs w:val="18"/>
              </w:rPr>
            </w:pPr>
            <w:r>
              <w:rPr>
                <w:rFonts w:ascii="宋体" w:hAnsi="宋体" w:cs="宋体" w:eastAsia="宋体" w:hint="default"/>
                <w:spacing w:val="-11"/>
                <w:sz w:val="18"/>
                <w:szCs w:val="18"/>
              </w:rPr>
              <w:t>披露媒体：《证券时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0"/>
                <w:sz w:val="18"/>
                <w:szCs w:val="18"/>
              </w:rPr>
              <w:t>报》和巨潮资讯网公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告号</w:t>
            </w:r>
            <w:r>
              <w:rPr>
                <w:rFonts w:ascii="Times New Roman" w:hAnsi="Times New Roman" w:cs="Times New Roman" w:eastAsia="Times New Roman" w:hint="default"/>
                <w:sz w:val="18"/>
                <w:szCs w:val="18"/>
              </w:rPr>
              <w:t>:2018-015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公告 </w:t>
            </w:r>
            <w:r>
              <w:rPr>
                <w:rFonts w:ascii="宋体" w:hAnsi="宋体" w:cs="宋体" w:eastAsia="宋体" w:hint="default"/>
                <w:spacing w:val="-10"/>
                <w:sz w:val="18"/>
                <w:szCs w:val="18"/>
              </w:rPr>
              <w:t>名称：深圳市证通电</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子股份有限公司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股东大会决议公告</w:t>
            </w:r>
          </w:p>
        </w:tc>
      </w:tr>
      <w:tr>
        <w:trPr>
          <w:trHeight w:val="227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2"/>
              <w:ind w:left="24"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20.34%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9"/>
              <w:jc w:val="left"/>
              <w:rPr>
                <w:rFonts w:ascii="宋体" w:hAnsi="宋体" w:cs="宋体" w:eastAsia="宋体" w:hint="default"/>
                <w:sz w:val="18"/>
                <w:szCs w:val="18"/>
              </w:rPr>
            </w:pPr>
            <w:r>
              <w:rPr>
                <w:rFonts w:ascii="宋体" w:hAnsi="宋体" w:cs="宋体" w:eastAsia="宋体" w:hint="default"/>
                <w:spacing w:val="-11"/>
                <w:sz w:val="18"/>
                <w:szCs w:val="18"/>
              </w:rPr>
              <w:t>披露媒体：《证券时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0"/>
                <w:sz w:val="18"/>
                <w:szCs w:val="18"/>
              </w:rPr>
              <w:t>报》和巨潮资讯网公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告号</w:t>
            </w:r>
            <w:r>
              <w:rPr>
                <w:rFonts w:ascii="Times New Roman" w:hAnsi="Times New Roman" w:cs="Times New Roman" w:eastAsia="Times New Roman" w:hint="default"/>
                <w:sz w:val="18"/>
                <w:szCs w:val="18"/>
              </w:rPr>
              <w:t>:2018-048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公告 </w:t>
            </w:r>
            <w:r>
              <w:rPr>
                <w:rFonts w:ascii="宋体" w:hAnsi="宋体" w:cs="宋体" w:eastAsia="宋体" w:hint="default"/>
                <w:spacing w:val="-10"/>
                <w:sz w:val="18"/>
                <w:szCs w:val="18"/>
              </w:rPr>
              <w:t>名称：深圳市证通电</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子股份有限公司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 会决议公告</w:t>
            </w:r>
          </w:p>
        </w:tc>
      </w:tr>
      <w:tr>
        <w:trPr>
          <w:trHeight w:val="227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97" w:lineRule="auto" w:before="122"/>
              <w:ind w:left="24"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9"/>
              <w:jc w:val="left"/>
              <w:rPr>
                <w:rFonts w:ascii="宋体" w:hAnsi="宋体" w:cs="宋体" w:eastAsia="宋体" w:hint="default"/>
                <w:sz w:val="18"/>
                <w:szCs w:val="18"/>
              </w:rPr>
            </w:pPr>
            <w:r>
              <w:rPr>
                <w:rFonts w:ascii="宋体" w:hAnsi="宋体" w:cs="宋体" w:eastAsia="宋体" w:hint="default"/>
                <w:spacing w:val="-11"/>
                <w:sz w:val="18"/>
                <w:szCs w:val="18"/>
              </w:rPr>
              <w:t>披露媒体：《证券时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0"/>
                <w:sz w:val="18"/>
                <w:szCs w:val="18"/>
              </w:rPr>
              <w:t>报》和巨潮资讯网公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告号</w:t>
            </w:r>
            <w:r>
              <w:rPr>
                <w:rFonts w:ascii="Times New Roman" w:hAnsi="Times New Roman" w:cs="Times New Roman" w:eastAsia="Times New Roman" w:hint="default"/>
                <w:sz w:val="18"/>
                <w:szCs w:val="18"/>
              </w:rPr>
              <w:t>:2018-070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公告 </w:t>
            </w:r>
            <w:r>
              <w:rPr>
                <w:rFonts w:ascii="宋体" w:hAnsi="宋体" w:cs="宋体" w:eastAsia="宋体" w:hint="default"/>
                <w:spacing w:val="-10"/>
                <w:sz w:val="18"/>
                <w:szCs w:val="18"/>
              </w:rPr>
              <w:t>名称：深圳市证通电</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子股份有限公司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股东大会决议公告</w:t>
            </w:r>
          </w:p>
        </w:tc>
      </w:tr>
      <w:tr>
        <w:trPr>
          <w:trHeight w:val="227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2"/>
              <w:ind w:left="24"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21.12%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9"/>
              <w:jc w:val="left"/>
              <w:rPr>
                <w:rFonts w:ascii="宋体" w:hAnsi="宋体" w:cs="宋体" w:eastAsia="宋体" w:hint="default"/>
                <w:sz w:val="18"/>
                <w:szCs w:val="18"/>
              </w:rPr>
            </w:pPr>
            <w:r>
              <w:rPr>
                <w:rFonts w:ascii="宋体" w:hAnsi="宋体" w:cs="宋体" w:eastAsia="宋体" w:hint="default"/>
                <w:spacing w:val="-11"/>
                <w:sz w:val="18"/>
                <w:szCs w:val="18"/>
              </w:rPr>
              <w:t>披露媒体：《证券时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0"/>
                <w:sz w:val="18"/>
                <w:szCs w:val="18"/>
              </w:rPr>
              <w:t>报》和巨潮资讯网公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告号</w:t>
            </w:r>
            <w:r>
              <w:rPr>
                <w:rFonts w:ascii="Times New Roman" w:hAnsi="Times New Roman" w:cs="Times New Roman" w:eastAsia="Times New Roman" w:hint="default"/>
                <w:sz w:val="18"/>
                <w:szCs w:val="18"/>
              </w:rPr>
              <w:t>:2018-089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公告 </w:t>
            </w:r>
            <w:r>
              <w:rPr>
                <w:rFonts w:ascii="宋体" w:hAnsi="宋体" w:cs="宋体" w:eastAsia="宋体" w:hint="default"/>
                <w:spacing w:val="-10"/>
                <w:sz w:val="18"/>
                <w:szCs w:val="18"/>
              </w:rPr>
              <w:t>名称：深圳市证通电</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子股份有限公司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股东大会决议公告</w:t>
            </w:r>
          </w:p>
        </w:tc>
      </w:tr>
      <w:tr>
        <w:trPr>
          <w:trHeight w:val="227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97" w:lineRule="auto" w:before="122"/>
              <w:ind w:left="24"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20.41%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9"/>
              <w:jc w:val="left"/>
              <w:rPr>
                <w:rFonts w:ascii="宋体" w:hAnsi="宋体" w:cs="宋体" w:eastAsia="宋体" w:hint="default"/>
                <w:sz w:val="18"/>
                <w:szCs w:val="18"/>
              </w:rPr>
            </w:pPr>
            <w:r>
              <w:rPr>
                <w:rFonts w:ascii="宋体" w:hAnsi="宋体" w:cs="宋体" w:eastAsia="宋体" w:hint="default"/>
                <w:spacing w:val="-11"/>
                <w:sz w:val="18"/>
                <w:szCs w:val="18"/>
              </w:rPr>
              <w:t>披露媒体：《证券时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0"/>
                <w:sz w:val="18"/>
                <w:szCs w:val="18"/>
              </w:rPr>
              <w:t>报》和巨潮资讯网公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告号</w:t>
            </w:r>
            <w:r>
              <w:rPr>
                <w:rFonts w:ascii="Times New Roman" w:hAnsi="Times New Roman" w:cs="Times New Roman" w:eastAsia="Times New Roman" w:hint="default"/>
                <w:sz w:val="18"/>
                <w:szCs w:val="18"/>
              </w:rPr>
              <w:t>:2018-106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公告 </w:t>
            </w:r>
            <w:r>
              <w:rPr>
                <w:rFonts w:ascii="宋体" w:hAnsi="宋体" w:cs="宋体" w:eastAsia="宋体" w:hint="default"/>
                <w:spacing w:val="-10"/>
                <w:sz w:val="18"/>
                <w:szCs w:val="18"/>
              </w:rPr>
              <w:t>名称：深圳市证通电</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子股份有限公司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年第四次临时 股东大会决议公告</w:t>
            </w:r>
          </w:p>
        </w:tc>
      </w:tr>
    </w:tbl>
    <w:p>
      <w:pPr>
        <w:spacing w:after="0" w:line="312"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b/>
          <w:bCs/>
          <w:sz w:val="24"/>
          <w:szCs w:val="24"/>
        </w:rPr>
      </w:pPr>
    </w:p>
    <w:p>
      <w:pPr>
        <w:spacing w:before="36"/>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、表决权恢复的优先股股东请求召开临时股东大会</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1"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8"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马映冰</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孙海法</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邓鸿</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316" w:lineRule="auto" w:before="8"/>
        <w:ind w:left="513" w:right="2113"/>
        <w:jc w:val="left"/>
        <w:rPr>
          <w:rFonts w:ascii="宋体" w:hAnsi="宋体" w:cs="宋体" w:eastAsia="宋体" w:hint="default"/>
        </w:rPr>
      </w:pPr>
      <w:r>
        <w:rPr/>
        <w:t>连续两次未亲自出席董事会的说明</w:t>
      </w:r>
      <w:r>
        <w:rPr>
          <w:rFonts w:ascii="宋体" w:hAnsi="宋体" w:cs="宋体" w:eastAsia="宋体" w:hint="default"/>
        </w:rPr>
        <w:t> </w:t>
      </w:r>
      <w:r>
        <w:rPr/>
        <w:t>在报告期内，公司独立董事不存在连续两次未亲自出席参加董事会会议情况。</w:t>
      </w:r>
      <w:r>
        <w:rPr>
          <w:rFonts w:ascii="宋体" w:hAnsi="宋体" w:cs="宋体" w:eastAsia="宋体" w:hint="default"/>
        </w:rPr>
        <w:t> </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独立董事对公司有关事项是否提出异议</w:t>
      </w:r>
    </w:p>
    <w:p>
      <w:pPr>
        <w:pStyle w:val="BodyText"/>
        <w:spacing w:line="340" w:lineRule="auto" w:before="115"/>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独立董事对公司有关建议是否被采纳</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pStyle w:val="BodyText"/>
        <w:spacing w:line="316" w:lineRule="auto" w:before="103"/>
        <w:ind w:left="513" w:right="1129"/>
        <w:jc w:val="left"/>
      </w:pPr>
      <w:r>
        <w:rPr/>
        <w:t>独立董事对公司有关建议被采纳或未被采纳的说明</w:t>
      </w:r>
      <w:r>
        <w:rPr>
          <w:rFonts w:ascii="宋体" w:hAnsi="宋体" w:cs="宋体" w:eastAsia="宋体" w:hint="default"/>
        </w:rPr>
        <w:t> </w:t>
      </w:r>
      <w:r>
        <w:rPr>
          <w:spacing w:val="-2"/>
        </w:rPr>
        <w:t>报告期内，独立董事马映冰先生、孙海法先生、邓鸿先生按照《公司法》、《证券法》、《深圳证券交易所股票上市规</w:t>
      </w:r>
    </w:p>
    <w:p>
      <w:pPr>
        <w:pStyle w:val="BodyText"/>
        <w:spacing w:line="316" w:lineRule="auto" w:before="19"/>
        <w:ind w:right="1130"/>
        <w:jc w:val="both"/>
      </w:pPr>
      <w:r>
        <w:rPr>
          <w:spacing w:val="-2"/>
        </w:rPr>
        <w:t>则》、《公司章程》以及公司《独立董事制度》的规定，勤勉尽职、主动、积极的出席相关会议，认真审议各项议案，独立</w:t>
      </w:r>
      <w:r>
        <w:rPr>
          <w:spacing w:val="-69"/>
        </w:rPr>
        <w:t> </w:t>
      </w:r>
      <w:r>
        <w:rPr>
          <w:spacing w:val="-69"/>
        </w:rPr>
      </w:r>
      <w:r>
        <w:rPr>
          <w:spacing w:val="-2"/>
        </w:rPr>
        <w:t>客观地发表自己的看法和观点，积极进行公司的现场走访调研，了解公司生产经营状况以及董事会决议和股东会决议的执行</w:t>
      </w:r>
      <w:r>
        <w:rPr>
          <w:spacing w:val="-64"/>
        </w:rPr>
        <w:t> </w:t>
      </w:r>
      <w:r>
        <w:rPr>
          <w:spacing w:val="-64"/>
        </w:rPr>
      </w:r>
      <w:r>
        <w:rPr>
          <w:spacing w:val="-2"/>
        </w:rPr>
        <w:t>情况，并利用自己的专业知识做出独立、客观的判断；同时，独立董事结合自身的专业优势和管理经验，发表了专业独立意</w:t>
      </w:r>
      <w:r>
        <w:rPr>
          <w:spacing w:val="-66"/>
        </w:rPr>
        <w:t> </w:t>
      </w:r>
      <w:r>
        <w:rPr>
          <w:spacing w:val="-66"/>
        </w:rPr>
      </w:r>
      <w:r>
        <w:rPr>
          <w:spacing w:val="-2"/>
        </w:rPr>
        <w:t>见，为公司经营管理、战略规划、人力资源培养、对外投资、风险管控、进行重大决策等方面提出了颇多的专业性建议，对</w:t>
      </w:r>
      <w:r>
        <w:rPr>
          <w:spacing w:val="-73"/>
        </w:rPr>
        <w:t> </w:t>
      </w:r>
      <w:r>
        <w:rPr>
          <w:spacing w:val="-73"/>
        </w:rPr>
      </w:r>
      <w:r>
        <w:rPr/>
        <w:t>公司的规范运作起到推动作用，维护了公司和全体股东的合法权益。</w:t>
      </w:r>
    </w:p>
    <w:p>
      <w:pPr>
        <w:spacing w:line="240" w:lineRule="auto" w:before="11"/>
        <w:rPr>
          <w:rFonts w:ascii="宋体" w:hAnsi="宋体" w:cs="宋体" w:eastAsia="宋体" w:hint="default"/>
          <w:sz w:val="20"/>
          <w:szCs w:val="20"/>
        </w:rPr>
      </w:pPr>
    </w:p>
    <w:p>
      <w:pPr>
        <w:pStyle w:val="Heading2"/>
        <w:spacing w:line="240" w:lineRule="auto"/>
        <w:ind w:right="1133"/>
        <w:jc w:val="left"/>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513" w:right="1033"/>
        <w:jc w:val="left"/>
      </w:pPr>
      <w:r>
        <w:rPr>
          <w:rFonts w:ascii="宋体" w:hAnsi="宋体" w:cs="宋体" w:eastAsia="宋体" w:hint="default"/>
        </w:rPr>
        <w:t>1</w:t>
      </w:r>
      <w:r>
        <w:rPr/>
        <w:t>、审计委员会</w:t>
      </w:r>
      <w:r>
        <w:rPr>
          <w:rFonts w:ascii="宋体" w:hAnsi="宋体" w:cs="宋体" w:eastAsia="宋体" w:hint="default"/>
        </w:rPr>
        <w:t> </w:t>
      </w:r>
      <w:r>
        <w:rPr/>
        <w:t>公司董事会审计委员会由三名董事组成，其中独立董事两名。报告期内董事会审计委员会按照公司有关规定履行职责，</w:t>
      </w:r>
    </w:p>
    <w:p>
      <w:pPr>
        <w:pStyle w:val="BodyText"/>
        <w:spacing w:line="319" w:lineRule="auto" w:before="19"/>
        <w:ind w:right="1034"/>
        <w:jc w:val="left"/>
        <w:rPr>
          <w:rFonts w:ascii="宋体" w:hAnsi="宋体" w:cs="宋体" w:eastAsia="宋体" w:hint="default"/>
        </w:rPr>
      </w:pPr>
      <w:r>
        <w:rPr/>
        <w:t>并召开了六次会议，对公司定期报告、内部审计工作、募集资金存放与使用、公司年度财务决算报告、会计师事务所聘请、</w:t>
      </w:r>
      <w:r>
        <w:rPr>
          <w:spacing w:val="-86"/>
        </w:rPr>
        <w:t> </w:t>
      </w:r>
      <w:r>
        <w:rPr>
          <w:spacing w:val="-86"/>
        </w:rPr>
      </w:r>
      <w:r>
        <w:rPr>
          <w:rFonts w:ascii="宋体" w:hAnsi="宋体" w:cs="宋体" w:eastAsia="宋体" w:hint="default"/>
          <w:spacing w:val="-2"/>
        </w:rPr>
        <w:t>2016</w:t>
      </w:r>
      <w:r>
        <w:rPr>
          <w:spacing w:val="-2"/>
        </w:rPr>
        <w:t>年度业绩快报会计差错责任认定、处罚及整改意见的报告等重大事项实施情况进行了审议，对相关事项进行讨论后形成</w:t>
      </w:r>
      <w:r>
        <w:rPr>
          <w:spacing w:val="-62"/>
        </w:rPr>
        <w:t> </w:t>
      </w:r>
      <w:r>
        <w:rPr>
          <w:spacing w:val="-62"/>
        </w:rPr>
      </w:r>
      <w:r>
        <w:rPr/>
        <w:t>决议，相关需提交董事会审议的事项提交董事会审议。</w:t>
      </w:r>
      <w:r>
        <w:rPr>
          <w:rFonts w:ascii="宋体" w:hAnsi="宋体" w:cs="宋体" w:eastAsia="宋体" w:hint="default"/>
        </w:rPr>
        <w:t> </w:t>
      </w:r>
    </w:p>
    <w:p>
      <w:pPr>
        <w:spacing w:after="0" w:line="319" w:lineRule="auto"/>
        <w:jc w:val="left"/>
        <w:rPr>
          <w:rFonts w:ascii="宋体" w:hAnsi="宋体" w:cs="宋体" w:eastAsia="宋体" w:hint="default"/>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left="513" w:right="1129"/>
        <w:jc w:val="left"/>
      </w:pPr>
      <w:r>
        <w:rPr>
          <w:rFonts w:ascii="宋体" w:hAnsi="宋体" w:cs="宋体" w:eastAsia="宋体" w:hint="default"/>
        </w:rPr>
        <w:t>2</w:t>
      </w:r>
      <w:r>
        <w:rPr/>
        <w:t>、薪酬与考核委员会</w:t>
      </w:r>
      <w:r>
        <w:rPr>
          <w:rFonts w:ascii="宋体" w:hAnsi="宋体" w:cs="宋体" w:eastAsia="宋体" w:hint="default"/>
        </w:rPr>
        <w:t> </w:t>
      </w:r>
      <w:r>
        <w:rPr>
          <w:spacing w:val="-2"/>
        </w:rPr>
        <w:t>公司董事会薪酬与考核委员会由三名董事组成，其中独立董事两名。报告期公司董事会薪酬与考核委员会按照公司有关</w:t>
      </w:r>
    </w:p>
    <w:p>
      <w:pPr>
        <w:pStyle w:val="BodyText"/>
        <w:spacing w:line="316" w:lineRule="auto" w:before="19"/>
        <w:ind w:right="1034"/>
        <w:jc w:val="left"/>
        <w:rPr>
          <w:rFonts w:ascii="宋体" w:hAnsi="宋体" w:cs="宋体" w:eastAsia="宋体" w:hint="default"/>
        </w:rPr>
      </w:pPr>
      <w:r>
        <w:rPr/>
        <w:t>规定履行职责，召开了一次会议，会议听取了董事、监事及高级管理人员薪酬情况的汇报，提出意见及建议，对公司</w:t>
      </w:r>
      <w:r>
        <w:rPr>
          <w:rFonts w:ascii="宋体" w:hAnsi="宋体" w:cs="宋体" w:eastAsia="宋体" w:hint="default"/>
        </w:rPr>
        <w:t>2017 </w:t>
      </w:r>
      <w:r>
        <w:rPr>
          <w:spacing w:val="-5"/>
        </w:rPr>
        <w:t>年度董事、高管薪酬方案事项进行了审议，对相关事项进行讨论后形成决议，相关需提交董事会审议的事项提交董事会审议。</w:t>
      </w:r>
      <w:r>
        <w:rPr>
          <w:rFonts w:ascii="宋体" w:hAnsi="宋体" w:cs="宋体" w:eastAsia="宋体" w:hint="default"/>
        </w:rPr>
        <w:t> </w:t>
      </w:r>
    </w:p>
    <w:p>
      <w:pPr>
        <w:pStyle w:val="BodyText"/>
        <w:spacing w:line="316" w:lineRule="auto" w:before="19"/>
        <w:ind w:left="513" w:right="1033"/>
        <w:jc w:val="left"/>
      </w:pPr>
      <w:r>
        <w:rPr>
          <w:rFonts w:ascii="宋体" w:hAnsi="宋体" w:cs="宋体" w:eastAsia="宋体" w:hint="default"/>
        </w:rPr>
        <w:t>3</w:t>
      </w:r>
      <w:r>
        <w:rPr/>
        <w:t>、战略委员会</w:t>
      </w:r>
      <w:r>
        <w:rPr>
          <w:rFonts w:ascii="宋体" w:hAnsi="宋体" w:cs="宋体" w:eastAsia="宋体" w:hint="default"/>
        </w:rPr>
        <w:t> </w:t>
      </w:r>
      <w:r>
        <w:rPr/>
        <w:t>公司董事会战略委员会由五名董事组成，其中独立董事两名。报告期内董事会战略委员会按照公司有关规定履行职责，</w:t>
      </w:r>
    </w:p>
    <w:p>
      <w:pPr>
        <w:pStyle w:val="BodyText"/>
        <w:spacing w:line="309" w:lineRule="auto" w:before="19"/>
        <w:ind w:right="1045"/>
        <w:jc w:val="both"/>
      </w:pPr>
      <w:r>
        <w:rPr>
          <w:spacing w:val="-2"/>
        </w:rPr>
        <w:t>召开了一次会议，对公司</w:t>
      </w:r>
      <w:r>
        <w:rPr>
          <w:rFonts w:ascii="宋体" w:hAnsi="宋体" w:cs="宋体" w:eastAsia="宋体" w:hint="default"/>
          <w:spacing w:val="-2"/>
        </w:rPr>
        <w:t>2019</w:t>
      </w:r>
      <w:r>
        <w:rPr>
          <w:spacing w:val="-2"/>
        </w:rPr>
        <w:t>年及未来三年发展策略、发展目标事项进行了审议，对相关事项进行讨论后形成决议；在“认</w:t>
      </w:r>
      <w:r>
        <w:rPr>
          <w:spacing w:val="-63"/>
        </w:rPr>
        <w:t> </w:t>
      </w:r>
      <w:r>
        <w:rPr>
          <w:spacing w:val="-63"/>
        </w:rPr>
      </w:r>
      <w:r>
        <w:rPr/>
        <w:t>清形势，控制风险，整合资源，提升效益</w:t>
      </w:r>
      <w:r>
        <w:rPr>
          <w:rFonts w:ascii="Times New Roman" w:hAnsi="Times New Roman" w:cs="Times New Roman" w:eastAsia="Times New Roman" w:hint="default"/>
        </w:rPr>
        <w:t>”</w:t>
      </w:r>
      <w:r>
        <w:rPr/>
        <w:t>的整体方针下，董事会战略委员会各位委员站在业务协同及整合角度，通过深入 分析公司当下国内经济形势、市场及竞争环境、公司各业务的经营情况制定了公司</w:t>
      </w:r>
      <w:r>
        <w:rPr>
          <w:rFonts w:ascii="Times New Roman" w:hAnsi="Times New Roman" w:cs="Times New Roman" w:eastAsia="Times New Roman" w:hint="default"/>
        </w:rPr>
        <w:t>2019</w:t>
      </w:r>
      <w:r>
        <w:rPr/>
        <w:t>年及未来三年发展策略、发展目标。</w:t>
      </w:r>
    </w:p>
    <w:p>
      <w:pPr>
        <w:spacing w:line="240" w:lineRule="auto" w:before="10"/>
        <w:rPr>
          <w:rFonts w:ascii="宋体" w:hAnsi="宋体" w:cs="宋体" w:eastAsia="宋体" w:hint="default"/>
          <w:sz w:val="19"/>
          <w:szCs w:val="19"/>
        </w:rPr>
      </w:pPr>
    </w:p>
    <w:p>
      <w:pPr>
        <w:pStyle w:val="Heading2"/>
        <w:spacing w:line="240" w:lineRule="auto"/>
        <w:ind w:right="0"/>
        <w:jc w:val="both"/>
        <w:rPr>
          <w:b w:val="0"/>
          <w:bCs w:val="0"/>
        </w:rPr>
      </w:pP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监事会在报告期内的监督活动中发现公司是否存在风险</w:t>
      </w:r>
    </w:p>
    <w:p>
      <w:pPr>
        <w:pStyle w:val="BodyText"/>
        <w:spacing w:line="340" w:lineRule="auto" w:before="115"/>
        <w:ind w:right="76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r>
        <w:rPr/>
        <w:t>八、高级管理人员的考评及激励情况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2" w:firstLine="360"/>
        <w:jc w:val="both"/>
      </w:pPr>
      <w:r>
        <w:rPr>
          <w:spacing w:val="-2"/>
        </w:rPr>
        <w:t>公司高管人员绩效考核以企业经济效益为出发点，根据公司年度经营情况和高管人员分管工作的目标完成情况进行综合</w:t>
      </w:r>
      <w:r>
        <w:rPr/>
        <w:t> </w:t>
      </w:r>
      <w:r>
        <w:rPr>
          <w:spacing w:val="-5"/>
        </w:rPr>
        <w:t>考核。公司制定了《公司董事、监事、高级管理人员薪酬管理制度》，对公司高管的决策程序、确定原则和依据进行了规定，</w:t>
      </w:r>
      <w:r>
        <w:rPr>
          <w:spacing w:val="-83"/>
        </w:rPr>
        <w:t> </w:t>
      </w:r>
      <w:r>
        <w:rPr>
          <w:spacing w:val="-83"/>
        </w:rPr>
      </w:r>
      <w:r>
        <w:rPr/>
        <w:t>同时建立了针对包含高级管理人员在内的绩效考评制度《高层绩效管理制度》。</w:t>
      </w:r>
    </w:p>
    <w:p>
      <w:pPr>
        <w:pStyle w:val="BodyText"/>
        <w:spacing w:line="300" w:lineRule="auto" w:before="19"/>
        <w:ind w:right="1046" w:firstLine="360"/>
        <w:jc w:val="left"/>
      </w:pPr>
      <w:r>
        <w:rPr/>
        <w:t>为建立长效的激励机制，有效调动管理人员的积极性，促进公司持续健康发展，公司于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日召开第四届董事 会第十五次会议及</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11</w:t>
      </w:r>
      <w:r>
        <w:rPr/>
        <w:t>日召开</w:t>
      </w:r>
      <w:r>
        <w:rPr>
          <w:rFonts w:ascii="Times New Roman" w:hAnsi="Times New Roman" w:cs="Times New Roman" w:eastAsia="Times New Roman" w:hint="default"/>
        </w:rPr>
        <w:t>2017</w:t>
      </w:r>
      <w:r>
        <w:rPr/>
        <w:t>年第四次临时股东大会审议通过了《关于</w:t>
      </w:r>
      <w:r>
        <w:rPr>
          <w:rFonts w:ascii="Times New Roman" w:hAnsi="Times New Roman" w:cs="Times New Roman" w:eastAsia="Times New Roman" w:hint="default"/>
        </w:rPr>
        <w:t>&lt;</w:t>
      </w:r>
      <w:r>
        <w:rPr/>
        <w:t>公司第一期员工持股计划（草案）</w:t>
      </w:r>
      <w:r>
        <w:rPr>
          <w:rFonts w:ascii="Times New Roman" w:hAnsi="Times New Roman" w:cs="Times New Roman" w:eastAsia="Times New Roman" w:hint="default"/>
        </w:rPr>
        <w:t>&gt;</w:t>
      </w:r>
      <w:r>
        <w:rPr/>
        <w:t>及 </w:t>
      </w:r>
      <w:r>
        <w:rPr>
          <w:spacing w:val="-2"/>
        </w:rPr>
        <w:t>其摘要的议案》及相关议案，同意公司实施第一期员工持股计划的激励机制，涉及核心管理和技术人员总计不超过</w:t>
      </w:r>
      <w:r>
        <w:rPr>
          <w:rFonts w:ascii="Times New Roman" w:hAnsi="Times New Roman" w:cs="Times New Roman" w:eastAsia="Times New Roman" w:hint="default"/>
          <w:spacing w:val="-2"/>
        </w:rPr>
        <w:t>54</w:t>
      </w:r>
      <w:r>
        <w:rPr>
          <w:spacing w:val="-2"/>
        </w:rPr>
        <w:t>人，公</w:t>
      </w:r>
      <w:r>
        <w:rPr>
          <w:spacing w:val="-63"/>
        </w:rPr>
        <w:t> </w:t>
      </w:r>
      <w:r>
        <w:rPr>
          <w:spacing w:val="-63"/>
        </w:rPr>
      </w:r>
      <w:r>
        <w:rPr/>
        <w:t>司第一期员工持股计划已于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日已通过二级市场集中竞价交易方式完成公司股票购买合计</w:t>
      </w:r>
      <w:r>
        <w:rPr>
          <w:rFonts w:ascii="Times New Roman" w:hAnsi="Times New Roman" w:cs="Times New Roman" w:eastAsia="Times New Roman" w:hint="default"/>
        </w:rPr>
        <w:t>23,121,021</w:t>
      </w:r>
      <w:r>
        <w:rPr/>
        <w:t>股。截止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日，公司第一期员工持股计划持有的</w:t>
      </w:r>
      <w:r>
        <w:rPr>
          <w:spacing w:val="-5"/>
        </w:rPr>
        <w:t> </w:t>
      </w:r>
      <w:r>
        <w:rPr>
          <w:rFonts w:ascii="Times New Roman" w:hAnsi="Times New Roman" w:cs="Times New Roman" w:eastAsia="Times New Roman" w:hint="default"/>
        </w:rPr>
        <w:t>23,121,021</w:t>
      </w:r>
      <w:r>
        <w:rPr>
          <w:rFonts w:ascii="Times New Roman" w:hAnsi="Times New Roman" w:cs="Times New Roman" w:eastAsia="Times New Roman" w:hint="default"/>
          <w:spacing w:val="38"/>
        </w:rPr>
        <w:t> </w:t>
      </w:r>
      <w:r>
        <w:rPr/>
        <w:t>股公司股票已出售完毕。本期员工持股计划实施完毕并终止，</w:t>
      </w:r>
      <w:r>
        <w:rPr>
          <w:spacing w:val="-87"/>
        </w:rPr>
        <w:t> </w:t>
      </w:r>
      <w:r>
        <w:rPr>
          <w:spacing w:val="-87"/>
        </w:rPr>
      </w:r>
      <w:r>
        <w:rPr/>
        <w:t>后续将进行财产清算和分配工作。</w:t>
      </w:r>
    </w:p>
    <w:p>
      <w:pPr>
        <w:spacing w:line="240" w:lineRule="auto" w:before="11"/>
        <w:rPr>
          <w:rFonts w:ascii="宋体" w:hAnsi="宋体" w:cs="宋体" w:eastAsia="宋体" w:hint="default"/>
          <w:sz w:val="21"/>
          <w:szCs w:val="21"/>
        </w:rPr>
      </w:pPr>
    </w:p>
    <w:p>
      <w:pPr>
        <w:pStyle w:val="Heading2"/>
        <w:spacing w:line="240" w:lineRule="auto"/>
        <w:ind w:right="0"/>
        <w:jc w:val="both"/>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71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详见刊登于巨潮资讯网</w:t>
            </w:r>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上的《公司</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年度内部控制 自我评价报告》</w:t>
            </w:r>
          </w:p>
        </w:tc>
      </w:tr>
      <w:tr>
        <w:trPr>
          <w:trHeight w:val="71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b/>
          <w:bCs/>
          <w:sz w:val="20"/>
          <w:szCs w:val="20"/>
        </w:rPr>
      </w:pPr>
      <w:r>
        <w:rPr/>
        <w:pict>
          <v:shape style="position:absolute;margin-left:56.400002pt;margin-top:71.999985pt;width:479.3pt;height:660.6pt;mso-position-horizontal-relative:page;mso-position-vertical-relative:page;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5"/>
                    <w:gridCol w:w="3335"/>
                    <w:gridCol w:w="3040"/>
                  </w:tblGrid>
                  <w:tr>
                    <w:trPr>
                      <w:trHeight w:val="402"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1"/>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9"/>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749"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35" w:type="dxa"/>
                        <w:vMerge w:val="restart"/>
                        <w:tcBorders>
                          <w:top w:val="single" w:sz="4" w:space="0" w:color="000000"/>
                          <w:left w:val="single" w:sz="9" w:space="0" w:color="D2D2D2"/>
                          <w:right w:val="single" w:sz="1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5"/>
                          <w:ind w:left="18" w:right="-43"/>
                          <w:jc w:val="both"/>
                          <w:rPr>
                            <w:rFonts w:ascii="宋体" w:hAnsi="宋体" w:cs="宋体" w:eastAsia="宋体" w:hint="default"/>
                            <w:sz w:val="18"/>
                            <w:szCs w:val="18"/>
                          </w:rPr>
                        </w:pPr>
                        <w:r>
                          <w:rPr>
                            <w:rFonts w:ascii="宋体" w:hAnsi="宋体" w:cs="宋体" w:eastAsia="宋体" w:hint="default"/>
                            <w:spacing w:val="-5"/>
                            <w:sz w:val="18"/>
                            <w:szCs w:val="18"/>
                          </w:rPr>
                          <w:t>（一）视为重大缺陷的情况：（</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）公司内</w:t>
                        </w:r>
                        <w:r>
                          <w:rPr>
                            <w:rFonts w:ascii="宋体" w:hAnsi="宋体" w:cs="宋体" w:eastAsia="宋体" w:hint="default"/>
                            <w:spacing w:val="-84"/>
                            <w:sz w:val="18"/>
                            <w:szCs w:val="18"/>
                          </w:rPr>
                          <w:t> </w:t>
                        </w:r>
                        <w:r>
                          <w:rPr>
                            <w:rFonts w:ascii="宋体" w:hAnsi="宋体" w:cs="宋体" w:eastAsia="宋体" w:hint="default"/>
                            <w:spacing w:val="-5"/>
                            <w:sz w:val="18"/>
                            <w:szCs w:val="18"/>
                          </w:rPr>
                          <w:t>部控制环境无效；（</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）董事、监事和高级</w:t>
                        </w:r>
                        <w:r>
                          <w:rPr>
                            <w:rFonts w:ascii="宋体" w:hAnsi="宋体" w:cs="宋体" w:eastAsia="宋体" w:hint="default"/>
                            <w:spacing w:val="-86"/>
                            <w:sz w:val="18"/>
                            <w:szCs w:val="18"/>
                          </w:rPr>
                          <w:t> </w:t>
                        </w:r>
                        <w:r>
                          <w:rPr>
                            <w:rFonts w:ascii="宋体" w:hAnsi="宋体" w:cs="宋体" w:eastAsia="宋体" w:hint="default"/>
                            <w:spacing w:val="-5"/>
                            <w:sz w:val="18"/>
                            <w:szCs w:val="18"/>
                          </w:rPr>
                          <w:t>管理人员舞弊；（</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）违反国家法律法规并</w:t>
                        </w:r>
                        <w:r>
                          <w:rPr>
                            <w:rFonts w:ascii="宋体" w:hAnsi="宋体" w:cs="宋体" w:eastAsia="宋体" w:hint="default"/>
                            <w:spacing w:val="-86"/>
                            <w:sz w:val="18"/>
                            <w:szCs w:val="18"/>
                          </w:rPr>
                          <w:t> </w:t>
                        </w:r>
                        <w:r>
                          <w:rPr>
                            <w:rFonts w:ascii="宋体" w:hAnsi="宋体" w:cs="宋体" w:eastAsia="宋体" w:hint="default"/>
                            <w:spacing w:val="-5"/>
                            <w:sz w:val="18"/>
                            <w:szCs w:val="18"/>
                          </w:rPr>
                          <w:t>受到处罚；（</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）当期财务报表存在重大错</w:t>
                        </w:r>
                        <w:r>
                          <w:rPr>
                            <w:rFonts w:ascii="宋体" w:hAnsi="宋体" w:cs="宋体" w:eastAsia="宋体" w:hint="default"/>
                            <w:spacing w:val="-86"/>
                            <w:sz w:val="18"/>
                            <w:szCs w:val="18"/>
                          </w:rPr>
                          <w:t> </w:t>
                        </w:r>
                        <w:r>
                          <w:rPr>
                            <w:rFonts w:ascii="宋体" w:hAnsi="宋体" w:cs="宋体" w:eastAsia="宋体" w:hint="default"/>
                            <w:sz w:val="18"/>
                            <w:szCs w:val="18"/>
                          </w:rPr>
                          <w:t>报，而内部控制运行过程中未能发现该错 </w:t>
                        </w:r>
                        <w:r>
                          <w:rPr>
                            <w:rFonts w:ascii="宋体" w:hAnsi="宋体" w:cs="宋体" w:eastAsia="宋体" w:hint="default"/>
                            <w:spacing w:val="-5"/>
                            <w:sz w:val="18"/>
                            <w:szCs w:val="18"/>
                          </w:rPr>
                          <w:t>报；（</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）与公司治理及日常运营相关的关</w:t>
                        </w:r>
                        <w:r>
                          <w:rPr>
                            <w:rFonts w:ascii="宋体" w:hAnsi="宋体" w:cs="宋体" w:eastAsia="宋体" w:hint="default"/>
                            <w:spacing w:val="-86"/>
                            <w:sz w:val="18"/>
                            <w:szCs w:val="18"/>
                          </w:rPr>
                          <w:t> </w:t>
                        </w:r>
                        <w:r>
                          <w:rPr>
                            <w:rFonts w:ascii="宋体" w:hAnsi="宋体" w:cs="宋体" w:eastAsia="宋体" w:hint="default"/>
                            <w:sz w:val="18"/>
                            <w:szCs w:val="18"/>
                          </w:rPr>
                          <w:t>键制度或机制均缺失，导致全局性系统性 </w:t>
                        </w:r>
                        <w:r>
                          <w:rPr>
                            <w:rFonts w:ascii="宋体" w:hAnsi="宋体" w:cs="宋体" w:eastAsia="宋体" w:hint="default"/>
                            <w:spacing w:val="-5"/>
                            <w:sz w:val="18"/>
                            <w:szCs w:val="18"/>
                          </w:rPr>
                          <w:t>管理实效；（</w:t>
                        </w: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）业务流程的一般控制与关</w:t>
                        </w:r>
                        <w:r>
                          <w:rPr>
                            <w:rFonts w:ascii="宋体" w:hAnsi="宋体" w:cs="宋体" w:eastAsia="宋体" w:hint="default"/>
                            <w:spacing w:val="-86"/>
                            <w:sz w:val="18"/>
                            <w:szCs w:val="18"/>
                          </w:rPr>
                          <w:t> </w:t>
                        </w:r>
                        <w:r>
                          <w:rPr>
                            <w:rFonts w:ascii="宋体" w:hAnsi="宋体" w:cs="宋体" w:eastAsia="宋体" w:hint="default"/>
                            <w:spacing w:val="-5"/>
                            <w:sz w:val="18"/>
                            <w:szCs w:val="18"/>
                          </w:rPr>
                          <w:t>键控制组合缺失；（</w:t>
                        </w:r>
                        <w:r>
                          <w:rPr>
                            <w:rFonts w:ascii="Times New Roman" w:hAnsi="Times New Roman" w:cs="Times New Roman" w:eastAsia="Times New Roman" w:hint="default"/>
                            <w:spacing w:val="-5"/>
                            <w:sz w:val="18"/>
                            <w:szCs w:val="18"/>
                          </w:rPr>
                          <w:t>7</w:t>
                        </w:r>
                        <w:r>
                          <w:rPr>
                            <w:rFonts w:ascii="宋体" w:hAnsi="宋体" w:cs="宋体" w:eastAsia="宋体" w:hint="default"/>
                            <w:spacing w:val="-5"/>
                            <w:sz w:val="18"/>
                            <w:szCs w:val="18"/>
                          </w:rPr>
                          <w:t>）已经发现并报告给</w:t>
                        </w:r>
                        <w:r>
                          <w:rPr>
                            <w:rFonts w:ascii="宋体" w:hAnsi="宋体" w:cs="宋体" w:eastAsia="宋体" w:hint="default"/>
                            <w:spacing w:val="-86"/>
                            <w:sz w:val="18"/>
                            <w:szCs w:val="18"/>
                          </w:rPr>
                          <w:t> </w:t>
                        </w:r>
                        <w:r>
                          <w:rPr>
                            <w:rFonts w:ascii="宋体" w:hAnsi="宋体" w:cs="宋体" w:eastAsia="宋体" w:hint="default"/>
                            <w:sz w:val="18"/>
                            <w:szCs w:val="18"/>
                          </w:rPr>
                          <w:t>管理层的重大缺陷在合理的时间内未加以 </w:t>
                        </w:r>
                        <w:r>
                          <w:rPr>
                            <w:rFonts w:ascii="宋体" w:hAnsi="宋体" w:cs="宋体" w:eastAsia="宋体" w:hint="default"/>
                            <w:spacing w:val="-5"/>
                            <w:sz w:val="18"/>
                            <w:szCs w:val="18"/>
                          </w:rPr>
                          <w:t>改正；（</w:t>
                        </w:r>
                        <w:r>
                          <w:rPr>
                            <w:rFonts w:ascii="Times New Roman" w:hAnsi="Times New Roman" w:cs="Times New Roman" w:eastAsia="Times New Roman" w:hint="default"/>
                            <w:spacing w:val="-5"/>
                            <w:sz w:val="18"/>
                            <w:szCs w:val="18"/>
                          </w:rPr>
                          <w:t>8</w:t>
                        </w:r>
                        <w:r>
                          <w:rPr>
                            <w:rFonts w:ascii="宋体" w:hAnsi="宋体" w:cs="宋体" w:eastAsia="宋体" w:hint="default"/>
                            <w:spacing w:val="-5"/>
                            <w:sz w:val="18"/>
                            <w:szCs w:val="18"/>
                          </w:rPr>
                          <w:t>）其他可能影响报表使用者正确</w:t>
                        </w:r>
                        <w:r>
                          <w:rPr>
                            <w:rFonts w:ascii="宋体" w:hAnsi="宋体" w:cs="宋体" w:eastAsia="宋体" w:hint="default"/>
                            <w:spacing w:val="-86"/>
                            <w:sz w:val="18"/>
                            <w:szCs w:val="18"/>
                          </w:rPr>
                          <w:t> </w:t>
                        </w:r>
                        <w:r>
                          <w:rPr>
                            <w:rFonts w:ascii="宋体" w:hAnsi="宋体" w:cs="宋体" w:eastAsia="宋体" w:hint="default"/>
                            <w:spacing w:val="-5"/>
                            <w:sz w:val="18"/>
                            <w:szCs w:val="18"/>
                          </w:rPr>
                          <w:t>判断的缺陷。（二）视为重要缺陷的情况：</w:t>
                        </w:r>
                      </w:p>
                      <w:p>
                        <w:pPr>
                          <w:pStyle w:val="TableParagraph"/>
                          <w:spacing w:line="300" w:lineRule="auto" w:before="28"/>
                          <w:ind w:left="18" w:right="-37"/>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）未依照公认会计准则选择和应用会计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0"/>
                            <w:sz w:val="18"/>
                            <w:szCs w:val="18"/>
                          </w:rPr>
                          <w:t>政策；（</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）未建立反舞弊程序和控制措施；</w:t>
                        </w:r>
                        <w:r>
                          <w:rPr>
                            <w:rFonts w:ascii="宋体" w:hAnsi="宋体" w:cs="宋体" w:eastAsia="宋体" w:hint="default"/>
                            <w:sz w:val="18"/>
                            <w:szCs w:val="18"/>
                          </w:rPr>
                        </w:r>
                      </w:p>
                      <w:p>
                        <w:pPr>
                          <w:pStyle w:val="TableParagraph"/>
                          <w:spacing w:line="309" w:lineRule="auto" w:before="13"/>
                          <w:ind w:left="18" w:right="-37"/>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）对于非常规或特殊交易的账务处理没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有建立相应的控制机制，或未实施相应的 </w:t>
                        </w:r>
                        <w:r>
                          <w:rPr>
                            <w:rFonts w:ascii="宋体" w:hAnsi="宋体" w:cs="宋体" w:eastAsia="宋体" w:hint="default"/>
                            <w:spacing w:val="-5"/>
                            <w:sz w:val="18"/>
                            <w:szCs w:val="18"/>
                          </w:rPr>
                          <w:t>补偿性控制；（</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）对于期末财务报告过程</w:t>
                        </w:r>
                        <w:r>
                          <w:rPr>
                            <w:rFonts w:ascii="宋体" w:hAnsi="宋体" w:cs="宋体" w:eastAsia="宋体" w:hint="default"/>
                            <w:spacing w:val="-86"/>
                            <w:sz w:val="18"/>
                            <w:szCs w:val="18"/>
                          </w:rPr>
                          <w:t> </w:t>
                        </w:r>
                        <w:r>
                          <w:rPr>
                            <w:rFonts w:ascii="宋体" w:hAnsi="宋体" w:cs="宋体" w:eastAsia="宋体" w:hint="default"/>
                            <w:sz w:val="18"/>
                            <w:szCs w:val="18"/>
                          </w:rPr>
                          <w:t>的控制存在一项或多项缺陷且不能合理保 </w:t>
                        </w:r>
                        <w:r>
                          <w:rPr>
                            <w:rFonts w:ascii="宋体" w:hAnsi="宋体" w:cs="宋体" w:eastAsia="宋体" w:hint="default"/>
                            <w:spacing w:val="-6"/>
                            <w:sz w:val="18"/>
                            <w:szCs w:val="18"/>
                          </w:rPr>
                          <w:t>证编制的财务报表达到真实、完整的目标；</w:t>
                        </w:r>
                        <w:r>
                          <w:rPr>
                            <w:rFonts w:ascii="宋体" w:hAnsi="宋体" w:cs="宋体" w:eastAsia="宋体" w:hint="default"/>
                            <w:sz w:val="18"/>
                            <w:szCs w:val="18"/>
                          </w:rPr>
                        </w:r>
                      </w:p>
                      <w:p>
                        <w:pPr>
                          <w:pStyle w:val="TableParagraph"/>
                          <w:spacing w:line="312" w:lineRule="auto" w:before="24"/>
                          <w:ind w:left="18" w:right="21"/>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）内部控制重要缺陷或一般缺陷未得到</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9"/>
                            <w:sz w:val="18"/>
                            <w:szCs w:val="18"/>
                          </w:rPr>
                          <w:t>整改。（三）视为一般缺陷的情况：未构成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重大缺陷、重要缺陷标准的其他内部控制 缺陷。</w:t>
                        </w:r>
                      </w:p>
                    </w:tc>
                    <w:tc>
                      <w:tcPr>
                        <w:tcW w:w="3040" w:type="dxa"/>
                        <w:vMerge w:val="restart"/>
                        <w:tcBorders>
                          <w:top w:val="single" w:sz="4" w:space="0" w:color="000000"/>
                          <w:left w:val="single" w:sz="14" w:space="0" w:color="FFFFFF"/>
                          <w:right w:val="single" w:sz="4" w:space="0" w:color="000000"/>
                        </w:tcBorders>
                      </w:tcPr>
                      <w:p>
                        <w:pPr>
                          <w:pStyle w:val="TableParagraph"/>
                          <w:spacing w:line="302" w:lineRule="auto" w:before="49"/>
                          <w:ind w:left="-1" w:right="-43"/>
                          <w:jc w:val="left"/>
                          <w:rPr>
                            <w:rFonts w:ascii="宋体" w:hAnsi="宋体" w:cs="宋体" w:eastAsia="宋体" w:hint="default"/>
                            <w:sz w:val="18"/>
                            <w:szCs w:val="18"/>
                          </w:rPr>
                        </w:pPr>
                        <w:r>
                          <w:rPr>
                            <w:rFonts w:ascii="宋体" w:hAnsi="宋体" w:cs="宋体" w:eastAsia="宋体" w:hint="default"/>
                            <w:spacing w:val="-9"/>
                            <w:sz w:val="18"/>
                            <w:szCs w:val="18"/>
                          </w:rPr>
                          <w:t>（一）视为重大缺陷的情况：（</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）缺乏</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长远发展战略规划，没有切实可行的战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略目标；（</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）公司决策程序不科学，未</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有效执行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三重一大</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决策程序，导致决</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4"/>
                            <w:sz w:val="18"/>
                            <w:szCs w:val="18"/>
                          </w:rPr>
                          <w:t>策失误，造成损失；（</w:t>
                        </w:r>
                        <w:r>
                          <w:rPr>
                            <w:rFonts w:ascii="Times New Roman" w:hAnsi="Times New Roman" w:cs="Times New Roman" w:eastAsia="Times New Roman" w:hint="default"/>
                            <w:spacing w:val="-14"/>
                            <w:sz w:val="18"/>
                            <w:szCs w:val="18"/>
                          </w:rPr>
                          <w:t>3</w:t>
                        </w:r>
                        <w:r>
                          <w:rPr>
                            <w:rFonts w:ascii="宋体" w:hAnsi="宋体" w:cs="宋体" w:eastAsia="宋体" w:hint="default"/>
                            <w:spacing w:val="-14"/>
                            <w:sz w:val="18"/>
                            <w:szCs w:val="18"/>
                          </w:rPr>
                          <w:t>）违反国家法律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法规，并受到处罚；（</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）中高级管理人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员和高级技术人员流失严重；（</w:t>
                        </w:r>
                        <w:r>
                          <w:rPr>
                            <w:rFonts w:ascii="Times New Roman" w:hAnsi="Times New Roman" w:cs="Times New Roman" w:eastAsia="Times New Roman" w:hint="default"/>
                            <w:spacing w:val="-9"/>
                            <w:sz w:val="18"/>
                            <w:szCs w:val="18"/>
                          </w:rPr>
                          <w:t>5</w:t>
                        </w:r>
                        <w:r>
                          <w:rPr>
                            <w:rFonts w:ascii="宋体" w:hAnsi="宋体" w:cs="宋体" w:eastAsia="宋体" w:hint="default"/>
                            <w:spacing w:val="-9"/>
                            <w:sz w:val="18"/>
                            <w:szCs w:val="18"/>
                          </w:rPr>
                          <w:t>）重要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业务缺乏制度控制或制度系统性失效；</w:t>
                        </w:r>
                      </w:p>
                      <w:p>
                        <w:pPr>
                          <w:pStyle w:val="TableParagraph"/>
                          <w:spacing w:line="307" w:lineRule="auto" w:before="30"/>
                          <w:ind w:left="-1" w:right="1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）内部控制评价的结果特别是重大 </w:t>
                        </w:r>
                        <w:r>
                          <w:rPr>
                            <w:rFonts w:ascii="宋体" w:hAnsi="宋体" w:cs="宋体" w:eastAsia="宋体" w:hint="default"/>
                            <w:spacing w:val="-6"/>
                            <w:sz w:val="18"/>
                            <w:szCs w:val="18"/>
                          </w:rPr>
                          <w:t>或者重要缺陷未得到整改。（二）视为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9"/>
                            <w:sz w:val="18"/>
                            <w:szCs w:val="18"/>
                          </w:rPr>
                          <w:t>重要缺陷的情况：（</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）战略的制定较为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简单、粗略；制定的公司总体战略目标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w w:val="100"/>
                            <w:sz w:val="18"/>
                            <w:szCs w:val="18"/>
                          </w:rPr>
                          <w:t>不明确；（</w:t>
                        </w:r>
                        <w:r>
                          <w:rPr>
                            <w:rFonts w:ascii="Times New Roman" w:hAnsi="Times New Roman" w:cs="Times New Roman" w:eastAsia="Times New Roman" w:hint="default"/>
                            <w:spacing w:val="-6"/>
                            <w:w w:val="100"/>
                            <w:sz w:val="18"/>
                            <w:szCs w:val="18"/>
                          </w:rPr>
                          <w:t>2</w:t>
                        </w:r>
                        <w:r>
                          <w:rPr>
                            <w:rFonts w:ascii="宋体" w:hAnsi="宋体" w:cs="宋体" w:eastAsia="宋体" w:hint="default"/>
                            <w:spacing w:val="-6"/>
                            <w:w w:val="100"/>
                            <w:sz w:val="18"/>
                            <w:szCs w:val="18"/>
                          </w:rPr>
                          <w:t>）未有效执行</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三重一大</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30"/>
                            <w:w w:val="100"/>
                            <w:sz w:val="18"/>
                            <w:szCs w:val="18"/>
                          </w:rPr>
                          <w:t> </w:t>
                        </w:r>
                        <w:r>
                          <w:rPr>
                            <w:rFonts w:ascii="宋体" w:hAnsi="宋体" w:cs="宋体" w:eastAsia="宋体" w:hint="default"/>
                            <w:spacing w:val="-4"/>
                            <w:sz w:val="18"/>
                            <w:szCs w:val="18"/>
                          </w:rPr>
                          <w:t>决策程序，导致决策失误，但尚未造成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重大损失；（</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）违反企业内部规章，形</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成损失；（</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）关键岗位业务人员流失严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4"/>
                            <w:sz w:val="18"/>
                            <w:szCs w:val="18"/>
                          </w:rPr>
                          <w:t>重；（</w:t>
                        </w:r>
                        <w:r>
                          <w:rPr>
                            <w:rFonts w:ascii="Times New Roman" w:hAnsi="Times New Roman" w:cs="Times New Roman" w:eastAsia="Times New Roman" w:hint="default"/>
                            <w:spacing w:val="-14"/>
                            <w:sz w:val="18"/>
                            <w:szCs w:val="18"/>
                          </w:rPr>
                          <w:t>5</w:t>
                        </w:r>
                        <w:r>
                          <w:rPr>
                            <w:rFonts w:ascii="宋体" w:hAnsi="宋体" w:cs="宋体" w:eastAsia="宋体" w:hint="default"/>
                            <w:spacing w:val="-14"/>
                            <w:sz w:val="18"/>
                            <w:szCs w:val="18"/>
                          </w:rPr>
                          <w:t>）重要业务制度或系统存在缺陷</w:t>
                        </w:r>
                      </w:p>
                      <w:p>
                        <w:pPr>
                          <w:pStyle w:val="TableParagraph"/>
                          <w:spacing w:line="302" w:lineRule="auto" w:before="7"/>
                          <w:ind w:left="-1" w:right="-44"/>
                          <w:jc w:val="left"/>
                          <w:rPr>
                            <w:rFonts w:ascii="宋体" w:hAnsi="宋体" w:cs="宋体" w:eastAsia="宋体" w:hint="default"/>
                            <w:sz w:val="18"/>
                            <w:szCs w:val="18"/>
                          </w:rPr>
                        </w:pPr>
                        <w:r>
                          <w:rPr>
                            <w:rFonts w:ascii="宋体" w:hAnsi="宋体" w:cs="宋体" w:eastAsia="宋体" w:hint="default"/>
                            <w:spacing w:val="-9"/>
                            <w:sz w:val="18"/>
                            <w:szCs w:val="18"/>
                          </w:rPr>
                          <w:t>（三）视为一般缺陷的情况：（</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）战略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分析、战略制定及战略实施方面存在其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1"/>
                            <w:sz w:val="18"/>
                            <w:szCs w:val="18"/>
                          </w:rPr>
                          <w:t>他的影响实现战略目标的缺陷；（</w:t>
                        </w:r>
                        <w:r>
                          <w:rPr>
                            <w:rFonts w:ascii="Times New Roman" w:hAnsi="Times New Roman" w:cs="Times New Roman" w:eastAsia="Times New Roman" w:hint="default"/>
                            <w:spacing w:val="-11"/>
                            <w:sz w:val="18"/>
                            <w:szCs w:val="18"/>
                          </w:rPr>
                          <w:t>2</w:t>
                        </w:r>
                        <w:r>
                          <w:rPr>
                            <w:rFonts w:ascii="宋体" w:hAnsi="宋体" w:cs="宋体" w:eastAsia="宋体" w:hint="default"/>
                            <w:spacing w:val="-11"/>
                            <w:sz w:val="18"/>
                            <w:szCs w:val="18"/>
                          </w:rPr>
                          <w:t>）决</w:t>
                        </w:r>
                        <w:r>
                          <w:rPr>
                            <w:rFonts w:ascii="宋体" w:hAnsi="宋体" w:cs="宋体" w:eastAsia="宋体" w:hint="default"/>
                            <w:spacing w:val="-81"/>
                            <w:sz w:val="18"/>
                            <w:szCs w:val="18"/>
                          </w:rPr>
                          <w:t> </w:t>
                        </w:r>
                        <w:r>
                          <w:rPr>
                            <w:rFonts w:ascii="宋体" w:hAnsi="宋体" w:cs="宋体" w:eastAsia="宋体" w:hint="default"/>
                            <w:spacing w:val="-10"/>
                            <w:sz w:val="18"/>
                            <w:szCs w:val="18"/>
                          </w:rPr>
                          <w:t>策程序不规范，决策效率较低；（</w:t>
                        </w: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）违</w:t>
                        </w:r>
                        <w:r>
                          <w:rPr>
                            <w:rFonts w:ascii="宋体" w:hAnsi="宋体" w:cs="宋体" w:eastAsia="宋体" w:hint="default"/>
                            <w:spacing w:val="-86"/>
                            <w:sz w:val="18"/>
                            <w:szCs w:val="18"/>
                          </w:rPr>
                          <w:t> </w:t>
                        </w:r>
                        <w:r>
                          <w:rPr>
                            <w:rFonts w:ascii="宋体" w:hAnsi="宋体" w:cs="宋体" w:eastAsia="宋体" w:hint="default"/>
                            <w:spacing w:val="-6"/>
                            <w:sz w:val="18"/>
                            <w:szCs w:val="18"/>
                          </w:rPr>
                          <w:t>反公司内部规章，但未形成损失；（</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w:t>
                        </w:r>
                        <w:r>
                          <w:rPr>
                            <w:rFonts w:ascii="宋体" w:hAnsi="宋体" w:cs="宋体" w:eastAsia="宋体" w:hint="default"/>
                            <w:spacing w:val="-73"/>
                            <w:sz w:val="18"/>
                            <w:szCs w:val="18"/>
                          </w:rPr>
                          <w:t> </w:t>
                        </w:r>
                        <w:r>
                          <w:rPr>
                            <w:rFonts w:ascii="宋体" w:hAnsi="宋体" w:cs="宋体" w:eastAsia="宋体" w:hint="default"/>
                            <w:spacing w:val="-9"/>
                            <w:sz w:val="18"/>
                            <w:szCs w:val="18"/>
                          </w:rPr>
                          <w:t>一般岗位业务人员流失严重；（</w:t>
                        </w:r>
                        <w:r>
                          <w:rPr>
                            <w:rFonts w:ascii="Times New Roman" w:hAnsi="Times New Roman" w:cs="Times New Roman" w:eastAsia="Times New Roman" w:hint="default"/>
                            <w:spacing w:val="-9"/>
                            <w:sz w:val="18"/>
                            <w:szCs w:val="18"/>
                          </w:rPr>
                          <w:t>5</w:t>
                        </w:r>
                        <w:r>
                          <w:rPr>
                            <w:rFonts w:ascii="宋体" w:hAnsi="宋体" w:cs="宋体" w:eastAsia="宋体" w:hint="default"/>
                            <w:spacing w:val="-9"/>
                            <w:sz w:val="18"/>
                            <w:szCs w:val="18"/>
                          </w:rPr>
                          <w:t>）一般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业务制度或系统存在缺陷；（</w:t>
                        </w:r>
                        <w:r>
                          <w:rPr>
                            <w:rFonts w:ascii="Times New Roman" w:hAnsi="Times New Roman" w:cs="Times New Roman" w:eastAsia="Times New Roman" w:hint="default"/>
                            <w:spacing w:val="-9"/>
                            <w:sz w:val="18"/>
                            <w:szCs w:val="18"/>
                          </w:rPr>
                          <w:t>6</w:t>
                        </w:r>
                        <w:r>
                          <w:rPr>
                            <w:rFonts w:ascii="宋体" w:hAnsi="宋体" w:cs="宋体" w:eastAsia="宋体" w:hint="default"/>
                            <w:spacing w:val="-9"/>
                            <w:sz w:val="18"/>
                            <w:szCs w:val="18"/>
                          </w:rPr>
                          <w:t>）一般缺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陷未得到整改；（</w:t>
                        </w:r>
                        <w:r>
                          <w:rPr>
                            <w:rFonts w:ascii="Times New Roman" w:hAnsi="Times New Roman" w:cs="Times New Roman" w:eastAsia="Times New Roman" w:hint="default"/>
                            <w:spacing w:val="-6"/>
                            <w:sz w:val="18"/>
                            <w:szCs w:val="18"/>
                          </w:rPr>
                          <w:t>7</w:t>
                        </w:r>
                        <w:r>
                          <w:rPr>
                            <w:rFonts w:ascii="宋体" w:hAnsi="宋体" w:cs="宋体" w:eastAsia="宋体" w:hint="default"/>
                            <w:spacing w:val="-6"/>
                            <w:sz w:val="18"/>
                            <w:szCs w:val="18"/>
                          </w:rPr>
                          <w:t>）存在的其他缺陷。</w:t>
                        </w:r>
                      </w:p>
                    </w:tc>
                  </w:tr>
                  <w:tr>
                    <w:trPr>
                      <w:trHeight w:val="391"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35" w:type="dxa"/>
                        <w:vMerge/>
                        <w:tcBorders>
                          <w:left w:val="single" w:sz="9" w:space="0" w:color="D2D2D2"/>
                          <w:right w:val="single" w:sz="14" w:space="0" w:color="FFFFFF"/>
                        </w:tcBorders>
                      </w:tcPr>
                      <w:p>
                        <w:pPr/>
                      </w:p>
                    </w:tc>
                    <w:tc>
                      <w:tcPr>
                        <w:tcW w:w="3040" w:type="dxa"/>
                        <w:vMerge/>
                        <w:tcBorders>
                          <w:left w:val="single" w:sz="14" w:space="0" w:color="FFFFFF"/>
                          <w:right w:val="single" w:sz="4" w:space="0" w:color="000000"/>
                        </w:tcBorders>
                      </w:tcPr>
                      <w:p>
                        <w:pPr/>
                      </w:p>
                    </w:tc>
                  </w:tr>
                  <w:tr>
                    <w:trPr>
                      <w:trHeight w:val="3749"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35" w:type="dxa"/>
                        <w:vMerge/>
                        <w:tcBorders>
                          <w:left w:val="single" w:sz="9" w:space="0" w:color="D2D2D2"/>
                          <w:bottom w:val="single" w:sz="4" w:space="0" w:color="000000"/>
                          <w:right w:val="single" w:sz="14" w:space="0" w:color="FFFFFF"/>
                        </w:tcBorders>
                      </w:tcPr>
                      <w:p>
                        <w:pPr/>
                      </w:p>
                    </w:tc>
                    <w:tc>
                      <w:tcPr>
                        <w:tcW w:w="3040" w:type="dxa"/>
                        <w:vMerge/>
                        <w:tcBorders>
                          <w:left w:val="single" w:sz="14" w:space="0" w:color="FFFFFF"/>
                          <w:bottom w:val="single" w:sz="4" w:space="0" w:color="000000"/>
                          <w:right w:val="single" w:sz="4" w:space="0" w:color="000000"/>
                        </w:tcBorders>
                      </w:tcPr>
                      <w:p>
                        <w:pPr/>
                      </w:p>
                    </w:tc>
                  </w:tr>
                  <w:tr>
                    <w:trPr>
                      <w:trHeight w:val="1255"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35" w:type="dxa"/>
                        <w:vMerge w:val="restart"/>
                        <w:tcBorders>
                          <w:top w:val="single" w:sz="4" w:space="0" w:color="000000"/>
                          <w:left w:val="single" w:sz="9" w:space="0" w:color="D2D2D2"/>
                          <w:right w:val="single" w:sz="4" w:space="0" w:color="000000"/>
                        </w:tcBorders>
                      </w:tcPr>
                      <w:p>
                        <w:pPr>
                          <w:pStyle w:val="TableParagraph"/>
                          <w:spacing w:line="307" w:lineRule="auto" w:before="51"/>
                          <w:ind w:left="18" w:right="45"/>
                          <w:jc w:val="left"/>
                          <w:rPr>
                            <w:rFonts w:ascii="宋体" w:hAnsi="宋体" w:cs="宋体" w:eastAsia="宋体" w:hint="default"/>
                            <w:sz w:val="18"/>
                            <w:szCs w:val="18"/>
                          </w:rPr>
                        </w:pPr>
                        <w:r>
                          <w:rPr>
                            <w:rFonts w:ascii="宋体" w:hAnsi="宋体" w:cs="宋体" w:eastAsia="宋体" w:hint="default"/>
                            <w:sz w:val="18"/>
                            <w:szCs w:val="18"/>
                          </w:rPr>
                          <w:t>（一）视为重大缺陷的情况：财务报告的 潜在错报金额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合并财务报表营业收入总 额的</w:t>
                        </w:r>
                        <w:r>
                          <w:rPr>
                            <w:rFonts w:ascii="宋体" w:hAnsi="宋体" w:cs="宋体" w:eastAsia="宋体" w:hint="default"/>
                            <w:spacing w:val="13"/>
                            <w:sz w:val="18"/>
                            <w:szCs w:val="18"/>
                          </w:rPr>
                          <w:t> </w:t>
                        </w:r>
                        <w:r>
                          <w:rPr>
                            <w:rFonts w:ascii="Times New Roman" w:hAnsi="Times New Roman" w:cs="Times New Roman" w:eastAsia="Times New Roman" w:hint="default"/>
                            <w:spacing w:val="-6"/>
                            <w:sz w:val="18"/>
                            <w:szCs w:val="18"/>
                          </w:rPr>
                          <w:t>0.5%</w:t>
                        </w:r>
                        <w:r>
                          <w:rPr>
                            <w:rFonts w:ascii="宋体" w:hAnsi="宋体" w:cs="宋体" w:eastAsia="宋体" w:hint="default"/>
                            <w:spacing w:val="-6"/>
                            <w:sz w:val="18"/>
                            <w:szCs w:val="18"/>
                          </w:rPr>
                          <w:t>；（二）视为重要缺陷的情况：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合并财务报表营业收入总额的 </w:t>
                        </w:r>
                        <w:r>
                          <w:rPr>
                            <w:rFonts w:ascii="Times New Roman" w:hAnsi="Times New Roman" w:cs="Times New Roman" w:eastAsia="Times New Roman" w:hint="default"/>
                            <w:sz w:val="18"/>
                            <w:szCs w:val="18"/>
                          </w:rPr>
                          <w:t>0.5%*50%≤</w:t>
                        </w:r>
                        <w:r>
                          <w:rPr>
                            <w:rFonts w:ascii="宋体" w:hAnsi="宋体" w:cs="宋体" w:eastAsia="宋体" w:hint="default"/>
                            <w:sz w:val="18"/>
                            <w:szCs w:val="18"/>
                          </w:rPr>
                          <w:t>财务报告的潜在错报金额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合 并财务报表营业收入总额的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（三） 视为一般缺陷的情况：财务报告的潜在错 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合并财务报表营业收入总额的 </w:t>
                        </w:r>
                        <w:r>
                          <w:rPr>
                            <w:rFonts w:ascii="Times New Roman" w:hAnsi="Times New Roman" w:cs="Times New Roman" w:eastAsia="Times New Roman" w:hint="default"/>
                            <w:sz w:val="18"/>
                            <w:szCs w:val="18"/>
                          </w:rPr>
                          <w:t>0.5%*50%</w:t>
                        </w:r>
                        <w:r>
                          <w:rPr>
                            <w:rFonts w:ascii="宋体" w:hAnsi="宋体" w:cs="宋体" w:eastAsia="宋体" w:hint="default"/>
                            <w:sz w:val="18"/>
                            <w:szCs w:val="18"/>
                          </w:rPr>
                          <w:t>。</w:t>
                        </w:r>
                      </w:p>
                    </w:tc>
                    <w:tc>
                      <w:tcPr>
                        <w:tcW w:w="304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13" w:right="20"/>
                          <w:jc w:val="left"/>
                          <w:rPr>
                            <w:rFonts w:ascii="宋体" w:hAnsi="宋体" w:cs="宋体" w:eastAsia="宋体" w:hint="default"/>
                            <w:sz w:val="18"/>
                            <w:szCs w:val="18"/>
                          </w:rPr>
                        </w:pPr>
                        <w:r>
                          <w:rPr>
                            <w:rFonts w:ascii="宋体" w:hAnsi="宋体" w:cs="宋体" w:eastAsia="宋体" w:hint="default"/>
                            <w:spacing w:val="-4"/>
                            <w:sz w:val="18"/>
                            <w:szCs w:val="18"/>
                          </w:rPr>
                          <w:t>（一）视为重大缺陷的情况：直接财产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损失金额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合并财务报表资产总额的 </w:t>
                        </w:r>
                        <w:r>
                          <w:rPr>
                            <w:rFonts w:ascii="Times New Roman" w:hAnsi="Times New Roman" w:cs="Times New Roman" w:eastAsia="Times New Roman" w:hint="default"/>
                            <w:spacing w:val="-5"/>
                            <w:sz w:val="18"/>
                            <w:szCs w:val="18"/>
                          </w:rPr>
                          <w:t>0.3%</w:t>
                        </w:r>
                        <w:r>
                          <w:rPr>
                            <w:rFonts w:ascii="宋体" w:hAnsi="宋体" w:cs="宋体" w:eastAsia="宋体" w:hint="default"/>
                            <w:spacing w:val="-5"/>
                            <w:sz w:val="18"/>
                            <w:szCs w:val="18"/>
                          </w:rPr>
                          <w:t>；（二）视为重要缺陷的情况：合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并财务报表资产总额的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0.1%&lt;</w:t>
                        </w:r>
                        <w:r>
                          <w:rPr>
                            <w:rFonts w:ascii="宋体" w:hAnsi="宋体" w:cs="宋体" w:eastAsia="宋体" w:hint="default"/>
                            <w:sz w:val="18"/>
                            <w:szCs w:val="18"/>
                          </w:rPr>
                          <w:t>直接财 产损失金额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合并财务报表资产总额的 </w:t>
                        </w:r>
                        <w:r>
                          <w:rPr>
                            <w:rFonts w:ascii="Times New Roman" w:hAnsi="Times New Roman" w:cs="Times New Roman" w:eastAsia="Times New Roman" w:hint="default"/>
                            <w:spacing w:val="-5"/>
                            <w:sz w:val="18"/>
                            <w:szCs w:val="18"/>
                          </w:rPr>
                          <w:t>0.3%</w:t>
                        </w:r>
                        <w:r>
                          <w:rPr>
                            <w:rFonts w:ascii="宋体" w:hAnsi="宋体" w:cs="宋体" w:eastAsia="宋体" w:hint="default"/>
                            <w:spacing w:val="-5"/>
                            <w:sz w:val="18"/>
                            <w:szCs w:val="18"/>
                          </w:rPr>
                          <w:t>；（三）视为一般缺陷的情况：直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接财产损失金额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合并财务报表资产总 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w:t>
                        </w:r>
                      </w:p>
                    </w:tc>
                  </w:tr>
                  <w:tr>
                    <w:trPr>
                      <w:trHeight w:val="392"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5" w:type="dxa"/>
                        <w:vMerge/>
                        <w:tcBorders>
                          <w:left w:val="single" w:sz="9" w:space="0" w:color="D2D2D2"/>
                          <w:right w:val="single" w:sz="4" w:space="0" w:color="000000"/>
                        </w:tcBorders>
                      </w:tcPr>
                      <w:p>
                        <w:pPr/>
                      </w:p>
                    </w:tc>
                    <w:tc>
                      <w:tcPr>
                        <w:tcW w:w="3040" w:type="dxa"/>
                        <w:vMerge/>
                        <w:tcBorders>
                          <w:left w:val="single" w:sz="4" w:space="0" w:color="000000"/>
                          <w:right w:val="single" w:sz="4" w:space="0" w:color="000000"/>
                        </w:tcBorders>
                      </w:tcPr>
                      <w:p>
                        <w:pPr/>
                      </w:p>
                    </w:tc>
                  </w:tr>
                  <w:tr>
                    <w:trPr>
                      <w:trHeight w:val="1253"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35" w:type="dxa"/>
                        <w:vMerge/>
                        <w:tcBorders>
                          <w:left w:val="single" w:sz="9" w:space="0" w:color="D2D2D2"/>
                          <w:bottom w:val="single" w:sz="4" w:space="0" w:color="000000"/>
                          <w:right w:val="single" w:sz="4" w:space="0" w:color="000000"/>
                        </w:tcBorders>
                      </w:tcPr>
                      <w:p>
                        <w:pPr/>
                      </w:p>
                    </w:tc>
                    <w:tc>
                      <w:tcPr>
                        <w:tcW w:w="3040" w:type="dxa"/>
                        <w:vMerge/>
                        <w:tcBorders>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6"/>
          <w:szCs w:val="26"/>
        </w:rPr>
      </w:pPr>
    </w:p>
    <w:p>
      <w:pPr>
        <w:pStyle w:val="BodyText"/>
        <w:spacing w:line="240" w:lineRule="auto" w:before="44"/>
        <w:ind w:left="0" w:right="113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spacing w:line="312" w:lineRule="exact"/>
        <w:ind w:left="6701"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9.7pt;height:15.6pt;mso-position-horizontal-relative:char;mso-position-vertical-relative:line" coordorigin="0,0" coordsize="2994,312">
            <v:group style="position:absolute;left:0;top:0;width:2994;height:312" coordorigin="0,0" coordsize="2994,312">
              <v:shape style="position:absolute;left:0;top:0;width:2994;height:312" coordorigin="0,0" coordsize="2994,312" path="m0,312l2993,312,2993,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1"/>
        <w:rPr>
          <w:rFonts w:ascii="宋体" w:hAnsi="宋体" w:cs="宋体" w:eastAsia="宋体" w:hint="default"/>
          <w:sz w:val="21"/>
          <w:szCs w:val="21"/>
        </w:rPr>
      </w:pPr>
    </w:p>
    <w:p>
      <w:pPr>
        <w:pStyle w:val="BodyText"/>
        <w:spacing w:line="240" w:lineRule="auto" w:before="44"/>
        <w:ind w:left="0" w:right="113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2"/>
          <w:szCs w:val="12"/>
        </w:rPr>
      </w:pPr>
    </w:p>
    <w:p>
      <w:pPr>
        <w:spacing w:line="312" w:lineRule="exact"/>
        <w:ind w:left="6701"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9.7pt;height:15.6pt;mso-position-horizontal-relative:char;mso-position-vertical-relative:line" coordorigin="0,0" coordsize="2994,312">
            <v:group style="position:absolute;left:0;top:0;width:2994;height:312" coordorigin="0,0" coordsize="2994,312">
              <v:shape style="position:absolute;left:0;top:0;width:2994;height:312" coordorigin="0,0" coordsize="2994,312" path="m0,312l2993,312,2993,0,0,0,0,312xe" filled="true" fillcolor="#ffffff" stroked="false">
                <v:path arrowok="t"/>
                <v:fill type="solid"/>
              </v:shape>
            </v:group>
          </v:group>
        </w:pict>
      </w:r>
      <w:r>
        <w:rPr>
          <w:rFonts w:ascii="宋体" w:hAnsi="宋体" w:cs="宋体" w:eastAsia="宋体" w:hint="default"/>
          <w:position w:val="-5"/>
          <w:sz w:val="20"/>
          <w:szCs w:val="20"/>
        </w:rPr>
      </w:r>
    </w:p>
    <w:p>
      <w:pPr>
        <w:spacing w:after="0" w:line="312" w:lineRule="exact"/>
        <w:rPr>
          <w:rFonts w:ascii="宋体" w:hAnsi="宋体" w:cs="宋体" w:eastAsia="宋体" w:hint="default"/>
          <w:sz w:val="20"/>
          <w:szCs w:val="20"/>
        </w:rPr>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内部控制鉴证报告</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3"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38"/>
              <w:jc w:val="left"/>
              <w:rPr>
                <w:rFonts w:ascii="宋体" w:hAnsi="宋体" w:cs="宋体" w:eastAsia="宋体" w:hint="default"/>
                <w:sz w:val="18"/>
                <w:szCs w:val="18"/>
              </w:rPr>
            </w:pPr>
            <w:r>
              <w:rPr>
                <w:rFonts w:ascii="宋体" w:hAnsi="宋体" w:cs="宋体" w:eastAsia="宋体" w:hint="default"/>
                <w:sz w:val="18"/>
                <w:szCs w:val="18"/>
              </w:rPr>
              <w:t>我们认为，贵公司董事会按照财政部颁发的《企业内部控制基本规范》及相关具体规范的控制标准于</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 在所有重大方面保持了与财务报表相关的有效的内部控制。</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h</w:t>
            </w:r>
            <w:r>
              <w:rPr>
                <w:rFonts w:ascii="Times New Roman" w:hAnsi="Times New Roman" w:cs="Times New Roman" w:eastAsia="Times New Roman" w:hint="default"/>
                <w:sz w:val="18"/>
                <w:szCs w:val="18"/>
              </w:rPr>
              <w:t>tt</w:t>
            </w:r>
            <w:r>
              <w:rPr>
                <w:rFonts w:ascii="Times New Roman" w:hAnsi="Times New Roman" w:cs="Times New Roman" w:eastAsia="Times New Roman" w:hint="default"/>
                <w:spacing w:val="1"/>
                <w:sz w:val="18"/>
                <w:szCs w:val="18"/>
              </w:rPr>
              <w:t>p</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2"/>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《公司内控鉴证报告》</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133"/>
        <w:jc w:val="left"/>
      </w:pPr>
      <w:r>
        <w:rPr/>
        <w:t>会计师事务所是否出具非标准意见的内部控制鉴证报告</w:t>
      </w:r>
    </w:p>
    <w:p>
      <w:pPr>
        <w:pStyle w:val="BodyText"/>
        <w:spacing w:line="340" w:lineRule="auto" w:before="115"/>
        <w:ind w:right="46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会计师事务所出具的内部控制鉴证报告与董事会的自我评价报告意见是否一致</w:t>
      </w:r>
    </w:p>
    <w:p>
      <w:pPr>
        <w:pStyle w:val="BodyText"/>
        <w:spacing w:line="240" w:lineRule="auto" w:before="41"/>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r>
        <w:rPr/>
        <w:pict>
          <v:shape style="position:absolute;margin-left:74.639999pt;margin-top:314.809998pt;width:101.45pt;height:39pt;mso-position-horizontal-relative:page;mso-position-vertical-relative:page;z-index:-1203112"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4"/>
                    <w:rPr>
                      <w:rFonts w:ascii="宋体" w:hAnsi="宋体" w:cs="宋体" w:eastAsia="宋体" w:hint="default"/>
                      <w:b/>
                      <w:bCs/>
                      <w:sz w:val="15"/>
                      <w:szCs w:val="15"/>
                    </w:rPr>
                  </w:pPr>
                </w:p>
                <w:p>
                  <w:pPr>
                    <w:pStyle w:val="BodyText"/>
                    <w:spacing w:line="240" w:lineRule="auto"/>
                    <w:ind w:left="0" w:right="0"/>
                    <w:jc w:val="left"/>
                  </w:pPr>
                  <w:r>
                    <w:rPr/>
                    <w:t>（第一期）</w:t>
                  </w:r>
                </w:p>
              </w:txbxContent>
            </v:textbox>
            <w10:wrap type="none"/>
          </v:shape>
        </w:pict>
      </w:r>
      <w:r>
        <w:rPr/>
        <w:pict>
          <v:shape style="position:absolute;margin-left:74.639999pt;margin-top:412.869995pt;width:101.45pt;height:39pt;mso-position-horizontal-relative:page;mso-position-vertical-relative:page;z-index:-1203088"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15"/>
                      <w:szCs w:val="15"/>
                    </w:rPr>
                  </w:pPr>
                </w:p>
                <w:p>
                  <w:pPr>
                    <w:pStyle w:val="BodyText"/>
                    <w:spacing w:line="240" w:lineRule="auto"/>
                    <w:ind w:left="0" w:right="0"/>
                    <w:jc w:val="left"/>
                  </w:pPr>
                  <w:r>
                    <w:rPr/>
                    <w:t>（第二期）</w:t>
                  </w:r>
                </w:p>
              </w:txbxContent>
            </v:textbox>
            <w10:wrap type="none"/>
          </v:shape>
        </w:pict>
      </w:r>
      <w:r>
        <w:rPr/>
        <w:pict>
          <v:group style="position:absolute;margin-left:116.779999pt;margin-top:314.809998pt;width:59.3pt;height:39pt;mso-position-horizontal-relative:page;mso-position-vertical-relative:page;z-index:-1203064" coordorigin="2336,6296" coordsize="1186,780">
            <v:shape style="position:absolute;left:2336;top:6296;width:1186;height:780" coordorigin="2336,6296" coordsize="1186,780" path="m2336,7076l3521,7076,3521,6296,2336,6296,2336,7076xe" filled="true" fillcolor="#ffffff" stroked="false">
              <v:path arrowok="t"/>
              <v:fill type="solid"/>
            </v:shape>
            <w10:wrap type="none"/>
          </v:group>
        </w:pict>
      </w:r>
      <w:r>
        <w:rPr/>
        <w:pict>
          <v:group style="position:absolute;margin-left:116.779999pt;margin-top:412.869995pt;width:59.3pt;height:39pt;mso-position-horizontal-relative:page;mso-position-vertical-relative:page;z-index:-1203040" coordorigin="2336,8257" coordsize="1186,780">
            <v:shape style="position:absolute;left:2336;top:8257;width:1186;height:780" coordorigin="2336,8257" coordsize="1186,780" path="m2336,9037l3521,9037,3521,8257,2336,8257,2336,9037xe" filled="true" fillcolor="#ffffff" stroked="false">
              <v:path arrowok="t"/>
              <v:fill type="solid"/>
            </v:shape>
            <w10:wrap type="none"/>
          </v:group>
        </w:pic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125" w:right="1133"/>
        <w:jc w:val="left"/>
        <w:rPr>
          <w:b w:val="0"/>
          <w:bCs w:val="0"/>
        </w:rPr>
      </w:pPr>
      <w:bookmarkStart w:name="_bookmark9" w:id="10"/>
      <w:bookmarkEnd w:id="10"/>
      <w:r>
        <w:rPr>
          <w:b w:val="0"/>
          <w:bCs w:val="0"/>
        </w:rPr>
      </w:r>
      <w:r>
        <w:rPr/>
        <w:t>第十节</w:t>
      </w:r>
      <w:r>
        <w:rPr>
          <w:spacing w:val="-6"/>
        </w:rPr>
        <w:t> </w:t>
      </w:r>
      <w:r>
        <w:rPr/>
        <w:t>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2114"/>
        <w:jc w:val="left"/>
      </w:pPr>
      <w:r>
        <w:rPr/>
        <w:t>公司是否存在公开发行并在证券交易所上市，且在年度报告批准报出日未到期或到期未能全额兑付的公司债券 是</w:t>
      </w:r>
    </w:p>
    <w:p>
      <w:pPr>
        <w:spacing w:line="240" w:lineRule="auto" w:before="7"/>
        <w:rPr>
          <w:rFonts w:ascii="宋体" w:hAnsi="宋体" w:cs="宋体" w:eastAsia="宋体" w:hint="default"/>
          <w:sz w:val="18"/>
          <w:szCs w:val="18"/>
        </w:rPr>
      </w:pPr>
    </w:p>
    <w:p>
      <w:pPr>
        <w:pStyle w:val="Heading2"/>
        <w:spacing w:line="240" w:lineRule="auto"/>
        <w:ind w:right="1133"/>
        <w:jc w:val="left"/>
        <w:rPr>
          <w:b w:val="0"/>
          <w:bCs w:val="0"/>
        </w:rPr>
      </w:pPr>
      <w:r>
        <w:rPr/>
        <w:t>一、公司债券基本信息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5"/>
        <w:gridCol w:w="1196"/>
        <w:gridCol w:w="1198"/>
      </w:tblGrid>
      <w:tr>
        <w:trPr>
          <w:trHeight w:val="71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债券简称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债券代码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12" w:right="50" w:hanging="360"/>
              <w:jc w:val="left"/>
              <w:rPr>
                <w:rFonts w:ascii="宋体" w:hAnsi="宋体" w:cs="宋体" w:eastAsia="宋体" w:hint="default"/>
                <w:sz w:val="18"/>
                <w:szCs w:val="18"/>
              </w:rPr>
            </w:pPr>
            <w:r>
              <w:rPr>
                <w:rFonts w:ascii="宋体" w:hAnsi="宋体" w:cs="宋体" w:eastAsia="宋体" w:hint="default"/>
                <w:sz w:val="18"/>
                <w:szCs w:val="18"/>
              </w:rPr>
              <w:t>债券余额（万 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利率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还本付息方式</w:t>
            </w:r>
          </w:p>
        </w:tc>
      </w:tr>
      <w:tr>
        <w:trPr>
          <w:trHeight w:val="196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9"/>
              <w:jc w:val="both"/>
              <w:rPr>
                <w:rFonts w:ascii="宋体" w:hAnsi="宋体" w:cs="宋体" w:eastAsia="宋体" w:hint="default"/>
                <w:sz w:val="18"/>
                <w:szCs w:val="18"/>
              </w:rPr>
            </w:pPr>
            <w:r>
              <w:rPr>
                <w:rFonts w:ascii="宋体" w:hAnsi="宋体" w:cs="宋体" w:eastAsia="宋体" w:hint="default"/>
                <w:sz w:val="18"/>
                <w:szCs w:val="18"/>
              </w:rPr>
              <w:t>深圳市证通电 子股份有限公 司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年面 向合格投资者 公开发行公司 债券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证通</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112288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3"/>
              <w:jc w:val="both"/>
              <w:rPr>
                <w:rFonts w:ascii="宋体" w:hAnsi="宋体" w:cs="宋体" w:eastAsia="宋体" w:hint="default"/>
                <w:sz w:val="18"/>
                <w:szCs w:val="18"/>
              </w:rPr>
            </w:pPr>
            <w:r>
              <w:rPr>
                <w:rFonts w:ascii="宋体" w:hAnsi="宋体" w:cs="宋体" w:eastAsia="宋体" w:hint="default"/>
                <w:sz w:val="18"/>
                <w:szCs w:val="18"/>
              </w:rPr>
              <w:t>按年付息、到 期一次还本。 利息每年支付 一次，最后一 期利息随本金 一起支付。</w:t>
            </w:r>
          </w:p>
        </w:tc>
      </w:tr>
      <w:tr>
        <w:trPr>
          <w:trHeight w:val="196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9"/>
              <w:jc w:val="both"/>
              <w:rPr>
                <w:rFonts w:ascii="宋体" w:hAnsi="宋体" w:cs="宋体" w:eastAsia="宋体" w:hint="default"/>
                <w:sz w:val="18"/>
                <w:szCs w:val="18"/>
              </w:rPr>
            </w:pPr>
            <w:r>
              <w:rPr>
                <w:rFonts w:ascii="宋体" w:hAnsi="宋体" w:cs="宋体" w:eastAsia="宋体" w:hint="default"/>
                <w:sz w:val="18"/>
                <w:szCs w:val="18"/>
              </w:rPr>
              <w:t>深圳市证通电 子股份有限公 司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年面 向合格投资者 公开发行公司 债券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证通</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112290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3"/>
              <w:jc w:val="both"/>
              <w:rPr>
                <w:rFonts w:ascii="宋体" w:hAnsi="宋体" w:cs="宋体" w:eastAsia="宋体" w:hint="default"/>
                <w:sz w:val="18"/>
                <w:szCs w:val="18"/>
              </w:rPr>
            </w:pPr>
            <w:r>
              <w:rPr>
                <w:rFonts w:ascii="宋体" w:hAnsi="宋体" w:cs="宋体" w:eastAsia="宋体" w:hint="default"/>
                <w:sz w:val="18"/>
                <w:szCs w:val="18"/>
              </w:rPr>
              <w:t>按年付息、到 期一次还本。 利息每年支付 一次，最后一 期利息随本金 一起支付。</w:t>
            </w:r>
          </w:p>
        </w:tc>
      </w:tr>
      <w:tr>
        <w:trPr>
          <w:trHeight w:val="715" w:hRule="exact"/>
        </w:trPr>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公司债券上市或转让的交易 场所</w:t>
            </w:r>
          </w:p>
        </w:tc>
        <w:tc>
          <w:tcPr>
            <w:tcW w:w="717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1025" w:hRule="exact"/>
        </w:trPr>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投资者适当性安排</w:t>
            </w:r>
          </w:p>
        </w:tc>
        <w:tc>
          <w:tcPr>
            <w:tcW w:w="7178" w:type="dxa"/>
            <w:gridSpan w:val="6"/>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firstLine="360"/>
              <w:jc w:val="both"/>
              <w:rPr>
                <w:rFonts w:ascii="宋体" w:hAnsi="宋体" w:cs="宋体" w:eastAsia="宋体" w:hint="default"/>
                <w:sz w:val="18"/>
                <w:szCs w:val="18"/>
              </w:rPr>
            </w:pPr>
            <w:r>
              <w:rPr>
                <w:rFonts w:ascii="宋体" w:hAnsi="宋体" w:cs="宋体" w:eastAsia="宋体" w:hint="default"/>
                <w:spacing w:val="-3"/>
                <w:sz w:val="18"/>
                <w:szCs w:val="18"/>
              </w:rPr>
              <w:t>根据《公司债券发行与交易管理办法》的相关规定，债券仅面向合格投资者发行，公众</w:t>
            </w:r>
            <w:r>
              <w:rPr>
                <w:rFonts w:ascii="宋体" w:hAnsi="宋体" w:cs="宋体" w:eastAsia="宋体" w:hint="default"/>
                <w:sz w:val="18"/>
                <w:szCs w:val="18"/>
              </w:rPr>
              <w:t> </w:t>
            </w:r>
            <w:r>
              <w:rPr>
                <w:rFonts w:ascii="宋体" w:hAnsi="宋体" w:cs="宋体" w:eastAsia="宋体" w:hint="default"/>
                <w:spacing w:val="-3"/>
                <w:sz w:val="18"/>
                <w:szCs w:val="18"/>
              </w:rPr>
              <w:t>投资者不得参与发行认购，债券上市后将被实施投资者适当性管理，仅限合格投资者参与交</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易，公众投资者认购或买入的交易行为无效。</w:t>
            </w:r>
          </w:p>
        </w:tc>
      </w:tr>
      <w:tr>
        <w:trPr>
          <w:trHeight w:val="2002" w:hRule="exact"/>
        </w:trPr>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7"/>
                <w:szCs w:val="17"/>
              </w:rPr>
            </w:pPr>
          </w:p>
          <w:p>
            <w:pPr>
              <w:pStyle w:val="TableParagraph"/>
              <w:spacing w:line="314" w:lineRule="auto"/>
              <w:ind w:left="24" w:right="197"/>
              <w:jc w:val="left"/>
              <w:rPr>
                <w:rFonts w:ascii="宋体" w:hAnsi="宋体" w:cs="宋体" w:eastAsia="宋体" w:hint="default"/>
                <w:sz w:val="18"/>
                <w:szCs w:val="18"/>
              </w:rPr>
            </w:pPr>
            <w:r>
              <w:rPr>
                <w:rFonts w:ascii="宋体" w:hAnsi="宋体" w:cs="宋体" w:eastAsia="宋体" w:hint="default"/>
                <w:sz w:val="18"/>
                <w:szCs w:val="18"/>
              </w:rPr>
              <w:t>报告期内公司债券的付息兑 付情况</w:t>
            </w:r>
          </w:p>
        </w:tc>
        <w:tc>
          <w:tcPr>
            <w:tcW w:w="717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日，发布了</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证通</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01”2018 </w:t>
            </w:r>
            <w:r>
              <w:rPr>
                <w:rFonts w:ascii="宋体" w:hAnsi="宋体" w:cs="宋体" w:eastAsia="宋体" w:hint="default"/>
                <w:sz w:val="18"/>
                <w:szCs w:val="18"/>
              </w:rPr>
              <w:t>年付息公告，并于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300" w:lineRule="auto" w:before="63"/>
              <w:ind w:left="23" w:right="1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日，完成本期剩余托管数量为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张债券的利息支付人民币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1,152</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万元（按上调</w:t>
            </w:r>
            <w:r>
              <w:rPr>
                <w:rFonts w:ascii="宋体" w:hAnsi="宋体" w:cs="宋体" w:eastAsia="宋体" w:hint="default"/>
                <w:sz w:val="18"/>
                <w:szCs w:val="18"/>
              </w:rPr>
              <w:t> 本期票面利率前，票面利率</w:t>
            </w:r>
            <w:r>
              <w:rPr>
                <w:rFonts w:ascii="宋体" w:hAnsi="宋体" w:cs="宋体" w:eastAsia="宋体" w:hint="default"/>
                <w:spacing w:val="-42"/>
                <w:sz w:val="18"/>
                <w:szCs w:val="18"/>
              </w:rPr>
              <w:t> </w:t>
            </w:r>
            <w:r>
              <w:rPr>
                <w:rFonts w:ascii="Times New Roman" w:hAnsi="Times New Roman" w:cs="Times New Roman" w:eastAsia="Times New Roman" w:hint="default"/>
                <w:spacing w:val="-12"/>
                <w:sz w:val="18"/>
                <w:szCs w:val="18"/>
              </w:rPr>
              <w:t>6.4%</w:t>
            </w:r>
            <w:r>
              <w:rPr>
                <w:rFonts w:ascii="宋体" w:hAnsi="宋体" w:cs="宋体" w:eastAsia="宋体" w:hint="default"/>
                <w:spacing w:val="-12"/>
                <w:sz w:val="18"/>
                <w:szCs w:val="18"/>
              </w:rPr>
              <w:t>计算）。</w:t>
            </w:r>
          </w:p>
          <w:p>
            <w:pPr>
              <w:pStyle w:val="TableParagraph"/>
              <w:spacing w:line="240" w:lineRule="auto" w:before="53"/>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日，发布了</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证通</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02”2018 </w:t>
            </w:r>
            <w:r>
              <w:rPr>
                <w:rFonts w:ascii="宋体" w:hAnsi="宋体" w:cs="宋体" w:eastAsia="宋体" w:hint="default"/>
                <w:sz w:val="18"/>
                <w:szCs w:val="18"/>
              </w:rPr>
              <w:t>年付息公告，并于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300" w:lineRule="auto" w:before="63"/>
              <w:ind w:left="23" w:right="26"/>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日，完成本期剩余托管数量为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200,000 </w:t>
            </w:r>
            <w:r>
              <w:rPr>
                <w:rFonts w:ascii="宋体" w:hAnsi="宋体" w:cs="宋体" w:eastAsia="宋体" w:hint="default"/>
                <w:sz w:val="18"/>
                <w:szCs w:val="18"/>
              </w:rPr>
              <w:t>张债券的利息支付人民币</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万元（按上调本 期票面利率前，票面利率</w:t>
            </w:r>
            <w:r>
              <w:rPr>
                <w:rFonts w:ascii="宋体" w:hAnsi="宋体" w:cs="宋体" w:eastAsia="宋体" w:hint="default"/>
                <w:spacing w:val="-42"/>
                <w:sz w:val="18"/>
                <w:szCs w:val="18"/>
              </w:rPr>
              <w:t> </w:t>
            </w:r>
            <w:r>
              <w:rPr>
                <w:rFonts w:ascii="Times New Roman" w:hAnsi="Times New Roman" w:cs="Times New Roman" w:eastAsia="Times New Roman" w:hint="default"/>
                <w:spacing w:val="-12"/>
                <w:sz w:val="18"/>
                <w:szCs w:val="18"/>
              </w:rPr>
              <w:t>6.0%</w:t>
            </w:r>
            <w:r>
              <w:rPr>
                <w:rFonts w:ascii="宋体" w:hAnsi="宋体" w:cs="宋体" w:eastAsia="宋体" w:hint="default"/>
                <w:spacing w:val="-12"/>
                <w:sz w:val="18"/>
                <w:szCs w:val="18"/>
              </w:rPr>
              <w:t>计算）。</w:t>
            </w:r>
          </w:p>
        </w:tc>
      </w:tr>
      <w:tr>
        <w:trPr>
          <w:trHeight w:val="2588" w:hRule="exact"/>
        </w:trPr>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z w:val="18"/>
                <w:szCs w:val="18"/>
              </w:rPr>
              <w:t>公司债券附发行人或投资者 选择权条款、可交换条款等特 殊条款的，报告期内相关条款 </w:t>
            </w:r>
            <w:r>
              <w:rPr>
                <w:rFonts w:ascii="宋体" w:hAnsi="宋体" w:cs="宋体" w:eastAsia="宋体" w:hint="default"/>
                <w:spacing w:val="-9"/>
                <w:sz w:val="18"/>
                <w:szCs w:val="18"/>
              </w:rPr>
              <w:t>的执行情况（如适用）。</w:t>
            </w:r>
          </w:p>
        </w:tc>
        <w:tc>
          <w:tcPr>
            <w:tcW w:w="7178" w:type="dxa"/>
            <w:gridSpan w:val="6"/>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3" w:right="17" w:firstLine="360"/>
              <w:jc w:val="both"/>
              <w:rPr>
                <w:rFonts w:ascii="宋体" w:hAnsi="宋体" w:cs="宋体" w:eastAsia="宋体" w:hint="default"/>
                <w:sz w:val="18"/>
                <w:szCs w:val="18"/>
              </w:rPr>
            </w:pPr>
            <w:r>
              <w:rPr>
                <w:rFonts w:ascii="宋体" w:hAnsi="宋体" w:cs="宋体" w:eastAsia="宋体" w:hint="default"/>
                <w:sz w:val="18"/>
                <w:szCs w:val="18"/>
              </w:rPr>
              <w:t>发行人有权决定是否在本期债券存续期的第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年末上调本期债券后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年的票面利率。发</w:t>
            </w:r>
            <w:r>
              <w:rPr>
                <w:rFonts w:ascii="宋体" w:hAnsi="宋体" w:cs="宋体" w:eastAsia="宋体" w:hint="default"/>
                <w:sz w:val="18"/>
                <w:szCs w:val="18"/>
              </w:rPr>
              <w:t> </w:t>
            </w:r>
            <w:r>
              <w:rPr>
                <w:rFonts w:ascii="宋体" w:hAnsi="宋体" w:cs="宋体" w:eastAsia="宋体" w:hint="default"/>
                <w:spacing w:val="-2"/>
                <w:sz w:val="18"/>
                <w:szCs w:val="18"/>
              </w:rPr>
              <w:t>行人发出关于是否上调本期债券票面利率及上调幅度的公告后，投资者有权选择在本期债券</w:t>
            </w:r>
            <w:r>
              <w:rPr>
                <w:rFonts w:ascii="宋体" w:hAnsi="宋体" w:cs="宋体" w:eastAsia="宋体" w:hint="default"/>
                <w:sz w:val="18"/>
                <w:szCs w:val="18"/>
              </w:rPr>
              <w:t> 存续期内第</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个计息年度的投资者回售登记期内进行登记，将持有的本期债券按面值全部或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部分回售给发行人或选择继续持有本期债券。</w:t>
            </w:r>
          </w:p>
          <w:p>
            <w:pPr>
              <w:pStyle w:val="TableParagraph"/>
              <w:spacing w:line="300" w:lineRule="auto" w:before="68"/>
              <w:ind w:left="23" w:right="16"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公司分别于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w:t>
            </w:r>
            <w:r>
              <w:rPr>
                <w:rFonts w:ascii="Times New Roman" w:hAnsi="Times New Roman" w:cs="Times New Roman" w:eastAsia="Times New Roman" w:hint="default"/>
                <w:spacing w:val="-6"/>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日、</w:t>
            </w:r>
            <w:r>
              <w:rPr>
                <w:rFonts w:ascii="Times New Roman" w:hAnsi="Times New Roman" w:cs="Times New Roman" w:eastAsia="Times New Roman" w:hint="default"/>
                <w:spacing w:val="-7"/>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日发布了《关于</w:t>
            </w:r>
            <w:r>
              <w:rPr>
                <w:rFonts w:ascii="Times New Roman" w:hAnsi="Times New Roman" w:cs="Times New Roman" w:eastAsia="Times New Roman" w:hint="default"/>
                <w:spacing w:val="-4"/>
                <w:sz w:val="18"/>
                <w:szCs w:val="18"/>
              </w:rPr>
              <w:t>“15</w:t>
            </w:r>
            <w:r>
              <w:rPr>
                <w:rFonts w:ascii="Times New Roman" w:hAnsi="Times New Roman" w:cs="Times New Roman" w:eastAsia="Times New Roman" w:hint="default"/>
                <w:sz w:val="18"/>
                <w:szCs w:val="18"/>
              </w:rPr>
              <w:t> </w:t>
            </w:r>
            <w:r>
              <w:rPr>
                <w:rFonts w:ascii="宋体" w:hAnsi="宋体" w:cs="宋体" w:eastAsia="宋体" w:hint="default"/>
                <w:sz w:val="18"/>
                <w:szCs w:val="18"/>
              </w:rPr>
              <w:t>证通</w:t>
            </w:r>
            <w:r>
              <w:rPr>
                <w:rFonts w:ascii="宋体" w:hAnsi="宋体" w:cs="宋体" w:eastAsia="宋体" w:hint="default"/>
                <w:spacing w:val="-38"/>
                <w:sz w:val="18"/>
                <w:szCs w:val="18"/>
              </w:rPr>
              <w:t> </w:t>
            </w:r>
            <w:r>
              <w:rPr>
                <w:rFonts w:ascii="Times New Roman" w:hAnsi="Times New Roman" w:cs="Times New Roman" w:eastAsia="Times New Roman" w:hint="default"/>
                <w:spacing w:val="-8"/>
                <w:w w:val="100"/>
                <w:sz w:val="18"/>
                <w:szCs w:val="18"/>
              </w:rPr>
              <w:t>01”</w:t>
            </w:r>
            <w:r>
              <w:rPr>
                <w:rFonts w:ascii="宋体" w:hAnsi="宋体" w:cs="宋体" w:eastAsia="宋体" w:hint="default"/>
                <w:spacing w:val="-8"/>
                <w:w w:val="100"/>
                <w:sz w:val="18"/>
                <w:szCs w:val="18"/>
              </w:rPr>
              <w:t>票面利率调整暨债券持有人回售实施办法的第一次提示性公告》、《关于</w:t>
            </w:r>
            <w:r>
              <w:rPr>
                <w:rFonts w:ascii="Times New Roman" w:hAnsi="Times New Roman" w:cs="Times New Roman" w:eastAsia="Times New Roman" w:hint="default"/>
                <w:spacing w:val="-8"/>
                <w:w w:val="100"/>
                <w:sz w:val="18"/>
                <w:szCs w:val="18"/>
              </w:rPr>
              <w:t>“15</w:t>
            </w:r>
            <w:r>
              <w:rPr>
                <w:rFonts w:ascii="Times New Roman" w:hAnsi="Times New Roman" w:cs="Times New Roman" w:eastAsia="Times New Roman" w:hint="default"/>
                <w:spacing w:val="8"/>
                <w:w w:val="100"/>
                <w:sz w:val="18"/>
                <w:szCs w:val="18"/>
              </w:rPr>
              <w:t> </w:t>
            </w:r>
            <w:r>
              <w:rPr>
                <w:rFonts w:ascii="宋体" w:hAnsi="宋体" w:cs="宋体" w:eastAsia="宋体" w:hint="default"/>
                <w:sz w:val="18"/>
                <w:szCs w:val="18"/>
              </w:rPr>
              <w:t>证通</w:t>
            </w:r>
            <w:r>
              <w:rPr>
                <w:rFonts w:ascii="宋体" w:hAnsi="宋体" w:cs="宋体" w:eastAsia="宋体" w:hint="default"/>
                <w:spacing w:val="-38"/>
                <w:sz w:val="18"/>
                <w:szCs w:val="18"/>
              </w:rPr>
              <w:t> </w:t>
            </w:r>
            <w:r>
              <w:rPr>
                <w:rFonts w:ascii="Times New Roman" w:hAnsi="Times New Roman" w:cs="Times New Roman" w:eastAsia="Times New Roman" w:hint="default"/>
                <w:spacing w:val="-1"/>
                <w:w w:val="100"/>
                <w:sz w:val="18"/>
                <w:szCs w:val="18"/>
              </w:rPr>
              <w:t>01”</w:t>
            </w:r>
            <w:r>
              <w:rPr>
                <w:rFonts w:ascii="Times New Roman" w:hAnsi="Times New Roman" w:cs="Times New Roman" w:eastAsia="Times New Roman" w:hint="default"/>
                <w:spacing w:val="-41"/>
                <w:w w:val="100"/>
                <w:sz w:val="18"/>
                <w:szCs w:val="18"/>
              </w:rPr>
              <w:t> </w:t>
            </w:r>
            <w:r>
              <w:rPr>
                <w:rFonts w:ascii="Times New Roman" w:hAnsi="Times New Roman" w:cs="Times New Roman" w:eastAsia="Times New Roman" w:hint="default"/>
                <w:spacing w:val="-41"/>
                <w:w w:val="100"/>
                <w:sz w:val="18"/>
                <w:szCs w:val="18"/>
              </w:rPr>
            </w:r>
            <w:r>
              <w:rPr>
                <w:rFonts w:ascii="宋体" w:hAnsi="宋体" w:cs="宋体" w:eastAsia="宋体" w:hint="default"/>
                <w:spacing w:val="-6"/>
                <w:w w:val="100"/>
                <w:sz w:val="18"/>
                <w:szCs w:val="18"/>
              </w:rPr>
              <w:t>票面利率调整暨债券持有人回售实施办法的第二次提示性公告》、《关于</w:t>
            </w:r>
            <w:r>
              <w:rPr>
                <w:rFonts w:ascii="Times New Roman" w:hAnsi="Times New Roman" w:cs="Times New Roman" w:eastAsia="Times New Roman" w:hint="default"/>
                <w:spacing w:val="-6"/>
                <w:w w:val="100"/>
                <w:sz w:val="18"/>
                <w:szCs w:val="18"/>
              </w:rPr>
              <w:t>“15</w:t>
            </w:r>
            <w:r>
              <w:rPr>
                <w:rFonts w:ascii="Times New Roman" w:hAnsi="Times New Roman" w:cs="Times New Roman" w:eastAsia="Times New Roman" w:hint="default"/>
                <w:spacing w:val="10"/>
                <w:w w:val="100"/>
                <w:sz w:val="18"/>
                <w:szCs w:val="18"/>
              </w:rPr>
              <w:t> </w:t>
            </w:r>
            <w:r>
              <w:rPr>
                <w:rFonts w:ascii="宋体" w:hAnsi="宋体" w:cs="宋体" w:eastAsia="宋体" w:hint="default"/>
                <w:sz w:val="18"/>
                <w:szCs w:val="18"/>
              </w:rPr>
              <w:t>证通</w:t>
            </w:r>
            <w:r>
              <w:rPr>
                <w:rFonts w:ascii="宋体" w:hAnsi="宋体" w:cs="宋体" w:eastAsia="宋体" w:hint="default"/>
                <w:spacing w:val="-37"/>
                <w:sz w:val="18"/>
                <w:szCs w:val="18"/>
              </w:rPr>
              <w:t> </w:t>
            </w:r>
            <w:r>
              <w:rPr>
                <w:rFonts w:ascii="Times New Roman" w:hAnsi="Times New Roman" w:cs="Times New Roman" w:eastAsia="Times New Roman" w:hint="default"/>
                <w:w w:val="100"/>
                <w:sz w:val="18"/>
                <w:szCs w:val="18"/>
              </w:rPr>
              <w:t>01”</w:t>
            </w:r>
            <w:r>
              <w:rPr>
                <w:rFonts w:ascii="宋体" w:hAnsi="宋体" w:cs="宋体" w:eastAsia="宋体" w:hint="default"/>
                <w:w w:val="100"/>
                <w:sz w:val="18"/>
                <w:szCs w:val="18"/>
              </w:rPr>
              <w:t>票面利</w:t>
            </w:r>
            <w:r>
              <w:rPr>
                <w:rFonts w:ascii="宋体" w:hAnsi="宋体" w:cs="宋体" w:eastAsia="宋体" w:hint="default"/>
                <w:spacing w:val="-81"/>
                <w:w w:val="100"/>
                <w:sz w:val="18"/>
                <w:szCs w:val="18"/>
              </w:rPr>
              <w:t> </w:t>
            </w:r>
            <w:r>
              <w:rPr>
                <w:rFonts w:ascii="宋体" w:hAnsi="宋体" w:cs="宋体" w:eastAsia="宋体" w:hint="default"/>
                <w:spacing w:val="-3"/>
                <w:w w:val="100"/>
                <w:sz w:val="18"/>
                <w:szCs w:val="18"/>
              </w:rPr>
              <w:t>率调整暨债券持有人回售实施办法的第三次提示性公告》。在本期债券存续期的第</w:t>
            </w:r>
            <w:r>
              <w:rPr>
                <w:rFonts w:ascii="宋体" w:hAnsi="宋体" w:cs="宋体" w:eastAsia="宋体" w:hint="default"/>
                <w:w w:val="100"/>
                <w:sz w:val="18"/>
                <w:szCs w:val="18"/>
              </w:rPr>
              <w:t> </w:t>
            </w:r>
            <w:r>
              <w:rPr>
                <w:rFonts w:ascii="Times New Roman" w:hAnsi="Times New Roman" w:cs="Times New Roman" w:eastAsia="Times New Roman" w:hint="default"/>
                <w:w w:val="100"/>
                <w:sz w:val="18"/>
                <w:szCs w:val="18"/>
              </w:rPr>
              <w:t>3</w:t>
            </w:r>
            <w:r>
              <w:rPr>
                <w:rFonts w:ascii="Times New Roman" w:hAnsi="Times New Roman" w:cs="Times New Roman" w:eastAsia="Times New Roman" w:hint="default"/>
                <w:spacing w:val="-24"/>
                <w:w w:val="100"/>
                <w:sz w:val="18"/>
                <w:szCs w:val="18"/>
              </w:rPr>
              <w:t> </w:t>
            </w:r>
            <w:r>
              <w:rPr>
                <w:rFonts w:ascii="宋体" w:hAnsi="宋体" w:cs="宋体" w:eastAsia="宋体" w:hint="default"/>
                <w:w w:val="100"/>
                <w:sz w:val="18"/>
                <w:szCs w:val="18"/>
              </w:rPr>
              <w:t>年末，</w:t>
            </w:r>
          </w:p>
        </w:tc>
      </w:tr>
    </w:tbl>
    <w:p>
      <w:pPr>
        <w:spacing w:after="0" w:line="300" w:lineRule="auto"/>
        <w:jc w:val="both"/>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7178"/>
      </w:tblGrid>
      <w:tr>
        <w:trPr>
          <w:trHeight w:val="320" w:hRule="exact"/>
        </w:trPr>
        <w:tc>
          <w:tcPr>
            <w:tcW w:w="2392" w:type="dxa"/>
            <w:vMerge w:val="restart"/>
            <w:tcBorders>
              <w:top w:val="single" w:sz="4" w:space="0" w:color="000000"/>
              <w:left w:val="single" w:sz="4" w:space="0" w:color="000000"/>
              <w:right w:val="single" w:sz="4" w:space="0" w:color="000000"/>
            </w:tcBorders>
            <w:shd w:val="clear" w:color="auto" w:fill="D2D2D2"/>
          </w:tcPr>
          <w:p>
            <w:pPr/>
          </w:p>
        </w:tc>
        <w:tc>
          <w:tcPr>
            <w:tcW w:w="71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公司决定上调本期债券票面利率</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个基点，本期债券票面利率由</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6.4%</w:t>
            </w:r>
            <w:r>
              <w:rPr>
                <w:rFonts w:ascii="宋体" w:hAnsi="宋体" w:cs="宋体" w:eastAsia="宋体" w:hint="default"/>
                <w:sz w:val="18"/>
                <w:szCs w:val="18"/>
              </w:rPr>
              <w:t>上调为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，并在</w:t>
            </w:r>
          </w:p>
        </w:tc>
      </w:tr>
      <w:tr>
        <w:trPr>
          <w:trHeight w:val="312" w:hRule="exact"/>
        </w:trPr>
        <w:tc>
          <w:tcPr>
            <w:tcW w:w="2392" w:type="dxa"/>
            <w:vMerge/>
            <w:tcBorders>
              <w:left w:val="single" w:sz="4" w:space="0" w:color="000000"/>
              <w:right w:val="single" w:sz="4" w:space="0" w:color="000000"/>
            </w:tcBorders>
            <w:shd w:val="clear" w:color="auto" w:fill="D2D2D2"/>
          </w:tcPr>
          <w:p>
            <w:pPr/>
          </w:p>
        </w:tc>
        <w:tc>
          <w:tcPr>
            <w:tcW w:w="71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债券存续期后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年内固定不变。</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证通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回售申报期为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p>
        </w:tc>
      </w:tr>
      <w:tr>
        <w:trPr>
          <w:trHeight w:val="312" w:hRule="exact"/>
        </w:trPr>
        <w:tc>
          <w:tcPr>
            <w:tcW w:w="2392" w:type="dxa"/>
            <w:vMerge/>
            <w:tcBorders>
              <w:left w:val="single" w:sz="4" w:space="0" w:color="000000"/>
              <w:right w:val="single" w:sz="4" w:space="0" w:color="000000"/>
            </w:tcBorders>
            <w:shd w:val="clear" w:color="auto" w:fill="D2D2D2"/>
          </w:tcPr>
          <w:p>
            <w:pPr/>
          </w:p>
        </w:tc>
        <w:tc>
          <w:tcPr>
            <w:tcW w:w="71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日</w:t>
            </w:r>
            <w:r>
              <w:rPr>
                <w:rFonts w:ascii="宋体" w:hAnsi="宋体" w:cs="宋体" w:eastAsia="宋体" w:hint="default"/>
                <w:sz w:val="18"/>
                <w:szCs w:val="18"/>
              </w:rPr>
              <w:t>（仅限交易日</w:t>
            </w:r>
            <w:r>
              <w:rPr>
                <w:rFonts w:ascii="宋体" w:hAnsi="宋体" w:cs="宋体" w:eastAsia="宋体" w:hint="default"/>
                <w:spacing w:val="-92"/>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回售</w:t>
            </w:r>
            <w:r>
              <w:rPr>
                <w:rFonts w:ascii="宋体" w:hAnsi="宋体" w:cs="宋体" w:eastAsia="宋体" w:hint="default"/>
                <w:spacing w:val="-3"/>
                <w:sz w:val="18"/>
                <w:szCs w:val="18"/>
              </w:rPr>
              <w:t>价</w:t>
            </w:r>
            <w:r>
              <w:rPr>
                <w:rFonts w:ascii="宋体" w:hAnsi="宋体" w:cs="宋体" w:eastAsia="宋体" w:hint="default"/>
                <w:sz w:val="18"/>
                <w:szCs w:val="18"/>
              </w:rPr>
              <w:t>格为人民币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张</w:t>
            </w:r>
            <w:r>
              <w:rPr>
                <w:rFonts w:ascii="Times New Roman" w:hAnsi="Times New Roman" w:cs="Times New Roman" w:eastAsia="Times New Roman" w:hint="default"/>
                <w:sz w:val="18"/>
                <w:szCs w:val="18"/>
              </w:rPr>
              <w:t>(</w:t>
            </w:r>
            <w:r>
              <w:rPr>
                <w:rFonts w:ascii="宋体" w:hAnsi="宋体" w:cs="宋体" w:eastAsia="宋体" w:hint="default"/>
                <w:sz w:val="18"/>
                <w:szCs w:val="18"/>
              </w:rPr>
              <w:t>不</w:t>
            </w:r>
            <w:r>
              <w:rPr>
                <w:rFonts w:ascii="宋体" w:hAnsi="宋体" w:cs="宋体" w:eastAsia="宋体" w:hint="default"/>
                <w:spacing w:val="-3"/>
                <w:sz w:val="18"/>
                <w:szCs w:val="18"/>
              </w:rPr>
              <w:t>含</w:t>
            </w:r>
            <w:r>
              <w:rPr>
                <w:rFonts w:ascii="宋体" w:hAnsi="宋体" w:cs="宋体" w:eastAsia="宋体" w:hint="default"/>
                <w:sz w:val="18"/>
                <w:szCs w:val="18"/>
              </w:rPr>
              <w:t>利</w:t>
            </w:r>
            <w:r>
              <w:rPr>
                <w:rFonts w:ascii="宋体" w:hAnsi="宋体" w:cs="宋体" w:eastAsia="宋体" w:hint="default"/>
                <w:spacing w:val="-1"/>
                <w:sz w:val="18"/>
                <w:szCs w:val="18"/>
              </w:rPr>
              <w:t>息</w:t>
            </w:r>
            <w:r>
              <w:rPr>
                <w:rFonts w:ascii="Times New Roman" w:hAnsi="Times New Roman" w:cs="Times New Roman" w:eastAsia="Times New Roman" w:hint="default"/>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本期债券回售申报数量</w:t>
            </w:r>
          </w:p>
        </w:tc>
      </w:tr>
      <w:tr>
        <w:trPr>
          <w:trHeight w:val="312" w:hRule="exact"/>
        </w:trPr>
        <w:tc>
          <w:tcPr>
            <w:tcW w:w="2392" w:type="dxa"/>
            <w:vMerge/>
            <w:tcBorders>
              <w:left w:val="single" w:sz="4" w:space="0" w:color="000000"/>
              <w:right w:val="single" w:sz="4" w:space="0" w:color="000000"/>
            </w:tcBorders>
            <w:shd w:val="clear" w:color="auto" w:fill="D2D2D2"/>
          </w:tcPr>
          <w:p>
            <w:pPr/>
          </w:p>
        </w:tc>
        <w:tc>
          <w:tcPr>
            <w:tcW w:w="71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1,400,000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张，剩余托管数量为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张，托管金额为人民币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18,000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p>
        </w:tc>
      </w:tr>
      <w:tr>
        <w:trPr>
          <w:trHeight w:val="332" w:hRule="exact"/>
        </w:trPr>
        <w:tc>
          <w:tcPr>
            <w:tcW w:w="2392" w:type="dxa"/>
            <w:vMerge/>
            <w:tcBorders>
              <w:left w:val="single" w:sz="4" w:space="0" w:color="000000"/>
              <w:right w:val="single" w:sz="4" w:space="0" w:color="000000"/>
            </w:tcBorders>
            <w:shd w:val="clear" w:color="auto" w:fill="D2D2D2"/>
          </w:tcPr>
          <w:p>
            <w:pPr/>
          </w:p>
        </w:tc>
        <w:tc>
          <w:tcPr>
            <w:tcW w:w="71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日，公司支付该回售部分支付的本金及利息总计金额为人民币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14,896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32" w:hRule="exact"/>
        </w:trPr>
        <w:tc>
          <w:tcPr>
            <w:tcW w:w="2392" w:type="dxa"/>
            <w:vMerge/>
            <w:tcBorders>
              <w:left w:val="single" w:sz="4" w:space="0" w:color="000000"/>
              <w:right w:val="single" w:sz="4" w:space="0" w:color="000000"/>
            </w:tcBorders>
            <w:shd w:val="clear" w:color="auto" w:fill="D2D2D2"/>
          </w:tcPr>
          <w:p>
            <w:pPr/>
          </w:p>
        </w:tc>
        <w:tc>
          <w:tcPr>
            <w:tcW w:w="7178"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38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）公司分别于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日发布了《关</w:t>
            </w:r>
          </w:p>
        </w:tc>
      </w:tr>
      <w:tr>
        <w:trPr>
          <w:trHeight w:val="312" w:hRule="exact"/>
        </w:trPr>
        <w:tc>
          <w:tcPr>
            <w:tcW w:w="2392" w:type="dxa"/>
            <w:vMerge/>
            <w:tcBorders>
              <w:left w:val="single" w:sz="4" w:space="0" w:color="000000"/>
              <w:right w:val="single" w:sz="4" w:space="0" w:color="000000"/>
            </w:tcBorders>
            <w:shd w:val="clear" w:color="auto" w:fill="D2D2D2"/>
          </w:tcPr>
          <w:p>
            <w:pPr/>
          </w:p>
        </w:tc>
        <w:tc>
          <w:tcPr>
            <w:tcW w:w="71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证通</w:t>
            </w:r>
            <w:r>
              <w:rPr>
                <w:rFonts w:ascii="宋体" w:hAnsi="宋体" w:cs="宋体" w:eastAsia="宋体" w:hint="default"/>
                <w:spacing w:val="-47"/>
                <w:sz w:val="18"/>
                <w:szCs w:val="18"/>
              </w:rPr>
              <w:t> </w:t>
            </w:r>
            <w:r>
              <w:rPr>
                <w:rFonts w:ascii="Times New Roman" w:hAnsi="Times New Roman" w:cs="Times New Roman" w:eastAsia="Times New Roman" w:hint="default"/>
                <w:spacing w:val="1"/>
                <w:w w:val="100"/>
                <w:sz w:val="18"/>
                <w:szCs w:val="18"/>
              </w:rPr>
              <w:t>02</w:t>
            </w:r>
            <w:r>
              <w:rPr>
                <w:rFonts w:ascii="Times New Roman" w:hAnsi="Times New Roman" w:cs="Times New Roman" w:eastAsia="Times New Roman" w:hint="default"/>
                <w:spacing w:val="-1"/>
                <w:w w:val="100"/>
                <w:sz w:val="18"/>
                <w:szCs w:val="18"/>
              </w:rPr>
              <w:t>”</w:t>
            </w:r>
            <w:r>
              <w:rPr>
                <w:rFonts w:ascii="宋体" w:hAnsi="宋体" w:cs="宋体" w:eastAsia="宋体" w:hint="default"/>
                <w:w w:val="100"/>
                <w:sz w:val="18"/>
                <w:szCs w:val="18"/>
              </w:rPr>
              <w:t>票面利率调整</w:t>
            </w:r>
            <w:r>
              <w:rPr>
                <w:rFonts w:ascii="宋体" w:hAnsi="宋体" w:cs="宋体" w:eastAsia="宋体" w:hint="default"/>
                <w:spacing w:val="-3"/>
                <w:w w:val="100"/>
                <w:sz w:val="18"/>
                <w:szCs w:val="18"/>
              </w:rPr>
              <w:t>暨</w:t>
            </w:r>
            <w:r>
              <w:rPr>
                <w:rFonts w:ascii="宋体" w:hAnsi="宋体" w:cs="宋体" w:eastAsia="宋体" w:hint="default"/>
                <w:w w:val="100"/>
                <w:sz w:val="18"/>
                <w:szCs w:val="18"/>
              </w:rPr>
              <w:t>债券持有人回售实施办法的第一次提示性公告</w:t>
            </w:r>
            <w:r>
              <w:rPr>
                <w:rFonts w:ascii="宋体" w:hAnsi="宋体" w:cs="宋体" w:eastAsia="宋体" w:hint="default"/>
                <w:spacing w:val="-92"/>
                <w:w w:val="100"/>
                <w:sz w:val="18"/>
                <w:szCs w:val="18"/>
              </w:rPr>
              <w:t>》、</w:t>
            </w:r>
            <w:r>
              <w:rPr>
                <w:rFonts w:ascii="宋体" w:hAnsi="宋体" w:cs="宋体" w:eastAsia="宋体" w:hint="default"/>
                <w:w w:val="100"/>
                <w:sz w:val="18"/>
                <w:szCs w:val="18"/>
              </w:rPr>
              <w:t>《关于</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p>
        </w:tc>
      </w:tr>
      <w:tr>
        <w:trPr>
          <w:trHeight w:val="312" w:hRule="exact"/>
        </w:trPr>
        <w:tc>
          <w:tcPr>
            <w:tcW w:w="2392" w:type="dxa"/>
            <w:vMerge/>
            <w:tcBorders>
              <w:left w:val="single" w:sz="4" w:space="0" w:color="000000"/>
              <w:right w:val="single" w:sz="4" w:space="0" w:color="000000"/>
            </w:tcBorders>
            <w:shd w:val="clear" w:color="auto" w:fill="D2D2D2"/>
          </w:tcPr>
          <w:p>
            <w:pPr/>
          </w:p>
        </w:tc>
        <w:tc>
          <w:tcPr>
            <w:tcW w:w="71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证通</w:t>
            </w:r>
            <w:r>
              <w:rPr>
                <w:rFonts w:ascii="宋体" w:hAnsi="宋体" w:cs="宋体" w:eastAsia="宋体" w:hint="default"/>
                <w:spacing w:val="-47"/>
                <w:sz w:val="18"/>
                <w:szCs w:val="18"/>
              </w:rPr>
              <w:t> </w:t>
            </w:r>
            <w:r>
              <w:rPr>
                <w:rFonts w:ascii="Times New Roman" w:hAnsi="Times New Roman" w:cs="Times New Roman" w:eastAsia="Times New Roman" w:hint="default"/>
                <w:spacing w:val="1"/>
                <w:w w:val="100"/>
                <w:sz w:val="18"/>
                <w:szCs w:val="18"/>
              </w:rPr>
              <w:t>02</w:t>
            </w:r>
            <w:r>
              <w:rPr>
                <w:rFonts w:ascii="Times New Roman" w:hAnsi="Times New Roman" w:cs="Times New Roman" w:eastAsia="Times New Roman" w:hint="default"/>
                <w:spacing w:val="-1"/>
                <w:w w:val="100"/>
                <w:sz w:val="18"/>
                <w:szCs w:val="18"/>
              </w:rPr>
              <w:t>”</w:t>
            </w:r>
            <w:r>
              <w:rPr>
                <w:rFonts w:ascii="宋体" w:hAnsi="宋体" w:cs="宋体" w:eastAsia="宋体" w:hint="default"/>
                <w:w w:val="100"/>
                <w:sz w:val="18"/>
                <w:szCs w:val="18"/>
              </w:rPr>
              <w:t>票面利率调整暨债</w:t>
            </w:r>
            <w:r>
              <w:rPr>
                <w:rFonts w:ascii="宋体" w:hAnsi="宋体" w:cs="宋体" w:eastAsia="宋体" w:hint="default"/>
                <w:spacing w:val="-3"/>
                <w:w w:val="100"/>
                <w:sz w:val="18"/>
                <w:szCs w:val="18"/>
              </w:rPr>
              <w:t>券</w:t>
            </w:r>
            <w:r>
              <w:rPr>
                <w:rFonts w:ascii="宋体" w:hAnsi="宋体" w:cs="宋体" w:eastAsia="宋体" w:hint="default"/>
                <w:w w:val="100"/>
                <w:sz w:val="18"/>
                <w:szCs w:val="18"/>
              </w:rPr>
              <w:t>持有人回售实施办法的第二次提示性公告</w:t>
            </w:r>
            <w:r>
              <w:rPr>
                <w:rFonts w:ascii="宋体" w:hAnsi="宋体" w:cs="宋体" w:eastAsia="宋体" w:hint="default"/>
                <w:spacing w:val="-92"/>
                <w:w w:val="100"/>
                <w:sz w:val="18"/>
                <w:szCs w:val="18"/>
              </w:rPr>
              <w:t>》</w:t>
            </w:r>
            <w:r>
              <w:rPr>
                <w:rFonts w:ascii="宋体" w:hAnsi="宋体" w:cs="宋体" w:eastAsia="宋体" w:hint="default"/>
                <w:spacing w:val="-180"/>
                <w:w w:val="100"/>
                <w:sz w:val="18"/>
                <w:szCs w:val="18"/>
              </w:rPr>
              <w:t>、</w:t>
            </w:r>
            <w:r>
              <w:rPr>
                <w:rFonts w:ascii="宋体" w:hAnsi="宋体" w:cs="宋体" w:eastAsia="宋体" w:hint="default"/>
                <w:w w:val="100"/>
                <w:sz w:val="18"/>
                <w:szCs w:val="18"/>
              </w:rPr>
              <w:t>《关</w:t>
            </w:r>
            <w:r>
              <w:rPr>
                <w:rFonts w:ascii="宋体" w:hAnsi="宋体" w:cs="宋体" w:eastAsia="宋体" w:hint="default"/>
                <w:spacing w:val="1"/>
                <w:w w:val="100"/>
                <w:sz w:val="18"/>
                <w:szCs w:val="18"/>
              </w:rPr>
              <w:t>于</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证通</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w w:val="100"/>
                <w:sz w:val="18"/>
                <w:szCs w:val="18"/>
              </w:rPr>
              <w:t>”</w:t>
            </w:r>
          </w:p>
        </w:tc>
      </w:tr>
      <w:tr>
        <w:trPr>
          <w:trHeight w:val="312" w:hRule="exact"/>
        </w:trPr>
        <w:tc>
          <w:tcPr>
            <w:tcW w:w="2392" w:type="dxa"/>
            <w:vMerge/>
            <w:tcBorders>
              <w:left w:val="single" w:sz="4" w:space="0" w:color="000000"/>
              <w:right w:val="single" w:sz="4" w:space="0" w:color="000000"/>
            </w:tcBorders>
            <w:shd w:val="clear" w:color="auto" w:fill="D2D2D2"/>
          </w:tcPr>
          <w:p>
            <w:pPr/>
          </w:p>
        </w:tc>
        <w:tc>
          <w:tcPr>
            <w:tcW w:w="71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票面利率调整暨债券持有人回售实施办法的第三次提示性公告</w:t>
            </w:r>
            <w:r>
              <w:rPr>
                <w:rFonts w:ascii="宋体" w:hAnsi="宋体" w:cs="宋体" w:eastAsia="宋体" w:hint="default"/>
                <w:spacing w:val="-92"/>
                <w:sz w:val="18"/>
                <w:szCs w:val="18"/>
              </w:rPr>
              <w:t>》</w:t>
            </w:r>
            <w:r>
              <w:rPr>
                <w:rFonts w:ascii="宋体" w:hAnsi="宋体" w:cs="宋体" w:eastAsia="宋体" w:hint="default"/>
                <w:sz w:val="18"/>
                <w:szCs w:val="18"/>
              </w:rPr>
              <w:t>。在本期债券存续期的第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p>
        </w:tc>
      </w:tr>
      <w:tr>
        <w:trPr>
          <w:trHeight w:val="312" w:hRule="exact"/>
        </w:trPr>
        <w:tc>
          <w:tcPr>
            <w:tcW w:w="2392" w:type="dxa"/>
            <w:vMerge/>
            <w:tcBorders>
              <w:left w:val="single" w:sz="4" w:space="0" w:color="000000"/>
              <w:right w:val="single" w:sz="4" w:space="0" w:color="000000"/>
            </w:tcBorders>
            <w:shd w:val="clear" w:color="auto" w:fill="D2D2D2"/>
          </w:tcPr>
          <w:p>
            <w:pPr/>
          </w:p>
        </w:tc>
        <w:tc>
          <w:tcPr>
            <w:tcW w:w="71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年末，公司决定上调本期债券票面利率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150 </w:t>
            </w:r>
            <w:r>
              <w:rPr>
                <w:rFonts w:ascii="宋体" w:hAnsi="宋体" w:cs="宋体" w:eastAsia="宋体" w:hint="default"/>
                <w:sz w:val="18"/>
                <w:szCs w:val="18"/>
              </w:rPr>
              <w:t>个基点，即本期债券票面利率由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上调为</w:t>
            </w:r>
          </w:p>
        </w:tc>
      </w:tr>
      <w:tr>
        <w:trPr>
          <w:trHeight w:val="312" w:hRule="exact"/>
        </w:trPr>
        <w:tc>
          <w:tcPr>
            <w:tcW w:w="2392" w:type="dxa"/>
            <w:vMerge/>
            <w:tcBorders>
              <w:left w:val="single" w:sz="4" w:space="0" w:color="000000"/>
              <w:right w:val="single" w:sz="4" w:space="0" w:color="000000"/>
            </w:tcBorders>
            <w:shd w:val="clear" w:color="auto" w:fill="D2D2D2"/>
          </w:tcPr>
          <w:p>
            <w:pPr/>
          </w:p>
        </w:tc>
        <w:tc>
          <w:tcPr>
            <w:tcW w:w="71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7.5%</w:t>
            </w:r>
            <w:r>
              <w:rPr>
                <w:rFonts w:ascii="宋体" w:hAnsi="宋体" w:cs="宋体" w:eastAsia="宋体" w:hint="default"/>
                <w:sz w:val="18"/>
                <w:szCs w:val="18"/>
              </w:rPr>
              <w:t>，并在债券存续期后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年内固定不变。</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证通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回售申报期为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r>
        <w:trPr>
          <w:trHeight w:val="312" w:hRule="exact"/>
        </w:trPr>
        <w:tc>
          <w:tcPr>
            <w:tcW w:w="2392" w:type="dxa"/>
            <w:vMerge/>
            <w:tcBorders>
              <w:left w:val="single" w:sz="4" w:space="0" w:color="000000"/>
              <w:right w:val="single" w:sz="4" w:space="0" w:color="000000"/>
            </w:tcBorders>
            <w:shd w:val="clear" w:color="auto" w:fill="D2D2D2"/>
          </w:tcPr>
          <w:p>
            <w:pPr/>
          </w:p>
        </w:tc>
        <w:tc>
          <w:tcPr>
            <w:tcW w:w="71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日，回售价格为人民币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张</w:t>
            </w:r>
            <w:r>
              <w:rPr>
                <w:rFonts w:ascii="Times New Roman" w:hAnsi="Times New Roman" w:cs="Times New Roman" w:eastAsia="Times New Roman" w:hint="default"/>
                <w:sz w:val="18"/>
                <w:szCs w:val="18"/>
              </w:rPr>
              <w:t>(</w:t>
            </w:r>
            <w:r>
              <w:rPr>
                <w:rFonts w:ascii="宋体" w:hAnsi="宋体" w:cs="宋体" w:eastAsia="宋体" w:hint="default"/>
                <w:sz w:val="18"/>
                <w:szCs w:val="18"/>
              </w:rPr>
              <w:t>不含利息</w:t>
            </w:r>
            <w:r>
              <w:rPr>
                <w:rFonts w:ascii="Times New Roman" w:hAnsi="Times New Roman" w:cs="Times New Roman" w:eastAsia="Times New Roman" w:hint="default"/>
                <w:sz w:val="18"/>
                <w:szCs w:val="18"/>
              </w:rPr>
              <w:t>)</w:t>
            </w:r>
            <w:r>
              <w:rPr>
                <w:rFonts w:ascii="宋体" w:hAnsi="宋体" w:cs="宋体" w:eastAsia="宋体" w:hint="default"/>
                <w:sz w:val="18"/>
                <w:szCs w:val="18"/>
              </w:rPr>
              <w:t>，本期债券回售申报数量</w:t>
            </w:r>
          </w:p>
        </w:tc>
      </w:tr>
      <w:tr>
        <w:trPr>
          <w:trHeight w:val="312" w:hRule="exact"/>
        </w:trPr>
        <w:tc>
          <w:tcPr>
            <w:tcW w:w="2392" w:type="dxa"/>
            <w:vMerge/>
            <w:tcBorders>
              <w:left w:val="single" w:sz="4" w:space="0" w:color="000000"/>
              <w:right w:val="single" w:sz="4" w:space="0" w:color="000000"/>
            </w:tcBorders>
            <w:shd w:val="clear" w:color="auto" w:fill="D2D2D2"/>
          </w:tcPr>
          <w:p>
            <w:pPr/>
          </w:p>
        </w:tc>
        <w:tc>
          <w:tcPr>
            <w:tcW w:w="71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600,000 </w:t>
            </w:r>
            <w:r>
              <w:rPr>
                <w:rFonts w:ascii="宋体" w:hAnsi="宋体" w:cs="宋体" w:eastAsia="宋体" w:hint="default"/>
                <w:sz w:val="18"/>
                <w:szCs w:val="18"/>
              </w:rPr>
              <w:t>张，剩余托管数量为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张，托管金额为人民币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r>
      <w:tr>
        <w:trPr>
          <w:trHeight w:val="355"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71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日，公司支付本期回售部分的本金及利息总计金额为人民币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6,360 </w:t>
            </w:r>
            <w:r>
              <w:rPr>
                <w:rFonts w:ascii="宋体" w:hAnsi="宋体" w:cs="宋体" w:eastAsia="宋体" w:hint="default"/>
                <w:sz w:val="18"/>
                <w:szCs w:val="18"/>
              </w:rPr>
              <w:t>万元。</w:t>
            </w:r>
          </w:p>
        </w:tc>
      </w:tr>
    </w:tbl>
    <w:p>
      <w:pPr>
        <w:spacing w:line="240" w:lineRule="auto" w:before="1"/>
        <w:rPr>
          <w:rFonts w:ascii="宋体" w:hAnsi="宋体" w:cs="宋体" w:eastAsia="宋体" w:hint="default"/>
          <w:b/>
          <w:bCs/>
          <w:sz w:val="18"/>
          <w:szCs w:val="18"/>
        </w:rPr>
      </w:pPr>
    </w:p>
    <w:p>
      <w:pPr>
        <w:spacing w:before="26"/>
        <w:ind w:left="152" w:right="1133" w:firstLine="0"/>
        <w:jc w:val="left"/>
        <w:rPr>
          <w:rFonts w:ascii="宋体" w:hAnsi="宋体" w:cs="宋体" w:eastAsia="宋体" w:hint="default"/>
          <w:sz w:val="24"/>
          <w:szCs w:val="24"/>
        </w:rPr>
      </w:pPr>
      <w:r>
        <w:rPr>
          <w:rFonts w:ascii="宋体" w:hAnsi="宋体" w:cs="宋体" w:eastAsia="宋体" w:hint="default"/>
          <w:b/>
          <w:bCs/>
          <w:sz w:val="24"/>
          <w:szCs w:val="24"/>
        </w:rPr>
        <w:t>二、债券受托管理人和资信评级机构信息</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197"/>
        <w:gridCol w:w="1201"/>
        <w:gridCol w:w="787"/>
        <w:gridCol w:w="412"/>
        <w:gridCol w:w="1201"/>
        <w:gridCol w:w="1184"/>
        <w:gridCol w:w="1201"/>
        <w:gridCol w:w="1196"/>
        <w:gridCol w:w="1198"/>
      </w:tblGrid>
      <w:tr>
        <w:trPr>
          <w:trHeight w:val="398"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债券受托管理人：</w:t>
            </w:r>
          </w:p>
        </w:tc>
      </w:tr>
      <w:tr>
        <w:trPr>
          <w:trHeight w:val="322" w:hRule="exact"/>
        </w:trPr>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1" w:type="dxa"/>
            <w:vMerge w:val="restart"/>
            <w:tcBorders>
              <w:top w:val="single" w:sz="4" w:space="0" w:color="000000"/>
              <w:left w:val="single" w:sz="9" w:space="0" w:color="D2D2D2"/>
              <w:right w:val="single" w:sz="9" w:space="0" w:color="D2D2D2"/>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316" w:lineRule="auto"/>
              <w:ind w:left="23" w:right="73"/>
              <w:jc w:val="left"/>
              <w:rPr>
                <w:rFonts w:ascii="宋体" w:hAnsi="宋体" w:cs="宋体" w:eastAsia="宋体" w:hint="default"/>
                <w:sz w:val="18"/>
                <w:szCs w:val="18"/>
              </w:rPr>
            </w:pPr>
            <w:r>
              <w:rPr>
                <w:rFonts w:ascii="宋体" w:hAnsi="宋体" w:cs="宋体" w:eastAsia="宋体" w:hint="default"/>
                <w:sz w:val="18"/>
                <w:szCs w:val="18"/>
              </w:rPr>
              <w:t>中信建投证券 股份有限公司</w:t>
            </w:r>
          </w:p>
        </w:tc>
        <w:tc>
          <w:tcPr>
            <w:tcW w:w="119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01" w:type="dxa"/>
            <w:vMerge w:val="restart"/>
            <w:tcBorders>
              <w:top w:val="single" w:sz="4" w:space="0" w:color="000000"/>
              <w:left w:val="single" w:sz="10" w:space="0" w:color="D2D2D2"/>
              <w:right w:val="single" w:sz="10" w:space="0" w:color="D2D2D2"/>
            </w:tcBorders>
          </w:tcPr>
          <w:p>
            <w:pPr>
              <w:pStyle w:val="TableParagraph"/>
              <w:spacing w:line="309" w:lineRule="auto" w:before="53"/>
              <w:ind w:left="16" w:right="31"/>
              <w:jc w:val="both"/>
              <w:rPr>
                <w:rFonts w:ascii="宋体" w:hAnsi="宋体" w:cs="宋体" w:eastAsia="宋体" w:hint="default"/>
                <w:sz w:val="18"/>
                <w:szCs w:val="18"/>
              </w:rPr>
            </w:pPr>
            <w:r>
              <w:rPr>
                <w:rFonts w:ascii="宋体" w:hAnsi="宋体" w:cs="宋体" w:eastAsia="宋体" w:hint="default"/>
                <w:sz w:val="18"/>
                <w:szCs w:val="18"/>
              </w:rPr>
              <w:t>北京市朝阳区 安立路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号楼</w:t>
            </w:r>
          </w:p>
        </w:tc>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1" w:type="dxa"/>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邱荣辉</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0755-2395394</w:t>
            </w:r>
          </w:p>
        </w:tc>
      </w:tr>
      <w:tr>
        <w:trPr>
          <w:trHeight w:val="391" w:hRule="exact"/>
        </w:trPr>
        <w:tc>
          <w:tcPr>
            <w:tcW w:w="11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1201" w:type="dxa"/>
            <w:vMerge/>
            <w:tcBorders>
              <w:left w:val="single" w:sz="9" w:space="0" w:color="D2D2D2"/>
              <w:right w:val="single" w:sz="9" w:space="0" w:color="D2D2D2"/>
            </w:tcBorders>
          </w:tcPr>
          <w:p>
            <w:pPr/>
          </w:p>
        </w:tc>
        <w:tc>
          <w:tcPr>
            <w:tcW w:w="119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1201" w:type="dxa"/>
            <w:vMerge/>
            <w:tcBorders>
              <w:left w:val="single" w:sz="10" w:space="0" w:color="D2D2D2"/>
              <w:right w:val="single" w:sz="10" w:space="0" w:color="D2D2D2"/>
            </w:tcBorders>
          </w:tcPr>
          <w:p>
            <w:pPr/>
          </w:p>
        </w:tc>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联系人</w:t>
            </w:r>
          </w:p>
        </w:tc>
        <w:tc>
          <w:tcPr>
            <w:tcW w:w="1201" w:type="dxa"/>
            <w:vMerge/>
            <w:tcBorders>
              <w:left w:val="single" w:sz="9" w:space="0" w:color="D2D2D2"/>
              <w:right w:val="single" w:sz="9" w:space="0" w:color="D2D2D2"/>
            </w:tcBorders>
          </w:tcPr>
          <w:p>
            <w:pP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联系人电话</w:t>
            </w:r>
          </w:p>
        </w:tc>
        <w:tc>
          <w:tcPr>
            <w:tcW w:w="1198" w:type="dxa"/>
            <w:vMerge/>
            <w:tcBorders>
              <w:left w:val="single" w:sz="10" w:space="0" w:color="D2D2D2"/>
              <w:right w:val="single" w:sz="4" w:space="0" w:color="000000"/>
            </w:tcBorders>
          </w:tcPr>
          <w:p>
            <w:pPr/>
          </w:p>
        </w:tc>
      </w:tr>
      <w:tr>
        <w:trPr>
          <w:trHeight w:val="322" w:hRule="exact"/>
        </w:trPr>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vMerge/>
            <w:tcBorders>
              <w:left w:val="single" w:sz="9" w:space="0" w:color="D2D2D2"/>
              <w:bottom w:val="single" w:sz="4" w:space="0" w:color="000000"/>
              <w:right w:val="single" w:sz="9" w:space="0" w:color="D2D2D2"/>
            </w:tcBorders>
          </w:tcPr>
          <w:p>
            <w:pPr/>
          </w:p>
        </w:tc>
        <w:tc>
          <w:tcPr>
            <w:tcW w:w="119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vMerge/>
            <w:tcBorders>
              <w:left w:val="single" w:sz="10" w:space="0" w:color="D2D2D2"/>
              <w:bottom w:val="single" w:sz="4" w:space="0" w:color="000000"/>
              <w:right w:val="single" w:sz="10" w:space="0" w:color="D2D2D2"/>
            </w:tcBorders>
          </w:tcPr>
          <w:p>
            <w:pPr/>
          </w:p>
        </w:tc>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vMerge/>
            <w:tcBorders>
              <w:left w:val="single" w:sz="9" w:space="0" w:color="D2D2D2"/>
              <w:bottom w:val="single" w:sz="4" w:space="0" w:color="000000"/>
              <w:right w:val="single" w:sz="9" w:space="0" w:color="D2D2D2"/>
            </w:tcBorders>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10" w:space="0" w:color="D2D2D2"/>
              <w:bottom w:val="single" w:sz="4" w:space="0" w:color="000000"/>
              <w:right w:val="single" w:sz="4" w:space="0" w:color="000000"/>
            </w:tcBorders>
          </w:tcPr>
          <w:p>
            <w:pPr/>
          </w:p>
        </w:tc>
      </w:tr>
      <w:tr>
        <w:trPr>
          <w:trHeight w:val="394"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报告期内对公司债券进行跟踪评级的资信评级机构：</w:t>
            </w:r>
          </w:p>
        </w:tc>
      </w:tr>
      <w:tr>
        <w:trPr>
          <w:trHeight w:val="406"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3600" w:type="dxa"/>
            <w:gridSpan w:val="4"/>
            <w:tcBorders>
              <w:top w:val="single" w:sz="4" w:space="0" w:color="000000"/>
              <w:left w:val="single" w:sz="12" w:space="0" w:color="D2D2D2"/>
              <w:bottom w:val="single" w:sz="4" w:space="0" w:color="000000"/>
              <w:right w:val="single" w:sz="13" w:space="0" w:color="D2D2D2"/>
            </w:tcBorders>
          </w:tcPr>
          <w:p>
            <w:pPr>
              <w:pStyle w:val="TableParagraph"/>
              <w:spacing w:line="240" w:lineRule="auto" w:before="53"/>
              <w:ind w:left="18" w:right="0"/>
              <w:jc w:val="left"/>
              <w:rPr>
                <w:rFonts w:ascii="宋体" w:hAnsi="宋体" w:cs="宋体" w:eastAsia="宋体" w:hint="default"/>
                <w:sz w:val="18"/>
                <w:szCs w:val="18"/>
              </w:rPr>
            </w:pPr>
            <w:r>
              <w:rPr>
                <w:rFonts w:ascii="宋体" w:hAnsi="宋体" w:cs="宋体" w:eastAsia="宋体" w:hint="default"/>
                <w:sz w:val="18"/>
                <w:szCs w:val="18"/>
              </w:rPr>
              <w:t>鹏元资信评估有限公司</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3594"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left="18" w:right="0"/>
              <w:jc w:val="left"/>
              <w:rPr>
                <w:rFonts w:ascii="宋体" w:hAnsi="宋体" w:cs="宋体" w:eastAsia="宋体" w:hint="default"/>
                <w:sz w:val="18"/>
                <w:szCs w:val="18"/>
              </w:rPr>
            </w:pPr>
            <w:r>
              <w:rPr>
                <w:rFonts w:ascii="宋体" w:hAnsi="宋体" w:cs="宋体" w:eastAsia="宋体" w:hint="default"/>
                <w:sz w:val="18"/>
                <w:szCs w:val="18"/>
              </w:rPr>
              <w:t>深圳市深南大道</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7008 </w:t>
            </w:r>
            <w:r>
              <w:rPr>
                <w:rFonts w:ascii="宋体" w:hAnsi="宋体" w:cs="宋体" w:eastAsia="宋体" w:hint="default"/>
                <w:sz w:val="18"/>
                <w:szCs w:val="18"/>
              </w:rPr>
              <w:t>号阳光高尔夫大厦三楼</w:t>
            </w:r>
          </w:p>
        </w:tc>
      </w:tr>
      <w:tr>
        <w:trPr>
          <w:trHeight w:val="1339" w:hRule="exact"/>
        </w:trPr>
        <w:tc>
          <w:tcPr>
            <w:tcW w:w="31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
              <w:jc w:val="left"/>
              <w:rPr>
                <w:rFonts w:ascii="宋体" w:hAnsi="宋体" w:cs="宋体" w:eastAsia="宋体" w:hint="default"/>
                <w:sz w:val="18"/>
                <w:szCs w:val="18"/>
              </w:rPr>
            </w:pPr>
            <w:r>
              <w:rPr>
                <w:rFonts w:ascii="宋体" w:hAnsi="宋体" w:cs="宋体" w:eastAsia="宋体" w:hint="default"/>
                <w:sz w:val="18"/>
                <w:szCs w:val="18"/>
              </w:rPr>
              <w:t>报告期内公司聘请的债券受托管理人、 资信评级机构发生变更的，变更的原因 </w:t>
            </w:r>
            <w:r>
              <w:rPr>
                <w:rFonts w:ascii="宋体" w:hAnsi="宋体" w:cs="宋体" w:eastAsia="宋体" w:hint="default"/>
                <w:spacing w:val="-6"/>
                <w:sz w:val="18"/>
                <w:szCs w:val="18"/>
              </w:rPr>
              <w:t>履行的程序、对投资者利益的影响等（如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适用）</w:t>
            </w:r>
          </w:p>
        </w:tc>
        <w:tc>
          <w:tcPr>
            <w:tcW w:w="1613" w:type="dxa"/>
            <w:gridSpan w:val="2"/>
            <w:tcBorders>
              <w:top w:val="single" w:sz="4" w:space="0" w:color="000000"/>
              <w:left w:val="single" w:sz="9"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196" w:lineRule="exact" w:before="125"/>
              <w:ind w:left="-11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8" w:right="0"/>
              <w:jc w:val="left"/>
              <w:rPr>
                <w:rFonts w:ascii="宋体" w:hAnsi="宋体" w:cs="宋体" w:eastAsia="宋体" w:hint="default"/>
                <w:sz w:val="18"/>
                <w:szCs w:val="18"/>
              </w:rPr>
            </w:pPr>
            <w:r>
              <w:rPr>
                <w:rFonts w:ascii="宋体" w:hAnsi="宋体" w:cs="宋体" w:eastAsia="宋体" w:hint="default"/>
                <w:sz w:val="18"/>
                <w:szCs w:val="18"/>
              </w:rPr>
              <w:t>不适</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388" w:right="0"/>
              <w:jc w:val="left"/>
              <w:rPr>
                <w:rFonts w:ascii="宋体" w:hAnsi="宋体" w:cs="宋体" w:eastAsia="宋体" w:hint="default"/>
                <w:sz w:val="18"/>
                <w:szCs w:val="18"/>
              </w:rPr>
            </w:pPr>
            <w:r>
              <w:rPr>
                <w:rFonts w:ascii="宋体" w:hAnsi="宋体" w:cs="宋体" w:eastAsia="宋体" w:hint="default"/>
                <w:sz w:val="18"/>
                <w:szCs w:val="18"/>
              </w:rPr>
              <w:t>用</w:t>
            </w:r>
          </w:p>
        </w:tc>
        <w:tc>
          <w:tcPr>
            <w:tcW w:w="1184" w:type="dxa"/>
            <w:tcBorders>
              <w:top w:val="single" w:sz="4" w:space="0" w:color="000000"/>
              <w:left w:val="nil" w:sz="6" w:space="0" w:color="auto"/>
              <w:bottom w:val="single" w:sz="4" w:space="0" w:color="000000"/>
              <w:right w:val="nil" w:sz="6" w:space="0" w:color="auto"/>
            </w:tcBorders>
          </w:tcPr>
          <w:p>
            <w:pPr/>
          </w:p>
        </w:tc>
        <w:tc>
          <w:tcPr>
            <w:tcW w:w="1201" w:type="dxa"/>
            <w:tcBorders>
              <w:top w:val="single" w:sz="4" w:space="0" w:color="000000"/>
              <w:left w:val="nil" w:sz="6" w:space="0" w:color="auto"/>
              <w:bottom w:val="single" w:sz="4" w:space="0" w:color="000000"/>
              <w:right w:val="nil" w:sz="6" w:space="0" w:color="auto"/>
            </w:tcBorders>
          </w:tcPr>
          <w:p>
            <w:pPr/>
          </w:p>
        </w:tc>
        <w:tc>
          <w:tcPr>
            <w:tcW w:w="1196" w:type="dxa"/>
            <w:tcBorders>
              <w:top w:val="single" w:sz="4" w:space="0" w:color="000000"/>
              <w:left w:val="nil" w:sz="6" w:space="0" w:color="auto"/>
              <w:bottom w:val="single" w:sz="4" w:space="0" w:color="000000"/>
              <w:right w:val="nil" w:sz="6" w:space="0" w:color="auto"/>
            </w:tcBorders>
          </w:tcPr>
          <w:p>
            <w:pPr/>
          </w:p>
        </w:tc>
        <w:tc>
          <w:tcPr>
            <w:tcW w:w="1198" w:type="dxa"/>
            <w:tcBorders>
              <w:top w:val="single" w:sz="4" w:space="0" w:color="000000"/>
              <w:left w:val="nil" w:sz="6" w:space="0" w:color="auto"/>
              <w:bottom w:val="single" w:sz="4" w:space="0" w:color="000000"/>
              <w:right w:val="single" w:sz="4" w:space="0" w:color="000000"/>
            </w:tcBorders>
          </w:tcPr>
          <w:p>
            <w:pPr/>
          </w:p>
        </w:tc>
      </w:tr>
    </w:tbl>
    <w:p>
      <w:pPr>
        <w:spacing w:line="240" w:lineRule="auto" w:before="1"/>
        <w:rPr>
          <w:rFonts w:ascii="宋体" w:hAnsi="宋体" w:cs="宋体" w:eastAsia="宋体" w:hint="default"/>
          <w:b/>
          <w:bCs/>
          <w:sz w:val="18"/>
          <w:szCs w:val="18"/>
        </w:rPr>
      </w:pPr>
    </w:p>
    <w:p>
      <w:pPr>
        <w:spacing w:before="26"/>
        <w:ind w:left="152" w:right="1133" w:firstLine="0"/>
        <w:jc w:val="left"/>
        <w:rPr>
          <w:rFonts w:ascii="宋体" w:hAnsi="宋体" w:cs="宋体" w:eastAsia="宋体" w:hint="default"/>
          <w:sz w:val="24"/>
          <w:szCs w:val="24"/>
        </w:rPr>
      </w:pPr>
      <w:r>
        <w:rPr/>
        <w:pict>
          <v:group style="position:absolute;margin-left:216.649994pt;margin-top:-78.764381pt;width:318.55pt;height:43.7pt;mso-position-horizontal-relative:page;mso-position-vertical-relative:paragraph;z-index:-1203016" coordorigin="4333,-1575" coordsize="6371,874">
            <v:group style="position:absolute;left:4333;top:-1575;width:6371;height:468" coordorigin="4333,-1575" coordsize="6371,468">
              <v:shape style="position:absolute;left:4333;top:-1575;width:6371;height:468" coordorigin="4333,-1575" coordsize="6371,468" path="m4333,-1107l10704,-1107,10704,-1575,4333,-1575,4333,-1107xe" filled="true" fillcolor="#ffffff" stroked="false">
                <v:path arrowok="t"/>
                <v:fill type="solid"/>
              </v:shape>
            </v:group>
            <v:group style="position:absolute;left:4345;top:-1107;width:2;height:394" coordorigin="4345,-1107" coordsize="2,394">
              <v:shape style="position:absolute;left:4345;top:-1107;width:2;height:394" coordorigin="4345,-1107" coordsize="0,394" path="m4345,-1107l4345,-714e" filled="false" stroked="true" strokeweight="1.2pt" strokecolor="#ffffff">
                <v:path arrowok="t"/>
              </v:shape>
            </v:group>
            <v:group style="position:absolute;left:4357;top:-1107;width:6325;height:394" coordorigin="4357,-1107" coordsize="6325,394">
              <v:shape style="position:absolute;left:4357;top:-1107;width:6325;height:394" coordorigin="4357,-1107" coordsize="6325,394" path="m4357,-714l10682,-714,10682,-1107,4357,-1107,4357,-714xe" filled="true" fillcolor="#ffffff" stroked="false">
                <v:path arrowok="t"/>
                <v:fill type="solid"/>
              </v:shape>
            </v:group>
            <w10:wrap type="none"/>
          </v:group>
        </w:pict>
      </w:r>
      <w:r>
        <w:rPr>
          <w:rFonts w:ascii="宋体" w:hAnsi="宋体" w:cs="宋体" w:eastAsia="宋体" w:hint="default"/>
          <w:b/>
          <w:bCs/>
          <w:sz w:val="24"/>
          <w:szCs w:val="24"/>
        </w:rPr>
        <w:t>三、公司债券募集资金使用情况</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6380"/>
      </w:tblGrid>
      <w:tr>
        <w:trPr>
          <w:trHeight w:val="1340"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8"/>
              <w:ind w:left="22" w:right="96"/>
              <w:jc w:val="left"/>
              <w:rPr>
                <w:rFonts w:ascii="宋体" w:hAnsi="宋体" w:cs="宋体" w:eastAsia="宋体" w:hint="default"/>
                <w:sz w:val="18"/>
                <w:szCs w:val="18"/>
              </w:rPr>
            </w:pPr>
            <w:r>
              <w:rPr>
                <w:rFonts w:ascii="宋体" w:hAnsi="宋体" w:cs="宋体" w:eastAsia="宋体" w:hint="default"/>
                <w:sz w:val="18"/>
                <w:szCs w:val="18"/>
              </w:rPr>
              <w:t>公司债券募集资金使用情况及履行的程 序</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日召开的第三届第二十二次董事会会议、</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年第二次临时股东大会审议通过，同意公司发行不超过人民</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pacing w:val="-5"/>
                <w:sz w:val="18"/>
                <w:szCs w:val="18"/>
              </w:rPr>
              <w:t>亿元（含</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亿元）的公司债券，募集资金用于偿还银行借款、补充流动资金</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等用途。截至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日，公司本次募集资金已使用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39,749.02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年末余额（万元）</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0.18</w:t>
            </w:r>
          </w:p>
        </w:tc>
      </w:tr>
      <w:tr>
        <w:trPr>
          <w:trHeight w:val="1339"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募集资金专项账户运作情况</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年面向合格投资者</w:t>
            </w:r>
            <w:r>
              <w:rPr>
                <w:rFonts w:ascii="宋体" w:hAnsi="宋体" w:cs="宋体" w:eastAsia="宋体" w:hint="default"/>
                <w:spacing w:val="-3"/>
                <w:sz w:val="18"/>
                <w:szCs w:val="18"/>
              </w:rPr>
              <w:t>公</w:t>
            </w:r>
            <w:r>
              <w:rPr>
                <w:rFonts w:ascii="宋体" w:hAnsi="宋体" w:cs="宋体" w:eastAsia="宋体" w:hint="default"/>
                <w:sz w:val="18"/>
                <w:szCs w:val="18"/>
              </w:rPr>
              <w:t>开发行公司债</w:t>
            </w:r>
            <w:r>
              <w:rPr>
                <w:rFonts w:ascii="宋体" w:hAnsi="宋体" w:cs="宋体" w:eastAsia="宋体" w:hint="default"/>
                <w:spacing w:val="-22"/>
                <w:sz w:val="18"/>
                <w:szCs w:val="18"/>
              </w:rPr>
              <w:t>券</w:t>
            </w:r>
            <w:r>
              <w:rPr>
                <w:rFonts w:ascii="宋体" w:hAnsi="宋体" w:cs="宋体" w:eastAsia="宋体" w:hint="default"/>
                <w:sz w:val="18"/>
                <w:szCs w:val="18"/>
              </w:rPr>
              <w:t>（第一期</w:t>
            </w:r>
            <w:r>
              <w:rPr>
                <w:rFonts w:ascii="宋体" w:hAnsi="宋体" w:cs="宋体" w:eastAsia="宋体" w:hint="default"/>
                <w:spacing w:val="-92"/>
                <w:sz w:val="18"/>
                <w:szCs w:val="18"/>
              </w:rPr>
              <w:t>）</w:t>
            </w:r>
            <w:r>
              <w:rPr>
                <w:rFonts w:ascii="宋体" w:hAnsi="宋体" w:cs="宋体" w:eastAsia="宋体" w:hint="default"/>
                <w:spacing w:val="-113"/>
                <w:sz w:val="18"/>
                <w:szCs w:val="18"/>
              </w:rPr>
              <w:t>、</w:t>
            </w:r>
            <w:r>
              <w:rPr>
                <w:rFonts w:ascii="宋体" w:hAnsi="宋体" w:cs="宋体" w:eastAsia="宋体" w:hint="default"/>
                <w:sz w:val="18"/>
                <w:szCs w:val="18"/>
              </w:rPr>
              <w:t>（第二期</w:t>
            </w:r>
            <w:r>
              <w:rPr>
                <w:rFonts w:ascii="宋体" w:hAnsi="宋体" w:cs="宋体" w:eastAsia="宋体" w:hint="default"/>
                <w:spacing w:val="-22"/>
                <w:sz w:val="18"/>
                <w:szCs w:val="18"/>
              </w:rPr>
              <w:t>）</w:t>
            </w:r>
            <w:r>
              <w:rPr>
                <w:rFonts w:ascii="宋体" w:hAnsi="宋体" w:cs="宋体" w:eastAsia="宋体" w:hint="default"/>
                <w:sz w:val="18"/>
                <w:szCs w:val="18"/>
              </w:rPr>
              <w:t>合计发</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行金额为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亿元，扣除发行费用之后的募集资金净额已于</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p>
            <w:pPr>
              <w:pStyle w:val="TableParagraph"/>
              <w:spacing w:line="300" w:lineRule="auto" w:before="63"/>
              <w:ind w:left="23" w:right="94"/>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日汇入公司指定的募集资金专项账户，并与募集资金开户银行签 署了三方监管协议。</w:t>
            </w:r>
          </w:p>
        </w:tc>
      </w:tr>
      <w:tr>
        <w:trPr>
          <w:trHeight w:val="716"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募集资金使用是否与募集说明书承诺的 用途、使用计划及其他约定一致</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8"/>
        <w:rPr>
          <w:rFonts w:ascii="宋体" w:hAnsi="宋体" w:cs="宋体" w:eastAsia="宋体" w:hint="default"/>
          <w:b/>
          <w:bCs/>
          <w:sz w:val="23"/>
          <w:szCs w:val="23"/>
        </w:rPr>
      </w:pPr>
    </w:p>
    <w:p>
      <w:pPr>
        <w:spacing w:before="26"/>
        <w:ind w:left="152" w:right="1133" w:firstLine="0"/>
        <w:jc w:val="left"/>
        <w:rPr>
          <w:rFonts w:ascii="宋体" w:hAnsi="宋体" w:cs="宋体" w:eastAsia="宋体" w:hint="default"/>
          <w:sz w:val="24"/>
          <w:szCs w:val="24"/>
        </w:rPr>
      </w:pPr>
      <w:r>
        <w:rPr>
          <w:rFonts w:ascii="宋体" w:hAnsi="宋体" w:cs="宋体" w:eastAsia="宋体" w:hint="default"/>
          <w:b/>
          <w:bCs/>
          <w:sz w:val="24"/>
          <w:szCs w:val="24"/>
        </w:rPr>
        <w:t>四、公司债券信息评级情况</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pStyle w:val="BodyText"/>
        <w:spacing w:line="300" w:lineRule="auto"/>
        <w:ind w:right="1131" w:firstLine="360"/>
        <w:jc w:val="both"/>
      </w:pPr>
      <w:r>
        <w:rPr/>
        <w:t>（</w:t>
      </w:r>
      <w:r>
        <w:rPr>
          <w:rFonts w:ascii="Times New Roman" w:hAnsi="Times New Roman" w:cs="Times New Roman" w:eastAsia="Times New Roman" w:hint="default"/>
        </w:rPr>
        <w:t>1</w:t>
      </w:r>
      <w:r>
        <w:rPr/>
        <w:t>）经鹏元资信评估有限公司综合评定，于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6</w:t>
      </w:r>
      <w:r>
        <w:rPr/>
        <w:t>日对公司</w:t>
      </w:r>
      <w:r>
        <w:rPr>
          <w:rFonts w:ascii="Times New Roman" w:hAnsi="Times New Roman" w:cs="Times New Roman" w:eastAsia="Times New Roman" w:hint="default"/>
        </w:rPr>
        <w:t>2015</w:t>
      </w:r>
      <w:r>
        <w:rPr/>
        <w:t>年公司债券（第一期、第二期）进行</w:t>
      </w:r>
      <w:r>
        <w:rPr>
          <w:rFonts w:ascii="Times New Roman" w:hAnsi="Times New Roman" w:cs="Times New Roman" w:eastAsia="Times New Roman" w:hint="default"/>
        </w:rPr>
        <w:t>2016</w:t>
      </w:r>
      <w:r>
        <w:rPr/>
        <w:t>年跟踪 </w:t>
      </w:r>
      <w:r>
        <w:rPr>
          <w:spacing w:val="-2"/>
        </w:rPr>
        <w:t>信用评级，本次跟踪评级报告评级结果为：</w:t>
      </w:r>
      <w:r>
        <w:rPr>
          <w:rFonts w:ascii="Times New Roman" w:hAnsi="Times New Roman" w:cs="Times New Roman" w:eastAsia="Times New Roman" w:hint="default"/>
          <w:spacing w:val="-2"/>
        </w:rPr>
        <w:t>15</w:t>
      </w:r>
      <w:r>
        <w:rPr>
          <w:spacing w:val="-2"/>
        </w:rPr>
        <w:t>证通</w:t>
      </w:r>
      <w:r>
        <w:rPr>
          <w:rFonts w:ascii="Times New Roman" w:hAnsi="Times New Roman" w:cs="Times New Roman" w:eastAsia="Times New Roman" w:hint="default"/>
          <w:spacing w:val="-2"/>
        </w:rPr>
        <w:t>01</w:t>
      </w:r>
      <w:r>
        <w:rPr>
          <w:spacing w:val="-2"/>
        </w:rPr>
        <w:t>和</w:t>
      </w:r>
      <w:r>
        <w:rPr>
          <w:rFonts w:ascii="Times New Roman" w:hAnsi="Times New Roman" w:cs="Times New Roman" w:eastAsia="Times New Roman" w:hint="default"/>
          <w:spacing w:val="-2"/>
        </w:rPr>
        <w:t>15</w:t>
      </w:r>
      <w:r>
        <w:rPr>
          <w:spacing w:val="-2"/>
        </w:rPr>
        <w:t>证通</w:t>
      </w:r>
      <w:r>
        <w:rPr>
          <w:rFonts w:ascii="Times New Roman" w:hAnsi="Times New Roman" w:cs="Times New Roman" w:eastAsia="Times New Roman" w:hint="default"/>
          <w:spacing w:val="-2"/>
        </w:rPr>
        <w:t>02</w:t>
      </w:r>
      <w:r>
        <w:rPr>
          <w:spacing w:val="-2"/>
        </w:rPr>
        <w:t>的债券信用等级维持为</w:t>
      </w:r>
      <w:r>
        <w:rPr>
          <w:rFonts w:ascii="Times New Roman" w:hAnsi="Times New Roman" w:cs="Times New Roman" w:eastAsia="Times New Roman" w:hint="default"/>
          <w:spacing w:val="-2"/>
        </w:rPr>
        <w:t>AA+</w:t>
      </w:r>
      <w:r>
        <w:rPr>
          <w:spacing w:val="-2"/>
        </w:rPr>
        <w:t>，公司主体长期信用等级维持为</w:t>
      </w:r>
      <w:r>
        <w:rPr>
          <w:spacing w:val="-62"/>
        </w:rPr>
        <w:t> </w:t>
      </w:r>
      <w:r>
        <w:rPr>
          <w:spacing w:val="-62"/>
        </w:rPr>
      </w:r>
      <w:r>
        <w:rPr>
          <w:rFonts w:ascii="Times New Roman" w:hAnsi="Times New Roman" w:cs="Times New Roman" w:eastAsia="Times New Roman" w:hint="default"/>
          <w:spacing w:val="-1"/>
        </w:rPr>
        <w:t>AA-</w:t>
      </w:r>
      <w:r>
        <w:rPr>
          <w:spacing w:val="-1"/>
        </w:rPr>
        <w:t>，评级展望为稳定。公司债券信用等级为</w:t>
      </w:r>
      <w:r>
        <w:rPr>
          <w:rFonts w:ascii="Times New Roman" w:hAnsi="Times New Roman" w:cs="Times New Roman" w:eastAsia="Times New Roman" w:hint="default"/>
          <w:spacing w:val="-1"/>
        </w:rPr>
        <w:t>AA+</w:t>
      </w:r>
      <w:r>
        <w:rPr>
          <w:spacing w:val="-1"/>
        </w:rPr>
        <w:t>，本级别的定义为本期债券债务安全性很高，违约风险很低。公司主体信</w:t>
      </w:r>
      <w:r>
        <w:rPr>
          <w:spacing w:val="-84"/>
        </w:rPr>
        <w:t> </w:t>
      </w:r>
      <w:r>
        <w:rPr>
          <w:spacing w:val="-84"/>
        </w:rPr>
      </w:r>
      <w:r>
        <w:rPr/>
        <w:t>用评级等级为</w:t>
      </w:r>
      <w:r>
        <w:rPr>
          <w:rFonts w:ascii="Times New Roman" w:hAnsi="Times New Roman" w:cs="Times New Roman" w:eastAsia="Times New Roman" w:hint="default"/>
        </w:rPr>
        <w:t>AA-,</w:t>
      </w:r>
      <w:r>
        <w:rPr>
          <w:rFonts w:ascii="Times New Roman" w:hAnsi="Times New Roman" w:cs="Times New Roman" w:eastAsia="Times New Roman" w:hint="default"/>
          <w:spacing w:val="25"/>
        </w:rPr>
        <w:t> </w:t>
      </w:r>
      <w:r>
        <w:rPr/>
        <w:t>本级别的定义为偿还债务的能力很强，受不利经济环境的影响不大，违约风险极低。该跟踪评级报告详</w:t>
      </w:r>
      <w:r>
        <w:rPr>
          <w:w w:val="99"/>
        </w:rPr>
        <w:t> </w:t>
      </w:r>
      <w:r>
        <w:rPr>
          <w:spacing w:val="-1"/>
        </w:rPr>
        <w:t>见公司于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21</w:t>
      </w:r>
      <w:r>
        <w:rPr>
          <w:spacing w:val="-1"/>
        </w:rPr>
        <w:t>日在巨潮资讯网（</w:t>
      </w:r>
      <w:hyperlink r:id="rId13">
        <w:r>
          <w:rPr>
            <w:rFonts w:ascii="Times New Roman" w:hAnsi="Times New Roman" w:cs="Times New Roman" w:eastAsia="Times New Roman" w:hint="default"/>
            <w:spacing w:val="-1"/>
          </w:rPr>
          <w:t>www.cninfo.com.cn</w:t>
        </w:r>
      </w:hyperlink>
      <w:r>
        <w:rPr>
          <w:spacing w:val="-1"/>
        </w:rPr>
        <w:t>）上披露的《公司</w:t>
      </w:r>
      <w:r>
        <w:rPr>
          <w:rFonts w:ascii="Times New Roman" w:hAnsi="Times New Roman" w:cs="Times New Roman" w:eastAsia="Times New Roman" w:hint="default"/>
          <w:spacing w:val="-1"/>
        </w:rPr>
        <w:t>2015</w:t>
      </w:r>
      <w:r>
        <w:rPr>
          <w:spacing w:val="-1"/>
        </w:rPr>
        <w:t>年公司债券（第一期、第二期）</w:t>
      </w:r>
      <w:r>
        <w:rPr>
          <w:rFonts w:ascii="Times New Roman" w:hAnsi="Times New Roman" w:cs="Times New Roman" w:eastAsia="Times New Roman" w:hint="default"/>
          <w:spacing w:val="-1"/>
        </w:rPr>
        <w:t>2016</w:t>
      </w:r>
      <w:r>
        <w:rPr>
          <w:spacing w:val="-1"/>
        </w:rPr>
        <w:t>年跟</w:t>
      </w:r>
      <w:r>
        <w:rPr>
          <w:spacing w:val="-53"/>
        </w:rPr>
        <w:t> </w:t>
      </w:r>
      <w:r>
        <w:rPr/>
        <w:t>踪信用评级报告》。</w:t>
      </w:r>
    </w:p>
    <w:p>
      <w:pPr>
        <w:pStyle w:val="BodyText"/>
        <w:spacing w:line="300" w:lineRule="auto" w:before="31"/>
        <w:ind w:right="1129" w:firstLine="360"/>
        <w:jc w:val="left"/>
      </w:pPr>
      <w:r>
        <w:rPr>
          <w:spacing w:val="-1"/>
        </w:rPr>
        <w:t>（</w:t>
      </w:r>
      <w:r>
        <w:rPr>
          <w:rFonts w:ascii="Times New Roman" w:hAnsi="Times New Roman" w:cs="Times New Roman" w:eastAsia="Times New Roman" w:hint="default"/>
          <w:spacing w:val="-1"/>
        </w:rPr>
        <w:t>2</w:t>
      </w:r>
      <w:r>
        <w:rPr>
          <w:spacing w:val="-1"/>
        </w:rPr>
        <w:t>）鹏元资信评估有限公司于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10</w:t>
      </w:r>
      <w:r>
        <w:rPr>
          <w:spacing w:val="-1"/>
        </w:rPr>
        <w:t>日将公司</w:t>
      </w:r>
      <w:r>
        <w:rPr>
          <w:rFonts w:ascii="Times New Roman" w:hAnsi="Times New Roman" w:cs="Times New Roman" w:eastAsia="Times New Roman" w:hint="default"/>
          <w:spacing w:val="-1"/>
        </w:rPr>
        <w:t>15</w:t>
      </w:r>
      <w:r>
        <w:rPr>
          <w:spacing w:val="-1"/>
        </w:rPr>
        <w:t>证通</w:t>
      </w:r>
      <w:r>
        <w:rPr>
          <w:rFonts w:ascii="Times New Roman" w:hAnsi="Times New Roman" w:cs="Times New Roman" w:eastAsia="Times New Roman" w:hint="default"/>
          <w:spacing w:val="-1"/>
        </w:rPr>
        <w:t>01</w:t>
      </w:r>
      <w:r>
        <w:rPr>
          <w:spacing w:val="-1"/>
        </w:rPr>
        <w:t>和</w:t>
      </w:r>
      <w:r>
        <w:rPr>
          <w:rFonts w:ascii="Times New Roman" w:hAnsi="Times New Roman" w:cs="Times New Roman" w:eastAsia="Times New Roman" w:hint="default"/>
          <w:spacing w:val="-1"/>
        </w:rPr>
        <w:t>15</w:t>
      </w:r>
      <w:r>
        <w:rPr>
          <w:spacing w:val="-1"/>
        </w:rPr>
        <w:t>证通</w:t>
      </w:r>
      <w:r>
        <w:rPr>
          <w:rFonts w:ascii="Times New Roman" w:hAnsi="Times New Roman" w:cs="Times New Roman" w:eastAsia="Times New Roman" w:hint="default"/>
          <w:spacing w:val="-1"/>
        </w:rPr>
        <w:t>02</w:t>
      </w:r>
      <w:r>
        <w:rPr>
          <w:spacing w:val="-1"/>
        </w:rPr>
        <w:t>的债券信用等级由</w:t>
      </w:r>
      <w:r>
        <w:rPr>
          <w:rFonts w:ascii="Times New Roman" w:hAnsi="Times New Roman" w:cs="Times New Roman" w:eastAsia="Times New Roman" w:hint="default"/>
          <w:spacing w:val="-1"/>
        </w:rPr>
        <w:t>AA+</w:t>
      </w:r>
      <w:r>
        <w:rPr>
          <w:spacing w:val="-1"/>
        </w:rPr>
        <w:t>上调为</w:t>
      </w:r>
      <w:r>
        <w:rPr>
          <w:rFonts w:ascii="Times New Roman" w:hAnsi="Times New Roman" w:cs="Times New Roman" w:eastAsia="Times New Roman" w:hint="default"/>
          <w:spacing w:val="-1"/>
        </w:rPr>
        <w:t>AAA</w:t>
      </w:r>
      <w:r>
        <w:rPr>
          <w:spacing w:val="-1"/>
        </w:rPr>
        <w:t>。本级别</w:t>
      </w:r>
      <w:r>
        <w:rPr/>
        <w:t> </w:t>
      </w:r>
      <w:r>
        <w:rPr>
          <w:spacing w:val="-2"/>
        </w:rPr>
        <w:t>的定义为本期债券债务安全性极高，违约风险极低。上调债项信用等级的有关情况详见公司于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12</w:t>
      </w:r>
      <w:r>
        <w:rPr>
          <w:spacing w:val="-2"/>
        </w:rPr>
        <w:t>日在巨潮资讯网</w:t>
      </w:r>
    </w:p>
    <w:p>
      <w:pPr>
        <w:pStyle w:val="BodyText"/>
        <w:spacing w:line="240" w:lineRule="auto" w:before="13"/>
        <w:ind w:right="1133"/>
        <w:jc w:val="left"/>
      </w:pPr>
      <w:r>
        <w:rPr/>
        <w:t>（</w:t>
      </w:r>
      <w:hyperlink r:id="rId13">
        <w:r>
          <w:rPr>
            <w:rFonts w:ascii="Times New Roman" w:hAnsi="Times New Roman" w:cs="Times New Roman" w:eastAsia="Times New Roman" w:hint="default"/>
          </w:rPr>
          <w:t>www.cninfo.com.cn</w:t>
        </w:r>
      </w:hyperlink>
      <w:r>
        <w:rPr/>
        <w:t>）上披露的《关于上调</w:t>
      </w:r>
      <w:r>
        <w:rPr>
          <w:rFonts w:ascii="Times New Roman" w:hAnsi="Times New Roman" w:cs="Times New Roman" w:eastAsia="Times New Roman" w:hint="default"/>
        </w:rPr>
        <w:t>“15</w:t>
      </w:r>
      <w:r>
        <w:rPr/>
        <w:t>证通</w:t>
      </w:r>
      <w:r>
        <w:rPr>
          <w:rFonts w:ascii="Times New Roman" w:hAnsi="Times New Roman" w:cs="Times New Roman" w:eastAsia="Times New Roman" w:hint="default"/>
        </w:rPr>
        <w:t>01”</w:t>
      </w:r>
      <w:r>
        <w:rPr/>
        <w:t>和</w:t>
      </w:r>
      <w:r>
        <w:rPr>
          <w:rFonts w:ascii="Times New Roman" w:hAnsi="Times New Roman" w:cs="Times New Roman" w:eastAsia="Times New Roman" w:hint="default"/>
        </w:rPr>
        <w:t>“15</w:t>
      </w:r>
      <w:r>
        <w:rPr/>
        <w:t>证通</w:t>
      </w:r>
      <w:r>
        <w:rPr>
          <w:rFonts w:ascii="Times New Roman" w:hAnsi="Times New Roman" w:cs="Times New Roman" w:eastAsia="Times New Roman" w:hint="default"/>
        </w:rPr>
        <w:t>02”</w:t>
      </w:r>
      <w:r>
        <w:rPr/>
        <w:t>债项信用等级的公告》。</w:t>
      </w:r>
    </w:p>
    <w:p>
      <w:pPr>
        <w:pStyle w:val="BodyText"/>
        <w:spacing w:line="300" w:lineRule="auto" w:before="63"/>
        <w:ind w:right="1128" w:firstLine="360"/>
        <w:jc w:val="left"/>
      </w:pPr>
      <w:r>
        <w:rPr/>
        <w:t>（</w:t>
      </w:r>
      <w:r>
        <w:rPr>
          <w:rFonts w:ascii="Times New Roman" w:hAnsi="Times New Roman" w:cs="Times New Roman" w:eastAsia="Times New Roman" w:hint="default"/>
        </w:rPr>
        <w:t>3</w:t>
      </w:r>
      <w:r>
        <w:rPr/>
        <w:t>）鹏元资信评估有限公司于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日对公司</w:t>
      </w:r>
      <w:r>
        <w:rPr>
          <w:rFonts w:ascii="Times New Roman" w:hAnsi="Times New Roman" w:cs="Times New Roman" w:eastAsia="Times New Roman" w:hint="default"/>
        </w:rPr>
        <w:t>2015</w:t>
      </w:r>
      <w:r>
        <w:rPr/>
        <w:t>年公司债券（第一期、第二期）进行</w:t>
      </w:r>
      <w:r>
        <w:rPr>
          <w:rFonts w:ascii="Times New Roman" w:hAnsi="Times New Roman" w:cs="Times New Roman" w:eastAsia="Times New Roman" w:hint="default"/>
        </w:rPr>
        <w:t>2017</w:t>
      </w:r>
      <w:r>
        <w:rPr/>
        <w:t>年跟踪信用评级，本 </w:t>
      </w:r>
      <w:r>
        <w:rPr>
          <w:spacing w:val="-2"/>
        </w:rPr>
        <w:t>次跟踪评级报告评级结果为：</w:t>
      </w:r>
      <w:r>
        <w:rPr>
          <w:rFonts w:ascii="Times New Roman" w:hAnsi="Times New Roman" w:cs="Times New Roman" w:eastAsia="Times New Roman" w:hint="default"/>
          <w:spacing w:val="-2"/>
        </w:rPr>
        <w:t>15</w:t>
      </w:r>
      <w:r>
        <w:rPr>
          <w:spacing w:val="-2"/>
        </w:rPr>
        <w:t>证通</w:t>
      </w:r>
      <w:r>
        <w:rPr>
          <w:rFonts w:ascii="Times New Roman" w:hAnsi="Times New Roman" w:cs="Times New Roman" w:eastAsia="Times New Roman" w:hint="default"/>
          <w:spacing w:val="-2"/>
        </w:rPr>
        <w:t>01</w:t>
      </w:r>
      <w:r>
        <w:rPr>
          <w:spacing w:val="-2"/>
        </w:rPr>
        <w:t>和</w:t>
      </w:r>
      <w:r>
        <w:rPr>
          <w:rFonts w:ascii="Times New Roman" w:hAnsi="Times New Roman" w:cs="Times New Roman" w:eastAsia="Times New Roman" w:hint="default"/>
          <w:spacing w:val="-2"/>
        </w:rPr>
        <w:t>15</w:t>
      </w:r>
      <w:r>
        <w:rPr>
          <w:spacing w:val="-2"/>
        </w:rPr>
        <w:t>证通</w:t>
      </w:r>
      <w:r>
        <w:rPr>
          <w:rFonts w:ascii="Times New Roman" w:hAnsi="Times New Roman" w:cs="Times New Roman" w:eastAsia="Times New Roman" w:hint="default"/>
          <w:spacing w:val="-2"/>
        </w:rPr>
        <w:t>02</w:t>
      </w:r>
      <w:r>
        <w:rPr>
          <w:spacing w:val="-2"/>
        </w:rPr>
        <w:t>的债券信用等级维持为</w:t>
      </w:r>
      <w:r>
        <w:rPr>
          <w:rFonts w:ascii="Times New Roman" w:hAnsi="Times New Roman" w:cs="Times New Roman" w:eastAsia="Times New Roman" w:hint="default"/>
          <w:spacing w:val="-2"/>
        </w:rPr>
        <w:t>AAA</w:t>
      </w:r>
      <w:r>
        <w:rPr>
          <w:spacing w:val="-2"/>
        </w:rPr>
        <w:t>，公司主体长期信用等级维持为</w:t>
      </w:r>
      <w:r>
        <w:rPr>
          <w:rFonts w:ascii="Times New Roman" w:hAnsi="Times New Roman" w:cs="Times New Roman" w:eastAsia="Times New Roman" w:hint="default"/>
          <w:spacing w:val="-2"/>
        </w:rPr>
        <w:t>AA-</w:t>
      </w:r>
      <w:r>
        <w:rPr>
          <w:spacing w:val="-2"/>
        </w:rPr>
        <w:t>，评级展</w:t>
      </w:r>
      <w:r>
        <w:rPr>
          <w:spacing w:val="-49"/>
        </w:rPr>
        <w:t> </w:t>
      </w:r>
      <w:r>
        <w:rPr>
          <w:spacing w:val="-49"/>
        </w:rPr>
      </w:r>
      <w:r>
        <w:rPr/>
        <w:t>望为稳定。公司债券信用等级为</w:t>
      </w:r>
      <w:r>
        <w:rPr>
          <w:rFonts w:ascii="Times New Roman" w:hAnsi="Times New Roman" w:cs="Times New Roman" w:eastAsia="Times New Roman" w:hint="default"/>
        </w:rPr>
        <w:t>AAA</w:t>
      </w:r>
      <w:r>
        <w:rPr/>
        <w:t>，本级别的定义为本期债券债务安全性极高，违约风险极低。公司主体信用评级等级 为</w:t>
      </w:r>
      <w:r>
        <w:rPr>
          <w:rFonts w:ascii="Times New Roman" w:hAnsi="Times New Roman" w:cs="Times New Roman" w:eastAsia="Times New Roman" w:hint="default"/>
        </w:rPr>
        <w:t>AA-,</w:t>
      </w:r>
      <w:r>
        <w:rPr>
          <w:rFonts w:ascii="Times New Roman" w:hAnsi="Times New Roman" w:cs="Times New Roman" w:eastAsia="Times New Roman" w:hint="default"/>
          <w:spacing w:val="25"/>
        </w:rPr>
        <w:t> </w:t>
      </w:r>
      <w:r>
        <w:rPr>
          <w:spacing w:val="-3"/>
        </w:rPr>
        <w:t>本级别的定义为偿还债务的能力很强，受不利经济环境的影响不大，违约风险极低。该跟踪评级报告详见公司于</w:t>
      </w:r>
      <w:r>
        <w:rPr>
          <w:rFonts w:ascii="Times New Roman" w:hAnsi="Times New Roman" w:cs="Times New Roman" w:eastAsia="Times New Roman" w:hint="default"/>
          <w:spacing w:val="-3"/>
        </w:rPr>
        <w:t>2017</w:t>
      </w:r>
      <w:r>
        <w:rPr>
          <w:rFonts w:ascii="Times New Roman" w:hAnsi="Times New Roman" w:cs="Times New Roman" w:eastAsia="Times New Roman" w:hint="default"/>
          <w:w w:val="99"/>
        </w:rPr>
        <w:t> </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17</w:t>
      </w:r>
      <w:r>
        <w:rPr>
          <w:spacing w:val="-1"/>
        </w:rPr>
        <w:t>日在巨潮资讯网（</w:t>
      </w:r>
      <w:hyperlink r:id="rId13">
        <w:r>
          <w:rPr>
            <w:rFonts w:ascii="Times New Roman" w:hAnsi="Times New Roman" w:cs="Times New Roman" w:eastAsia="Times New Roman" w:hint="default"/>
            <w:spacing w:val="-1"/>
          </w:rPr>
          <w:t>www.cninfo.com.cn</w:t>
        </w:r>
      </w:hyperlink>
      <w:r>
        <w:rPr>
          <w:spacing w:val="-1"/>
        </w:rPr>
        <w:t>）上披露的《公司</w:t>
      </w:r>
      <w:r>
        <w:rPr>
          <w:rFonts w:ascii="Times New Roman" w:hAnsi="Times New Roman" w:cs="Times New Roman" w:eastAsia="Times New Roman" w:hint="default"/>
          <w:spacing w:val="-1"/>
        </w:rPr>
        <w:t>2015</w:t>
      </w:r>
      <w:r>
        <w:rPr>
          <w:spacing w:val="-1"/>
        </w:rPr>
        <w:t>年公司债券（第一期、第二期）</w:t>
      </w:r>
      <w:r>
        <w:rPr>
          <w:rFonts w:ascii="Times New Roman" w:hAnsi="Times New Roman" w:cs="Times New Roman" w:eastAsia="Times New Roman" w:hint="default"/>
          <w:spacing w:val="-1"/>
        </w:rPr>
        <w:t>2017</w:t>
      </w:r>
      <w:r>
        <w:rPr>
          <w:spacing w:val="-1"/>
        </w:rPr>
        <w:t>年跟踪信用评级报</w:t>
      </w:r>
      <w:r>
        <w:rPr>
          <w:spacing w:val="-50"/>
        </w:rPr>
        <w:t> </w:t>
      </w:r>
      <w:r>
        <w:rPr>
          <w:spacing w:val="-50"/>
        </w:rPr>
      </w:r>
      <w:r>
        <w:rPr/>
        <w:t>告》。</w:t>
      </w:r>
    </w:p>
    <w:p>
      <w:pPr>
        <w:pStyle w:val="BodyText"/>
        <w:spacing w:line="300" w:lineRule="auto" w:before="31"/>
        <w:ind w:right="1126" w:firstLine="360"/>
        <w:jc w:val="left"/>
      </w:pPr>
      <w:r>
        <w:rPr>
          <w:spacing w:val="-2"/>
        </w:rPr>
        <w:t>（</w:t>
      </w:r>
      <w:r>
        <w:rPr>
          <w:rFonts w:ascii="Times New Roman" w:hAnsi="Times New Roman" w:cs="Times New Roman" w:eastAsia="Times New Roman" w:hint="default"/>
          <w:spacing w:val="-2"/>
        </w:rPr>
        <w:t>4</w:t>
      </w:r>
      <w:r>
        <w:rPr>
          <w:spacing w:val="-2"/>
        </w:rPr>
        <w:t>）鹏元资信评估有限公司于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23</w:t>
      </w:r>
      <w:r>
        <w:rPr>
          <w:spacing w:val="-2"/>
        </w:rPr>
        <w:t>日对公司</w:t>
      </w:r>
      <w:r>
        <w:rPr>
          <w:rFonts w:ascii="Times New Roman" w:hAnsi="Times New Roman" w:cs="Times New Roman" w:eastAsia="Times New Roman" w:hint="default"/>
          <w:spacing w:val="-2"/>
        </w:rPr>
        <w:t>2015</w:t>
      </w:r>
      <w:r>
        <w:rPr>
          <w:spacing w:val="-2"/>
        </w:rPr>
        <w:t>年公司债券（第一期、第二期）进行</w:t>
      </w:r>
      <w:r>
        <w:rPr>
          <w:rFonts w:ascii="Times New Roman" w:hAnsi="Times New Roman" w:cs="Times New Roman" w:eastAsia="Times New Roman" w:hint="default"/>
          <w:spacing w:val="-2"/>
        </w:rPr>
        <w:t>2018</w:t>
      </w:r>
      <w:r>
        <w:rPr>
          <w:spacing w:val="-2"/>
        </w:rPr>
        <w:t>年跟踪信用评级，本</w:t>
      </w:r>
      <w:r>
        <w:rPr/>
        <w:t> </w:t>
      </w:r>
      <w:r>
        <w:rPr>
          <w:spacing w:val="-2"/>
        </w:rPr>
        <w:t>次跟踪评级报告评级结果为：</w:t>
      </w:r>
      <w:r>
        <w:rPr>
          <w:rFonts w:ascii="Times New Roman" w:hAnsi="Times New Roman" w:cs="Times New Roman" w:eastAsia="Times New Roman" w:hint="default"/>
          <w:spacing w:val="-2"/>
        </w:rPr>
        <w:t>15</w:t>
      </w:r>
      <w:r>
        <w:rPr>
          <w:spacing w:val="-2"/>
        </w:rPr>
        <w:t>证通</w:t>
      </w:r>
      <w:r>
        <w:rPr>
          <w:rFonts w:ascii="Times New Roman" w:hAnsi="Times New Roman" w:cs="Times New Roman" w:eastAsia="Times New Roman" w:hint="default"/>
          <w:spacing w:val="-2"/>
        </w:rPr>
        <w:t>01</w:t>
      </w:r>
      <w:r>
        <w:rPr>
          <w:spacing w:val="-2"/>
        </w:rPr>
        <w:t>和</w:t>
      </w:r>
      <w:r>
        <w:rPr>
          <w:rFonts w:ascii="Times New Roman" w:hAnsi="Times New Roman" w:cs="Times New Roman" w:eastAsia="Times New Roman" w:hint="default"/>
          <w:spacing w:val="-2"/>
        </w:rPr>
        <w:t>15</w:t>
      </w:r>
      <w:r>
        <w:rPr>
          <w:spacing w:val="-2"/>
        </w:rPr>
        <w:t>证通</w:t>
      </w:r>
      <w:r>
        <w:rPr>
          <w:rFonts w:ascii="Times New Roman" w:hAnsi="Times New Roman" w:cs="Times New Roman" w:eastAsia="Times New Roman" w:hint="default"/>
          <w:spacing w:val="-2"/>
        </w:rPr>
        <w:t>02</w:t>
      </w:r>
      <w:r>
        <w:rPr>
          <w:spacing w:val="-2"/>
        </w:rPr>
        <w:t>的债券信用等级维持为</w:t>
      </w:r>
      <w:r>
        <w:rPr>
          <w:rFonts w:ascii="Times New Roman" w:hAnsi="Times New Roman" w:cs="Times New Roman" w:eastAsia="Times New Roman" w:hint="default"/>
          <w:spacing w:val="-2"/>
        </w:rPr>
        <w:t>AAA</w:t>
      </w:r>
      <w:r>
        <w:rPr>
          <w:spacing w:val="-2"/>
        </w:rPr>
        <w:t>，公司主体长期信用等级维持为</w:t>
      </w:r>
      <w:r>
        <w:rPr>
          <w:rFonts w:ascii="Times New Roman" w:hAnsi="Times New Roman" w:cs="Times New Roman" w:eastAsia="Times New Roman" w:hint="default"/>
          <w:spacing w:val="-2"/>
        </w:rPr>
        <w:t>AA-</w:t>
      </w:r>
      <w:r>
        <w:rPr>
          <w:spacing w:val="-2"/>
        </w:rPr>
        <w:t>，评级望</w:t>
      </w:r>
      <w:r>
        <w:rPr>
          <w:spacing w:val="-49"/>
        </w:rPr>
        <w:t> </w:t>
      </w:r>
      <w:r>
        <w:rPr>
          <w:spacing w:val="-49"/>
        </w:rPr>
      </w:r>
      <w:r>
        <w:rPr/>
        <w:t>为稳定。公司债券信用等级为</w:t>
      </w:r>
      <w:r>
        <w:rPr>
          <w:rFonts w:ascii="Times New Roman" w:hAnsi="Times New Roman" w:cs="Times New Roman" w:eastAsia="Times New Roman" w:hint="default"/>
        </w:rPr>
        <w:t>AAA</w:t>
      </w:r>
      <w:r>
        <w:rPr/>
        <w:t>，本级别的定义为本期债券债务安全性极高，违约风险极低。公司主体信用评级等级为 </w:t>
      </w:r>
      <w:r>
        <w:rPr>
          <w:rFonts w:ascii="Times New Roman" w:hAnsi="Times New Roman" w:cs="Times New Roman" w:eastAsia="Times New Roman" w:hint="default"/>
        </w:rPr>
        <w:t>AA-,</w:t>
      </w:r>
      <w:r>
        <w:rPr>
          <w:rFonts w:ascii="Times New Roman" w:hAnsi="Times New Roman" w:cs="Times New Roman" w:eastAsia="Times New Roman" w:hint="default"/>
          <w:spacing w:val="26"/>
        </w:rPr>
        <w:t> </w:t>
      </w:r>
      <w:r>
        <w:rPr/>
        <w:t>本级别的定义为偿还债务的能力很强，受不利经济环境的影响不大，违约风险极低。该跟踪评级报告详见公司于</w:t>
      </w:r>
      <w:r>
        <w:rPr>
          <w:rFonts w:ascii="Times New Roman" w:hAnsi="Times New Roman" w:cs="Times New Roman" w:eastAsia="Times New Roman" w:hint="default"/>
        </w:rPr>
        <w:t>2018</w:t>
      </w:r>
      <w:r>
        <w:rPr>
          <w:rFonts w:ascii="Times New Roman" w:hAnsi="Times New Roman" w:cs="Times New Roman" w:eastAsia="Times New Roman" w:hint="default"/>
          <w:w w:val="99"/>
        </w:rPr>
        <w:t>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日在巨潮资讯网（</w:t>
      </w:r>
      <w:hyperlink r:id="rId13">
        <w:r>
          <w:rPr>
            <w:rFonts w:ascii="Times New Roman" w:hAnsi="Times New Roman" w:cs="Times New Roman" w:eastAsia="Times New Roman" w:hint="default"/>
          </w:rPr>
          <w:t>www.cninfo.com.cn</w:t>
        </w:r>
      </w:hyperlink>
      <w:r>
        <w:rPr/>
        <w:t>）上披露的《公司</w:t>
      </w:r>
      <w:r>
        <w:rPr>
          <w:rFonts w:ascii="Times New Roman" w:hAnsi="Times New Roman" w:cs="Times New Roman" w:eastAsia="Times New Roman" w:hint="default"/>
        </w:rPr>
        <w:t>2015</w:t>
      </w:r>
      <w:r>
        <w:rPr/>
        <w:t>年公司债券（第一期、第二期）</w:t>
      </w:r>
      <w:r>
        <w:rPr>
          <w:rFonts w:ascii="Times New Roman" w:hAnsi="Times New Roman" w:cs="Times New Roman" w:eastAsia="Times New Roman" w:hint="default"/>
        </w:rPr>
        <w:t>2018</w:t>
      </w:r>
      <w:r>
        <w:rPr/>
        <w:t>年跟踪信用评级报 告》。</w:t>
      </w:r>
    </w:p>
    <w:p>
      <w:pPr>
        <w:pStyle w:val="BodyText"/>
        <w:spacing w:line="300" w:lineRule="auto" w:before="31"/>
        <w:ind w:right="1131" w:firstLine="360"/>
        <w:jc w:val="both"/>
      </w:pPr>
      <w:r>
        <w:rPr/>
        <w:t>（</w:t>
      </w:r>
      <w:r>
        <w:rPr>
          <w:rFonts w:ascii="Times New Roman" w:hAnsi="Times New Roman" w:cs="Times New Roman" w:eastAsia="Times New Roman" w:hint="default"/>
        </w:rPr>
        <w:t>5</w:t>
      </w:r>
      <w:r>
        <w:rPr/>
        <w:t>）鹏元资信在初次评级结束后，将在受评债券存续期间对受评对象开展定期以及不定期跟踪评级，在跟踪评级过程 中，鹏元资信将维持评级标准的一致性。定期跟踪评级每年进行一次</w:t>
      </w:r>
      <w:r>
        <w:rPr>
          <w:rFonts w:ascii="Times New Roman" w:hAnsi="Times New Roman" w:cs="Times New Roman" w:eastAsia="Times New Roman" w:hint="default"/>
        </w:rPr>
        <w:t>,</w:t>
      </w:r>
      <w:r>
        <w:rPr>
          <w:rFonts w:ascii="Times New Roman" w:hAnsi="Times New Roman" w:cs="Times New Roman" w:eastAsia="Times New Roman" w:hint="default"/>
          <w:spacing w:val="10"/>
        </w:rPr>
        <w:t> </w:t>
      </w:r>
      <w:r>
        <w:rPr/>
        <w:t>在受评债券存续期内发行主体发布年度报告后两个月 </w:t>
      </w:r>
      <w:r>
        <w:rPr>
          <w:spacing w:val="-2"/>
        </w:rPr>
        <w:t>内出具一次定期跟踪评级报告。鹏元资信将及时在网站（</w:t>
      </w:r>
      <w:hyperlink r:id="rId18">
        <w:r>
          <w:rPr>
            <w:rFonts w:ascii="Times New Roman" w:hAnsi="Times New Roman" w:cs="Times New Roman" w:eastAsia="Times New Roman" w:hint="default"/>
            <w:spacing w:val="-2"/>
          </w:rPr>
          <w:t>www.pyrating.cn</w:t>
        </w:r>
      </w:hyperlink>
      <w:r>
        <w:rPr>
          <w:spacing w:val="-2"/>
        </w:rPr>
        <w:t>）公布跟踪评级结果与跟踪评级报告。上述跟踪评</w:t>
      </w:r>
      <w:r>
        <w:rPr>
          <w:spacing w:val="-44"/>
        </w:rPr>
        <w:t> </w:t>
      </w:r>
      <w:r>
        <w:rPr>
          <w:spacing w:val="-44"/>
        </w:rPr>
      </w:r>
      <w:r>
        <w:rPr/>
        <w:t>级报告出具后，公司将在巨潮资讯网（</w:t>
      </w:r>
      <w:hyperlink r:id="rId13">
        <w:r>
          <w:rPr>
            <w:rFonts w:ascii="Times New Roman" w:hAnsi="Times New Roman" w:cs="Times New Roman" w:eastAsia="Times New Roman" w:hint="default"/>
          </w:rPr>
          <w:t>www.cninfo.com.cn</w:t>
        </w:r>
      </w:hyperlink>
      <w:r>
        <w:rPr/>
        <w:t>）上予以公告。</w:t>
      </w:r>
    </w:p>
    <w:p>
      <w:pPr>
        <w:spacing w:line="240" w:lineRule="auto" w:before="5"/>
        <w:rPr>
          <w:rFonts w:ascii="宋体" w:hAnsi="宋体" w:cs="宋体" w:eastAsia="宋体" w:hint="default"/>
          <w:sz w:val="20"/>
          <w:szCs w:val="20"/>
        </w:rPr>
      </w:pPr>
    </w:p>
    <w:p>
      <w:pPr>
        <w:pStyle w:val="Heading2"/>
        <w:spacing w:line="240" w:lineRule="auto"/>
        <w:ind w:right="1133"/>
        <w:jc w:val="left"/>
        <w:rPr>
          <w:b w:val="0"/>
          <w:bCs w:val="0"/>
        </w:rPr>
      </w:pPr>
      <w:r>
        <w:rPr/>
        <w:t>五、</w:t>
      </w:r>
      <w:r>
        <w:rPr>
          <w:spacing w:val="-4"/>
        </w:rPr>
        <w:t> </w:t>
      </w:r>
      <w:r>
        <w:rPr/>
        <w:t>公司债券增信机制、偿债计划及其他偿债保障措施</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29" w:firstLine="360"/>
        <w:jc w:val="left"/>
      </w:pPr>
      <w:r>
        <w:rPr>
          <w:spacing w:val="-5"/>
        </w:rPr>
        <w:t>报告期内，公司债券增信机制、偿债计划及偿债保障措施未发生变更，与《公司公开发行</w:t>
      </w:r>
      <w:r>
        <w:rPr>
          <w:rFonts w:ascii="Times New Roman" w:hAnsi="Times New Roman" w:cs="Times New Roman" w:eastAsia="Times New Roman" w:hint="default"/>
          <w:spacing w:val="-5"/>
        </w:rPr>
        <w:t>2015</w:t>
      </w:r>
      <w:r>
        <w:rPr>
          <w:spacing w:val="-5"/>
        </w:rPr>
        <w:t>年公司债券募集说明书（面</w:t>
      </w:r>
      <w:r>
        <w:rPr/>
        <w:t> 向合格投资者）》</w:t>
      </w:r>
      <w:r>
        <w:rPr>
          <w:rFonts w:ascii="Times New Roman" w:hAnsi="Times New Roman" w:cs="Times New Roman" w:eastAsia="Times New Roman" w:hint="default"/>
        </w:rPr>
        <w:t>(</w:t>
      </w:r>
      <w:r>
        <w:rPr/>
        <w:t>第一期</w:t>
      </w:r>
      <w:r>
        <w:rPr>
          <w:rFonts w:ascii="Times New Roman" w:hAnsi="Times New Roman" w:cs="Times New Roman" w:eastAsia="Times New Roman" w:hint="default"/>
        </w:rPr>
        <w:t>)</w:t>
      </w:r>
      <w:r>
        <w:rPr/>
        <w:t>、（第二期）中约定及承诺内容一致，并严格执行。</w:t>
      </w:r>
    </w:p>
    <w:p>
      <w:pPr>
        <w:pStyle w:val="BodyText"/>
        <w:spacing w:line="316" w:lineRule="auto" w:before="13"/>
        <w:ind w:left="513" w:right="1129"/>
        <w:jc w:val="left"/>
      </w:pPr>
      <w:r>
        <w:rPr/>
        <w:t>一、增信机制 </w:t>
      </w:r>
      <w:r>
        <w:rPr>
          <w:spacing w:val="-2"/>
        </w:rPr>
        <w:t>本期债券由深圳市高新投集团有限公司提供无条件的不可撤销的连带责任保证，担保范围包括本期债券的全部本金及利</w:t>
      </w:r>
    </w:p>
    <w:p>
      <w:pPr>
        <w:pStyle w:val="BodyText"/>
        <w:spacing w:line="300" w:lineRule="auto" w:before="19"/>
        <w:ind w:right="1129"/>
        <w:jc w:val="left"/>
      </w:pPr>
      <w:r>
        <w:rPr>
          <w:spacing w:val="-4"/>
        </w:rPr>
        <w:t>息、违约金、损害赔偿金和实现债权的全部费用。</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25</w:t>
      </w:r>
      <w:r>
        <w:rPr>
          <w:spacing w:val="-4"/>
        </w:rPr>
        <w:t>日，深圳市高新投集团有限公司为本期债券出具了担保函，</w:t>
      </w:r>
      <w:r>
        <w:rPr>
          <w:spacing w:val="-49"/>
        </w:rPr>
        <w:t> </w:t>
      </w:r>
      <w:r>
        <w:rPr/>
        <w:t>并</w:t>
      </w:r>
      <w:r>
        <w:rPr>
          <w:spacing w:val="-81"/>
        </w:rPr>
        <w:t> </w:t>
      </w:r>
      <w:r>
        <w:rPr>
          <w:spacing w:val="-81"/>
        </w:rPr>
      </w:r>
      <w:r>
        <w:rPr/>
        <w:t>与公司签订了担保合同。其</w:t>
      </w:r>
      <w:r>
        <w:rPr>
          <w:rFonts w:ascii="Times New Roman" w:hAnsi="Times New Roman" w:cs="Times New Roman" w:eastAsia="Times New Roman" w:hint="default"/>
        </w:rPr>
        <w:t>2018</w:t>
      </w:r>
      <w:r>
        <w:rPr/>
        <w:t>年度主要财务数据及财务指标（合并口径）如下表：</w:t>
      </w:r>
    </w:p>
    <w:tbl>
      <w:tblPr>
        <w:tblW w:w="0" w:type="auto"/>
        <w:jc w:val="left"/>
        <w:tblInd w:w="183" w:type="dxa"/>
        <w:tblLayout w:type="fixed"/>
        <w:tblCellMar>
          <w:top w:w="0" w:type="dxa"/>
          <w:left w:w="0" w:type="dxa"/>
          <w:bottom w:w="0" w:type="dxa"/>
          <w:right w:w="0" w:type="dxa"/>
        </w:tblCellMar>
        <w:tblLook w:val="01E0"/>
      </w:tblPr>
      <w:tblGrid>
        <w:gridCol w:w="2939"/>
        <w:gridCol w:w="3459"/>
        <w:gridCol w:w="3459"/>
      </w:tblGrid>
      <w:tr>
        <w:trPr>
          <w:trHeight w:val="427" w:hRule="exact"/>
        </w:trPr>
        <w:tc>
          <w:tcPr>
            <w:tcW w:w="2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日（未经审计）</w:t>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08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427" w:hRule="exact"/>
        </w:trPr>
        <w:tc>
          <w:tcPr>
            <w:tcW w:w="2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总资产（万元）</w:t>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2,056,178.42</w:t>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1,346,952.97</w:t>
            </w:r>
          </w:p>
        </w:tc>
      </w:tr>
      <w:tr>
        <w:trPr>
          <w:trHeight w:val="427" w:hRule="exact"/>
        </w:trPr>
        <w:tc>
          <w:tcPr>
            <w:tcW w:w="2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归属于母公司所有者权益（万元）</w:t>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1,179,789.84</w:t>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1,119,107.66</w:t>
            </w:r>
          </w:p>
        </w:tc>
      </w:tr>
      <w:tr>
        <w:trPr>
          <w:trHeight w:val="427" w:hRule="exact"/>
        </w:trPr>
        <w:tc>
          <w:tcPr>
            <w:tcW w:w="2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资产负债率（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42.62</w:t>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16.88</w:t>
            </w:r>
          </w:p>
        </w:tc>
      </w:tr>
      <w:tr>
        <w:trPr>
          <w:trHeight w:val="428" w:hRule="exact"/>
        </w:trPr>
        <w:tc>
          <w:tcPr>
            <w:tcW w:w="2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流动比率（倍）</w:t>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6.13</w:t>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9.91</w:t>
            </w:r>
          </w:p>
        </w:tc>
      </w:tr>
      <w:tr>
        <w:trPr>
          <w:trHeight w:val="427" w:hRule="exact"/>
        </w:trPr>
        <w:tc>
          <w:tcPr>
            <w:tcW w:w="2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速动比率（倍）</w:t>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5.21</w:t>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9.91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83" w:type="dxa"/>
        <w:tblLayout w:type="fixed"/>
        <w:tblCellMar>
          <w:top w:w="0" w:type="dxa"/>
          <w:left w:w="0" w:type="dxa"/>
          <w:bottom w:w="0" w:type="dxa"/>
          <w:right w:w="0" w:type="dxa"/>
        </w:tblCellMar>
        <w:tblLook w:val="01E0"/>
      </w:tblPr>
      <w:tblGrid>
        <w:gridCol w:w="2939"/>
        <w:gridCol w:w="3459"/>
        <w:gridCol w:w="3459"/>
      </w:tblGrid>
      <w:tr>
        <w:trPr>
          <w:trHeight w:val="428" w:hRule="exact"/>
        </w:trPr>
        <w:tc>
          <w:tcPr>
            <w:tcW w:w="2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8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年度（未经审计）</w:t>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w:t>
            </w:r>
          </w:p>
        </w:tc>
      </w:tr>
      <w:tr>
        <w:trPr>
          <w:trHeight w:val="427" w:hRule="exact"/>
        </w:trPr>
        <w:tc>
          <w:tcPr>
            <w:tcW w:w="2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营业总收入（万元）</w:t>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208,124.75</w:t>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150,517.45</w:t>
            </w:r>
          </w:p>
        </w:tc>
      </w:tr>
      <w:tr>
        <w:trPr>
          <w:trHeight w:val="427" w:hRule="exact"/>
        </w:trPr>
        <w:tc>
          <w:tcPr>
            <w:tcW w:w="2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利润总额（万元）</w:t>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152,079.39</w:t>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110,942.95</w:t>
            </w:r>
          </w:p>
        </w:tc>
      </w:tr>
      <w:tr>
        <w:trPr>
          <w:trHeight w:val="427" w:hRule="exact"/>
        </w:trPr>
        <w:tc>
          <w:tcPr>
            <w:tcW w:w="2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净利润（万元）</w:t>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114,357.56</w:t>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83,487.27</w:t>
            </w:r>
          </w:p>
        </w:tc>
      </w:tr>
      <w:tr>
        <w:trPr>
          <w:trHeight w:val="427" w:hRule="exact"/>
        </w:trPr>
        <w:tc>
          <w:tcPr>
            <w:tcW w:w="2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9.69</w:t>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9.41</w:t>
            </w:r>
          </w:p>
        </w:tc>
      </w:tr>
    </w:tbl>
    <w:p>
      <w:pPr>
        <w:pStyle w:val="BodyText"/>
        <w:spacing w:line="300" w:lineRule="auto" w:before="8"/>
        <w:ind w:left="513" w:right="944"/>
        <w:jc w:val="left"/>
      </w:pPr>
      <w:r>
        <w:rPr>
          <w:spacing w:val="-1"/>
        </w:rPr>
        <w:t>鹏元资信于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27</w:t>
      </w:r>
      <w:r>
        <w:rPr>
          <w:spacing w:val="-1"/>
        </w:rPr>
        <w:t>日将深圳市高新投集团有限公司主体长期信用等级由</w:t>
      </w:r>
      <w:r>
        <w:rPr>
          <w:rFonts w:ascii="Times New Roman" w:hAnsi="Times New Roman" w:cs="Times New Roman" w:eastAsia="Times New Roman" w:hint="default"/>
          <w:spacing w:val="-1"/>
        </w:rPr>
        <w:t>AA+</w:t>
      </w:r>
      <w:r>
        <w:rPr>
          <w:spacing w:val="-1"/>
        </w:rPr>
        <w:t>上调至</w:t>
      </w:r>
      <w:r>
        <w:rPr>
          <w:rFonts w:ascii="Times New Roman" w:hAnsi="Times New Roman" w:cs="Times New Roman" w:eastAsia="Times New Roman" w:hint="default"/>
          <w:spacing w:val="-1"/>
        </w:rPr>
        <w:t>AAA</w:t>
      </w:r>
      <w:r>
        <w:rPr>
          <w:spacing w:val="-1"/>
        </w:rPr>
        <w:t>，评级展望维持为</w:t>
      </w:r>
      <w:r>
        <w:rPr>
          <w:rFonts w:ascii="Times New Roman" w:hAnsi="Times New Roman" w:cs="Times New Roman" w:eastAsia="Times New Roman" w:hint="default"/>
          <w:spacing w:val="-1"/>
        </w:rPr>
        <w:t>“</w:t>
      </w:r>
      <w:r>
        <w:rPr>
          <w:spacing w:val="-1"/>
        </w:rPr>
        <w:t>稳定</w:t>
      </w:r>
      <w:r>
        <w:rPr>
          <w:rFonts w:ascii="Times New Roman" w:hAnsi="Times New Roman" w:cs="Times New Roman" w:eastAsia="Times New Roman" w:hint="default"/>
          <w:spacing w:val="-1"/>
        </w:rPr>
        <w:t>”</w:t>
      </w:r>
      <w:r>
        <w:rPr>
          <w:spacing w:val="-1"/>
        </w:rPr>
        <w:t>。</w:t>
      </w:r>
      <w:r>
        <w:rPr>
          <w:spacing w:val="-44"/>
        </w:rPr>
        <w:t> </w:t>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日，深圳市高新投集团有限公司对外担保本金余为</w:t>
      </w:r>
      <w:r>
        <w:rPr>
          <w:rFonts w:ascii="Times New Roman" w:hAnsi="Times New Roman" w:cs="Times New Roman" w:eastAsia="Times New Roman" w:hint="default"/>
        </w:rPr>
        <w:t>1,092.39</w:t>
      </w:r>
      <w:r>
        <w:rPr/>
        <w:t>亿元人民币，占其</w:t>
      </w:r>
      <w:r>
        <w:rPr>
          <w:rFonts w:ascii="Times New Roman" w:hAnsi="Times New Roman" w:cs="Times New Roman" w:eastAsia="Times New Roman" w:hint="default"/>
        </w:rPr>
        <w:t>2018</w:t>
      </w:r>
      <w:r>
        <w:rPr/>
        <w:t>年末经审计净资产</w:t>
      </w:r>
    </w:p>
    <w:p>
      <w:pPr>
        <w:pStyle w:val="BodyText"/>
        <w:spacing w:line="300" w:lineRule="auto" w:before="13"/>
        <w:ind w:left="513" w:right="9313" w:hanging="361"/>
        <w:jc w:val="left"/>
      </w:pPr>
      <w:r>
        <w:rPr/>
        <w:t>比重为</w:t>
      </w:r>
      <w:r>
        <w:rPr>
          <w:rFonts w:ascii="Times New Roman" w:hAnsi="Times New Roman" w:cs="Times New Roman" w:eastAsia="Times New Roman" w:hint="default"/>
        </w:rPr>
        <w:t>925.92%</w:t>
      </w:r>
      <w:r>
        <w:rPr/>
        <w:t>。 二、偿债计划</w:t>
      </w:r>
    </w:p>
    <w:p>
      <w:pPr>
        <w:pStyle w:val="BodyText"/>
        <w:spacing w:line="240" w:lineRule="auto" w:before="32"/>
        <w:ind w:left="513" w:right="1133"/>
        <w:jc w:val="left"/>
      </w:pP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2015</w:t>
      </w:r>
      <w:r>
        <w:rPr/>
        <w:t>年面向合格投资者公开发行公司债券（第一期）</w:t>
      </w:r>
    </w:p>
    <w:p>
      <w:pPr>
        <w:pStyle w:val="BodyText"/>
        <w:spacing w:line="240" w:lineRule="auto" w:before="63"/>
        <w:ind w:left="513" w:right="1133"/>
        <w:jc w:val="left"/>
      </w:pPr>
      <w:r>
        <w:rPr/>
        <w:t>（一）本期公司债券的起息日为公司债券的发行起始日，即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21</w:t>
      </w:r>
      <w:r>
        <w:rPr/>
        <w:t>日。</w:t>
      </w:r>
    </w:p>
    <w:p>
      <w:pPr>
        <w:pStyle w:val="BodyText"/>
        <w:spacing w:line="309" w:lineRule="auto" w:before="63"/>
        <w:ind w:right="1128" w:firstLine="360"/>
        <w:jc w:val="both"/>
      </w:pPr>
      <w:r>
        <w:rPr>
          <w:spacing w:val="-2"/>
        </w:rPr>
        <w:t>（二）本期公司债券的利息自起息日起每年支付一次。最后一期利息随本金的兑付一起支付。本期债券每年的付息日为</w:t>
      </w:r>
      <w:r>
        <w:rPr/>
        <w:t> </w:t>
      </w:r>
      <w:r>
        <w:rPr>
          <w:rFonts w:ascii="Times New Roman" w:hAnsi="Times New Roman" w:cs="Times New Roman" w:eastAsia="Times New Roman" w:hint="default"/>
          <w:spacing w:val="-4"/>
        </w:rPr>
        <w:t>2016</w:t>
      </w:r>
      <w:r>
        <w:rPr>
          <w:spacing w:val="-4"/>
        </w:rPr>
        <w:t>年至</w:t>
      </w:r>
      <w:r>
        <w:rPr>
          <w:rFonts w:ascii="Times New Roman" w:hAnsi="Times New Roman" w:cs="Times New Roman" w:eastAsia="Times New Roman" w:hint="default"/>
          <w:spacing w:val="-4"/>
        </w:rPr>
        <w:t>2020</w:t>
      </w:r>
      <w:r>
        <w:rPr>
          <w:spacing w:val="-4"/>
        </w:rPr>
        <w:t>年每年的</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21</w:t>
      </w:r>
      <w:r>
        <w:rPr>
          <w:spacing w:val="-4"/>
        </w:rPr>
        <w:t>日（如遇法定节假日或休息日，则顺延至其后的第</w:t>
      </w:r>
      <w:r>
        <w:rPr>
          <w:rFonts w:ascii="Times New Roman" w:hAnsi="Times New Roman" w:cs="Times New Roman" w:eastAsia="Times New Roman" w:hint="default"/>
          <w:spacing w:val="-4"/>
        </w:rPr>
        <w:t>1</w:t>
      </w:r>
      <w:r>
        <w:rPr>
          <w:spacing w:val="-4"/>
        </w:rPr>
        <w:t>个交易日）。若投资者行使回售选择权，</w:t>
      </w:r>
      <w:r>
        <w:rPr>
          <w:spacing w:val="-50"/>
        </w:rPr>
        <w:t> </w:t>
      </w:r>
      <w:r>
        <w:rPr/>
        <w:t>则</w:t>
      </w:r>
      <w:r>
        <w:rPr>
          <w:spacing w:val="-72"/>
        </w:rPr>
        <w:t> </w:t>
      </w:r>
      <w:r>
        <w:rPr>
          <w:spacing w:val="-72"/>
        </w:rPr>
      </w:r>
      <w:r>
        <w:rPr>
          <w:spacing w:val="-3"/>
        </w:rPr>
        <w:t>回售部分债券的付息日为自</w:t>
      </w:r>
      <w:r>
        <w:rPr>
          <w:rFonts w:ascii="Times New Roman" w:hAnsi="Times New Roman" w:cs="Times New Roman" w:eastAsia="Times New Roman" w:hint="default"/>
          <w:spacing w:val="-3"/>
        </w:rPr>
        <w:t>2016</w:t>
      </w:r>
      <w:r>
        <w:rPr>
          <w:spacing w:val="-3"/>
        </w:rPr>
        <w:t>年至</w:t>
      </w:r>
      <w:r>
        <w:rPr>
          <w:rFonts w:ascii="Times New Roman" w:hAnsi="Times New Roman" w:cs="Times New Roman" w:eastAsia="Times New Roman" w:hint="default"/>
          <w:spacing w:val="-3"/>
        </w:rPr>
        <w:t>2018</w:t>
      </w:r>
      <w:r>
        <w:rPr>
          <w:spacing w:val="-3"/>
        </w:rPr>
        <w:t>年间每年的</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21</w:t>
      </w:r>
      <w:r>
        <w:rPr>
          <w:spacing w:val="-3"/>
        </w:rPr>
        <w:t>日（如遇法定节假日或休息日，则顺延至其后的第</w:t>
      </w:r>
      <w:r>
        <w:rPr>
          <w:rFonts w:ascii="Times New Roman" w:hAnsi="Times New Roman" w:cs="Times New Roman" w:eastAsia="Times New Roman" w:hint="default"/>
          <w:spacing w:val="-3"/>
        </w:rPr>
        <w:t>1</w:t>
      </w:r>
      <w:r>
        <w:rPr>
          <w:spacing w:val="-3"/>
        </w:rPr>
        <w:t>个交易日）。</w:t>
      </w:r>
    </w:p>
    <w:p>
      <w:pPr>
        <w:pStyle w:val="BodyText"/>
        <w:spacing w:line="300" w:lineRule="auto" w:before="5"/>
        <w:ind w:right="1131" w:firstLine="360"/>
        <w:jc w:val="both"/>
      </w:pPr>
      <w:r>
        <w:rPr>
          <w:spacing w:val="-2"/>
        </w:rPr>
        <w:t>（三）本期债券到期一次还本。本期债券的本金支付日为</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21</w:t>
      </w:r>
      <w:r>
        <w:rPr>
          <w:spacing w:val="-2"/>
        </w:rPr>
        <w:t>日（如遇法定节假日或休息日，则顺延至其后的</w:t>
      </w:r>
      <w:r>
        <w:rPr/>
        <w:t> 第</w:t>
      </w:r>
      <w:r>
        <w:rPr>
          <w:rFonts w:ascii="Times New Roman" w:hAnsi="Times New Roman" w:cs="Times New Roman" w:eastAsia="Times New Roman" w:hint="default"/>
        </w:rPr>
        <w:t>1</w:t>
      </w:r>
      <w:r>
        <w:rPr/>
        <w:t>个交易日）。若投资者行使回售选择权，则回售和本金支付工作根据登记公司和有关机构规定办理。</w:t>
      </w:r>
    </w:p>
    <w:p>
      <w:pPr>
        <w:pStyle w:val="BodyText"/>
        <w:spacing w:line="316" w:lineRule="auto" w:before="13"/>
        <w:ind w:right="1133" w:firstLine="360"/>
        <w:jc w:val="both"/>
      </w:pPr>
      <w:r>
        <w:rPr>
          <w:spacing w:val="-2"/>
        </w:rPr>
        <w:t>（四）本期债券的本金兑付、利息支付将通过登记机构和有关机构办理。本金兑付、利息支付的具体事项将按照国家有</w:t>
      </w:r>
      <w:r>
        <w:rPr/>
        <w:t> 关规定，由公司在中国证监会指定媒体上发布的相关公告中加以说明。</w:t>
      </w:r>
    </w:p>
    <w:p>
      <w:pPr>
        <w:pStyle w:val="BodyText"/>
        <w:spacing w:line="240" w:lineRule="auto" w:before="19"/>
        <w:ind w:left="513" w:right="1133"/>
        <w:jc w:val="left"/>
      </w:pPr>
      <w:r>
        <w:rPr/>
        <w:t>（五）根据国家税收法律、法规，投资者投资本期债券应缴纳的有关税金由投资者自行承担。</w:t>
      </w:r>
    </w:p>
    <w:p>
      <w:pPr>
        <w:pStyle w:val="BodyText"/>
        <w:spacing w:line="240" w:lineRule="auto" w:before="77"/>
        <w:ind w:left="513" w:right="1133"/>
        <w:jc w:val="left"/>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2015</w:t>
      </w:r>
      <w:r>
        <w:rPr/>
        <w:t>年面向合格投资者公开发行公司债券（第二期）</w:t>
      </w:r>
    </w:p>
    <w:p>
      <w:pPr>
        <w:pStyle w:val="BodyText"/>
        <w:spacing w:line="240" w:lineRule="auto" w:before="63"/>
        <w:ind w:left="513" w:right="1133"/>
        <w:jc w:val="left"/>
      </w:pPr>
      <w:r>
        <w:rPr/>
        <w:t>（一）本期公司债券的起息日为公司债券的发行起始日，即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w:t>
      </w:r>
    </w:p>
    <w:p>
      <w:pPr>
        <w:pStyle w:val="BodyText"/>
        <w:spacing w:line="309" w:lineRule="auto" w:before="63"/>
        <w:ind w:right="1128" w:firstLine="360"/>
        <w:jc w:val="both"/>
      </w:pPr>
      <w:r>
        <w:rPr>
          <w:spacing w:val="-2"/>
        </w:rPr>
        <w:t>（二）本期公司债券的利息自起息日起每年支付一次。最后一期利息随本金的兑付一起支付。本期债券每年的付息日为</w:t>
      </w:r>
      <w:r>
        <w:rPr/>
        <w:t> </w:t>
      </w:r>
      <w:r>
        <w:rPr>
          <w:rFonts w:ascii="Times New Roman" w:hAnsi="Times New Roman" w:cs="Times New Roman" w:eastAsia="Times New Roman" w:hint="default"/>
          <w:spacing w:val="-4"/>
        </w:rPr>
        <w:t>2016</w:t>
      </w:r>
      <w:r>
        <w:rPr>
          <w:spacing w:val="-4"/>
        </w:rPr>
        <w:t>年至</w:t>
      </w:r>
      <w:r>
        <w:rPr>
          <w:rFonts w:ascii="Times New Roman" w:hAnsi="Times New Roman" w:cs="Times New Roman" w:eastAsia="Times New Roman" w:hint="default"/>
          <w:spacing w:val="-4"/>
        </w:rPr>
        <w:t>2020</w:t>
      </w:r>
      <w:r>
        <w:rPr>
          <w:spacing w:val="-4"/>
        </w:rPr>
        <w:t>年每年的</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30</w:t>
      </w:r>
      <w:r>
        <w:rPr>
          <w:spacing w:val="-4"/>
        </w:rPr>
        <w:t>日（如遇法定节假日或休息日，则顺延至其后的第</w:t>
      </w:r>
      <w:r>
        <w:rPr>
          <w:rFonts w:ascii="Times New Roman" w:hAnsi="Times New Roman" w:cs="Times New Roman" w:eastAsia="Times New Roman" w:hint="default"/>
          <w:spacing w:val="-4"/>
        </w:rPr>
        <w:t>1</w:t>
      </w:r>
      <w:r>
        <w:rPr>
          <w:spacing w:val="-4"/>
        </w:rPr>
        <w:t>个交易日）。若投资者行使回售选择权，</w:t>
      </w:r>
      <w:r>
        <w:rPr>
          <w:spacing w:val="-50"/>
        </w:rPr>
        <w:t> </w:t>
      </w:r>
      <w:r>
        <w:rPr/>
        <w:t>则</w:t>
      </w:r>
      <w:r>
        <w:rPr>
          <w:spacing w:val="-72"/>
        </w:rPr>
        <w:t> </w:t>
      </w:r>
      <w:r>
        <w:rPr>
          <w:spacing w:val="-72"/>
        </w:rPr>
      </w:r>
      <w:r>
        <w:rPr>
          <w:spacing w:val="-3"/>
        </w:rPr>
        <w:t>回售部分债券的付息日为自</w:t>
      </w:r>
      <w:r>
        <w:rPr>
          <w:rFonts w:ascii="Times New Roman" w:hAnsi="Times New Roman" w:cs="Times New Roman" w:eastAsia="Times New Roman" w:hint="default"/>
          <w:spacing w:val="-3"/>
        </w:rPr>
        <w:t>2016</w:t>
      </w:r>
      <w:r>
        <w:rPr>
          <w:spacing w:val="-3"/>
        </w:rPr>
        <w:t>年至</w:t>
      </w:r>
      <w:r>
        <w:rPr>
          <w:rFonts w:ascii="Times New Roman" w:hAnsi="Times New Roman" w:cs="Times New Roman" w:eastAsia="Times New Roman" w:hint="default"/>
          <w:spacing w:val="-3"/>
        </w:rPr>
        <w:t>2018</w:t>
      </w:r>
      <w:r>
        <w:rPr>
          <w:spacing w:val="-3"/>
        </w:rPr>
        <w:t>年间每年的</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30</w:t>
      </w:r>
      <w:r>
        <w:rPr>
          <w:spacing w:val="-3"/>
        </w:rPr>
        <w:t>日（如遇法定节假日或休息日，则顺延至其后的第</w:t>
      </w:r>
      <w:r>
        <w:rPr>
          <w:rFonts w:ascii="Times New Roman" w:hAnsi="Times New Roman" w:cs="Times New Roman" w:eastAsia="Times New Roman" w:hint="default"/>
          <w:spacing w:val="-3"/>
        </w:rPr>
        <w:t>1</w:t>
      </w:r>
      <w:r>
        <w:rPr>
          <w:spacing w:val="-3"/>
        </w:rPr>
        <w:t>个交易日）。</w:t>
      </w:r>
    </w:p>
    <w:p>
      <w:pPr>
        <w:pStyle w:val="BodyText"/>
        <w:spacing w:line="300" w:lineRule="auto" w:before="5"/>
        <w:ind w:right="1131" w:firstLine="360"/>
        <w:jc w:val="both"/>
      </w:pPr>
      <w:r>
        <w:rPr>
          <w:spacing w:val="-2"/>
        </w:rPr>
        <w:t>（三）本期债券到期一次还本。本期债券的本金支付日为</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30</w:t>
      </w:r>
      <w:r>
        <w:rPr>
          <w:spacing w:val="-2"/>
        </w:rPr>
        <w:t>日（如遇法定节假日或休息日，则顺延至其后的</w:t>
      </w:r>
      <w:r>
        <w:rPr/>
        <w:t> 第</w:t>
      </w:r>
      <w:r>
        <w:rPr>
          <w:rFonts w:ascii="Times New Roman" w:hAnsi="Times New Roman" w:cs="Times New Roman" w:eastAsia="Times New Roman" w:hint="default"/>
        </w:rPr>
        <w:t>1</w:t>
      </w:r>
      <w:r>
        <w:rPr/>
        <w:t>个交易日）。若投资者行使回售选择权，则回售和本金支付工作根据登记公司和有关机构规定办理。</w:t>
      </w:r>
    </w:p>
    <w:p>
      <w:pPr>
        <w:pStyle w:val="BodyText"/>
        <w:spacing w:line="316" w:lineRule="auto" w:before="13"/>
        <w:ind w:right="1133" w:firstLine="360"/>
        <w:jc w:val="both"/>
      </w:pPr>
      <w:r>
        <w:rPr>
          <w:spacing w:val="-2"/>
        </w:rPr>
        <w:t>（四）本期债券的本金兑付、利息支付将通过登记机构和有关机构办理。本金兑付、利息支付的具体事项将按照国家有</w:t>
      </w:r>
      <w:r>
        <w:rPr/>
        <w:t> 关规定，由公司在中国证监会指定媒体上发布的相关公告中加以说明。</w:t>
      </w:r>
    </w:p>
    <w:p>
      <w:pPr>
        <w:pStyle w:val="BodyText"/>
        <w:spacing w:line="316" w:lineRule="auto" w:before="19"/>
        <w:ind w:left="513" w:right="3013"/>
        <w:jc w:val="left"/>
      </w:pPr>
      <w:r>
        <w:rPr/>
        <w:t>（五）根据国家税收法律、法规，投资者投资本期债券应缴纳的有关税金由投资者自行承担。 三、偿债保障措施</w:t>
      </w:r>
    </w:p>
    <w:p>
      <w:pPr>
        <w:pStyle w:val="BodyText"/>
        <w:spacing w:line="316" w:lineRule="auto" w:before="19"/>
        <w:ind w:right="1133" w:firstLine="360"/>
        <w:jc w:val="both"/>
      </w:pPr>
      <w:r>
        <w:rPr>
          <w:spacing w:val="-2"/>
        </w:rPr>
        <w:t>为了充分、有效地维护本期债券持有人的合法权益，发行人为本期债券的按时、足额偿付制定了一系列工作计划，努力</w:t>
      </w:r>
      <w:r>
        <w:rPr/>
        <w:t> 形成一套确保债券安全兑付的保障措施。</w:t>
      </w:r>
    </w:p>
    <w:p>
      <w:pPr>
        <w:pStyle w:val="BodyText"/>
        <w:spacing w:line="316" w:lineRule="auto" w:before="19"/>
        <w:ind w:right="1131" w:firstLine="360"/>
        <w:jc w:val="both"/>
      </w:pPr>
      <w:r>
        <w:rPr>
          <w:spacing w:val="-2"/>
        </w:rPr>
        <w:t>（一）专门部门负责偿付工作发行人指定财务部牵头负责协调本期债券的偿付工作，并协调公司其他相关部门在每年的</w:t>
      </w:r>
      <w:r>
        <w:rPr/>
        <w:t> 财务预算中落实安排本期债券本息的偿付资金，保证本息的如期偿付，保障债券持有人的利益。</w:t>
      </w:r>
    </w:p>
    <w:p>
      <w:pPr>
        <w:pStyle w:val="BodyText"/>
        <w:spacing w:line="316" w:lineRule="auto" w:before="19"/>
        <w:ind w:right="1130" w:firstLine="360"/>
        <w:jc w:val="both"/>
      </w:pPr>
      <w:r>
        <w:rPr>
          <w:spacing w:val="-2"/>
        </w:rPr>
        <w:t>（二）制定债券持有人会议规则发行人已按照《公司债券发行与交易管理办法》的规定与债券受托管理人为本期债券制</w:t>
      </w:r>
      <w:r>
        <w:rPr/>
        <w:t> </w:t>
      </w:r>
      <w:r>
        <w:rPr>
          <w:spacing w:val="-2"/>
        </w:rPr>
        <w:t>定了《债券持有人会议规则》，约定债券持有人通过债券持有人会议行使权利的范围、程序和其他重要事项，为保障本期公</w:t>
      </w:r>
      <w:r>
        <w:rPr>
          <w:spacing w:val="-67"/>
        </w:rPr>
        <w:t> </w:t>
      </w:r>
      <w:r>
        <w:rPr>
          <w:spacing w:val="-67"/>
        </w:rPr>
      </w:r>
      <w:r>
        <w:rPr/>
        <w:t>司债券本息及时足额偿付做出了合理的制度安排。</w:t>
      </w:r>
    </w:p>
    <w:p>
      <w:pPr>
        <w:pStyle w:val="BodyText"/>
        <w:spacing w:line="240" w:lineRule="auto" w:before="19"/>
        <w:ind w:left="513" w:right="1133"/>
        <w:jc w:val="left"/>
      </w:pPr>
      <w:r>
        <w:rPr/>
        <w:t>有关债券持有人会议规则的具体内容，详见本募集说明书第八节</w:t>
      </w:r>
      <w:r>
        <w:rPr>
          <w:rFonts w:ascii="Times New Roman" w:hAnsi="Times New Roman" w:cs="Times New Roman" w:eastAsia="Times New Roman" w:hint="default"/>
        </w:rPr>
        <w:t>“</w:t>
      </w:r>
      <w:r>
        <w:rPr/>
        <w:t>债券持有人会议</w:t>
      </w:r>
      <w:r>
        <w:rPr>
          <w:rFonts w:ascii="Times New Roman" w:hAnsi="Times New Roman" w:cs="Times New Roman" w:eastAsia="Times New Roman" w:hint="default"/>
        </w:rPr>
        <w:t>”</w:t>
      </w:r>
      <w:r>
        <w:rPr/>
        <w:t>。</w:t>
      </w:r>
    </w:p>
    <w:p>
      <w:pPr>
        <w:pStyle w:val="BodyText"/>
        <w:spacing w:line="319" w:lineRule="auto" w:before="63"/>
        <w:ind w:right="1131" w:firstLine="360"/>
        <w:jc w:val="both"/>
      </w:pPr>
      <w:r>
        <w:rPr>
          <w:spacing w:val="-2"/>
        </w:rPr>
        <w:t>（三）充分发挥债券受托管理人的作用发行人按照《公司债券发行与交易管理办法》的要求，聘请中信建投证券担任本</w:t>
      </w:r>
      <w:r>
        <w:rPr/>
        <w:t> </w:t>
      </w:r>
      <w:r>
        <w:rPr>
          <w:spacing w:val="-2"/>
        </w:rPr>
        <w:t>期债券的债券受托管理人，并与中信建投证券订立了《受托管理协议》。在本期债券存续期限内，由债券受托管理人依照协</w:t>
      </w:r>
      <w:r>
        <w:rPr>
          <w:spacing w:val="-67"/>
        </w:rPr>
        <w:t> </w:t>
      </w:r>
      <w:r>
        <w:rPr>
          <w:spacing w:val="-67"/>
        </w:rPr>
      </w:r>
      <w:r>
        <w:rPr/>
        <w:t>议的约定维护债券持有人的利益。</w:t>
      </w:r>
    </w:p>
    <w:p>
      <w:pPr>
        <w:pStyle w:val="BodyText"/>
        <w:spacing w:line="240" w:lineRule="auto" w:before="17"/>
        <w:ind w:left="513" w:right="944"/>
        <w:jc w:val="left"/>
      </w:pPr>
      <w:r>
        <w:rPr/>
        <w:t>（四）严格信息披露发行人将遵循真实、准确、完整的信息披露原则，按《受托管理协议》及中国证监会的有关规定进</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29"/>
        <w:jc w:val="left"/>
      </w:pPr>
      <w:r>
        <w:rPr>
          <w:spacing w:val="-2"/>
        </w:rPr>
        <w:t>行重大事项信息披露，使公司偿债能力、募集资金使用等情况受到债券持有人、债券受托管理人和股东的监督，防范偿债风</w:t>
      </w:r>
      <w:r>
        <w:rPr>
          <w:spacing w:val="-65"/>
        </w:rPr>
        <w:t> </w:t>
      </w:r>
      <w:r>
        <w:rPr>
          <w:spacing w:val="-65"/>
        </w:rPr>
      </w:r>
      <w:r>
        <w:rPr/>
        <w:t>险。</w:t>
      </w:r>
    </w:p>
    <w:p>
      <w:pPr>
        <w:pStyle w:val="BodyText"/>
        <w:spacing w:line="300" w:lineRule="auto" w:before="19"/>
        <w:ind w:right="1129" w:firstLine="360"/>
        <w:jc w:val="both"/>
      </w:pPr>
      <w:r>
        <w:rPr>
          <w:spacing w:val="-2"/>
        </w:rPr>
        <w:t>（五）发行人承诺经公司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27</w:t>
      </w:r>
      <w:r>
        <w:rPr>
          <w:spacing w:val="-2"/>
        </w:rPr>
        <w:t>日第三届董事会第二十二次会议和</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15</w:t>
      </w:r>
      <w:r>
        <w:rPr>
          <w:spacing w:val="-2"/>
        </w:rPr>
        <w:t>日</w:t>
      </w:r>
      <w:r>
        <w:rPr>
          <w:rFonts w:ascii="Times New Roman" w:hAnsi="Times New Roman" w:cs="Times New Roman" w:eastAsia="Times New Roman" w:hint="default"/>
          <w:spacing w:val="-2"/>
        </w:rPr>
        <w:t>2015</w:t>
      </w:r>
      <w:r>
        <w:rPr>
          <w:spacing w:val="-2"/>
        </w:rPr>
        <w:t>年第二次临时股东大会审议</w:t>
      </w:r>
      <w:r>
        <w:rPr/>
        <w:t> 通过，发行人承诺在预计不能按期偿付债券本息或者到期未能按期偿付债券本息时，发行人将至少采取如下措施：</w:t>
      </w:r>
    </w:p>
    <w:p>
      <w:pPr>
        <w:pStyle w:val="BodyText"/>
        <w:spacing w:line="240" w:lineRule="auto" w:before="31"/>
        <w:ind w:left="513" w:right="1133"/>
        <w:jc w:val="left"/>
      </w:pPr>
      <w:r>
        <w:rPr>
          <w:rFonts w:ascii="Times New Roman" w:hAnsi="Times New Roman" w:cs="Times New Roman" w:eastAsia="Times New Roman" w:hint="default"/>
        </w:rPr>
        <w:t>1</w:t>
      </w:r>
      <w:r>
        <w:rPr/>
        <w:t>、不向股东分配利润；</w:t>
      </w:r>
    </w:p>
    <w:p>
      <w:pPr>
        <w:pStyle w:val="BodyText"/>
        <w:spacing w:line="240" w:lineRule="auto" w:before="63"/>
        <w:ind w:left="513" w:right="1133"/>
        <w:jc w:val="left"/>
      </w:pPr>
      <w:r>
        <w:rPr>
          <w:rFonts w:ascii="Times New Roman" w:hAnsi="Times New Roman" w:cs="Times New Roman" w:eastAsia="Times New Roman" w:hint="default"/>
        </w:rPr>
        <w:t>2</w:t>
      </w:r>
      <w:r>
        <w:rPr/>
        <w:t>、暂缓重大对外投资、收购兼并等资本性支出项目的实施；</w:t>
      </w:r>
    </w:p>
    <w:p>
      <w:pPr>
        <w:pStyle w:val="BodyText"/>
        <w:spacing w:line="240" w:lineRule="auto" w:before="63"/>
        <w:ind w:left="513" w:right="1133"/>
        <w:jc w:val="left"/>
      </w:pPr>
      <w:r>
        <w:rPr>
          <w:rFonts w:ascii="Times New Roman" w:hAnsi="Times New Roman" w:cs="Times New Roman" w:eastAsia="Times New Roman" w:hint="default"/>
        </w:rPr>
        <w:t>3</w:t>
      </w:r>
      <w:r>
        <w:rPr/>
        <w:t>、调减或停发董事和高级管理人员的工资和奖金；</w:t>
      </w:r>
    </w:p>
    <w:p>
      <w:pPr>
        <w:pStyle w:val="BodyText"/>
        <w:spacing w:line="240" w:lineRule="auto" w:before="63"/>
        <w:ind w:left="513" w:right="1133"/>
        <w:jc w:val="left"/>
      </w:pPr>
      <w:r>
        <w:rPr>
          <w:rFonts w:ascii="Times New Roman" w:hAnsi="Times New Roman" w:cs="Times New Roman" w:eastAsia="Times New Roman" w:hint="default"/>
        </w:rPr>
        <w:t>4</w:t>
      </w:r>
      <w:r>
        <w:rPr/>
        <w:t>、主要责任人不得调离。</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六、报告期内债券持有人会议的召开情况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8" w:firstLine="360"/>
        <w:jc w:val="both"/>
        <w:rPr>
          <w:rFonts w:ascii="宋体" w:hAnsi="宋体" w:cs="宋体" w:eastAsia="宋体" w:hint="default"/>
        </w:rPr>
      </w:pPr>
      <w:r>
        <w:rPr>
          <w:spacing w:val="-4"/>
        </w:rPr>
        <w:t>公司债券受托管理人中信建投证券股份有限公司，就公司本年度因实施股份回购将可能减少注册资本事项，召集“</w:t>
      </w:r>
      <w:r>
        <w:rPr>
          <w:rFonts w:ascii="宋体" w:hAnsi="宋体" w:cs="宋体" w:eastAsia="宋体" w:hint="default"/>
          <w:spacing w:val="-4"/>
        </w:rPr>
        <w:t>15</w:t>
      </w:r>
      <w:r>
        <w:rPr>
          <w:rFonts w:ascii="宋体" w:hAnsi="宋体" w:cs="宋体" w:eastAsia="宋体" w:hint="default"/>
          <w:spacing w:val="34"/>
        </w:rPr>
        <w:t> </w:t>
      </w:r>
      <w:r>
        <w:rPr/>
        <w:t>证 通</w:t>
      </w:r>
      <w:r>
        <w:rPr>
          <w:spacing w:val="-18"/>
        </w:rPr>
        <w:t> </w:t>
      </w:r>
      <w:r>
        <w:rPr>
          <w:rFonts w:ascii="宋体" w:hAnsi="宋体" w:cs="宋体" w:eastAsia="宋体" w:hint="default"/>
          <w:spacing w:val="-18"/>
        </w:rPr>
      </w:r>
      <w:r>
        <w:rPr>
          <w:rFonts w:ascii="宋体" w:hAnsi="宋体" w:cs="宋体" w:eastAsia="宋体" w:hint="default"/>
          <w:spacing w:val="-9"/>
        </w:rPr>
        <w:t>01</w:t>
      </w:r>
      <w:r>
        <w:rPr>
          <w:spacing w:val="-9"/>
        </w:rPr>
        <w:t>”和</w:t>
      </w:r>
      <w:r>
        <w:rPr>
          <w:spacing w:val="-47"/>
        </w:rPr>
        <w:t> </w:t>
      </w:r>
      <w:r>
        <w:rPr>
          <w:rFonts w:ascii="宋体" w:hAnsi="宋体" w:cs="宋体" w:eastAsia="宋体" w:hint="default"/>
          <w:spacing w:val="-47"/>
        </w:rPr>
      </w:r>
      <w:r>
        <w:rPr/>
        <w:t>“</w:t>
      </w:r>
      <w:r>
        <w:rPr>
          <w:rFonts w:ascii="宋体" w:hAnsi="宋体" w:cs="宋体" w:eastAsia="宋体" w:hint="default"/>
        </w:rPr>
        <w:t>15</w:t>
      </w:r>
      <w:r>
        <w:rPr/>
        <w:t>证通</w:t>
      </w:r>
      <w:r>
        <w:rPr>
          <w:spacing w:val="-20"/>
        </w:rPr>
        <w:t> </w:t>
      </w:r>
      <w:r>
        <w:rPr>
          <w:rFonts w:ascii="宋体" w:hAnsi="宋体" w:cs="宋体" w:eastAsia="宋体" w:hint="default"/>
          <w:spacing w:val="-20"/>
        </w:rPr>
      </w:r>
      <w:r>
        <w:rPr>
          <w:rFonts w:ascii="宋体" w:hAnsi="宋体" w:cs="宋体" w:eastAsia="宋体" w:hint="default"/>
          <w:spacing w:val="-6"/>
        </w:rPr>
        <w:t>02</w:t>
      </w:r>
      <w:r>
        <w:rPr>
          <w:spacing w:val="-6"/>
        </w:rPr>
        <w:t>”</w:t>
      </w:r>
      <w:r>
        <w:rPr>
          <w:rFonts w:ascii="宋体" w:hAnsi="宋体" w:cs="宋体" w:eastAsia="宋体" w:hint="default"/>
          <w:spacing w:val="-6"/>
        </w:rPr>
        <w:t>2018</w:t>
      </w:r>
      <w:r>
        <w:rPr>
          <w:rFonts w:ascii="宋体" w:hAnsi="宋体" w:cs="宋体" w:eastAsia="宋体" w:hint="default"/>
          <w:spacing w:val="-19"/>
        </w:rPr>
        <w:t> </w:t>
      </w:r>
      <w:r>
        <w:rPr/>
        <w:t>年第一次债券持有人会议，于</w:t>
      </w:r>
      <w:r>
        <w:rPr>
          <w:rFonts w:ascii="宋体" w:hAnsi="宋体" w:cs="宋体" w:eastAsia="宋体" w:hint="default"/>
        </w:rPr>
        <w:t>2018</w:t>
      </w:r>
      <w:r>
        <w:rPr/>
        <w:t>年</w:t>
      </w:r>
      <w:r>
        <w:rPr>
          <w:rFonts w:ascii="宋体" w:hAnsi="宋体" w:cs="宋体" w:eastAsia="宋体" w:hint="default"/>
        </w:rPr>
        <w:t>7</w:t>
      </w:r>
      <w:r>
        <w:rPr/>
        <w:t>月</w:t>
      </w:r>
      <w:r>
        <w:rPr>
          <w:rFonts w:ascii="宋体" w:hAnsi="宋体" w:cs="宋体" w:eastAsia="宋体" w:hint="default"/>
        </w:rPr>
        <w:t>4</w:t>
      </w:r>
      <w:r>
        <w:rPr/>
        <w:t>日在巨潮资讯网</w:t>
      </w:r>
      <w:r>
        <w:rPr>
          <w:rFonts w:ascii="宋体" w:hAnsi="宋体" w:cs="宋体" w:eastAsia="宋体" w:hint="default"/>
        </w:rPr>
        <w:t>(www.cninfo.com.cn)</w:t>
      </w:r>
      <w:r>
        <w:rPr/>
        <w:t>上刊登了《公 司关于中信建投证券股份有限公司召开”</w:t>
      </w:r>
      <w:r>
        <w:rPr>
          <w:rFonts w:ascii="宋体" w:hAnsi="宋体" w:cs="宋体" w:eastAsia="宋体" w:hint="default"/>
        </w:rPr>
        <w:t>15 </w:t>
      </w:r>
      <w:r>
        <w:rPr/>
        <w:t>证通 </w:t>
      </w:r>
      <w:r>
        <w:rPr>
          <w:rFonts w:ascii="宋体" w:hAnsi="宋体" w:cs="宋体" w:eastAsia="宋体" w:hint="default"/>
        </w:rPr>
        <w:t>01</w:t>
      </w:r>
      <w:r>
        <w:rPr/>
        <w:t>”和“</w:t>
      </w:r>
      <w:r>
        <w:rPr>
          <w:rFonts w:ascii="宋体" w:hAnsi="宋体" w:cs="宋体" w:eastAsia="宋体" w:hint="default"/>
        </w:rPr>
        <w:t>15 </w:t>
      </w:r>
      <w:r>
        <w:rPr/>
        <w:t>证通 </w:t>
      </w:r>
      <w:r>
        <w:rPr>
          <w:rFonts w:ascii="宋体" w:hAnsi="宋体" w:cs="宋体" w:eastAsia="宋体" w:hint="default"/>
        </w:rPr>
        <w:t>02</w:t>
      </w:r>
      <w:r>
        <w:rPr/>
        <w:t>”</w:t>
      </w:r>
      <w:r>
        <w:rPr>
          <w:rFonts w:ascii="宋体" w:hAnsi="宋体" w:cs="宋体" w:eastAsia="宋体" w:hint="default"/>
        </w:rPr>
        <w:t>2018</w:t>
      </w:r>
      <w:r>
        <w:rPr>
          <w:rFonts w:ascii="宋体" w:hAnsi="宋体" w:cs="宋体" w:eastAsia="宋体" w:hint="default"/>
          <w:spacing w:val="-6"/>
        </w:rPr>
        <w:t> </w:t>
      </w:r>
      <w:r>
        <w:rPr/>
        <w:t>年第一次债券持有人会议的通知》。</w:t>
      </w:r>
      <w:r>
        <w:rPr>
          <w:rFonts w:ascii="宋体" w:hAnsi="宋体" w:cs="宋体" w:eastAsia="宋体" w:hint="default"/>
        </w:rPr>
        <w:t> </w:t>
      </w:r>
    </w:p>
    <w:p>
      <w:pPr>
        <w:pStyle w:val="BodyText"/>
        <w:spacing w:line="316" w:lineRule="auto" w:before="19"/>
        <w:ind w:right="1130" w:firstLine="360"/>
        <w:jc w:val="both"/>
        <w:rPr>
          <w:rFonts w:ascii="宋体" w:hAnsi="宋体" w:cs="宋体" w:eastAsia="宋体" w:hint="default"/>
        </w:rPr>
      </w:pPr>
      <w:r>
        <w:rPr/>
        <w:t>公司债券受托管理人中信建投，就关于召集“</w:t>
      </w:r>
      <w:r>
        <w:rPr>
          <w:rFonts w:ascii="宋体" w:hAnsi="宋体" w:cs="宋体" w:eastAsia="宋体" w:hint="default"/>
        </w:rPr>
        <w:t>15 </w:t>
      </w:r>
      <w:r>
        <w:rPr/>
        <w:t>证通 </w:t>
      </w:r>
      <w:r>
        <w:rPr>
          <w:rFonts w:ascii="宋体" w:hAnsi="宋体" w:cs="宋体" w:eastAsia="宋体" w:hint="default"/>
        </w:rPr>
      </w:r>
      <w:r>
        <w:rPr>
          <w:rFonts w:ascii="宋体" w:hAnsi="宋体" w:cs="宋体" w:eastAsia="宋体" w:hint="default"/>
          <w:spacing w:val="-5"/>
        </w:rPr>
        <w:t>01</w:t>
      </w:r>
      <w:r>
        <w:rPr>
          <w:spacing w:val="-5"/>
        </w:rPr>
        <w:t>”和 </w:t>
      </w:r>
      <w:r>
        <w:rPr>
          <w:rFonts w:ascii="宋体" w:hAnsi="宋体" w:cs="宋体" w:eastAsia="宋体" w:hint="default"/>
          <w:spacing w:val="-5"/>
        </w:rPr>
      </w:r>
      <w:r>
        <w:rPr/>
        <w:t>“</w:t>
      </w:r>
      <w:r>
        <w:rPr>
          <w:rFonts w:ascii="宋体" w:hAnsi="宋体" w:cs="宋体" w:eastAsia="宋体" w:hint="default"/>
        </w:rPr>
        <w:t>15 </w:t>
      </w:r>
      <w:r>
        <w:rPr/>
        <w:t>证通 </w:t>
      </w:r>
      <w:r>
        <w:rPr>
          <w:rFonts w:ascii="宋体" w:hAnsi="宋体" w:cs="宋体" w:eastAsia="宋体" w:hint="default"/>
        </w:rPr>
      </w:r>
      <w:r>
        <w:rPr>
          <w:rFonts w:ascii="宋体" w:hAnsi="宋体" w:cs="宋体" w:eastAsia="宋体" w:hint="default"/>
          <w:spacing w:val="-3"/>
        </w:rPr>
        <w:t>02</w:t>
      </w:r>
      <w:r>
        <w:rPr>
          <w:spacing w:val="-3"/>
        </w:rPr>
        <w:t>”</w:t>
      </w:r>
      <w:r>
        <w:rPr>
          <w:rFonts w:ascii="宋体" w:hAnsi="宋体" w:cs="宋体" w:eastAsia="宋体" w:hint="default"/>
          <w:spacing w:val="-3"/>
        </w:rPr>
        <w:t>2018</w:t>
      </w:r>
      <w:r>
        <w:rPr>
          <w:rFonts w:ascii="宋体" w:hAnsi="宋体" w:cs="宋体" w:eastAsia="宋体" w:hint="default"/>
          <w:spacing w:val="-44"/>
        </w:rPr>
        <w:t> </w:t>
      </w:r>
      <w:r>
        <w:rPr/>
        <w:t>年第一次债券持有人会议因参会登 </w:t>
      </w:r>
      <w:r>
        <w:rPr>
          <w:spacing w:val="-2"/>
        </w:rPr>
        <w:t>记人数所持未偿还债券面值未达到未偿还债券面值总额二分之一发出补充会议通知，决定将本次债券持有人会议延期至</w:t>
      </w:r>
      <w:r>
        <w:rPr>
          <w:rFonts w:ascii="宋体" w:hAnsi="宋体" w:cs="宋体" w:eastAsia="宋体" w:hint="default"/>
          <w:spacing w:val="-2"/>
        </w:rPr>
        <w:t>2018</w:t>
      </w:r>
      <w:r>
        <w:rPr>
          <w:rFonts w:ascii="宋体" w:hAnsi="宋体" w:cs="宋体" w:eastAsia="宋体" w:hint="default"/>
          <w:spacing w:val="-59"/>
        </w:rPr>
        <w:t> </w:t>
      </w:r>
      <w:r>
        <w:rPr>
          <w:rFonts w:ascii="宋体" w:hAnsi="宋体" w:cs="宋体" w:eastAsia="宋体" w:hint="default"/>
          <w:spacing w:val="-59"/>
        </w:rPr>
      </w:r>
      <w:r>
        <w:rPr/>
        <w:t>年</w:t>
      </w:r>
      <w:r>
        <w:rPr>
          <w:rFonts w:ascii="宋体" w:hAnsi="宋体" w:cs="宋体" w:eastAsia="宋体" w:hint="default"/>
        </w:rPr>
        <w:t>8</w:t>
      </w:r>
      <w:r>
        <w:rPr/>
        <w:t>月</w:t>
      </w:r>
      <w:r>
        <w:rPr>
          <w:rFonts w:ascii="宋体" w:hAnsi="宋体" w:cs="宋体" w:eastAsia="宋体" w:hint="default"/>
        </w:rPr>
        <w:t>3</w:t>
      </w:r>
      <w:r>
        <w:rPr/>
        <w:t>日召开；于</w:t>
      </w:r>
      <w:r>
        <w:rPr>
          <w:rFonts w:ascii="宋体" w:hAnsi="宋体" w:cs="宋体" w:eastAsia="宋体" w:hint="default"/>
        </w:rPr>
        <w:t>2018</w:t>
      </w:r>
      <w:r>
        <w:rPr/>
        <w:t>年</w:t>
      </w:r>
      <w:r>
        <w:rPr>
          <w:rFonts w:ascii="宋体" w:hAnsi="宋体" w:cs="宋体" w:eastAsia="宋体" w:hint="default"/>
        </w:rPr>
        <w:t>7</w:t>
      </w:r>
      <w:r>
        <w:rPr/>
        <w:t>月</w:t>
      </w:r>
      <w:r>
        <w:rPr>
          <w:rFonts w:ascii="宋体" w:hAnsi="宋体" w:cs="宋体" w:eastAsia="宋体" w:hint="default"/>
        </w:rPr>
        <w:t>18</w:t>
      </w:r>
      <w:r>
        <w:rPr/>
        <w:t>日、</w:t>
      </w: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1</w:t>
      </w:r>
      <w:r>
        <w:rPr/>
        <w:t>日在巨潮资讯网</w:t>
      </w:r>
      <w:r>
        <w:rPr>
          <w:rFonts w:ascii="宋体" w:hAnsi="宋体" w:cs="宋体" w:eastAsia="宋体" w:hint="default"/>
        </w:rPr>
        <w:t>(www.cninfo.com.cn)</w:t>
      </w:r>
      <w:r>
        <w:rPr/>
        <w:t>上刊登了《关于延期召开公司”</w:t>
      </w:r>
      <w:r>
        <w:rPr>
          <w:rFonts w:ascii="宋体" w:hAnsi="宋体" w:cs="宋体" w:eastAsia="宋体" w:hint="default"/>
        </w:rPr>
        <w:t>15</w:t>
      </w:r>
      <w:r>
        <w:rPr>
          <w:rFonts w:ascii="宋体" w:hAnsi="宋体" w:cs="宋体" w:eastAsia="宋体" w:hint="default"/>
          <w:spacing w:val="-9"/>
        </w:rPr>
        <w:t> </w:t>
      </w:r>
      <w:r>
        <w:rPr/>
        <w:t>证 通 </w:t>
      </w:r>
      <w:r>
        <w:rPr>
          <w:rFonts w:ascii="宋体" w:hAnsi="宋体" w:cs="宋体" w:eastAsia="宋体" w:hint="default"/>
        </w:rPr>
        <w:t>01</w:t>
      </w:r>
      <w:r>
        <w:rPr/>
        <w:t>”和“</w:t>
      </w:r>
      <w:r>
        <w:rPr>
          <w:rFonts w:ascii="宋体" w:hAnsi="宋体" w:cs="宋体" w:eastAsia="宋体" w:hint="default"/>
        </w:rPr>
        <w:t>15 </w:t>
      </w:r>
      <w:r>
        <w:rPr/>
        <w:t>证通 </w:t>
      </w:r>
      <w:r>
        <w:rPr>
          <w:rFonts w:ascii="宋体" w:hAnsi="宋体" w:cs="宋体" w:eastAsia="宋体" w:hint="default"/>
        </w:rPr>
        <w:t>02</w:t>
      </w:r>
      <w:r>
        <w:rPr/>
        <w:t>”</w:t>
      </w:r>
      <w:r>
        <w:rPr>
          <w:rFonts w:ascii="宋体" w:hAnsi="宋体" w:cs="宋体" w:eastAsia="宋体" w:hint="default"/>
        </w:rPr>
        <w:t>2018</w:t>
      </w:r>
      <w:r>
        <w:rPr>
          <w:rFonts w:ascii="宋体" w:hAnsi="宋体" w:cs="宋体" w:eastAsia="宋体" w:hint="default"/>
          <w:spacing w:val="-7"/>
        </w:rPr>
        <w:t> </w:t>
      </w:r>
      <w:r>
        <w:rPr/>
        <w:t>年第一次债券持有人会议的通知》（公告编号：</w:t>
      </w:r>
      <w:r>
        <w:rPr>
          <w:rFonts w:ascii="宋体" w:hAnsi="宋体" w:cs="宋体" w:eastAsia="宋体" w:hint="default"/>
        </w:rPr>
        <w:t>2018-075</w:t>
      </w:r>
      <w:r>
        <w:rPr/>
        <w:t>、</w:t>
      </w:r>
      <w:r>
        <w:rPr>
          <w:rFonts w:ascii="宋体" w:hAnsi="宋体" w:cs="宋体" w:eastAsia="宋体" w:hint="default"/>
        </w:rPr>
        <w:t>2018-076</w:t>
      </w:r>
      <w:r>
        <w:rPr/>
        <w:t>）。</w:t>
      </w:r>
      <w:r>
        <w:rPr>
          <w:rFonts w:ascii="宋体" w:hAnsi="宋体" w:cs="宋体" w:eastAsia="宋体" w:hint="default"/>
        </w:rPr>
        <w:t> </w:t>
      </w:r>
    </w:p>
    <w:p>
      <w:pPr>
        <w:pStyle w:val="BodyText"/>
        <w:spacing w:line="316" w:lineRule="auto" w:before="19"/>
        <w:ind w:right="1138" w:firstLine="360"/>
        <w:jc w:val="both"/>
      </w:pP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10</w:t>
      </w:r>
      <w:r>
        <w:rPr/>
        <w:t>日，中信建投组织召开了公司“</w:t>
      </w:r>
      <w:r>
        <w:rPr>
          <w:rFonts w:ascii="宋体" w:hAnsi="宋体" w:cs="宋体" w:eastAsia="宋体" w:hint="default"/>
        </w:rPr>
        <w:t>15 </w:t>
      </w:r>
      <w:r>
        <w:rPr/>
        <w:t>证通 </w:t>
      </w:r>
      <w:r>
        <w:rPr>
          <w:rFonts w:ascii="宋体" w:hAnsi="宋体" w:cs="宋体" w:eastAsia="宋体" w:hint="default"/>
        </w:rPr>
        <w:t>01</w:t>
      </w:r>
      <w:r>
        <w:rPr/>
        <w:t>”和“</w:t>
      </w:r>
      <w:r>
        <w:rPr>
          <w:rFonts w:ascii="宋体" w:hAnsi="宋体" w:cs="宋体" w:eastAsia="宋体" w:hint="default"/>
        </w:rPr>
        <w:t>15 </w:t>
      </w:r>
      <w:r>
        <w:rPr/>
        <w:t>证通</w:t>
      </w:r>
      <w:r>
        <w:rPr>
          <w:spacing w:val="-11"/>
        </w:rPr>
        <w:t> </w:t>
      </w:r>
      <w:r>
        <w:rPr>
          <w:rFonts w:ascii="宋体" w:hAnsi="宋体" w:cs="宋体" w:eastAsia="宋体" w:hint="default"/>
          <w:spacing w:val="-11"/>
        </w:rPr>
      </w:r>
      <w:r>
        <w:rPr>
          <w:rFonts w:ascii="宋体" w:hAnsi="宋体" w:cs="宋体" w:eastAsia="宋体" w:hint="default"/>
        </w:rPr>
        <w:t>02</w:t>
      </w:r>
      <w:r>
        <w:rPr/>
        <w:t>”</w:t>
      </w:r>
      <w:r>
        <w:rPr>
          <w:rFonts w:ascii="宋体" w:hAnsi="宋体" w:cs="宋体" w:eastAsia="宋体" w:hint="default"/>
        </w:rPr>
        <w:t>2018</w:t>
      </w:r>
      <w:r>
        <w:rPr/>
        <w:t>年第一次债券持有人会议，债券持有 人审议通过了《关于不要求公司提前清偿债务及提供额外担保的议案》。相关事项详见</w:t>
      </w: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11</w:t>
      </w:r>
      <w:r>
        <w:rPr/>
        <w:t>日公司披露于巨潮资讯 网上的《公司</w:t>
      </w:r>
      <w:r>
        <w:rPr>
          <w:rFonts w:ascii="Times New Roman" w:hAnsi="Times New Roman" w:cs="Times New Roman" w:eastAsia="Times New Roman" w:hint="default"/>
        </w:rPr>
        <w:t>“15</w:t>
      </w:r>
      <w:r>
        <w:rPr/>
        <w:t>证通</w:t>
      </w:r>
      <w:r>
        <w:rPr>
          <w:rFonts w:ascii="Times New Roman" w:hAnsi="Times New Roman" w:cs="Times New Roman" w:eastAsia="Times New Roman" w:hint="default"/>
        </w:rPr>
        <w:t>01”</w:t>
      </w:r>
      <w:r>
        <w:rPr/>
        <w:t>和</w:t>
      </w:r>
      <w:r>
        <w:rPr>
          <w:rFonts w:ascii="Times New Roman" w:hAnsi="Times New Roman" w:cs="Times New Roman" w:eastAsia="Times New Roman" w:hint="default"/>
        </w:rPr>
        <w:t>”15</w:t>
      </w:r>
      <w:r>
        <w:rPr/>
        <w:t>证通</w:t>
      </w:r>
      <w:r>
        <w:rPr>
          <w:rFonts w:ascii="Times New Roman" w:hAnsi="Times New Roman" w:cs="Times New Roman" w:eastAsia="Times New Roman" w:hint="default"/>
        </w:rPr>
        <w:t>02”2018</w:t>
      </w:r>
      <w:r>
        <w:rPr>
          <w:rFonts w:ascii="Times New Roman" w:hAnsi="Times New Roman" w:cs="Times New Roman" w:eastAsia="Times New Roman" w:hint="default"/>
          <w:spacing w:val="22"/>
        </w:rPr>
        <w:t> </w:t>
      </w:r>
      <w:r>
        <w:rPr/>
        <w:t>年第一次债券持有人会议决议的公告》（公告编号：</w:t>
      </w:r>
      <w:r>
        <w:rPr>
          <w:rFonts w:ascii="Times New Roman" w:hAnsi="Times New Roman" w:cs="Times New Roman" w:eastAsia="Times New Roman" w:hint="default"/>
        </w:rPr>
        <w:t>2018-087</w:t>
      </w:r>
      <w:r>
        <w:rPr/>
        <w:t>）。</w:t>
      </w:r>
    </w:p>
    <w:p>
      <w:pPr>
        <w:spacing w:line="240" w:lineRule="auto" w:before="5"/>
        <w:rPr>
          <w:rFonts w:ascii="宋体" w:hAnsi="宋体" w:cs="宋体" w:eastAsia="宋体" w:hint="default"/>
          <w:sz w:val="19"/>
          <w:szCs w:val="19"/>
        </w:rPr>
      </w:pPr>
    </w:p>
    <w:p>
      <w:pPr>
        <w:pStyle w:val="Heading2"/>
        <w:spacing w:line="240" w:lineRule="auto"/>
        <w:ind w:right="1133"/>
        <w:jc w:val="left"/>
        <w:rPr>
          <w:b w:val="0"/>
          <w:bCs w:val="0"/>
        </w:rPr>
      </w:pPr>
      <w:r>
        <w:rPr/>
        <w:t>七、报告期内债券受托管理人履行职责的情况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3" w:firstLine="360"/>
        <w:jc w:val="both"/>
      </w:pPr>
      <w:r>
        <w:rPr>
          <w:spacing w:val="-2"/>
        </w:rPr>
        <w:t>公司债券存续期内，债券受托管理人依据《公司债券受托管理人执业行为准则》行使受托管理人职责，包括监督公司债</w:t>
      </w:r>
      <w:r>
        <w:rPr/>
        <w:t> 券募集资金使用情况、持续关注发行人资信状况以及债券增信机构的资信状况等。</w:t>
      </w:r>
    </w:p>
    <w:p>
      <w:pPr>
        <w:pStyle w:val="BodyText"/>
        <w:spacing w:line="300" w:lineRule="auto" w:before="19"/>
        <w:ind w:right="1138" w:firstLine="360"/>
        <w:jc w:val="both"/>
      </w:pPr>
      <w:r>
        <w:rPr/>
        <w:t>债券受托管理人中信建投证券股份有限公司于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日披露了《公司</w:t>
      </w:r>
      <w:r>
        <w:rPr>
          <w:rFonts w:ascii="Times New Roman" w:hAnsi="Times New Roman" w:cs="Times New Roman" w:eastAsia="Times New Roman" w:hint="default"/>
        </w:rPr>
        <w:t>2017</w:t>
      </w:r>
      <w:r>
        <w:rPr/>
        <w:t>年度债券受托管理事务报告》，并刊登 于巨潮资讯网（</w:t>
      </w:r>
      <w:hyperlink r:id="rId13">
        <w:r>
          <w:rPr>
            <w:rFonts w:ascii="Times New Roman" w:hAnsi="Times New Roman" w:cs="Times New Roman" w:eastAsia="Times New Roman" w:hint="default"/>
          </w:rPr>
          <w:t>www.cninfo.com.cn</w:t>
        </w:r>
      </w:hyperlink>
      <w:r>
        <w:rPr/>
        <w:t>），请各位投资者关注。</w:t>
      </w:r>
    </w:p>
    <w:p>
      <w:pPr>
        <w:spacing w:line="240" w:lineRule="auto" w:before="5"/>
        <w:rPr>
          <w:rFonts w:ascii="宋体" w:hAnsi="宋体" w:cs="宋体" w:eastAsia="宋体" w:hint="default"/>
          <w:sz w:val="20"/>
          <w:szCs w:val="20"/>
        </w:rPr>
      </w:pPr>
    </w:p>
    <w:p>
      <w:pPr>
        <w:pStyle w:val="Heading2"/>
        <w:spacing w:line="240" w:lineRule="auto"/>
        <w:ind w:right="1133"/>
        <w:jc w:val="left"/>
        <w:rPr>
          <w:b w:val="0"/>
          <w:bCs w:val="0"/>
        </w:rPr>
      </w:pPr>
      <w:r>
        <w:rPr/>
        <w:t>八、截至报告期末公司近</w:t>
      </w:r>
      <w:r>
        <w:rPr>
          <w:spacing w:val="-60"/>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年的主要会计数据和财务指标</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同期变动率</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息税折旧摊销前利润</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-5,041.07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19,972.44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-125.24%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-54.33%</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47.21%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6.38%</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94.77%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-45.84%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全部债务比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-14.24%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-224.29%</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现金利息保障倍数</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-109.02%</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利息保障倍数</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-0.46</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-116.91%</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贷款偿还率</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利息偿付率</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8"/>
        <w:ind w:left="513" w:right="1133"/>
        <w:jc w:val="left"/>
      </w:pPr>
      <w:r>
        <w:rPr/>
        <w:t>上述会计数据和财务指标同比变动超过</w:t>
      </w:r>
      <w:r>
        <w:rPr>
          <w:rFonts w:ascii="Times New Roman" w:hAnsi="Times New Roman" w:cs="Times New Roman" w:eastAsia="Times New Roman" w:hint="default"/>
        </w:rPr>
        <w:t>30%</w:t>
      </w:r>
      <w:r>
        <w:rPr/>
        <w:t>的主要原因</w:t>
      </w:r>
    </w:p>
    <w:p>
      <w:pPr>
        <w:pStyle w:val="BodyText"/>
        <w:spacing w:line="240" w:lineRule="auto" w:before="63"/>
        <w:ind w:left="513"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63"/>
        <w:ind w:left="513" w:right="1133"/>
        <w:jc w:val="left"/>
        <w:rPr>
          <w:rFonts w:ascii="宋体" w:hAnsi="宋体" w:cs="宋体" w:eastAsia="宋体" w:hint="default"/>
        </w:rPr>
      </w:pPr>
      <w:r>
        <w:rPr/>
        <w:t>（</w:t>
      </w:r>
      <w:r>
        <w:rPr>
          <w:rFonts w:ascii="宋体" w:hAnsi="宋体" w:cs="宋体" w:eastAsia="宋体" w:hint="default"/>
        </w:rPr>
        <w:t>1</w:t>
      </w:r>
      <w:r>
        <w:rPr/>
        <w:t>）</w:t>
      </w:r>
      <w:r>
        <w:rPr>
          <w:rFonts w:ascii="宋体" w:hAnsi="宋体" w:cs="宋体" w:eastAsia="宋体" w:hint="default"/>
        </w:rPr>
        <w:t>2018</w:t>
      </w:r>
      <w:r>
        <w:rPr/>
        <w:t>年公司息税折旧摊销前利润同比下降，主要系公司经营性资产跌价计提增大，营业利润减少所致；</w:t>
      </w:r>
      <w:r>
        <w:rPr>
          <w:rFonts w:ascii="宋体" w:hAnsi="宋体" w:cs="宋体" w:eastAsia="宋体" w:hint="default"/>
        </w:rPr>
        <w:t> </w:t>
      </w:r>
    </w:p>
    <w:p>
      <w:pPr>
        <w:pStyle w:val="BodyText"/>
        <w:spacing w:line="316" w:lineRule="auto" w:before="76"/>
        <w:ind w:right="1140" w:firstLine="360"/>
        <w:jc w:val="both"/>
        <w:rPr>
          <w:rFonts w:ascii="宋体" w:hAnsi="宋体" w:cs="宋体" w:eastAsia="宋体" w:hint="default"/>
        </w:rPr>
      </w:pPr>
      <w:r>
        <w:rPr/>
        <w:t>（</w:t>
      </w:r>
      <w:r>
        <w:rPr>
          <w:rFonts w:ascii="宋体" w:hAnsi="宋体" w:cs="宋体" w:eastAsia="宋体" w:hint="default"/>
        </w:rPr>
        <w:t>2</w:t>
      </w:r>
      <w:r>
        <w:rPr/>
        <w:t>）</w:t>
      </w:r>
      <w:r>
        <w:rPr>
          <w:rFonts w:ascii="宋体" w:hAnsi="宋体" w:cs="宋体" w:eastAsia="宋体" w:hint="default"/>
        </w:rPr>
        <w:t>2018</w:t>
      </w:r>
      <w:r>
        <w:rPr/>
        <w:t>年公司流动比率和速动比率下降，主要系公司募集资金投入使用，存货减值计提增加，公司理财产品减少导 致流动资产大幅降低所致；</w:t>
      </w:r>
      <w:r>
        <w:rPr>
          <w:rFonts w:ascii="宋体" w:hAnsi="宋体" w:cs="宋体" w:eastAsia="宋体" w:hint="default"/>
        </w:rPr>
        <w:t> </w:t>
      </w:r>
    </w:p>
    <w:p>
      <w:pPr>
        <w:pStyle w:val="BodyText"/>
        <w:spacing w:line="240" w:lineRule="auto" w:before="19"/>
        <w:ind w:left="513" w:right="1133"/>
        <w:jc w:val="left"/>
        <w:rPr>
          <w:rFonts w:ascii="宋体" w:hAnsi="宋体" w:cs="宋体" w:eastAsia="宋体" w:hint="default"/>
        </w:rPr>
      </w:pPr>
      <w:r>
        <w:rPr/>
        <w:t>（</w:t>
      </w:r>
      <w:r>
        <w:rPr>
          <w:rFonts w:ascii="宋体" w:hAnsi="宋体" w:cs="宋体" w:eastAsia="宋体" w:hint="default"/>
        </w:rPr>
        <w:t>3</w:t>
      </w:r>
      <w:r>
        <w:rPr/>
        <w:t>）</w:t>
      </w:r>
      <w:r>
        <w:rPr>
          <w:rFonts w:ascii="宋体" w:hAnsi="宋体" w:cs="宋体" w:eastAsia="宋体" w:hint="default"/>
        </w:rPr>
        <w:t>2018</w:t>
      </w:r>
      <w:r>
        <w:rPr/>
        <w:t>年公司利息保障倍数下降，主要系公司</w:t>
      </w:r>
      <w:r>
        <w:rPr>
          <w:rFonts w:ascii="宋体" w:hAnsi="宋体" w:cs="宋体" w:eastAsia="宋体" w:hint="default"/>
        </w:rPr>
        <w:t>2018</w:t>
      </w:r>
      <w:r>
        <w:rPr/>
        <w:t>年度经营亏损，营业利润大幅降低所致；</w:t>
      </w:r>
      <w:r>
        <w:rPr>
          <w:rFonts w:ascii="宋体" w:hAnsi="宋体" w:cs="宋体" w:eastAsia="宋体" w:hint="default"/>
        </w:rPr>
        <w:t> </w:t>
      </w:r>
    </w:p>
    <w:p>
      <w:pPr>
        <w:pStyle w:val="BodyText"/>
        <w:spacing w:line="240" w:lineRule="auto" w:before="76"/>
        <w:ind w:left="513" w:right="1133"/>
        <w:jc w:val="left"/>
        <w:rPr>
          <w:rFonts w:ascii="宋体" w:hAnsi="宋体" w:cs="宋体" w:eastAsia="宋体" w:hint="default"/>
        </w:rPr>
      </w:pPr>
      <w:r>
        <w:rPr/>
        <w:t>（</w:t>
      </w:r>
      <w:r>
        <w:rPr>
          <w:rFonts w:ascii="宋体" w:hAnsi="宋体" w:cs="宋体" w:eastAsia="宋体" w:hint="default"/>
        </w:rPr>
        <w:t>4</w:t>
      </w:r>
      <w:r>
        <w:rPr/>
        <w:t>）</w:t>
      </w:r>
      <w:r>
        <w:rPr>
          <w:rFonts w:ascii="宋体" w:hAnsi="宋体" w:cs="宋体" w:eastAsia="宋体" w:hint="default"/>
        </w:rPr>
        <w:t>2018</w:t>
      </w:r>
      <w:r>
        <w:rPr/>
        <w:t>年公司现金利息保障倍数上升，主要系公司加强收款，付现成本费用减少，经营性现金流转正所致；</w:t>
      </w:r>
      <w:r>
        <w:rPr>
          <w:rFonts w:ascii="宋体" w:hAnsi="宋体" w:cs="宋体" w:eastAsia="宋体" w:hint="default"/>
        </w:rPr>
        <w:t> </w:t>
      </w:r>
    </w:p>
    <w:p>
      <w:pPr>
        <w:pStyle w:val="BodyText"/>
        <w:spacing w:line="240" w:lineRule="auto" w:before="76"/>
        <w:ind w:left="513" w:right="1133"/>
        <w:jc w:val="left"/>
      </w:pPr>
      <w:r>
        <w:rPr/>
        <w:t>（</w:t>
      </w:r>
      <w:r>
        <w:rPr>
          <w:rFonts w:ascii="宋体" w:hAnsi="宋体" w:cs="宋体" w:eastAsia="宋体" w:hint="default"/>
        </w:rPr>
        <w:t>5</w:t>
      </w:r>
      <w:r>
        <w:rPr/>
        <w:t>）</w:t>
      </w:r>
      <w:r>
        <w:rPr>
          <w:rFonts w:ascii="宋体" w:hAnsi="宋体" w:cs="宋体" w:eastAsia="宋体" w:hint="default"/>
        </w:rPr>
        <w:t>2018</w:t>
      </w:r>
      <w:r>
        <w:rPr/>
        <w:t>年公司</w:t>
      </w:r>
      <w:r>
        <w:rPr>
          <w:rFonts w:ascii="宋体" w:hAnsi="宋体" w:cs="宋体" w:eastAsia="宋体" w:hint="default"/>
        </w:rPr>
        <w:t>EBITDA</w:t>
      </w:r>
      <w:r>
        <w:rPr/>
        <w:t>利息保障倍数下降，主要系公司</w:t>
      </w:r>
      <w:r>
        <w:rPr>
          <w:rFonts w:ascii="宋体" w:hAnsi="宋体" w:cs="宋体" w:eastAsia="宋体" w:hint="default"/>
        </w:rPr>
        <w:t>2018</w:t>
      </w:r>
      <w:r>
        <w:rPr/>
        <w:t>年度经营亏损，营业利润大幅降低所致。</w:t>
      </w:r>
    </w:p>
    <w:p>
      <w:pPr>
        <w:spacing w:line="240" w:lineRule="auto" w:before="4"/>
        <w:rPr>
          <w:rFonts w:ascii="宋体" w:hAnsi="宋体" w:cs="宋体" w:eastAsia="宋体" w:hint="default"/>
          <w:sz w:val="25"/>
          <w:szCs w:val="25"/>
        </w:rPr>
      </w:pPr>
    </w:p>
    <w:p>
      <w:pPr>
        <w:pStyle w:val="Heading2"/>
        <w:spacing w:line="240" w:lineRule="auto"/>
        <w:ind w:right="1133"/>
        <w:jc w:val="left"/>
        <w:rPr>
          <w:b w:val="0"/>
          <w:bCs w:val="0"/>
        </w:rPr>
      </w:pPr>
      <w:r>
        <w:rPr/>
        <w:t>九、报告期内对其他债券和债务融资工具的付息兑付情况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不适用。</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r>
        <w:rPr/>
        <w:t>十、报告期内获得的银行授信情况、使用情况以及偿还银行贷款的情况</w:t>
      </w:r>
      <w:r>
        <w:rPr>
          <w:b w:val="0"/>
          <w:bCs w:val="0"/>
        </w:rPr>
      </w:r>
    </w:p>
    <w:p>
      <w:pPr>
        <w:spacing w:line="240" w:lineRule="auto" w:before="4"/>
        <w:rPr>
          <w:rFonts w:ascii="宋体" w:hAnsi="宋体" w:cs="宋体" w:eastAsia="宋体" w:hint="default"/>
          <w:b/>
          <w:bCs/>
          <w:sz w:val="26"/>
          <w:szCs w:val="26"/>
        </w:rPr>
      </w:pPr>
    </w:p>
    <w:p>
      <w:pPr>
        <w:pStyle w:val="BodyText"/>
        <w:spacing w:line="307" w:lineRule="auto"/>
        <w:ind w:right="1128" w:firstLine="360"/>
        <w:jc w:val="both"/>
      </w:pPr>
      <w:r>
        <w:rPr>
          <w:spacing w:val="-2"/>
        </w:rPr>
        <w:t>公司资信状况良好，与建设银行、中信银行和浙商银行等多家银行均建立了长期稳定的信贷业务关系，具有较强的间接</w:t>
      </w:r>
      <w:r>
        <w:rPr/>
        <w:t> </w:t>
      </w:r>
      <w:r>
        <w:rPr>
          <w:spacing w:val="-2"/>
        </w:rPr>
        <w:t>融资能力。截至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日，发行人获得主要贷款银行的授信额度为</w:t>
      </w:r>
      <w:r>
        <w:rPr>
          <w:rFonts w:ascii="Times New Roman" w:hAnsi="Times New Roman" w:cs="Times New Roman" w:eastAsia="Times New Roman" w:hint="default"/>
          <w:spacing w:val="-2"/>
        </w:rPr>
        <w:t>363,350.00</w:t>
      </w:r>
      <w:r>
        <w:rPr>
          <w:spacing w:val="-2"/>
        </w:rPr>
        <w:t>万元，新增银行借款</w:t>
      </w:r>
      <w:r>
        <w:rPr>
          <w:rFonts w:ascii="Times New Roman" w:hAnsi="Times New Roman" w:cs="Times New Roman" w:eastAsia="Times New Roman" w:hint="default"/>
          <w:spacing w:val="-2"/>
        </w:rPr>
        <w:t>237,743.75</w:t>
      </w:r>
      <w:r>
        <w:rPr>
          <w:spacing w:val="-2"/>
        </w:rPr>
        <w:t>万元，偿</w:t>
      </w:r>
      <w:r>
        <w:rPr>
          <w:spacing w:val="-40"/>
        </w:rPr>
        <w:t> </w:t>
      </w:r>
      <w:r>
        <w:rPr>
          <w:spacing w:val="-40"/>
        </w:rPr>
      </w:r>
      <w:r>
        <w:rPr/>
        <w:t>还银行借款</w:t>
      </w:r>
      <w:r>
        <w:rPr>
          <w:rFonts w:ascii="Times New Roman" w:hAnsi="Times New Roman" w:cs="Times New Roman" w:eastAsia="Times New Roman" w:hint="default"/>
        </w:rPr>
        <w:t>205,055.44</w:t>
      </w:r>
      <w:r>
        <w:rPr/>
        <w:t>万元；累计新增银行借款</w:t>
      </w:r>
      <w:r>
        <w:rPr>
          <w:rFonts w:ascii="Times New Roman" w:hAnsi="Times New Roman" w:cs="Times New Roman" w:eastAsia="Times New Roman" w:hint="default"/>
        </w:rPr>
        <w:t>43,784.55</w:t>
      </w:r>
      <w:r>
        <w:rPr/>
        <w:t>万元，未超过上年末净资产的</w:t>
      </w:r>
      <w:r>
        <w:rPr>
          <w:rFonts w:ascii="Times New Roman" w:hAnsi="Times New Roman" w:cs="Times New Roman" w:eastAsia="Times New Roman" w:hint="default"/>
        </w:rPr>
        <w:t>20%</w:t>
      </w:r>
      <w:r>
        <w:rPr/>
        <w:t>。公司遵守银行结算纪律，按时 归还银行贷款本息。公司近三年的贷款偿还率和利息偿付率均为</w:t>
      </w:r>
      <w:r>
        <w:rPr>
          <w:rFonts w:ascii="Times New Roman" w:hAnsi="Times New Roman" w:cs="Times New Roman" w:eastAsia="Times New Roman" w:hint="default"/>
        </w:rPr>
        <w:t>100%</w:t>
      </w:r>
      <w:r>
        <w:rPr/>
        <w:t>，不存在逾期而未偿还的债务。</w:t>
      </w:r>
    </w:p>
    <w:p>
      <w:pPr>
        <w:spacing w:line="240" w:lineRule="auto" w:before="13"/>
        <w:rPr>
          <w:rFonts w:ascii="宋体" w:hAnsi="宋体" w:cs="宋体" w:eastAsia="宋体" w:hint="default"/>
          <w:sz w:val="19"/>
          <w:szCs w:val="19"/>
        </w:rPr>
      </w:pPr>
    </w:p>
    <w:p>
      <w:pPr>
        <w:pStyle w:val="Heading2"/>
        <w:spacing w:line="240" w:lineRule="auto"/>
        <w:ind w:right="1133"/>
        <w:jc w:val="left"/>
        <w:rPr>
          <w:b w:val="0"/>
          <w:bCs w:val="0"/>
        </w:rPr>
      </w:pPr>
      <w:r>
        <w:rPr/>
        <w:t>十一、报告期内执行公司债券募集说明书相关约定或承诺的情况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513" w:right="1133"/>
        <w:jc w:val="left"/>
        <w:rPr>
          <w:rFonts w:ascii="宋体" w:hAnsi="宋体" w:cs="宋体" w:eastAsia="宋体" w:hint="default"/>
        </w:rPr>
      </w:pPr>
      <w:r>
        <w:rPr/>
        <w:t>公司承诺在预计不能按期偿付债券本息或者到期未能按期偿付债券本息时，将至少采取如下措施：</w:t>
      </w:r>
      <w:r>
        <w:rPr>
          <w:rFonts w:ascii="宋体" w:hAnsi="宋体" w:cs="宋体" w:eastAsia="宋体" w:hint="default"/>
        </w:rPr>
        <w:t> 1</w:t>
      </w:r>
      <w:r>
        <w:rPr/>
        <w:t>、不向股东分配利润；</w:t>
      </w:r>
      <w:r>
        <w:rPr>
          <w:rFonts w:ascii="宋体" w:hAnsi="宋体" w:cs="宋体" w:eastAsia="宋体" w:hint="default"/>
        </w:rPr>
        <w:t> </w:t>
      </w:r>
    </w:p>
    <w:p>
      <w:pPr>
        <w:pStyle w:val="BodyText"/>
        <w:spacing w:line="240" w:lineRule="auto" w:before="19"/>
        <w:ind w:left="513" w:right="1133"/>
        <w:jc w:val="left"/>
        <w:rPr>
          <w:rFonts w:ascii="宋体" w:hAnsi="宋体" w:cs="宋体" w:eastAsia="宋体" w:hint="default"/>
        </w:rPr>
      </w:pPr>
      <w:r>
        <w:rPr>
          <w:rFonts w:ascii="宋体" w:hAnsi="宋体" w:cs="宋体" w:eastAsia="宋体" w:hint="default"/>
        </w:rPr>
        <w:t>2</w:t>
      </w:r>
      <w:r>
        <w:rPr/>
        <w:t>、暂缓重大对外投资、收购兼并等资本性支出项目的实施；</w:t>
      </w:r>
      <w:r>
        <w:rPr>
          <w:rFonts w:ascii="宋体" w:hAnsi="宋体" w:cs="宋体" w:eastAsia="宋体" w:hint="default"/>
        </w:rPr>
        <w:t> </w:t>
      </w:r>
    </w:p>
    <w:p>
      <w:pPr>
        <w:pStyle w:val="BodyText"/>
        <w:spacing w:line="240" w:lineRule="auto" w:before="76"/>
        <w:ind w:left="513" w:right="1133"/>
        <w:jc w:val="left"/>
        <w:rPr>
          <w:rFonts w:ascii="宋体" w:hAnsi="宋体" w:cs="宋体" w:eastAsia="宋体" w:hint="default"/>
        </w:rPr>
      </w:pPr>
      <w:r>
        <w:rPr>
          <w:rFonts w:ascii="宋体" w:hAnsi="宋体" w:cs="宋体" w:eastAsia="宋体" w:hint="default"/>
        </w:rPr>
        <w:t>3</w:t>
      </w:r>
      <w:r>
        <w:rPr/>
        <w:t>、调减或停发董事和高级管理人员的工资和奖金；</w:t>
      </w:r>
      <w:r>
        <w:rPr>
          <w:rFonts w:ascii="宋体" w:hAnsi="宋体" w:cs="宋体" w:eastAsia="宋体" w:hint="default"/>
        </w:rPr>
        <w:t> </w:t>
      </w:r>
    </w:p>
    <w:p>
      <w:pPr>
        <w:pStyle w:val="BodyText"/>
        <w:spacing w:line="316" w:lineRule="auto" w:before="76"/>
        <w:ind w:left="513" w:right="8053"/>
        <w:jc w:val="left"/>
      </w:pPr>
      <w:r>
        <w:rPr>
          <w:rFonts w:ascii="宋体" w:hAnsi="宋体" w:cs="宋体" w:eastAsia="宋体" w:hint="default"/>
        </w:rPr>
        <w:t>4</w:t>
      </w:r>
      <w:r>
        <w:rPr/>
        <w:t>、主要责任人不得调离。</w:t>
      </w:r>
      <w:r>
        <w:rPr>
          <w:rFonts w:ascii="宋体" w:hAnsi="宋体" w:cs="宋体" w:eastAsia="宋体" w:hint="default"/>
          <w:spacing w:val="-2"/>
        </w:rPr>
        <w:t> </w:t>
      </w:r>
      <w:r>
        <w:rPr>
          <w:rFonts w:ascii="宋体" w:hAnsi="宋体" w:cs="宋体" w:eastAsia="宋体" w:hint="default"/>
        </w:rPr>
        <w:t> </w:t>
      </w:r>
      <w:r>
        <w:rPr/>
        <w:t>报告期内公司履行相关承诺。</w:t>
      </w:r>
    </w:p>
    <w:p>
      <w:pPr>
        <w:spacing w:line="240" w:lineRule="auto" w:before="12"/>
        <w:rPr>
          <w:rFonts w:ascii="宋体" w:hAnsi="宋体" w:cs="宋体" w:eastAsia="宋体" w:hint="default"/>
          <w:sz w:val="20"/>
          <w:szCs w:val="20"/>
        </w:rPr>
      </w:pPr>
    </w:p>
    <w:p>
      <w:pPr>
        <w:pStyle w:val="Heading2"/>
        <w:spacing w:line="240" w:lineRule="auto"/>
        <w:ind w:right="1133"/>
        <w:jc w:val="left"/>
        <w:rPr>
          <w:b w:val="0"/>
          <w:bCs w:val="0"/>
        </w:rPr>
      </w:pPr>
      <w:r>
        <w:rPr/>
        <w:t>十二、报告期内发生的重大事项</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6" w:firstLine="360"/>
        <w:jc w:val="both"/>
        <w:rPr>
          <w:rFonts w:ascii="宋体" w:hAnsi="宋体" w:cs="宋体" w:eastAsia="宋体" w:hint="default"/>
        </w:rPr>
      </w:pPr>
      <w:r>
        <w:rPr>
          <w:rFonts w:ascii="宋体" w:hAnsi="宋体" w:cs="宋体" w:eastAsia="宋体" w:hint="default"/>
        </w:rPr>
        <w:t>1</w:t>
      </w:r>
      <w:r>
        <w:rPr/>
        <w:t>、鹏元资信评估有限公司于</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23</w:t>
      </w:r>
      <w:r>
        <w:rPr/>
        <w:t>日对公司 </w:t>
      </w:r>
      <w:r>
        <w:rPr>
          <w:rFonts w:ascii="宋体" w:hAnsi="宋体" w:cs="宋体" w:eastAsia="宋体" w:hint="default"/>
        </w:rPr>
        <w:t>2015</w:t>
      </w:r>
      <w:r>
        <w:rPr>
          <w:rFonts w:ascii="宋体" w:hAnsi="宋体" w:cs="宋体" w:eastAsia="宋体" w:hint="default"/>
          <w:spacing w:val="2"/>
        </w:rPr>
        <w:t> </w:t>
      </w:r>
      <w:r>
        <w:rPr>
          <w:spacing w:val="-3"/>
        </w:rPr>
        <w:t>年公司债券（第一期、第二期）进行</w:t>
      </w:r>
      <w:r>
        <w:rPr>
          <w:rFonts w:ascii="宋体" w:hAnsi="宋体" w:cs="宋体" w:eastAsia="宋体" w:hint="default"/>
          <w:spacing w:val="-3"/>
        </w:rPr>
        <w:t>2018</w:t>
      </w:r>
      <w:r>
        <w:rPr>
          <w:spacing w:val="-3"/>
        </w:rPr>
        <w:t>年跟踪信用评级，本</w:t>
      </w:r>
      <w:r>
        <w:rPr/>
        <w:t> 次跟踪评级报告评级结果为：</w:t>
      </w:r>
      <w:r>
        <w:rPr>
          <w:rFonts w:ascii="宋体" w:hAnsi="宋体" w:cs="宋体" w:eastAsia="宋体" w:hint="default"/>
        </w:rPr>
        <w:t>15</w:t>
      </w:r>
      <w:r>
        <w:rPr/>
        <w:t>证通</w:t>
      </w:r>
      <w:r>
        <w:rPr>
          <w:rFonts w:ascii="宋体" w:hAnsi="宋体" w:cs="宋体" w:eastAsia="宋体" w:hint="default"/>
        </w:rPr>
        <w:t>01</w:t>
      </w:r>
      <w:r>
        <w:rPr/>
        <w:t>和</w:t>
      </w:r>
      <w:r>
        <w:rPr>
          <w:rFonts w:ascii="宋体" w:hAnsi="宋体" w:cs="宋体" w:eastAsia="宋体" w:hint="default"/>
        </w:rPr>
        <w:t>15</w:t>
      </w:r>
      <w:r>
        <w:rPr/>
        <w:t>证通</w:t>
      </w:r>
      <w:r>
        <w:rPr>
          <w:rFonts w:ascii="宋体" w:hAnsi="宋体" w:cs="宋体" w:eastAsia="宋体" w:hint="default"/>
        </w:rPr>
        <w:t>02</w:t>
      </w:r>
      <w:r>
        <w:rPr/>
        <w:t>的债券信用等级维持为 </w:t>
      </w:r>
      <w:r>
        <w:rPr>
          <w:rFonts w:ascii="宋体" w:hAnsi="宋体" w:cs="宋体" w:eastAsia="宋体" w:hint="default"/>
        </w:rPr>
        <w:t>AAA</w:t>
      </w:r>
      <w:r>
        <w:rPr/>
        <w:t>，公司主体长期信用等级维持为</w:t>
      </w:r>
      <w:r>
        <w:rPr>
          <w:spacing w:val="-48"/>
        </w:rPr>
        <w:t> </w:t>
      </w:r>
      <w:r>
        <w:rPr>
          <w:rFonts w:ascii="宋体" w:hAnsi="宋体" w:cs="宋体" w:eastAsia="宋体" w:hint="default"/>
          <w:spacing w:val="-48"/>
        </w:rPr>
      </w:r>
      <w:r>
        <w:rPr>
          <w:rFonts w:ascii="宋体" w:hAnsi="宋体" w:cs="宋体" w:eastAsia="宋体" w:hint="default"/>
          <w:spacing w:val="-5"/>
        </w:rPr>
        <w:t>AA-</w:t>
      </w:r>
      <w:r>
        <w:rPr>
          <w:spacing w:val="-5"/>
        </w:rPr>
        <w:t>，评级展</w:t>
      </w:r>
      <w:r>
        <w:rPr/>
        <w:t> 望为稳定。公司债券信用等级为</w:t>
      </w:r>
      <w:r>
        <w:rPr>
          <w:spacing w:val="-40"/>
        </w:rPr>
        <w:t> </w:t>
      </w:r>
      <w:r>
        <w:rPr>
          <w:rFonts w:ascii="宋体" w:hAnsi="宋体" w:cs="宋体" w:eastAsia="宋体" w:hint="default"/>
          <w:spacing w:val="-40"/>
        </w:rPr>
      </w:r>
      <w:r>
        <w:rPr>
          <w:rFonts w:ascii="宋体" w:hAnsi="宋体" w:cs="宋体" w:eastAsia="宋体" w:hint="default"/>
        </w:rPr>
        <w:t>AAA</w:t>
      </w:r>
      <w:r>
        <w:rPr/>
        <w:t>，公司主体信用评级等级为</w:t>
      </w:r>
      <w:r>
        <w:rPr>
          <w:spacing w:val="-40"/>
        </w:rPr>
        <w:t> </w:t>
      </w:r>
      <w:r>
        <w:rPr>
          <w:rFonts w:ascii="宋体" w:hAnsi="宋体" w:cs="宋体" w:eastAsia="宋体" w:hint="default"/>
          <w:spacing w:val="-40"/>
        </w:rPr>
      </w:r>
      <w:r>
        <w:rPr>
          <w:rFonts w:ascii="宋体" w:hAnsi="宋体" w:cs="宋体" w:eastAsia="宋体" w:hint="default"/>
        </w:rPr>
        <w:t>AA-</w:t>
      </w:r>
      <w:r>
        <w:rPr/>
        <w:t>。该跟踪评级报告详见公司于</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5</w:t>
      </w:r>
      <w:r>
        <w:rPr/>
        <w:t>日在巨潮资讯 网（</w:t>
      </w:r>
      <w:hyperlink r:id="rId13">
        <w:r>
          <w:rPr>
            <w:rFonts w:ascii="宋体" w:hAnsi="宋体" w:cs="宋体" w:eastAsia="宋体" w:hint="default"/>
          </w:rPr>
          <w:t>www.cninfo.com.cn</w:t>
        </w:r>
      </w:hyperlink>
      <w:r>
        <w:rPr/>
        <w:t>）上披露的《公司</w:t>
      </w:r>
      <w:r>
        <w:rPr>
          <w:rFonts w:ascii="宋体" w:hAnsi="宋体" w:cs="宋体" w:eastAsia="宋体" w:hint="default"/>
        </w:rPr>
        <w:t>2015</w:t>
      </w:r>
      <w:r>
        <w:rPr/>
        <w:t>年公司债券（第一期、第二期）</w:t>
      </w:r>
      <w:r>
        <w:rPr>
          <w:rFonts w:ascii="宋体" w:hAnsi="宋体" w:cs="宋体" w:eastAsia="宋体" w:hint="default"/>
        </w:rPr>
        <w:t>2018</w:t>
      </w:r>
      <w:r>
        <w:rPr/>
        <w:t>年跟踪信用评级报告》。</w:t>
      </w:r>
      <w:r>
        <w:rPr>
          <w:rFonts w:ascii="宋体" w:hAnsi="宋体" w:cs="宋体" w:eastAsia="宋体" w:hint="default"/>
        </w:rPr>
        <w:t> </w:t>
      </w:r>
    </w:p>
    <w:p>
      <w:pPr>
        <w:pStyle w:val="BodyText"/>
        <w:spacing w:line="316" w:lineRule="auto" w:before="19"/>
        <w:ind w:right="1126" w:firstLine="360"/>
        <w:jc w:val="both"/>
        <w:rPr>
          <w:rFonts w:ascii="宋体" w:hAnsi="宋体" w:cs="宋体" w:eastAsia="宋体" w:hint="default"/>
        </w:rPr>
      </w:pPr>
      <w:r>
        <w:rPr>
          <w:rFonts w:ascii="宋体" w:hAnsi="宋体" w:cs="宋体" w:eastAsia="宋体" w:hint="default"/>
          <w:spacing w:val="-2"/>
        </w:rPr>
        <w:t>2</w:t>
      </w:r>
      <w:r>
        <w:rPr>
          <w:spacing w:val="-2"/>
        </w:rPr>
        <w:t>、公司分别于</w:t>
      </w:r>
      <w:r>
        <w:rPr>
          <w:rFonts w:ascii="宋体" w:hAnsi="宋体" w:cs="宋体" w:eastAsia="宋体" w:hint="default"/>
          <w:spacing w:val="-2"/>
        </w:rPr>
        <w:t>2018</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28</w:t>
      </w:r>
      <w:r>
        <w:rPr>
          <w:spacing w:val="-2"/>
        </w:rPr>
        <w:t>日、</w:t>
      </w:r>
      <w:r>
        <w:rPr>
          <w:rFonts w:ascii="宋体" w:hAnsi="宋体" w:cs="宋体" w:eastAsia="宋体" w:hint="default"/>
          <w:spacing w:val="-2"/>
        </w:rPr>
        <w:t>2018</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3</w:t>
      </w:r>
      <w:r>
        <w:rPr>
          <w:spacing w:val="-2"/>
        </w:rPr>
        <w:t>日及</w:t>
      </w:r>
      <w:r>
        <w:rPr>
          <w:rFonts w:ascii="宋体" w:hAnsi="宋体" w:cs="宋体" w:eastAsia="宋体" w:hint="default"/>
          <w:spacing w:val="-2"/>
        </w:rPr>
        <w:t>2018</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9</w:t>
      </w:r>
      <w:r>
        <w:rPr>
          <w:spacing w:val="-2"/>
        </w:rPr>
        <w:t>日</w:t>
      </w:r>
      <w:r>
        <w:rPr>
          <w:spacing w:val="9"/>
        </w:rPr>
        <w:t> </w:t>
      </w:r>
      <w:r>
        <w:rPr>
          <w:rFonts w:ascii="宋体" w:hAnsi="宋体" w:cs="宋体" w:eastAsia="宋体" w:hint="default"/>
          <w:spacing w:val="9"/>
        </w:rPr>
      </w:r>
      <w:r>
        <w:rPr>
          <w:spacing w:val="-1"/>
        </w:rPr>
        <w:t>召开了</w:t>
      </w:r>
      <w:r>
        <w:rPr>
          <w:rFonts w:ascii="宋体" w:hAnsi="宋体" w:cs="宋体" w:eastAsia="宋体" w:hint="default"/>
          <w:spacing w:val="-1"/>
        </w:rPr>
        <w:t>2018</w:t>
      </w:r>
      <w:r>
        <w:rPr>
          <w:spacing w:val="-1"/>
        </w:rPr>
        <w:t>年第一次临时股东大会、</w:t>
      </w:r>
      <w:r>
        <w:rPr>
          <w:rFonts w:ascii="宋体" w:hAnsi="宋体" w:cs="宋体" w:eastAsia="宋体" w:hint="default"/>
          <w:spacing w:val="-1"/>
        </w:rPr>
        <w:t>2018</w:t>
      </w:r>
      <w:r>
        <w:rPr>
          <w:spacing w:val="-1"/>
        </w:rPr>
        <w:t>年第二次临时</w:t>
      </w:r>
      <w:r>
        <w:rPr/>
        <w:t> </w:t>
      </w:r>
      <w:r>
        <w:rPr>
          <w:spacing w:val="-2"/>
        </w:rPr>
        <w:t>股东大会、</w:t>
      </w:r>
      <w:r>
        <w:rPr>
          <w:rFonts w:ascii="宋体" w:hAnsi="宋体" w:cs="宋体" w:eastAsia="宋体" w:hint="default"/>
          <w:spacing w:val="-2"/>
        </w:rPr>
        <w:t>2018</w:t>
      </w:r>
      <w:r>
        <w:rPr>
          <w:spacing w:val="-2"/>
        </w:rPr>
        <w:t>年第四次临时股东大会审议通过了《关于修订公司章程的议案》，主要对《公司章程》中的经营宗旨、股东</w:t>
      </w:r>
      <w:r>
        <w:rPr>
          <w:spacing w:val="-70"/>
        </w:rPr>
        <w:t> </w:t>
      </w:r>
      <w:r>
        <w:rPr>
          <w:spacing w:val="-70"/>
        </w:rPr>
      </w:r>
      <w:r>
        <w:rPr>
          <w:spacing w:val="-2"/>
        </w:rPr>
        <w:t>大会、董事会及董事长决策权限、特别交易事项等部分条款进行相应补充修订并增加部分经营范围、变更注册地址，除此之</w:t>
      </w:r>
      <w:r>
        <w:rPr>
          <w:spacing w:val="-62"/>
        </w:rPr>
        <w:t> </w:t>
      </w:r>
      <w:r>
        <w:rPr>
          <w:spacing w:val="-62"/>
        </w:rPr>
      </w:r>
      <w:r>
        <w:rPr>
          <w:spacing w:val="-5"/>
        </w:rPr>
        <w:t>外报告期内并无发生其他重大变化。相关事项详见公司于</w:t>
      </w:r>
      <w:r>
        <w:rPr>
          <w:rFonts w:ascii="宋体" w:hAnsi="宋体" w:cs="宋体" w:eastAsia="宋体" w:hint="default"/>
          <w:spacing w:val="-5"/>
        </w:rPr>
        <w:t>2018</w:t>
      </w:r>
      <w:r>
        <w:rPr>
          <w:spacing w:val="-5"/>
        </w:rPr>
        <w:t>年</w:t>
      </w:r>
      <w:r>
        <w:rPr>
          <w:rFonts w:ascii="宋体" w:hAnsi="宋体" w:cs="宋体" w:eastAsia="宋体" w:hint="default"/>
          <w:spacing w:val="-5"/>
        </w:rPr>
        <w:t>3</w:t>
      </w:r>
      <w:r>
        <w:rPr>
          <w:spacing w:val="-5"/>
        </w:rPr>
        <w:t>月</w:t>
      </w:r>
      <w:r>
        <w:rPr>
          <w:rFonts w:ascii="宋体" w:hAnsi="宋体" w:cs="宋体" w:eastAsia="宋体" w:hint="default"/>
          <w:spacing w:val="-5"/>
        </w:rPr>
        <w:t>1</w:t>
      </w:r>
      <w:r>
        <w:rPr>
          <w:spacing w:val="-5"/>
        </w:rPr>
        <w:t>日、</w:t>
      </w:r>
      <w:r>
        <w:rPr>
          <w:rFonts w:ascii="宋体" w:hAnsi="宋体" w:cs="宋体" w:eastAsia="宋体" w:hint="default"/>
          <w:spacing w:val="-5"/>
        </w:rPr>
        <w:t>2018</w:t>
      </w:r>
      <w:r>
        <w:rPr>
          <w:spacing w:val="-5"/>
        </w:rPr>
        <w:t>年</w:t>
      </w:r>
      <w:r>
        <w:rPr>
          <w:rFonts w:ascii="宋体" w:hAnsi="宋体" w:cs="宋体" w:eastAsia="宋体" w:hint="default"/>
          <w:spacing w:val="-5"/>
        </w:rPr>
        <w:t>7</w:t>
      </w:r>
      <w:r>
        <w:rPr>
          <w:spacing w:val="-5"/>
        </w:rPr>
        <w:t>月</w:t>
      </w:r>
      <w:r>
        <w:rPr>
          <w:rFonts w:ascii="宋体" w:hAnsi="宋体" w:cs="宋体" w:eastAsia="宋体" w:hint="default"/>
          <w:spacing w:val="-5"/>
        </w:rPr>
        <w:t>4</w:t>
      </w:r>
      <w:r>
        <w:rPr>
          <w:spacing w:val="-5"/>
        </w:rPr>
        <w:t>日、</w:t>
      </w:r>
      <w:r>
        <w:rPr>
          <w:rFonts w:ascii="宋体" w:hAnsi="宋体" w:cs="宋体" w:eastAsia="宋体" w:hint="default"/>
          <w:spacing w:val="-5"/>
        </w:rPr>
        <w:t>2018</w:t>
      </w:r>
      <w:r>
        <w:rPr>
          <w:spacing w:val="-5"/>
        </w:rPr>
        <w:t>年</w:t>
      </w:r>
      <w:r>
        <w:rPr>
          <w:rFonts w:ascii="宋体" w:hAnsi="宋体" w:cs="宋体" w:eastAsia="宋体" w:hint="default"/>
          <w:spacing w:val="-5"/>
        </w:rPr>
        <w:t>10</w:t>
      </w:r>
      <w:r>
        <w:rPr>
          <w:spacing w:val="-5"/>
        </w:rPr>
        <w:t>月</w:t>
      </w:r>
      <w:r>
        <w:rPr>
          <w:rFonts w:ascii="宋体" w:hAnsi="宋体" w:cs="宋体" w:eastAsia="宋体" w:hint="default"/>
          <w:spacing w:val="-5"/>
        </w:rPr>
        <w:t>10</w:t>
      </w:r>
      <w:r>
        <w:rPr>
          <w:spacing w:val="-5"/>
        </w:rPr>
        <w:t>日披露于《证券时报》</w:t>
      </w:r>
      <w:r>
        <w:rPr>
          <w:spacing w:val="-32"/>
        </w:rPr>
        <w:t> </w:t>
      </w:r>
      <w:r>
        <w:rPr>
          <w:spacing w:val="-32"/>
        </w:rPr>
      </w:r>
      <w:r>
        <w:rPr/>
        <w:t>及巨潮资讯网（</w:t>
      </w:r>
      <w:hyperlink r:id="rId13">
        <w:r>
          <w:rPr>
            <w:rFonts w:ascii="宋体" w:hAnsi="宋体" w:cs="宋体" w:eastAsia="宋体" w:hint="default"/>
          </w:rPr>
          <w:t>www.cninfo.com.cn</w:t>
        </w:r>
      </w:hyperlink>
      <w:r>
        <w:rPr/>
        <w:t>）上的相关股东大会决议公告。</w:t>
      </w:r>
      <w:r>
        <w:rPr>
          <w:rFonts w:ascii="宋体" w:hAnsi="宋体" w:cs="宋体" w:eastAsia="宋体" w:hint="default"/>
        </w:rPr>
        <w:t> </w:t>
      </w:r>
    </w:p>
    <w:p>
      <w:pPr>
        <w:pStyle w:val="BodyText"/>
        <w:spacing w:line="240" w:lineRule="auto" w:before="19"/>
        <w:ind w:left="513" w:right="1133"/>
        <w:jc w:val="left"/>
        <w:rPr>
          <w:rFonts w:ascii="宋体" w:hAnsi="宋体" w:cs="宋体" w:eastAsia="宋体" w:hint="default"/>
        </w:rPr>
      </w:pPr>
      <w:r>
        <w:rPr>
          <w:rFonts w:ascii="宋体" w:hAnsi="宋体" w:cs="宋体" w:eastAsia="宋体" w:hint="default"/>
        </w:rPr>
        <w:t>3</w:t>
      </w:r>
      <w:r>
        <w:rPr/>
        <w:t>、报告期内公司股份回购事项详细内容见“第六节、一、</w:t>
      </w:r>
      <w:r>
        <w:rPr>
          <w:rFonts w:ascii="宋体" w:hAnsi="宋体" w:cs="宋体" w:eastAsia="宋体" w:hint="default"/>
        </w:rPr>
        <w:t>1</w:t>
      </w:r>
      <w:r>
        <w:rPr/>
        <w:t>、股份变动情况”。</w:t>
      </w:r>
      <w:r>
        <w:rPr>
          <w:rFonts w:ascii="宋体" w:hAnsi="宋体" w:cs="宋体" w:eastAsia="宋体" w:hint="default"/>
        </w:rPr>
        <w:t> </w:t>
      </w:r>
    </w:p>
    <w:p>
      <w:pPr>
        <w:pStyle w:val="BodyText"/>
        <w:spacing w:line="240" w:lineRule="auto" w:before="76"/>
        <w:ind w:left="513" w:right="944"/>
        <w:jc w:val="left"/>
      </w:pPr>
      <w:r>
        <w:rPr>
          <w:rFonts w:ascii="宋体" w:hAnsi="宋体" w:cs="宋体" w:eastAsia="宋体" w:hint="default"/>
        </w:rPr>
        <w:t>4</w:t>
      </w:r>
      <w:r>
        <w:rPr/>
        <w:t>、截至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日，公司累计新增借款约为</w:t>
      </w:r>
      <w:r>
        <w:rPr>
          <w:rFonts w:ascii="宋体" w:hAnsi="宋体" w:cs="宋体" w:eastAsia="宋体" w:hint="default"/>
        </w:rPr>
        <w:t>40,570.84</w:t>
      </w:r>
      <w:r>
        <w:rPr/>
        <w:t>万元，占</w:t>
      </w:r>
      <w:r>
        <w:rPr>
          <w:rFonts w:ascii="宋体" w:hAnsi="宋体" w:cs="宋体" w:eastAsia="宋体" w:hint="default"/>
        </w:rPr>
        <w:t>2017</w:t>
      </w:r>
      <w:r>
        <w:rPr/>
        <w:t>年经审计净资产的</w:t>
      </w:r>
      <w:r>
        <w:rPr>
          <w:rFonts w:ascii="宋体" w:hAnsi="宋体" w:cs="宋体" w:eastAsia="宋体" w:hint="default"/>
        </w:rPr>
        <w:t>14.66%</w:t>
      </w:r>
      <w:r>
        <w:rPr/>
        <w:t>，其中新增银行借款</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24"/>
        <w:jc w:val="left"/>
        <w:rPr>
          <w:rFonts w:ascii="宋体" w:hAnsi="宋体" w:cs="宋体" w:eastAsia="宋体" w:hint="default"/>
        </w:rPr>
      </w:pPr>
      <w:r>
        <w:rPr>
          <w:rFonts w:ascii="宋体" w:hAnsi="宋体" w:cs="宋体" w:eastAsia="宋体" w:hint="default"/>
        </w:rPr>
        <w:t>43,784.55</w:t>
      </w:r>
      <w:r>
        <w:rPr/>
        <w:t>万元，融资租赁减少</w:t>
      </w:r>
      <w:r>
        <w:rPr>
          <w:rFonts w:ascii="宋体" w:hAnsi="宋体" w:cs="宋体" w:eastAsia="宋体" w:hint="default"/>
        </w:rPr>
        <w:t>3,213.71</w:t>
      </w:r>
      <w:r>
        <w:rPr/>
        <w:t>万元；对外提供担保金额为</w:t>
      </w:r>
      <w:r>
        <w:rPr>
          <w:rFonts w:ascii="宋体" w:hAnsi="宋体" w:cs="宋体" w:eastAsia="宋体" w:hint="default"/>
        </w:rPr>
        <w:t>12,159.65</w:t>
      </w:r>
      <w:r>
        <w:rPr/>
        <w:t>万元，占</w:t>
      </w:r>
      <w:r>
        <w:rPr>
          <w:rFonts w:ascii="宋体" w:hAnsi="宋体" w:cs="宋体" w:eastAsia="宋体" w:hint="default"/>
        </w:rPr>
        <w:t>2017</w:t>
      </w:r>
      <w:r>
        <w:rPr/>
        <w:t>年经审计净资产的</w:t>
      </w:r>
      <w:r>
        <w:rPr>
          <w:rFonts w:ascii="宋体" w:hAnsi="宋体" w:cs="宋体" w:eastAsia="宋体" w:hint="default"/>
        </w:rPr>
        <w:t>4.39%</w:t>
      </w:r>
      <w:r>
        <w:rPr/>
        <w:t>；报告 期内公司累计新增借款和对外提供担保均未超过上年末净资产的</w:t>
      </w:r>
      <w:r>
        <w:rPr>
          <w:rFonts w:ascii="宋体" w:hAnsi="宋体" w:cs="宋体" w:eastAsia="宋体" w:hint="default"/>
        </w:rPr>
        <w:t>20%</w:t>
      </w:r>
      <w:r>
        <w:rPr/>
        <w:t>。</w:t>
      </w:r>
      <w:r>
        <w:rPr>
          <w:rFonts w:ascii="宋体" w:hAnsi="宋体" w:cs="宋体" w:eastAsia="宋体" w:hint="default"/>
        </w:rPr>
        <w:t> </w:t>
      </w:r>
    </w:p>
    <w:p>
      <w:pPr>
        <w:pStyle w:val="BodyText"/>
        <w:spacing w:line="240" w:lineRule="auto" w:before="19"/>
        <w:ind w:left="513" w:right="1133"/>
        <w:jc w:val="left"/>
        <w:rPr>
          <w:rFonts w:ascii="宋体" w:hAnsi="宋体" w:cs="宋体" w:eastAsia="宋体" w:hint="default"/>
        </w:rPr>
      </w:pPr>
      <w:r>
        <w:rPr>
          <w:rFonts w:ascii="宋体" w:hAnsi="宋体" w:cs="宋体" w:eastAsia="宋体" w:hint="default"/>
        </w:rPr>
        <w:t>5</w:t>
      </w:r>
      <w:r>
        <w:rPr/>
        <w:t>、公司涉及重大诉讼、仲裁事项或受到重大行政处罚情况的详细内容见“第五节、十二、重大诉讼、仲裁事项”。</w:t>
      </w:r>
      <w:r>
        <w:rPr>
          <w:rFonts w:ascii="宋体" w:hAnsi="宋体" w:cs="宋体" w:eastAsia="宋体" w:hint="default"/>
        </w:rPr>
        <w:t> </w:t>
      </w:r>
    </w:p>
    <w:p>
      <w:pPr>
        <w:pStyle w:val="BodyText"/>
        <w:spacing w:line="240" w:lineRule="auto" w:before="76"/>
        <w:ind w:left="513" w:right="1133"/>
        <w:jc w:val="left"/>
        <w:rPr>
          <w:rFonts w:ascii="宋体" w:hAnsi="宋体" w:cs="宋体" w:eastAsia="宋体" w:hint="default"/>
        </w:rPr>
      </w:pPr>
      <w:r>
        <w:rPr>
          <w:rFonts w:ascii="宋体" w:hAnsi="宋体" w:cs="宋体" w:eastAsia="宋体" w:hint="default"/>
        </w:rPr>
        <w:t>6</w:t>
      </w:r>
      <w:r>
        <w:rPr/>
        <w:t>、报告期内公司其他担保事项详细内容见“第五节、十七、</w:t>
      </w:r>
      <w:r>
        <w:rPr>
          <w:rFonts w:ascii="宋体" w:hAnsi="宋体" w:cs="宋体" w:eastAsia="宋体" w:hint="default"/>
        </w:rPr>
        <w:t>2</w:t>
      </w:r>
      <w:r>
        <w:rPr/>
        <w:t>、重大担保”。</w:t>
      </w:r>
      <w:r>
        <w:rPr>
          <w:rFonts w:ascii="宋体" w:hAnsi="宋体" w:cs="宋体" w:eastAsia="宋体" w:hint="default"/>
        </w:rPr>
        <w:t> </w:t>
      </w:r>
    </w:p>
    <w:p>
      <w:pPr>
        <w:pStyle w:val="BodyText"/>
        <w:spacing w:line="240" w:lineRule="auto" w:before="76"/>
        <w:ind w:left="513" w:right="1133"/>
        <w:jc w:val="left"/>
      </w:pPr>
      <w:r>
        <w:rPr>
          <w:rFonts w:ascii="宋体" w:hAnsi="宋体" w:cs="宋体" w:eastAsia="宋体" w:hint="default"/>
        </w:rPr>
        <w:t>7</w:t>
      </w:r>
      <w:r>
        <w:rPr/>
        <w:t>、报告期末公司受限的资产金额为</w:t>
      </w:r>
      <w:r>
        <w:rPr>
          <w:rFonts w:ascii="宋体" w:hAnsi="宋体" w:cs="宋体" w:eastAsia="宋体" w:hint="default"/>
        </w:rPr>
        <w:t>3.2</w:t>
      </w:r>
      <w:r>
        <w:rPr>
          <w:rFonts w:ascii="Times New Roman" w:hAnsi="Times New Roman" w:cs="Times New Roman" w:eastAsia="Times New Roman" w:hint="default"/>
        </w:rPr>
        <w:t>3</w:t>
      </w:r>
      <w:r>
        <w:rPr>
          <w:rFonts w:ascii="Times New Roman" w:hAnsi="Times New Roman" w:cs="Times New Roman" w:eastAsia="Times New Roman" w:hint="default"/>
          <w:spacing w:val="25"/>
        </w:rPr>
        <w:t> </w:t>
      </w:r>
      <w:r>
        <w:rPr/>
        <w:t>亿元，详细内容见</w:t>
      </w:r>
      <w:r>
        <w:rPr>
          <w:rFonts w:ascii="Times New Roman" w:hAnsi="Times New Roman" w:cs="Times New Roman" w:eastAsia="Times New Roman" w:hint="default"/>
        </w:rPr>
        <w:t>“</w:t>
      </w:r>
      <w:r>
        <w:rPr/>
        <w:t>第四节、四、</w:t>
      </w:r>
      <w:r>
        <w:rPr>
          <w:rFonts w:ascii="Times New Roman" w:hAnsi="Times New Roman" w:cs="Times New Roman" w:eastAsia="Times New Roman" w:hint="default"/>
        </w:rPr>
        <w:t>3</w:t>
      </w:r>
      <w:r>
        <w:rPr/>
        <w:t>、截止报告期末的资产权利受限情况</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十三、公司债券是否存在保证人</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75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公司债券的保证人是否为法人或其他组织</w:t>
      </w:r>
    </w:p>
    <w:p>
      <w:pPr>
        <w:pStyle w:val="BodyText"/>
        <w:spacing w:line="240" w:lineRule="auto" w:before="43"/>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pStyle w:val="BodyText"/>
        <w:spacing w:line="300" w:lineRule="auto" w:before="104"/>
        <w:ind w:right="1122"/>
        <w:jc w:val="left"/>
      </w:pPr>
      <w:r>
        <w:rPr/>
        <w:t>是否在每个会计年度结束之日起</w:t>
      </w:r>
      <w:r>
        <w:rPr>
          <w:spacing w:val="-31"/>
        </w:rPr>
        <w:t> </w:t>
      </w:r>
      <w:r>
        <w:rPr>
          <w:rFonts w:ascii="Times New Roman" w:hAnsi="Times New Roman" w:cs="Times New Roman" w:eastAsia="Times New Roman" w:hint="default"/>
        </w:rPr>
        <w:t>4</w:t>
      </w:r>
      <w:r>
        <w:rPr>
          <w:rFonts w:ascii="Times New Roman" w:hAnsi="Times New Roman" w:cs="Times New Roman" w:eastAsia="Times New Roman" w:hint="default"/>
          <w:spacing w:val="15"/>
        </w:rPr>
        <w:t> </w:t>
      </w:r>
      <w:r>
        <w:rPr>
          <w:spacing w:val="-3"/>
        </w:rPr>
        <w:t>个月内单独披露保证人报告期财务报表，包括资产负债表、利润表、现金流量表、所有者</w:t>
      </w:r>
      <w:r>
        <w:rPr>
          <w:spacing w:val="-88"/>
        </w:rPr>
        <w:t> </w:t>
      </w:r>
      <w:r>
        <w:rPr>
          <w:spacing w:val="-88"/>
        </w:rPr>
      </w:r>
      <w:r>
        <w:rPr/>
        <w:t>权益（股东权益）变动表和财务报表附注</w:t>
      </w:r>
    </w:p>
    <w:p>
      <w:pPr>
        <w:pStyle w:val="BodyText"/>
        <w:spacing w:line="240" w:lineRule="auto" w:before="70"/>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07" w:right="1133"/>
        <w:jc w:val="left"/>
        <w:rPr>
          <w:b w:val="0"/>
          <w:bCs w:val="0"/>
        </w:rPr>
      </w:pPr>
      <w:bookmarkStart w:name="_bookmark10" w:id="11"/>
      <w:bookmarkEnd w:id="11"/>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中勤万信会计师事务所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勤信审字【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0847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李志光、肖逸</w:t>
            </w:r>
          </w:p>
        </w:tc>
      </w:tr>
    </w:tbl>
    <w:p>
      <w:pPr>
        <w:spacing w:after="0" w:line="240" w:lineRule="auto"/>
        <w:jc w:val="left"/>
        <w:rPr>
          <w:rFonts w:ascii="宋体" w:hAnsi="宋体" w:cs="宋体" w:eastAsia="宋体" w:hint="default"/>
          <w:sz w:val="18"/>
          <w:szCs w:val="18"/>
        </w:rPr>
        <w:sectPr>
          <w:footerReference w:type="default" r:id="rId19"/>
          <w:pgSz w:w="11910" w:h="16840"/>
          <w:pgMar w:footer="979" w:header="745" w:top="1060" w:bottom="1160" w:left="980" w:right="0"/>
        </w:sect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2"/>
          <w:szCs w:val="12"/>
        </w:rPr>
      </w:pPr>
    </w:p>
    <w:p>
      <w:pPr>
        <w:pStyle w:val="BodyText"/>
        <w:spacing w:line="316" w:lineRule="auto"/>
        <w:ind w:left="513" w:right="-20" w:hanging="361"/>
        <w:jc w:val="left"/>
        <w:rPr>
          <w:rFonts w:ascii="宋体" w:hAnsi="宋体" w:cs="宋体" w:eastAsia="宋体" w:hint="default"/>
        </w:rPr>
      </w:pPr>
      <w:r>
        <w:rPr/>
        <w:t>深圳市证通电子股份有限公司全体股东： 一、审计意见</w:t>
      </w:r>
      <w:r>
        <w:rPr>
          <w:rFonts w:ascii="宋体" w:hAnsi="宋体" w:cs="宋体" w:eastAsia="宋体" w:hint="default"/>
        </w:rPr>
        <w:t> </w:t>
      </w:r>
    </w:p>
    <w:p>
      <w:pPr>
        <w:pStyle w:val="BodyText"/>
        <w:spacing w:line="240" w:lineRule="auto" w:before="49"/>
        <w:ind w:right="0"/>
        <w:jc w:val="left"/>
      </w:pPr>
      <w:r>
        <w:rPr/>
        <w:br w:type="column"/>
      </w:r>
      <w:r>
        <w:rPr/>
        <w:t>审计报告正文</w:t>
      </w:r>
    </w:p>
    <w:p>
      <w:pPr>
        <w:spacing w:after="0" w:line="240" w:lineRule="auto"/>
        <w:jc w:val="left"/>
        <w:sectPr>
          <w:type w:val="continuous"/>
          <w:pgSz w:w="11910" w:h="16840"/>
          <w:pgMar w:top="1060" w:bottom="1160" w:left="980" w:right="0"/>
          <w:cols w:num="2" w:equalWidth="0">
            <w:col w:w="3393" w:space="887"/>
            <w:col w:w="6650"/>
          </w:cols>
        </w:sectPr>
      </w:pPr>
    </w:p>
    <w:p>
      <w:pPr>
        <w:pStyle w:val="BodyText"/>
        <w:spacing w:line="316" w:lineRule="auto" w:before="19"/>
        <w:ind w:right="1034" w:firstLine="360"/>
        <w:jc w:val="left"/>
        <w:rPr>
          <w:rFonts w:ascii="宋体" w:hAnsi="宋体" w:cs="宋体" w:eastAsia="宋体" w:hint="default"/>
        </w:rPr>
      </w:pPr>
      <w:r>
        <w:rPr/>
        <w:t>我们审计了深圳市证通电子股份有限公司</w:t>
      </w:r>
      <w:r>
        <w:rPr>
          <w:rFonts w:ascii="宋体" w:hAnsi="宋体" w:cs="宋体" w:eastAsia="宋体" w:hint="default"/>
          <w:spacing w:val="1"/>
        </w:rPr>
        <w:t>(</w:t>
      </w:r>
      <w:r>
        <w:rPr/>
        <w:t>以下简称证通电子公司</w:t>
      </w:r>
      <w:r>
        <w:rPr>
          <w:rFonts w:ascii="宋体" w:hAnsi="宋体" w:cs="宋体" w:eastAsia="宋体" w:hint="default"/>
          <w:spacing w:val="1"/>
        </w:rPr>
        <w:t>)</w:t>
      </w:r>
      <w:r>
        <w:rPr/>
        <w:t>财务报表</w:t>
      </w:r>
      <w:r>
        <w:rPr>
          <w:spacing w:val="-82"/>
        </w:rPr>
        <w:t>，</w:t>
      </w:r>
      <w:r>
        <w:rPr/>
        <w:t>包</w:t>
      </w:r>
      <w:r>
        <w:rPr>
          <w:spacing w:val="-1"/>
        </w:rPr>
        <w:t>括</w:t>
      </w:r>
      <w:r>
        <w:rPr>
          <w:rFonts w:ascii="宋体" w:hAnsi="宋体" w:cs="宋体" w:eastAsia="宋体" w:hint="default"/>
          <w:spacing w:val="-2"/>
        </w:rPr>
        <w:t>2</w:t>
      </w:r>
      <w:r>
        <w:rPr>
          <w:rFonts w:ascii="宋体" w:hAnsi="宋体" w:cs="宋体" w:eastAsia="宋体" w:hint="default"/>
          <w:spacing w:val="1"/>
        </w:rPr>
        <w:t>0</w:t>
      </w:r>
      <w:r>
        <w:rPr>
          <w:rFonts w:ascii="宋体" w:hAnsi="宋体" w:cs="宋体" w:eastAsia="宋体" w:hint="default"/>
          <w:spacing w:val="-2"/>
        </w:rPr>
        <w:t>1</w:t>
      </w:r>
      <w:r>
        <w:rPr>
          <w:rFonts w:ascii="宋体" w:hAnsi="宋体" w:cs="宋体" w:eastAsia="宋体" w:hint="default"/>
          <w:spacing w:val="1"/>
        </w:rPr>
        <w:t>8</w:t>
      </w:r>
      <w:r>
        <w:rPr/>
        <w:t>年</w:t>
      </w:r>
      <w:r>
        <w:rPr>
          <w:rFonts w:ascii="宋体" w:hAnsi="宋体" w:cs="宋体" w:eastAsia="宋体" w:hint="default"/>
          <w:spacing w:val="-2"/>
        </w:rPr>
        <w:t>12</w:t>
      </w:r>
      <w:r>
        <w:rPr/>
        <w:t>月</w:t>
      </w:r>
      <w:r>
        <w:rPr>
          <w:rFonts w:ascii="宋体" w:hAnsi="宋体" w:cs="宋体" w:eastAsia="宋体" w:hint="default"/>
          <w:spacing w:val="1"/>
        </w:rPr>
        <w:t>31</w:t>
      </w:r>
      <w:r>
        <w:rPr/>
        <w:t>日的合并及母公司资产 负债表，</w:t>
      </w: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spacing w:val="1"/>
        </w:rPr>
        <w:t>8</w:t>
      </w:r>
      <w:r>
        <w:rPr/>
        <w:t>年度的合并及</w:t>
      </w:r>
      <w:r>
        <w:rPr>
          <w:spacing w:val="-3"/>
        </w:rPr>
        <w:t>母</w:t>
      </w:r>
      <w:r>
        <w:rPr/>
        <w:t>公司利润表、合并及母公司现金流量表、合并及母公司所有者权益变动表以及财务报表</w:t>
      </w:r>
      <w:r>
        <w:rPr>
          <w:spacing w:val="2"/>
        </w:rPr>
        <w:t>附注</w:t>
      </w:r>
      <w:r>
        <w:rPr>
          <w:spacing w:val="-85"/>
        </w:rPr>
        <w:t>。</w:t>
      </w:r>
      <w:r>
        <w:rPr>
          <w:rFonts w:ascii="宋体" w:hAnsi="宋体" w:cs="宋体" w:eastAsia="宋体" w:hint="default"/>
        </w:rPr>
        <w:t> </w:t>
      </w:r>
    </w:p>
    <w:p>
      <w:pPr>
        <w:pStyle w:val="BodyText"/>
        <w:spacing w:line="316" w:lineRule="auto" w:before="19"/>
        <w:ind w:right="1034" w:firstLine="360"/>
        <w:jc w:val="left"/>
        <w:rPr>
          <w:rFonts w:ascii="宋体" w:hAnsi="宋体" w:cs="宋体" w:eastAsia="宋体" w:hint="default"/>
        </w:rPr>
      </w:pPr>
      <w:r>
        <w:rPr>
          <w:spacing w:val="-2"/>
        </w:rPr>
        <w:t>我们认为，后附的财务报表在所有重大方面按照企业会计准则的规定编制，公允反映了证通电子公司</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w:t>
      </w:r>
      <w:r>
        <w:rPr/>
        <w:t> 合并及母公司财务状况以及</w:t>
      </w:r>
      <w:r>
        <w:rPr>
          <w:rFonts w:ascii="宋体" w:hAnsi="宋体" w:cs="宋体" w:eastAsia="宋体" w:hint="default"/>
        </w:rPr>
        <w:t>2018</w:t>
      </w:r>
      <w:r>
        <w:rPr/>
        <w:t>年度的合并及母公司经营成果和现金流量。</w:t>
      </w:r>
      <w:r>
        <w:rPr>
          <w:rFonts w:ascii="宋体" w:hAnsi="宋体" w:cs="宋体" w:eastAsia="宋体" w:hint="default"/>
        </w:rPr>
        <w:t> </w:t>
      </w:r>
    </w:p>
    <w:p>
      <w:pPr>
        <w:pStyle w:val="BodyText"/>
        <w:spacing w:line="319" w:lineRule="auto" w:before="19"/>
        <w:ind w:left="513" w:right="1129"/>
        <w:jc w:val="left"/>
      </w:pPr>
      <w:r>
        <w:rPr/>
        <w:t>二、形成审计意见的基础</w:t>
      </w:r>
      <w:r>
        <w:rPr>
          <w:rFonts w:ascii="宋体" w:hAnsi="宋体" w:cs="宋体" w:eastAsia="宋体" w:hint="default"/>
        </w:rPr>
        <w:t> </w:t>
      </w:r>
      <w:r>
        <w:rPr>
          <w:spacing w:val="-2"/>
        </w:rPr>
        <w:t>我们按照中国注册会计师审计准则的规定执行了审计工作。审计报告的“注册会计师对财务报表审计的责任”部分进一</w:t>
      </w:r>
    </w:p>
    <w:p>
      <w:pPr>
        <w:pStyle w:val="BodyText"/>
        <w:spacing w:line="316" w:lineRule="auto" w:before="17"/>
        <w:ind w:right="1129"/>
        <w:jc w:val="left"/>
        <w:rPr>
          <w:rFonts w:ascii="宋体" w:hAnsi="宋体" w:cs="宋体" w:eastAsia="宋体" w:hint="default"/>
        </w:rPr>
      </w:pPr>
      <w:r>
        <w:rPr>
          <w:spacing w:val="-2"/>
        </w:rPr>
        <w:t>步阐述了我们在这些准则下的责任。按照中国注册会计师职业道德守则，我们独立于证通电子公司，并履行了职业道德方面</w:t>
      </w:r>
      <w:r>
        <w:rPr>
          <w:spacing w:val="-63"/>
        </w:rPr>
        <w:t> </w:t>
      </w:r>
      <w:r>
        <w:rPr>
          <w:spacing w:val="-63"/>
        </w:rPr>
      </w:r>
      <w:r>
        <w:rPr/>
        <w:t>的其他责任。我们相信，我们获取的审计证据是充分、适当的，为发表审计意见提供了基础。</w:t>
      </w:r>
      <w:r>
        <w:rPr>
          <w:rFonts w:ascii="宋体" w:hAnsi="宋体" w:cs="宋体" w:eastAsia="宋体" w:hint="default"/>
        </w:rPr>
        <w:t> </w:t>
      </w:r>
    </w:p>
    <w:p>
      <w:pPr>
        <w:pStyle w:val="BodyText"/>
        <w:spacing w:line="316" w:lineRule="auto" w:before="19"/>
        <w:ind w:left="513" w:right="1129"/>
        <w:jc w:val="left"/>
      </w:pPr>
      <w:r>
        <w:rPr/>
        <w:t>三、关键审计事项</w:t>
      </w:r>
      <w:r>
        <w:rPr>
          <w:rFonts w:ascii="宋体" w:hAnsi="宋体" w:cs="宋体" w:eastAsia="宋体" w:hint="default"/>
        </w:rPr>
        <w:t> </w:t>
      </w:r>
      <w:r>
        <w:rPr>
          <w:spacing w:val="-2"/>
        </w:rPr>
        <w:t>关键审计事项是根据我们的职业判断，认为对本期财务报表审计最为重要的事项。这些事项的应对以对财务报表整体进</w:t>
      </w:r>
    </w:p>
    <w:p>
      <w:pPr>
        <w:pStyle w:val="BodyText"/>
        <w:spacing w:line="316" w:lineRule="auto" w:before="19"/>
        <w:ind w:left="513" w:right="5460" w:hanging="361"/>
        <w:jc w:val="both"/>
        <w:rPr>
          <w:rFonts w:ascii="宋体" w:hAnsi="宋体" w:cs="宋体" w:eastAsia="宋体" w:hint="default"/>
        </w:rPr>
      </w:pPr>
      <w:r>
        <w:rPr/>
        <w:t>行审计并形成审计意见为背景，我们不对这些事项单独发表意见。</w:t>
      </w:r>
      <w:r>
        <w:rPr>
          <w:rFonts w:ascii="宋体" w:hAnsi="宋体" w:cs="宋体" w:eastAsia="宋体" w:hint="default"/>
        </w:rPr>
        <w:t> </w:t>
      </w:r>
      <w:r>
        <w:rPr/>
        <w:t>我们确定下列事项是需要在审计报告中沟通的关键审计事项。</w:t>
      </w:r>
      <w:r>
        <w:rPr>
          <w:rFonts w:ascii="宋体" w:hAnsi="宋体" w:cs="宋体" w:eastAsia="宋体" w:hint="default"/>
        </w:rPr>
        <w:t> (</w:t>
      </w:r>
      <w:r>
        <w:rPr/>
        <w:t>一</w:t>
      </w:r>
      <w:r>
        <w:rPr>
          <w:rFonts w:ascii="宋体" w:hAnsi="宋体" w:cs="宋体" w:eastAsia="宋体" w:hint="default"/>
        </w:rPr>
        <w:t>)</w:t>
      </w:r>
      <w:r>
        <w:rPr/>
        <w:t>应收账款坏账准备</w:t>
      </w:r>
      <w:r>
        <w:rPr>
          <w:rFonts w:ascii="宋体" w:hAnsi="宋体" w:cs="宋体" w:eastAsia="宋体" w:hint="default"/>
        </w:rPr>
        <w:t> </w:t>
      </w:r>
    </w:p>
    <w:p>
      <w:pPr>
        <w:pStyle w:val="BodyText"/>
        <w:spacing w:line="316" w:lineRule="auto" w:before="19"/>
        <w:ind w:left="513" w:right="1663"/>
        <w:jc w:val="left"/>
      </w:pPr>
      <w:r>
        <w:rPr>
          <w:rFonts w:ascii="宋体" w:hAnsi="宋体" w:cs="宋体" w:eastAsia="宋体" w:hint="default"/>
        </w:rPr>
        <w:t>1</w:t>
      </w:r>
      <w:r>
        <w:rPr/>
        <w:t>、事项描述</w:t>
      </w:r>
      <w:r>
        <w:rPr>
          <w:rFonts w:ascii="宋体" w:hAnsi="宋体" w:cs="宋体" w:eastAsia="宋体" w:hint="default"/>
        </w:rPr>
        <w:t> </w:t>
      </w:r>
      <w:r>
        <w:rPr/>
        <w:t>详见财务报表附注三、</w:t>
      </w:r>
      <w:r>
        <w:rPr>
          <w:rFonts w:ascii="宋体" w:hAnsi="宋体" w:cs="宋体" w:eastAsia="宋体" w:hint="default"/>
        </w:rPr>
        <w:t>(</w:t>
      </w:r>
      <w:r>
        <w:rPr/>
        <w:t>十一</w:t>
      </w:r>
      <w:r>
        <w:rPr>
          <w:rFonts w:ascii="宋体" w:hAnsi="宋体" w:cs="宋体" w:eastAsia="宋体" w:hint="default"/>
        </w:rPr>
        <w:t>)</w:t>
      </w:r>
      <w:r>
        <w:rPr/>
        <w:t>及五、</w:t>
      </w:r>
      <w:r>
        <w:rPr>
          <w:rFonts w:ascii="宋体" w:hAnsi="宋体" w:cs="宋体" w:eastAsia="宋体" w:hint="default"/>
        </w:rPr>
        <w:t>(</w:t>
      </w:r>
      <w:r>
        <w:rPr/>
        <w:t>二</w:t>
      </w:r>
      <w:r>
        <w:rPr>
          <w:rFonts w:ascii="宋体" w:hAnsi="宋体" w:cs="宋体" w:eastAsia="宋体" w:hint="default"/>
        </w:rPr>
        <w:t>)3</w:t>
      </w:r>
      <w:r>
        <w:rPr/>
        <w:t>，截至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日证通电子公司财务报表所示应收账款账面余额</w:t>
      </w:r>
    </w:p>
    <w:p>
      <w:pPr>
        <w:pStyle w:val="BodyText"/>
        <w:spacing w:line="319" w:lineRule="auto" w:before="19"/>
        <w:ind w:right="1124"/>
        <w:jc w:val="left"/>
        <w:rPr>
          <w:rFonts w:ascii="宋体" w:hAnsi="宋体" w:cs="宋体" w:eastAsia="宋体" w:hint="default"/>
        </w:rPr>
      </w:pPr>
      <w:r>
        <w:rPr>
          <w:rFonts w:ascii="宋体" w:hAnsi="宋体" w:cs="宋体" w:eastAsia="宋体" w:hint="default"/>
        </w:rPr>
        <w:t>156,777.51</w:t>
      </w:r>
      <w:r>
        <w:rPr/>
        <w:t>万元，占证通电子公司资产总额的</w:t>
      </w:r>
      <w:r>
        <w:rPr>
          <w:rFonts w:ascii="宋体" w:hAnsi="宋体" w:cs="宋体" w:eastAsia="宋体" w:hint="default"/>
        </w:rPr>
        <w:t>30.00%</w:t>
      </w:r>
      <w:r>
        <w:rPr/>
        <w:t>，对其计提坏账准备</w:t>
      </w:r>
      <w:r>
        <w:rPr>
          <w:rFonts w:ascii="宋体" w:hAnsi="宋体" w:cs="宋体" w:eastAsia="宋体" w:hint="default"/>
        </w:rPr>
        <w:t>24,575.99</w:t>
      </w:r>
      <w:r>
        <w:rPr/>
        <w:t>万元，账面价值为</w:t>
      </w:r>
      <w:r>
        <w:rPr>
          <w:rFonts w:ascii="宋体" w:hAnsi="宋体" w:cs="宋体" w:eastAsia="宋体" w:hint="default"/>
        </w:rPr>
        <w:t>132,201.52</w:t>
      </w:r>
      <w:r>
        <w:rPr/>
        <w:t>万元。由 于应收账款金额重大，且应收账款减值测试涉及管理层重大判断，我们将应收账款减值确定为关键审计事项。</w:t>
      </w:r>
      <w:r>
        <w:rPr>
          <w:rFonts w:ascii="宋体" w:hAnsi="宋体" w:cs="宋体" w:eastAsia="宋体" w:hint="default"/>
        </w:rPr>
        <w:t> </w:t>
      </w:r>
    </w:p>
    <w:p>
      <w:pPr>
        <w:pStyle w:val="BodyText"/>
        <w:spacing w:line="316" w:lineRule="auto" w:before="17"/>
        <w:ind w:left="513" w:right="7694"/>
        <w:jc w:val="left"/>
        <w:rPr>
          <w:rFonts w:ascii="宋体" w:hAnsi="宋体" w:cs="宋体" w:eastAsia="宋体" w:hint="default"/>
        </w:rPr>
      </w:pPr>
      <w:r>
        <w:rPr>
          <w:rFonts w:ascii="宋体" w:hAnsi="宋体" w:cs="宋体" w:eastAsia="宋体" w:hint="default"/>
        </w:rPr>
        <w:t>2</w:t>
      </w:r>
      <w:r>
        <w:rPr/>
        <w:t>、审计应对</w:t>
      </w:r>
      <w:r>
        <w:rPr>
          <w:rFonts w:ascii="宋体" w:hAnsi="宋体" w:cs="宋体" w:eastAsia="宋体" w:hint="default"/>
        </w:rPr>
        <w:t> </w:t>
      </w:r>
      <w:r>
        <w:rPr/>
        <w:t>我们执行的主要审计程序如下：</w:t>
      </w:r>
      <w:r>
        <w:rPr>
          <w:rFonts w:ascii="宋体" w:hAnsi="宋体" w:cs="宋体" w:eastAsia="宋体" w:hint="default"/>
        </w:rPr>
        <w:t> </w:t>
      </w:r>
    </w:p>
    <w:p>
      <w:pPr>
        <w:pStyle w:val="BodyText"/>
        <w:spacing w:line="316" w:lineRule="auto" w:before="19"/>
        <w:ind w:right="1124" w:firstLine="360"/>
        <w:jc w:val="left"/>
        <w:rPr>
          <w:rFonts w:ascii="宋体" w:hAnsi="宋体" w:cs="宋体" w:eastAsia="宋体" w:hint="default"/>
        </w:rPr>
      </w:pPr>
      <w:r>
        <w:rPr>
          <w:rFonts w:ascii="宋体" w:hAnsi="宋体" w:cs="宋体" w:eastAsia="宋体" w:hint="default"/>
        </w:rPr>
        <w:t>(1)</w:t>
      </w:r>
      <w:r>
        <w:rPr/>
        <w:t>我们通过与管理层访谈和检查销售流程相关程序文件，了解、评估并测试了与应收账款相关的内部控制设计和运行 的有效性；</w:t>
      </w:r>
      <w:r>
        <w:rPr>
          <w:rFonts w:ascii="宋体" w:hAnsi="宋体" w:cs="宋体" w:eastAsia="宋体" w:hint="default"/>
        </w:rPr>
        <w:t> </w:t>
      </w:r>
    </w:p>
    <w:p>
      <w:pPr>
        <w:pStyle w:val="BodyText"/>
        <w:spacing w:line="316" w:lineRule="auto" w:before="19"/>
        <w:ind w:right="1124" w:firstLine="360"/>
        <w:jc w:val="left"/>
        <w:rPr>
          <w:rFonts w:ascii="宋体" w:hAnsi="宋体" w:cs="宋体" w:eastAsia="宋体" w:hint="default"/>
        </w:rPr>
      </w:pPr>
      <w:r>
        <w:rPr>
          <w:rFonts w:ascii="宋体" w:hAnsi="宋体" w:cs="宋体" w:eastAsia="宋体" w:hint="default"/>
        </w:rPr>
        <w:t>(2)</w:t>
      </w:r>
      <w:r>
        <w:rPr/>
        <w:t>我们对以前年度已经计提坏账准备的应收账款的后续实际核销或转回情况进行了复核，评价了管理层过往计提坏账 准备的准确性；</w:t>
      </w:r>
      <w:r>
        <w:rPr>
          <w:rFonts w:ascii="宋体" w:hAnsi="宋体" w:cs="宋体" w:eastAsia="宋体" w:hint="default"/>
        </w:rPr>
        <w:t> </w:t>
      </w:r>
    </w:p>
    <w:p>
      <w:pPr>
        <w:pStyle w:val="BodyText"/>
        <w:spacing w:line="316" w:lineRule="auto" w:before="19"/>
        <w:ind w:left="513" w:right="1123"/>
        <w:jc w:val="left"/>
      </w:pPr>
      <w:r>
        <w:rPr>
          <w:rFonts w:ascii="宋体" w:hAnsi="宋体" w:cs="宋体" w:eastAsia="宋体" w:hint="default"/>
        </w:rPr>
        <w:t>(3)</w:t>
      </w:r>
      <w:r>
        <w:rPr/>
        <w:t>我们对管理层编制的应收账款账龄分析表进行了测试；</w:t>
      </w:r>
      <w:r>
        <w:rPr>
          <w:rFonts w:ascii="宋体" w:hAnsi="宋体" w:cs="宋体" w:eastAsia="宋体" w:hint="default"/>
        </w:rPr>
        <w:t> (4)</w:t>
      </w:r>
      <w:r>
        <w:rPr/>
        <w:t>我们对重要应收账款与管理层讨论了其可收回性，复核了管理层对应收账款进行减值测试的相关考虑和客观证据，</w:t>
      </w:r>
    </w:p>
    <w:p>
      <w:pPr>
        <w:pStyle w:val="BodyText"/>
        <w:spacing w:line="319" w:lineRule="auto" w:before="19"/>
        <w:ind w:left="513" w:right="1123" w:hanging="361"/>
        <w:jc w:val="left"/>
      </w:pPr>
      <w:r>
        <w:rPr/>
        <w:t>并测试了应收账款计提坏账准备所依据资料的相关性和可靠性；</w:t>
      </w:r>
      <w:r>
        <w:rPr>
          <w:rFonts w:ascii="宋体" w:hAnsi="宋体" w:cs="宋体" w:eastAsia="宋体" w:hint="default"/>
        </w:rPr>
        <w:t> (5)</w:t>
      </w:r>
      <w:r>
        <w:rPr/>
        <w:t>对于单独进行减值测试的应收账款，获取并检查了管理层计算可收回金额的依据，包括管理层结合市场环境、客户</w:t>
      </w:r>
    </w:p>
    <w:p>
      <w:pPr>
        <w:pStyle w:val="BodyText"/>
        <w:spacing w:line="240" w:lineRule="auto" w:before="17"/>
        <w:ind w:right="1133"/>
        <w:jc w:val="left"/>
        <w:rPr>
          <w:rFonts w:ascii="宋体" w:hAnsi="宋体" w:cs="宋体" w:eastAsia="宋体" w:hint="default"/>
        </w:rPr>
      </w:pPr>
      <w:r>
        <w:rPr/>
        <w:t>财务状况、客户经营情况、客户历史还款情况等对客户信用风险作出的评估；</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left="513" w:right="3553"/>
        <w:jc w:val="left"/>
        <w:rPr>
          <w:rFonts w:ascii="宋体" w:hAnsi="宋体" w:cs="宋体" w:eastAsia="宋体" w:hint="default"/>
        </w:rPr>
      </w:pPr>
      <w:r>
        <w:rPr>
          <w:rFonts w:ascii="宋体" w:hAnsi="宋体" w:cs="宋体" w:eastAsia="宋体" w:hint="default"/>
        </w:rPr>
        <w:t>(6)</w:t>
      </w:r>
      <w:r>
        <w:rPr/>
        <w:t>检查应收账款的期后回款情况，评价了应收账款坏账准备计提的合理性。</w:t>
      </w:r>
      <w:r>
        <w:rPr>
          <w:rFonts w:ascii="宋体" w:hAnsi="宋体" w:cs="宋体" w:eastAsia="宋体" w:hint="default"/>
        </w:rPr>
        <w:t> (</w:t>
      </w:r>
      <w:r>
        <w:rPr/>
        <w:t>二</w:t>
      </w:r>
      <w:r>
        <w:rPr>
          <w:rFonts w:ascii="宋体" w:hAnsi="宋体" w:cs="宋体" w:eastAsia="宋体" w:hint="default"/>
        </w:rPr>
        <w:t>)</w:t>
      </w:r>
      <w:r>
        <w:rPr/>
        <w:t>存货跌价准备</w:t>
      </w:r>
      <w:r>
        <w:rPr>
          <w:rFonts w:ascii="宋体" w:hAnsi="宋体" w:cs="宋体" w:eastAsia="宋体" w:hint="default"/>
        </w:rPr>
        <w:t> </w:t>
      </w:r>
    </w:p>
    <w:p>
      <w:pPr>
        <w:pStyle w:val="BodyText"/>
        <w:spacing w:line="316" w:lineRule="auto" w:before="19"/>
        <w:ind w:left="513" w:right="1123"/>
        <w:jc w:val="left"/>
      </w:pPr>
      <w:r>
        <w:rPr>
          <w:rFonts w:ascii="宋体" w:hAnsi="宋体" w:cs="宋体" w:eastAsia="宋体" w:hint="default"/>
        </w:rPr>
        <w:t>1</w:t>
      </w:r>
      <w:r>
        <w:rPr/>
        <w:t>、事项描述</w:t>
      </w:r>
      <w:r>
        <w:rPr>
          <w:rFonts w:ascii="宋体" w:hAnsi="宋体" w:cs="宋体" w:eastAsia="宋体" w:hint="default"/>
        </w:rPr>
        <w:t> </w:t>
      </w:r>
      <w:r>
        <w:rPr/>
        <w:t>详见财务报表附注三、</w:t>
      </w:r>
      <w:r>
        <w:rPr>
          <w:rFonts w:ascii="宋体" w:hAnsi="宋体" w:cs="宋体" w:eastAsia="宋体" w:hint="default"/>
        </w:rPr>
        <w:t>(</w:t>
      </w:r>
      <w:r>
        <w:rPr/>
        <w:t>十二</w:t>
      </w:r>
      <w:r>
        <w:rPr>
          <w:rFonts w:ascii="宋体" w:hAnsi="宋体" w:cs="宋体" w:eastAsia="宋体" w:hint="default"/>
        </w:rPr>
        <w:t>)</w:t>
      </w:r>
      <w:r>
        <w:rPr/>
        <w:t>及五、</w:t>
      </w:r>
      <w:r>
        <w:rPr>
          <w:rFonts w:ascii="宋体" w:hAnsi="宋体" w:cs="宋体" w:eastAsia="宋体" w:hint="default"/>
        </w:rPr>
        <w:t>(</w:t>
      </w:r>
      <w:r>
        <w:rPr/>
        <w:t>五</w:t>
      </w:r>
      <w:r>
        <w:rPr>
          <w:rFonts w:ascii="宋体" w:hAnsi="宋体" w:cs="宋体" w:eastAsia="宋体" w:hint="default"/>
        </w:rPr>
        <w:t>)</w:t>
      </w:r>
      <w:r>
        <w:rPr/>
        <w:t>，截至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日证通电子公司财务报表所示存货账面余额</w:t>
      </w:r>
      <w:r>
        <w:rPr>
          <w:rFonts w:ascii="宋体" w:hAnsi="宋体" w:cs="宋体" w:eastAsia="宋体" w:hint="default"/>
        </w:rPr>
        <w:t>35,304.53</w:t>
      </w:r>
      <w:r>
        <w:rPr/>
        <w:t>万</w:t>
      </w:r>
    </w:p>
    <w:p>
      <w:pPr>
        <w:pStyle w:val="BodyText"/>
        <w:spacing w:line="316" w:lineRule="auto" w:before="19"/>
        <w:ind w:right="1130"/>
        <w:jc w:val="both"/>
        <w:rPr>
          <w:rFonts w:ascii="宋体" w:hAnsi="宋体" w:cs="宋体" w:eastAsia="宋体" w:hint="default"/>
        </w:rPr>
      </w:pPr>
      <w:r>
        <w:rPr>
          <w:spacing w:val="-2"/>
        </w:rPr>
        <w:t>元，跌价准备为</w:t>
      </w:r>
      <w:r>
        <w:rPr>
          <w:rFonts w:ascii="宋体" w:hAnsi="宋体" w:cs="宋体" w:eastAsia="宋体" w:hint="default"/>
          <w:spacing w:val="-2"/>
        </w:rPr>
        <w:t>13,517.50</w:t>
      </w:r>
      <w:r>
        <w:rPr>
          <w:spacing w:val="-2"/>
        </w:rPr>
        <w:t>万元，账面价值为</w:t>
      </w:r>
      <w:r>
        <w:rPr>
          <w:rFonts w:ascii="宋体" w:hAnsi="宋体" w:cs="宋体" w:eastAsia="宋体" w:hint="default"/>
          <w:spacing w:val="-2"/>
        </w:rPr>
        <w:t>21,787.04</w:t>
      </w:r>
      <w:r>
        <w:rPr>
          <w:spacing w:val="-2"/>
        </w:rPr>
        <w:t>万元，存货跌价准备的提取，取决于对存货可变现净值的估计。存货</w:t>
      </w:r>
      <w:r>
        <w:rPr>
          <w:spacing w:val="-55"/>
        </w:rPr>
        <w:t> </w:t>
      </w:r>
      <w:r>
        <w:rPr>
          <w:spacing w:val="-55"/>
        </w:rPr>
      </w:r>
      <w:r>
        <w:rPr>
          <w:spacing w:val="-2"/>
        </w:rPr>
        <w:t>的可变现净值的确定，要求管理层对存货的售价、至完工时将要发生的成本、销售费用以及相关税费的金额进行估计。由于</w:t>
      </w:r>
      <w:r>
        <w:rPr>
          <w:spacing w:val="-64"/>
        </w:rPr>
        <w:t> </w:t>
      </w:r>
      <w:r>
        <w:rPr>
          <w:spacing w:val="-64"/>
        </w:rPr>
      </w:r>
      <w:r>
        <w:rPr/>
        <w:t>存货金额重大，且确定存货可变现净值涉及管理层重大判断，因此我们将存货跌价准备确定为关键审计事项。</w:t>
      </w:r>
      <w:r>
        <w:rPr>
          <w:rFonts w:ascii="宋体" w:hAnsi="宋体" w:cs="宋体" w:eastAsia="宋体" w:hint="default"/>
        </w:rPr>
        <w:t> </w:t>
      </w:r>
    </w:p>
    <w:p>
      <w:pPr>
        <w:pStyle w:val="BodyText"/>
        <w:spacing w:line="316" w:lineRule="auto" w:before="19"/>
        <w:ind w:left="513" w:right="7694"/>
        <w:jc w:val="left"/>
        <w:rPr>
          <w:rFonts w:ascii="宋体" w:hAnsi="宋体" w:cs="宋体" w:eastAsia="宋体" w:hint="default"/>
        </w:rPr>
      </w:pPr>
      <w:r>
        <w:rPr>
          <w:rFonts w:ascii="宋体" w:hAnsi="宋体" w:cs="宋体" w:eastAsia="宋体" w:hint="default"/>
        </w:rPr>
        <w:t>2</w:t>
      </w:r>
      <w:r>
        <w:rPr/>
        <w:t>、审计应对</w:t>
      </w:r>
      <w:r>
        <w:rPr>
          <w:rFonts w:ascii="宋体" w:hAnsi="宋体" w:cs="宋体" w:eastAsia="宋体" w:hint="default"/>
        </w:rPr>
        <w:t> </w:t>
      </w:r>
      <w:r>
        <w:rPr/>
        <w:t>我们执行的主要审计程序如下：</w:t>
      </w:r>
      <w:r>
        <w:rPr>
          <w:rFonts w:ascii="宋体" w:hAnsi="宋体" w:cs="宋体" w:eastAsia="宋体" w:hint="default"/>
        </w:rPr>
        <w:t> </w:t>
      </w:r>
    </w:p>
    <w:p>
      <w:pPr>
        <w:pStyle w:val="BodyText"/>
        <w:spacing w:line="316" w:lineRule="auto" w:before="19"/>
        <w:ind w:right="1124" w:firstLine="360"/>
        <w:jc w:val="left"/>
        <w:rPr>
          <w:rFonts w:ascii="宋体" w:hAnsi="宋体" w:cs="宋体" w:eastAsia="宋体" w:hint="default"/>
        </w:rPr>
      </w:pPr>
      <w:r>
        <w:rPr>
          <w:rFonts w:ascii="宋体" w:hAnsi="宋体" w:cs="宋体" w:eastAsia="宋体" w:hint="default"/>
        </w:rPr>
        <w:t>(1)</w:t>
      </w:r>
      <w:r>
        <w:rPr/>
        <w:t>我们通过与管理层访谈和检查存货进销存流程相关程序文件，了解、评估并测试了与存货相关的内部控制设计和运 行的有效性；</w:t>
      </w:r>
      <w:r>
        <w:rPr>
          <w:rFonts w:ascii="宋体" w:hAnsi="宋体" w:cs="宋体" w:eastAsia="宋体" w:hint="default"/>
        </w:rPr>
        <w:t> </w:t>
      </w:r>
    </w:p>
    <w:p>
      <w:pPr>
        <w:pStyle w:val="BodyText"/>
        <w:spacing w:line="316" w:lineRule="auto" w:before="19"/>
        <w:ind w:right="1124" w:firstLine="360"/>
        <w:jc w:val="left"/>
        <w:rPr>
          <w:rFonts w:ascii="宋体" w:hAnsi="宋体" w:cs="宋体" w:eastAsia="宋体" w:hint="default"/>
        </w:rPr>
      </w:pPr>
      <w:r>
        <w:rPr>
          <w:rFonts w:ascii="宋体" w:hAnsi="宋体" w:cs="宋体" w:eastAsia="宋体" w:hint="default"/>
        </w:rPr>
        <w:t>(2)</w:t>
      </w:r>
      <w:r>
        <w:rPr/>
        <w:t>我们对以前年度已经计提跌价准备的存货的后续实际核销或转出情况进行了复核，评价了管理层过往计提跌价准备 的准确性；</w:t>
      </w:r>
      <w:r>
        <w:rPr>
          <w:rFonts w:ascii="宋体" w:hAnsi="宋体" w:cs="宋体" w:eastAsia="宋体" w:hint="default"/>
        </w:rPr>
        <w:t> </w:t>
      </w:r>
    </w:p>
    <w:p>
      <w:pPr>
        <w:pStyle w:val="BodyText"/>
        <w:spacing w:line="316" w:lineRule="auto" w:before="19"/>
        <w:ind w:right="1124" w:firstLine="360"/>
        <w:jc w:val="left"/>
        <w:rPr>
          <w:rFonts w:ascii="宋体" w:hAnsi="宋体" w:cs="宋体" w:eastAsia="宋体" w:hint="default"/>
        </w:rPr>
      </w:pPr>
      <w:r>
        <w:rPr>
          <w:rFonts w:ascii="宋体" w:hAnsi="宋体" w:cs="宋体" w:eastAsia="宋体" w:hint="default"/>
        </w:rPr>
        <w:t>(3)</w:t>
      </w:r>
      <w:r>
        <w:rPr/>
        <w:t>我们对各业务板块销售收入的变化趋势、销售毛利率的变化趋势、存货周转率的变化趋势以及存货库龄的变化趋势 进行了复核，以判断计提跌价准备的可能性；</w:t>
      </w:r>
      <w:r>
        <w:rPr>
          <w:rFonts w:ascii="宋体" w:hAnsi="宋体" w:cs="宋体" w:eastAsia="宋体" w:hint="default"/>
        </w:rPr>
        <w:t> </w:t>
      </w:r>
    </w:p>
    <w:p>
      <w:pPr>
        <w:pStyle w:val="BodyText"/>
        <w:spacing w:line="316" w:lineRule="auto" w:before="19"/>
        <w:ind w:right="1124" w:firstLine="360"/>
        <w:jc w:val="left"/>
        <w:rPr>
          <w:rFonts w:ascii="宋体" w:hAnsi="宋体" w:cs="宋体" w:eastAsia="宋体" w:hint="default"/>
        </w:rPr>
      </w:pPr>
      <w:r>
        <w:rPr>
          <w:rFonts w:ascii="宋体" w:hAnsi="宋体" w:cs="宋体" w:eastAsia="宋体" w:hint="default"/>
        </w:rPr>
        <w:t>(4)</w:t>
      </w:r>
      <w:r>
        <w:rPr/>
        <w:t>我们对管理层编制的按照库存分析表和个别认定法计提的跌价准备进行了测试，包括：对存货估计售价的预测，对 存货至完工时将要发生的成本、销售费用和相关税费的估计；</w:t>
      </w:r>
      <w:r>
        <w:rPr>
          <w:rFonts w:ascii="宋体" w:hAnsi="宋体" w:cs="宋体" w:eastAsia="宋体" w:hint="default"/>
        </w:rPr>
        <w:t> </w:t>
      </w:r>
    </w:p>
    <w:p>
      <w:pPr>
        <w:pStyle w:val="BodyText"/>
        <w:spacing w:line="316" w:lineRule="auto" w:before="19"/>
        <w:ind w:left="513" w:right="1129"/>
        <w:jc w:val="left"/>
      </w:pPr>
      <w:r>
        <w:rPr>
          <w:rFonts w:ascii="宋体" w:hAnsi="宋体" w:cs="宋体" w:eastAsia="宋体" w:hint="default"/>
        </w:rPr>
        <w:t>(5)</w:t>
      </w:r>
      <w:r>
        <w:rPr/>
        <w:t>我们对存货执行了监盘程序，实地查看了重要存货的数量及质量状况，综合其性能和库龄对其价值进行了评估。</w:t>
      </w:r>
      <w:r>
        <w:rPr>
          <w:rFonts w:ascii="宋体" w:hAnsi="宋体" w:cs="宋体" w:eastAsia="宋体" w:hint="default"/>
        </w:rPr>
        <w:t> </w:t>
      </w:r>
      <w:r>
        <w:rPr/>
        <w:t>四、其他信息</w:t>
      </w:r>
      <w:r>
        <w:rPr>
          <w:rFonts w:ascii="宋体" w:hAnsi="宋体" w:cs="宋体" w:eastAsia="宋体" w:hint="default"/>
        </w:rPr>
        <w:t> </w:t>
      </w:r>
      <w:r>
        <w:rPr>
          <w:spacing w:val="-2"/>
        </w:rPr>
        <w:t>证通电子公司管理层</w:t>
      </w:r>
      <w:r>
        <w:rPr>
          <w:rFonts w:ascii="宋体" w:hAnsi="宋体" w:cs="宋体" w:eastAsia="宋体" w:hint="default"/>
          <w:spacing w:val="-2"/>
        </w:rPr>
        <w:t>(</w:t>
      </w:r>
      <w:r>
        <w:rPr>
          <w:spacing w:val="-2"/>
        </w:rPr>
        <w:t>以下简称管理层</w:t>
      </w:r>
      <w:r>
        <w:rPr>
          <w:rFonts w:ascii="宋体" w:hAnsi="宋体" w:cs="宋体" w:eastAsia="宋体" w:hint="default"/>
          <w:spacing w:val="-2"/>
        </w:rPr>
        <w:t>)</w:t>
      </w:r>
      <w:r>
        <w:rPr>
          <w:spacing w:val="-2"/>
        </w:rPr>
        <w:t>对其他信息负责。其他信息包括年度报告中涵盖的信息，但不包括财务报表和我</w:t>
      </w:r>
    </w:p>
    <w:p>
      <w:pPr>
        <w:pStyle w:val="BodyText"/>
        <w:spacing w:line="319" w:lineRule="auto" w:before="19"/>
        <w:ind w:left="513" w:right="2113" w:hanging="361"/>
        <w:jc w:val="left"/>
        <w:rPr>
          <w:rFonts w:ascii="宋体" w:hAnsi="宋体" w:cs="宋体" w:eastAsia="宋体" w:hint="default"/>
        </w:rPr>
      </w:pPr>
      <w:r>
        <w:rPr/>
        <w:t>们的审计报告。</w:t>
      </w:r>
      <w:r>
        <w:rPr>
          <w:rFonts w:ascii="宋体" w:hAnsi="宋体" w:cs="宋体" w:eastAsia="宋体" w:hint="default"/>
        </w:rPr>
        <w:t> </w:t>
      </w:r>
      <w:r>
        <w:rPr/>
        <w:t>我们对财务报表发表的审计意见不涵盖其他信息，我们也不对其他信息发表任何形式的鉴证结论。</w:t>
      </w:r>
      <w:r>
        <w:rPr>
          <w:rFonts w:ascii="宋体" w:hAnsi="宋体" w:cs="宋体" w:eastAsia="宋体" w:hint="default"/>
        </w:rPr>
        <w:t> </w:t>
      </w:r>
    </w:p>
    <w:p>
      <w:pPr>
        <w:pStyle w:val="BodyText"/>
        <w:spacing w:line="316" w:lineRule="auto" w:before="17"/>
        <w:ind w:right="1129" w:firstLine="360"/>
        <w:jc w:val="left"/>
        <w:rPr>
          <w:rFonts w:ascii="宋体" w:hAnsi="宋体" w:cs="宋体" w:eastAsia="宋体" w:hint="default"/>
        </w:rPr>
      </w:pPr>
      <w:r>
        <w:rPr>
          <w:spacing w:val="-2"/>
        </w:rPr>
        <w:t>结合我们对财务报表的审计，我们的责任是阅读其他信息，在此过程中，考虑其他信息是否与财务报表或我们在审计过</w:t>
      </w:r>
      <w:r>
        <w:rPr/>
        <w:t> 程中了解到的情况存在重大不一致或者似乎存在重大错报。</w:t>
      </w:r>
      <w:r>
        <w:rPr>
          <w:rFonts w:ascii="宋体" w:hAnsi="宋体" w:cs="宋体" w:eastAsia="宋体" w:hint="default"/>
        </w:rPr>
        <w:t> </w:t>
      </w:r>
    </w:p>
    <w:p>
      <w:pPr>
        <w:pStyle w:val="BodyText"/>
        <w:spacing w:line="316" w:lineRule="auto" w:before="19"/>
        <w:ind w:right="1129" w:firstLine="360"/>
        <w:jc w:val="left"/>
        <w:rPr>
          <w:rFonts w:ascii="宋体" w:hAnsi="宋体" w:cs="宋体" w:eastAsia="宋体" w:hint="default"/>
        </w:rPr>
      </w:pPr>
      <w:r>
        <w:rPr>
          <w:spacing w:val="-2"/>
        </w:rPr>
        <w:t>基于我们已执行的工作，如果我们确定其他信息存在重大错报，我们应当报告该事实。在这方面，我们无任何事项需要</w:t>
      </w:r>
      <w:r>
        <w:rPr/>
        <w:t> 报告。</w:t>
      </w:r>
      <w:r>
        <w:rPr>
          <w:rFonts w:ascii="宋体" w:hAnsi="宋体" w:cs="宋体" w:eastAsia="宋体" w:hint="default"/>
        </w:rPr>
        <w:t> </w:t>
      </w:r>
    </w:p>
    <w:p>
      <w:pPr>
        <w:pStyle w:val="BodyText"/>
        <w:spacing w:line="316" w:lineRule="auto" w:before="19"/>
        <w:ind w:left="513" w:right="1129"/>
        <w:jc w:val="left"/>
      </w:pPr>
      <w:r>
        <w:rPr/>
        <w:t>五、管理层和治理层对财务报表的责任</w:t>
      </w:r>
      <w:r>
        <w:rPr>
          <w:rFonts w:ascii="宋体" w:hAnsi="宋体" w:cs="宋体" w:eastAsia="宋体" w:hint="default"/>
        </w:rPr>
        <w:t> </w:t>
      </w:r>
      <w:r>
        <w:rPr>
          <w:spacing w:val="-2"/>
        </w:rPr>
        <w:t>管理层负责按照企业会计准则的规定编制财务报表，使其实现公允反映，并设计、执行和维护必要的内部控制，以使财</w:t>
      </w:r>
    </w:p>
    <w:p>
      <w:pPr>
        <w:pStyle w:val="BodyText"/>
        <w:spacing w:line="316" w:lineRule="auto" w:before="19"/>
        <w:ind w:left="513" w:right="1034" w:hanging="361"/>
        <w:jc w:val="left"/>
      </w:pPr>
      <w:r>
        <w:rPr/>
        <w:t>务报表不存在由于舞弊或错误导致的重大错报。</w:t>
      </w:r>
      <w:r>
        <w:rPr>
          <w:rFonts w:ascii="宋体" w:hAnsi="宋体" w:cs="宋体" w:eastAsia="宋体" w:hint="default"/>
        </w:rPr>
        <w:t> </w:t>
      </w:r>
      <w:r>
        <w:rPr>
          <w:spacing w:val="-2"/>
        </w:rPr>
        <w:t>在编制财务报表时，管理层负责评估证通电子公司的持续经营能力，披露与持续经营相关的事项</w:t>
      </w:r>
      <w:r>
        <w:rPr>
          <w:rFonts w:ascii="宋体" w:hAnsi="宋体" w:cs="宋体" w:eastAsia="宋体" w:hint="default"/>
          <w:spacing w:val="-2"/>
        </w:rPr>
        <w:t>(</w:t>
      </w:r>
      <w:r>
        <w:rPr>
          <w:spacing w:val="-2"/>
        </w:rPr>
        <w:t>如适用</w:t>
      </w:r>
      <w:r>
        <w:rPr>
          <w:rFonts w:ascii="宋体" w:hAnsi="宋体" w:cs="宋体" w:eastAsia="宋体" w:hint="default"/>
          <w:spacing w:val="-2"/>
        </w:rPr>
        <w:t>)</w:t>
      </w:r>
      <w:r>
        <w:rPr>
          <w:spacing w:val="-2"/>
        </w:rPr>
        <w:t>，并运用持续</w:t>
      </w:r>
    </w:p>
    <w:p>
      <w:pPr>
        <w:pStyle w:val="BodyText"/>
        <w:spacing w:line="319" w:lineRule="auto" w:before="19"/>
        <w:ind w:left="513" w:right="1129" w:hanging="361"/>
        <w:jc w:val="left"/>
      </w:pPr>
      <w:r>
        <w:rPr/>
        <w:t>经营假设，除非管理层计划清算、终止运营或别无其他现实的选择。</w:t>
      </w:r>
      <w:r>
        <w:rPr>
          <w:rFonts w:ascii="宋体" w:hAnsi="宋体" w:cs="宋体" w:eastAsia="宋体" w:hint="default"/>
        </w:rPr>
        <w:t> </w:t>
      </w:r>
      <w:r>
        <w:rPr/>
        <w:t>证通电子公司治理层</w:t>
      </w:r>
      <w:r>
        <w:rPr>
          <w:rFonts w:ascii="宋体" w:hAnsi="宋体" w:cs="宋体" w:eastAsia="宋体" w:hint="default"/>
        </w:rPr>
        <w:t>(</w:t>
      </w:r>
      <w:r>
        <w:rPr/>
        <w:t>以下简称治理层</w:t>
      </w:r>
      <w:r>
        <w:rPr>
          <w:rFonts w:ascii="宋体" w:hAnsi="宋体" w:cs="宋体" w:eastAsia="宋体" w:hint="default"/>
        </w:rPr>
        <w:t>)</w:t>
      </w:r>
      <w:r>
        <w:rPr/>
        <w:t>负责监督证通电子公司的财务报告过程。</w:t>
      </w:r>
      <w:r>
        <w:rPr>
          <w:rFonts w:ascii="宋体" w:hAnsi="宋体" w:cs="宋体" w:eastAsia="宋体" w:hint="default"/>
        </w:rPr>
        <w:t> </w:t>
      </w:r>
      <w:r>
        <w:rPr/>
        <w:t>六、注册会计师对财务报表审计的责任</w:t>
      </w:r>
      <w:r>
        <w:rPr>
          <w:rFonts w:ascii="宋体" w:hAnsi="宋体" w:cs="宋体" w:eastAsia="宋体" w:hint="default"/>
        </w:rPr>
        <w:t> </w:t>
      </w:r>
      <w:r>
        <w:rPr>
          <w:spacing w:val="-2"/>
        </w:rPr>
        <w:t>我们的目标是对财务报表整体是否不存在由于舞弊或错误导致的重大错报获取合理保证，并出具包含审计意见的审计报</w:t>
      </w:r>
    </w:p>
    <w:p>
      <w:pPr>
        <w:pStyle w:val="BodyText"/>
        <w:spacing w:line="316" w:lineRule="auto" w:before="17"/>
        <w:ind w:right="1129"/>
        <w:jc w:val="both"/>
        <w:rPr>
          <w:rFonts w:ascii="宋体" w:hAnsi="宋体" w:cs="宋体" w:eastAsia="宋体" w:hint="default"/>
        </w:rPr>
      </w:pPr>
      <w:r>
        <w:rPr>
          <w:spacing w:val="-2"/>
        </w:rPr>
        <w:t>告。合理保证是高水平的保证，但并不能保证按照审计准则执行的审计在某一重大错报存在时总能发现。错报可能由于舞弊</w:t>
      </w:r>
      <w:r>
        <w:rPr>
          <w:spacing w:val="-62"/>
        </w:rPr>
        <w:t> </w:t>
      </w:r>
      <w:r>
        <w:rPr>
          <w:spacing w:val="-62"/>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r>
        <w:rPr>
          <w:rFonts w:ascii="宋体" w:hAnsi="宋体" w:cs="宋体" w:eastAsia="宋体" w:hint="default"/>
        </w:rPr>
        <w:t> </w:t>
      </w:r>
    </w:p>
    <w:p>
      <w:pPr>
        <w:pStyle w:val="BodyText"/>
        <w:spacing w:line="316" w:lineRule="auto" w:before="19"/>
        <w:ind w:left="513" w:right="1129"/>
        <w:jc w:val="left"/>
      </w:pPr>
      <w:r>
        <w:rPr/>
        <w:t>在按照审计准则执行审计工作的过程中，我们运用职业判断，并保持职业怀疑。同时，我们也执行以下工作：</w:t>
      </w:r>
      <w:r>
        <w:rPr>
          <w:rFonts w:ascii="宋体" w:hAnsi="宋体" w:cs="宋体" w:eastAsia="宋体" w:hint="default"/>
        </w:rPr>
        <w:t> </w:t>
      </w:r>
      <w:r>
        <w:rPr>
          <w:rFonts w:ascii="宋体" w:hAnsi="宋体" w:cs="宋体" w:eastAsia="宋体" w:hint="default"/>
          <w:spacing w:val="-2"/>
        </w:rPr>
        <w:t>(</w:t>
      </w:r>
      <w:r>
        <w:rPr>
          <w:spacing w:val="-2"/>
        </w:rPr>
        <w:t>一</w:t>
      </w:r>
      <w:r>
        <w:rPr>
          <w:rFonts w:ascii="宋体" w:hAnsi="宋体" w:cs="宋体" w:eastAsia="宋体" w:hint="default"/>
          <w:spacing w:val="-2"/>
        </w:rPr>
        <w:t>)</w:t>
      </w:r>
      <w:r>
        <w:rPr>
          <w:spacing w:val="-2"/>
        </w:rPr>
        <w:t>识别和评估由于舞弊或错误导致的财务报表重大错报风险，设计和实施审计程序以应对这些风险，并获取充分、适</w:t>
      </w:r>
    </w:p>
    <w:p>
      <w:pPr>
        <w:pStyle w:val="BodyText"/>
        <w:spacing w:line="316" w:lineRule="auto" w:before="19"/>
        <w:ind w:right="1135"/>
        <w:jc w:val="both"/>
        <w:rPr>
          <w:rFonts w:ascii="宋体" w:hAnsi="宋体" w:cs="宋体" w:eastAsia="宋体" w:hint="default"/>
        </w:rPr>
      </w:pPr>
      <w:r>
        <w:rPr>
          <w:spacing w:val="-2"/>
        </w:rPr>
        <w:t>当的审计证据，作为发表审计意见的基础。由于舞弊可能涉及串通、伪造、故意遗漏、虚假陈述或凌驾于内部控制之上，未</w:t>
      </w:r>
      <w:r>
        <w:rPr>
          <w:spacing w:val="-70"/>
        </w:rPr>
        <w:t> </w:t>
      </w:r>
      <w:r>
        <w:rPr>
          <w:spacing w:val="-70"/>
        </w:rPr>
      </w:r>
      <w:r>
        <w:rPr/>
        <w:t>能发现由于舞弊导致的重大错报的风险高于未能发现由于错误导致的重大错报的风险。</w:t>
      </w:r>
      <w:r>
        <w:rPr>
          <w:rFonts w:ascii="宋体" w:hAnsi="宋体" w:cs="宋体" w:eastAsia="宋体" w:hint="default"/>
        </w:rPr>
        <w:t> </w:t>
      </w:r>
    </w:p>
    <w:p>
      <w:pPr>
        <w:pStyle w:val="BodyText"/>
        <w:spacing w:line="319" w:lineRule="auto" w:before="19"/>
        <w:ind w:left="513" w:right="1129"/>
        <w:jc w:val="left"/>
      </w:pPr>
      <w:r>
        <w:rPr>
          <w:rFonts w:ascii="宋体" w:hAnsi="宋体" w:cs="宋体" w:eastAsia="宋体" w:hint="default"/>
        </w:rPr>
        <w:t>(</w:t>
      </w:r>
      <w:r>
        <w:rPr/>
        <w:t>二</w:t>
      </w:r>
      <w:r>
        <w:rPr>
          <w:rFonts w:ascii="宋体" w:hAnsi="宋体" w:cs="宋体" w:eastAsia="宋体" w:hint="default"/>
        </w:rPr>
        <w:t>)</w:t>
      </w:r>
      <w:r>
        <w:rPr/>
        <w:t>了解与审计相关的内部控制，以设计恰当的审计程序。</w:t>
      </w:r>
      <w:r>
        <w:rPr>
          <w:rFonts w:ascii="宋体" w:hAnsi="宋体" w:cs="宋体" w:eastAsia="宋体" w:hint="default"/>
        </w:rPr>
        <w:t> (</w:t>
      </w:r>
      <w:r>
        <w:rPr/>
        <w:t>三</w:t>
      </w:r>
      <w:r>
        <w:rPr>
          <w:rFonts w:ascii="宋体" w:hAnsi="宋体" w:cs="宋体" w:eastAsia="宋体" w:hint="default"/>
        </w:rPr>
        <w:t>)</w:t>
      </w:r>
      <w:r>
        <w:rPr/>
        <w:t>评价管理层选用会计政策的恰当性和作出会计估计及相关披露的合理性。</w:t>
      </w:r>
      <w:r>
        <w:rPr>
          <w:rFonts w:ascii="宋体" w:hAnsi="宋体" w:cs="宋体" w:eastAsia="宋体" w:hint="default"/>
        </w:rPr>
        <w:t> </w:t>
      </w:r>
      <w:r>
        <w:rPr>
          <w:rFonts w:ascii="宋体" w:hAnsi="宋体" w:cs="宋体" w:eastAsia="宋体" w:hint="default"/>
          <w:spacing w:val="-2"/>
        </w:rPr>
        <w:t>(</w:t>
      </w:r>
      <w:r>
        <w:rPr>
          <w:spacing w:val="-2"/>
        </w:rPr>
        <w:t>四</w:t>
      </w:r>
      <w:r>
        <w:rPr>
          <w:rFonts w:ascii="宋体" w:hAnsi="宋体" w:cs="宋体" w:eastAsia="宋体" w:hint="default"/>
          <w:spacing w:val="-2"/>
        </w:rPr>
        <w:t>)</w:t>
      </w:r>
      <w:r>
        <w:rPr>
          <w:spacing w:val="-2"/>
        </w:rPr>
        <w:t>对管理层使用持续经营假设的恰当性得出结论。同时，根据获取的审计证据，就可能导致对证通电子公司持续经营</w:t>
      </w:r>
    </w:p>
    <w:p>
      <w:pPr>
        <w:spacing w:after="0" w:line="319" w:lineRule="auto"/>
        <w:jc w:val="left"/>
        <w:sectPr>
          <w:footerReference w:type="default" r:id="rId20"/>
          <w:pgSz w:w="11910" w:h="16840"/>
          <w:pgMar w:footer="979" w:header="745" w:top="1060" w:bottom="1160" w:left="980" w:right="0"/>
          <w:pgNumType w:start="101"/>
        </w:sectPr>
      </w:pPr>
    </w:p>
    <w:p>
      <w:pPr>
        <w:spacing w:line="240" w:lineRule="auto" w:before="10"/>
        <w:rPr>
          <w:rFonts w:ascii="宋体" w:hAnsi="宋体" w:cs="宋体" w:eastAsia="宋体" w:hint="default"/>
          <w:sz w:val="25"/>
          <w:szCs w:val="25"/>
        </w:rPr>
      </w:pPr>
    </w:p>
    <w:p>
      <w:pPr>
        <w:pStyle w:val="BodyText"/>
        <w:spacing w:line="316" w:lineRule="auto" w:before="44"/>
        <w:ind w:right="1133"/>
        <w:jc w:val="both"/>
        <w:rPr>
          <w:rFonts w:ascii="宋体" w:hAnsi="宋体" w:cs="宋体" w:eastAsia="宋体" w:hint="default"/>
        </w:rPr>
      </w:pPr>
      <w:r>
        <w:rPr>
          <w:spacing w:val="-2"/>
        </w:rPr>
        <w:t>能力产生重大疑虑的事项或情况是否存在重大不确定性得出结论。如果我们得出结论认为存在重大不确定性，审计准则要求</w:t>
      </w:r>
      <w:r>
        <w:rPr>
          <w:spacing w:val="-64"/>
        </w:rPr>
        <w:t> </w:t>
      </w:r>
      <w:r>
        <w:rPr>
          <w:spacing w:val="-64"/>
        </w:rPr>
      </w:r>
      <w:r>
        <w:rPr>
          <w:spacing w:val="-2"/>
        </w:rPr>
        <w:t>我们在审计报告中提请报表使用者注意财务报表中的相关披露；如果披露不充分，我们应当发表非无保留意见。我们的结论</w:t>
      </w:r>
      <w:r>
        <w:rPr>
          <w:spacing w:val="-66"/>
        </w:rPr>
        <w:t> </w:t>
      </w:r>
      <w:r>
        <w:rPr>
          <w:spacing w:val="-66"/>
        </w:rPr>
      </w:r>
      <w:r>
        <w:rPr/>
        <w:t>基于截至审计报告日可获得的信息。然而，未来的事项或情况可能导致证通电子公司不能持续经营。</w:t>
      </w:r>
      <w:r>
        <w:rPr>
          <w:rFonts w:ascii="宋体" w:hAnsi="宋体" w:cs="宋体" w:eastAsia="宋体" w:hint="default"/>
        </w:rPr>
        <w:t> </w:t>
      </w:r>
    </w:p>
    <w:p>
      <w:pPr>
        <w:pStyle w:val="BodyText"/>
        <w:spacing w:line="316" w:lineRule="auto" w:before="19"/>
        <w:ind w:left="513" w:right="1129"/>
        <w:jc w:val="left"/>
      </w:pPr>
      <w:r>
        <w:rPr>
          <w:rFonts w:ascii="宋体" w:hAnsi="宋体" w:cs="宋体" w:eastAsia="宋体" w:hint="default"/>
        </w:rPr>
        <w:t>(</w:t>
      </w:r>
      <w:r>
        <w:rPr/>
        <w:t>五</w:t>
      </w:r>
      <w:r>
        <w:rPr>
          <w:rFonts w:ascii="宋体" w:hAnsi="宋体" w:cs="宋体" w:eastAsia="宋体" w:hint="default"/>
        </w:rPr>
        <w:t>)</w:t>
      </w:r>
      <w:r>
        <w:rPr/>
        <w:t>评价财务报表的总体列报、结构和内容</w:t>
      </w:r>
      <w:r>
        <w:rPr>
          <w:rFonts w:ascii="宋体" w:hAnsi="宋体" w:cs="宋体" w:eastAsia="宋体" w:hint="default"/>
        </w:rPr>
        <w:t>(</w:t>
      </w:r>
      <w:r>
        <w:rPr/>
        <w:t>包括披露</w:t>
      </w:r>
      <w:r>
        <w:rPr>
          <w:rFonts w:ascii="宋体" w:hAnsi="宋体" w:cs="宋体" w:eastAsia="宋体" w:hint="default"/>
        </w:rPr>
        <w:t>)</w:t>
      </w:r>
      <w:r>
        <w:rPr/>
        <w:t>，并评价财务报表是否公允反映相关交易和事项。</w:t>
      </w:r>
      <w:r>
        <w:rPr>
          <w:rFonts w:ascii="宋体" w:hAnsi="宋体" w:cs="宋体" w:eastAsia="宋体" w:hint="default"/>
        </w:rPr>
        <w:t> </w:t>
      </w:r>
      <w:r>
        <w:rPr>
          <w:rFonts w:ascii="宋体" w:hAnsi="宋体" w:cs="宋体" w:eastAsia="宋体" w:hint="default"/>
          <w:spacing w:val="-2"/>
        </w:rPr>
        <w:t>(</w:t>
      </w:r>
      <w:r>
        <w:rPr>
          <w:spacing w:val="-2"/>
        </w:rPr>
        <w:t>六</w:t>
      </w:r>
      <w:r>
        <w:rPr>
          <w:rFonts w:ascii="宋体" w:hAnsi="宋体" w:cs="宋体" w:eastAsia="宋体" w:hint="default"/>
          <w:spacing w:val="-2"/>
        </w:rPr>
        <w:t>)</w:t>
      </w:r>
      <w:r>
        <w:rPr>
          <w:spacing w:val="-2"/>
        </w:rPr>
        <w:t>就证通电子公司中实体或业务活动的财务信息获取充分、适当的审计证据，以对财务报表发表审计意见。我们负责</w:t>
      </w:r>
    </w:p>
    <w:p>
      <w:pPr>
        <w:pStyle w:val="BodyText"/>
        <w:spacing w:line="316" w:lineRule="auto" w:before="19"/>
        <w:ind w:left="513" w:right="1129" w:hanging="361"/>
        <w:jc w:val="left"/>
      </w:pPr>
      <w:r>
        <w:rPr/>
        <w:t>指导、监督和执行集团审计，并对审计意见承担全部责任。</w:t>
      </w:r>
      <w:r>
        <w:rPr>
          <w:rFonts w:ascii="宋体" w:hAnsi="宋体" w:cs="宋体" w:eastAsia="宋体" w:hint="default"/>
        </w:rPr>
        <w:t> </w:t>
      </w:r>
      <w:r>
        <w:rPr>
          <w:spacing w:val="-2"/>
        </w:rPr>
        <w:t>我们与治理层就计划的审计范围、时间安排和重大审计发现等事项进行沟通，包括沟通我们在审计中识别出的值得关注</w:t>
      </w:r>
    </w:p>
    <w:p>
      <w:pPr>
        <w:pStyle w:val="BodyText"/>
        <w:spacing w:line="316" w:lineRule="auto" w:before="19"/>
        <w:ind w:left="513" w:right="1129" w:hanging="361"/>
        <w:jc w:val="left"/>
      </w:pPr>
      <w:r>
        <w:rPr/>
        <w:t>的内部控制缺陷。</w:t>
      </w:r>
      <w:r>
        <w:rPr>
          <w:rFonts w:ascii="宋体" w:hAnsi="宋体" w:cs="宋体" w:eastAsia="宋体" w:hint="default"/>
        </w:rPr>
        <w:t> </w:t>
      </w:r>
      <w:r>
        <w:rPr>
          <w:spacing w:val="-2"/>
        </w:rPr>
        <w:t>我们还就已遵守与独立性相关的职业道德要求向治理层提供声明，并与治理层沟通可能被合理认为影响我们独立性的所</w:t>
      </w:r>
    </w:p>
    <w:p>
      <w:pPr>
        <w:pStyle w:val="BodyText"/>
        <w:spacing w:line="316" w:lineRule="auto" w:before="19"/>
        <w:ind w:left="513" w:right="1129" w:hanging="361"/>
        <w:jc w:val="left"/>
      </w:pPr>
      <w:r>
        <w:rPr/>
        <w:t>有关系和其他事项，以及相关的防范措施。</w:t>
      </w:r>
      <w:r>
        <w:rPr>
          <w:rFonts w:ascii="宋体" w:hAnsi="宋体" w:cs="宋体" w:eastAsia="宋体" w:hint="default"/>
        </w:rPr>
        <w:t> </w:t>
      </w:r>
      <w:r>
        <w:rPr>
          <w:spacing w:val="-2"/>
        </w:rPr>
        <w:t>从与治理层沟通过的事项中，我们确定哪些事项对本期财务报表审计最为重要，因而构成关键审计事项。我们在审计报</w:t>
      </w:r>
    </w:p>
    <w:p>
      <w:pPr>
        <w:pStyle w:val="BodyText"/>
        <w:spacing w:line="316" w:lineRule="auto" w:before="19"/>
        <w:ind w:right="1130"/>
        <w:jc w:val="both"/>
      </w:pPr>
      <w:r>
        <w:rPr>
          <w:spacing w:val="-2"/>
        </w:rPr>
        <w:t>告中描述这些事项，除非法律法规禁止公开披露这些事项，或在极少数情形下，如果合理预期在审计报告中沟通某事项造成</w:t>
      </w:r>
      <w:r>
        <w:rPr>
          <w:spacing w:val="-63"/>
        </w:rPr>
        <w:t> </w:t>
      </w:r>
      <w:r>
        <w:rPr>
          <w:spacing w:val="-63"/>
        </w:rPr>
      </w:r>
      <w:r>
        <w:rPr/>
        <w:t>的负面后果超过在公众利益方面产生的益处，我们确定不应在审计报告中沟通该事项。</w:t>
      </w:r>
    </w:p>
    <w:p>
      <w:pPr>
        <w:spacing w:line="240" w:lineRule="auto" w:before="11"/>
        <w:rPr>
          <w:rFonts w:ascii="宋体" w:hAnsi="宋体" w:cs="宋体" w:eastAsia="宋体" w:hint="default"/>
          <w:sz w:val="20"/>
          <w:szCs w:val="20"/>
        </w:rPr>
      </w:pPr>
    </w:p>
    <w:p>
      <w:pPr>
        <w:pStyle w:val="Heading2"/>
        <w:spacing w:line="240" w:lineRule="auto"/>
        <w:ind w:right="1133"/>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pStyle w:val="BodyText"/>
        <w:spacing w:line="240" w:lineRule="auto" w:before="44"/>
        <w:ind w:right="-20"/>
        <w:jc w:val="left"/>
      </w:pPr>
      <w:r>
        <w:rPr/>
        <w:t>编制单位：深圳市证通电子股份有限公司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2"/>
          <w:szCs w:val="12"/>
        </w:rPr>
      </w:pPr>
    </w:p>
    <w:p>
      <w:pPr>
        <w:pStyle w:val="BodyText"/>
        <w:spacing w:line="240" w:lineRule="auto"/>
        <w:ind w:right="-14"/>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393" w:space="683"/>
            <w:col w:w="1642" w:space="3202"/>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3"/>
        <w:gridCol w:w="3417"/>
        <w:gridCol w:w="2969"/>
      </w:tblGrid>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397,697,481.18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420,947,286.79</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结算备付金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8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 损益的金融资产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应收票据及应收账款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1,369,360,911.98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1,297,826,635.23</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其中：应收票据</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47,345,662.53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149,592,783.02</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1,322,015,249.45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1,148,233,852.21</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35,023,029.21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100,543,282.24</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应收保费</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应收分保账款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应收分保合同准备金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211,898,681.18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157,761,683.50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3"/>
        <w:gridCol w:w="3417"/>
        <w:gridCol w:w="2969"/>
      </w:tblGrid>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买入返售金融资产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217,870,389.04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313,907,328.33</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124,089,020.60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96,635,064.72</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185,961,404.20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467,168,728.13</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2,541,900,917.39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2,854,790,008.94</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发放贷款和垫款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84,795,848.15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94,784,169.23</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418,409,643.06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498,009,380.29</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79,950,665.12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24,661,070.83</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42,624,513.81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43,991,918.76</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1,339,127,830.85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851,226,705.92</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370,019,094.58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619,163,657.50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244,548,161.96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249,978,203.77</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22,153,877.58</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34,658,524.58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27,628,748.91</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69,313,480.25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34,797,973.42</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2,683,447,762.36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2,466,395,706.21</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5,225,348,679.75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5,321,185,715.15</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1,473,345,712.40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961,233,510.40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吸收存款及同业存放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8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 损益的金融负债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3"/>
        <w:gridCol w:w="3417"/>
        <w:gridCol w:w="2969"/>
      </w:tblGrid>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应付票据及应付账款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712,738,436.07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684,911,679.75</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34,188,943.21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18,457,095.76</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卖出回购金融资产款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应付手续费及佣金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26,679,023.08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27,043,105.13</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29,215,927.43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52,560,737.28</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83,803,047.07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23,579,236.01</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32,329,945.88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11,705,361.97</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应付分保账款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保险合同准备金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代理承销证券款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92,400,000.00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38,400,000.00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887,094.42</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2,452,371,089.26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1,807,072,458.75</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33,333,333.32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161,600,000.00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199,310,965.21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397,985,675.62</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53,790,893.91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85,928,008.10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23,285,440.34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22,912,236.79</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28,847,160.34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24,005,666.67</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5,113,958.64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7,310,839.39</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4,332,984.48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5,394,130.04</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348,014,736.24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705,136,556.61</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2,800,385,825.50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2,512,209,015.36</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515,156,948.00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515,156,948.00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3406"/>
        <w:gridCol w:w="2969"/>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1,739,548,384.02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1,805,503,137.45</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27,883,032.00</w:t>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1,126,935.31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-302,715.44</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36,442,010.41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36,442,010.41</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一般风险准备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143,102,629.08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410,061,468.61</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2,407,493,874.82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2,766,860,849.03</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17,468,979.43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42,115,850.76</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2,424,962,854.25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2,808,976,699.79</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5,225,348,679.75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5,321,185,715.15</w:t>
            </w:r>
          </w:p>
        </w:tc>
      </w:tr>
    </w:tbl>
    <w:p>
      <w:pPr>
        <w:spacing w:line="240" w:lineRule="auto" w:before="11"/>
        <w:rPr>
          <w:rFonts w:ascii="Times New Roman" w:hAnsi="Times New Roman" w:cs="Times New Roman" w:eastAsia="Times New Roman" w:hint="default"/>
          <w:sz w:val="22"/>
          <w:szCs w:val="22"/>
        </w:rPr>
      </w:pPr>
    </w:p>
    <w:p>
      <w:pPr>
        <w:pStyle w:val="BodyText"/>
        <w:tabs>
          <w:tab w:pos="3514" w:val="left" w:leader="none"/>
          <w:tab w:pos="7566" w:val="left" w:leader="none"/>
        </w:tabs>
        <w:spacing w:line="240" w:lineRule="auto" w:before="44"/>
        <w:ind w:left="0" w:right="1225"/>
        <w:jc w:val="right"/>
      </w:pPr>
      <w:r>
        <w:rPr/>
        <w:t>法定代表人：曾胜强</w:t>
        <w:tab/>
      </w:r>
      <w:r>
        <w:rPr>
          <w:spacing w:val="-1"/>
        </w:rPr>
        <w:t>主管会计工作负责人：黄毅</w:t>
        <w:tab/>
      </w:r>
      <w:r>
        <w:rPr/>
        <w:t>会计机构负责人：谌光荣</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7"/>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292,304,672.81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255,573,150.39</w:t>
            </w:r>
          </w:p>
        </w:tc>
      </w:tr>
      <w:tr>
        <w:trPr>
          <w:trHeight w:val="715"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1,076,841,213.16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1,026,288,449.64</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43,238,021.39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149,592,783.02</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1,033,603,191.77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876,695,666.62</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18,876,197.84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74,728,347.60</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1,447,922,622.10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1,319,388,246.73</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127,339,480.87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220,690,013.41</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65,523,778.55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50,006,615.81</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80,013,607.98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369,000,259.62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7"/>
      </w:tblGrid>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3,108,821,573.31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3,315,675,083.20</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80,505,848.15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90,494,169.23</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315,483,965.15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395,455,189.03</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710,492,585.30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552,902,991.00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42,624,513.81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43,991,918.76</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490,955,187.71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259,532,499.24</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55,355,569.52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223,499,124.51</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147,420,902.20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146,248,848.74</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12,196,677.20</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56,894,720.27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28,253,253.26</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1,899,733,292.11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1,752,574,670.97</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5,008,554,865.42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5,068,249,754.17</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890,000,000.00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732,744,700.00</w:t>
            </w:r>
          </w:p>
        </w:tc>
      </w:tr>
      <w:tr>
        <w:trPr>
          <w:trHeight w:val="715"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1,052,891,943.44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885,784,404.22</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33,046,757.60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17,445,416.10</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16,820,107.67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18,266,260.56</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15,099,773.96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40,219,225.23</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389,171,309.37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284,043,711.20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92,400,000.00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38,400,000.00</w:t>
            </w:r>
          </w:p>
        </w:tc>
      </w:tr>
      <w:tr>
        <w:trPr>
          <w:trHeight w:val="40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7"/>
      </w:tblGrid>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2,489,429,892.04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2,016,903,717.31</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111,600,000.00</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199,310,965.21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397,985,675.62</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11,955,520.00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12,006,373.14</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25,161,833.38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23,605,666.67</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1,939,225.26</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236,428,318.59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547,136,940.69</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2,725,858,210.63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2,564,040,658.00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515,156,948.00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515,156,948.00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1,792,139,279.23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1,792,139,279.23</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27,883,032.00</w:t>
            </w: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36,442,010.41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36,442,010.41</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-33,158,550.85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160,470,858.53</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2,282,696,654.79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2,504,209,096.17</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5,008,554,865.42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5,068,249,754.17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1,332,398,508.95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1,682,593,168.29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1,332,398,508.95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1,682,593,168.29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已赚保费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1,651,316,852.91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1,656,029,150.60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1,032,499,092.44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1,244,752,658.85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退保金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赔付支出净额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提取保险合同准备金净额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保单红利支出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分保费用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7,352,325.01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10,814,238.71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121,694,738.75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137,795,980.69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99,208,677.11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83,136,548.93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88,279,549.20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74,554,690.97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76,387,859.64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36,478,668.95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98,099,766.49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66,107,364.28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42,859,102.36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42,770,531.73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225,894,610.76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68,496,363.50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20,737,843.96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6,451,599.35</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7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25,434,643.87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315,296.77</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36,673.06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-548,389.06</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资产处置收益（损失以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-281,465.09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-27,007.84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-273,027,321.22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33,303,905.97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6,374,216.64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16,346,297.21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22,627,005.33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12,803,035.47</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74"/>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-289,280,109.91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36,847,167.71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-34,889,113.23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7,429,574.21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-254,390,996.68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29,417,593.50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-254,390,996.68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29,417,593.50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归属于母公司所有者的净利润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-241,200,992.13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43,095,599.68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少数股东损益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-13,190,004.55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-13,678,006.18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1,437,219.99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-3,473,637.55</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归属母公司所有者的其他综合收益 的税后净额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1,429,650.75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-2,431,546.28</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（一）不能重分类进损益的其他 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变动额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（二）将重分类进损益的其他综 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1,429,650.75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-2,431,546.28</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 效部分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1,429,650.75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-2,431,546.28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归属于少数股东的其他综合收益的 税后净额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7,569.24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-1,042,091.27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-252,953,776.69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25,943,955.95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归属于母公司所有者的综合收益 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-239,771,341.38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40,664,053.40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归属于少数股东的综合收益总额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-13,182,435.31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-14,720,097.45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3"/>
        <w:rPr>
          <w:rFonts w:ascii="Times New Roman" w:hAnsi="Times New Roman" w:cs="Times New Roman" w:eastAsia="Times New Roman" w:hint="default"/>
          <w:sz w:val="29"/>
          <w:szCs w:val="29"/>
        </w:rPr>
      </w:pPr>
    </w:p>
    <w:p>
      <w:pPr>
        <w:pStyle w:val="BodyText"/>
        <w:tabs>
          <w:tab w:pos="3667" w:val="left" w:leader="none"/>
          <w:tab w:pos="7718" w:val="left" w:leader="none"/>
        </w:tabs>
        <w:spacing w:line="595" w:lineRule="auto" w:before="44"/>
        <w:ind w:right="1225"/>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 </w:t>
      </w:r>
      <w:r>
        <w:rPr>
          <w:spacing w:val="-3"/>
        </w:rPr>
        <w:t>元。 </w:t>
      </w:r>
      <w:r>
        <w:rPr/>
        <w:t>法定代表人：曾胜强</w:t>
        <w:tab/>
      </w:r>
      <w:r>
        <w:rPr>
          <w:spacing w:val="-1"/>
        </w:rPr>
        <w:t>主管会计工作负责人：黄毅</w:t>
        <w:tab/>
      </w:r>
      <w:r>
        <w:rPr/>
        <w:t>会计机构负责人：谌光荣</w:t>
      </w:r>
      <w:r>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988,334,456.74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1,274,408,272.65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减：营业成本</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784,820,329.31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944,557,127.14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5,736,669.88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7,446,645.90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92,292,518.01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106,692,363.10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59,680,839.75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45,211,737.89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研发费用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53,152,244.51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55,856,931.19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32,026,557.50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-2,846,751.73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其中：利息费用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87,009,074.83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32,774,181.76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72,726,579.25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-73,815,160.71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194,885,252.28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49,136,745.24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加：其他收益</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11,556,508.57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2,775,366.32</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24,036,673.07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315,296.77</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36,673.07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-548,389.06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资产处置收益（损失以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-84,935.45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-198,751,708.31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71,444,137.01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2,988,665.93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647,699.28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749,986.61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2,726,277.77</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-196,513,028.99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69,365,558.52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-28,641,467.01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6,798,318.58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-167,871,561.98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62,567,239.94</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-167,871,561.98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62,567,239.94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（二）终止经营净利润（净亏损</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1"/>
          <w:pgSz w:w="11910" w:h="16840"/>
          <w:pgMar w:footer="979" w:header="745" w:top="1060" w:bottom="1160" w:left="980" w:right="0"/>
          <w:pgNumType w:start="11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（一）不能重分类进损益的其他 综合收益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变动额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（二）将重分类进损益的其他综 合收益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 效部分</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088" w:right="0"/>
              <w:jc w:val="left"/>
              <w:rPr>
                <w:rFonts w:ascii="Times New Roman" w:hAnsi="Times New Roman" w:cs="Times New Roman" w:eastAsia="Times New Roman" w:hint="default"/>
                <w:sz w:val="18"/>
                <w:szCs w:val="18"/>
              </w:rPr>
            </w:pPr>
            <w:r>
              <w:rPr>
                <w:rFonts w:ascii="Times New Roman"/>
                <w:sz w:val="18"/>
              </w:rPr>
              <w:t>-167,871,561.98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62,567,239.94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013" w:right="0"/>
              <w:jc w:val="left"/>
              <w:rPr>
                <w:rFonts w:ascii="Times New Roman" w:hAnsi="Times New Roman" w:cs="Times New Roman" w:eastAsia="Times New Roman" w:hint="default"/>
                <w:sz w:val="18"/>
                <w:szCs w:val="18"/>
              </w:rPr>
            </w:pPr>
            <w:r>
              <w:rPr>
                <w:rFonts w:ascii="Times New Roman"/>
                <w:sz w:val="18"/>
              </w:rPr>
              <w:t>1,434,183,895.86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9" w:right="0"/>
              <w:jc w:val="left"/>
              <w:rPr>
                <w:rFonts w:ascii="Times New Roman" w:hAnsi="Times New Roman" w:cs="Times New Roman" w:eastAsia="Times New Roman" w:hint="default"/>
                <w:sz w:val="18"/>
                <w:szCs w:val="18"/>
              </w:rPr>
            </w:pPr>
            <w:r>
              <w:rPr>
                <w:rFonts w:ascii="Times New Roman"/>
                <w:sz w:val="18"/>
              </w:rPr>
              <w:t>1,242,180,884.74</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客户存款和同业存放款项净增加 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向其他金融机构拆入资金净增加 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19,775,846.06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2,816,060.69</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60,311,655.89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47,066,400.19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1,514,271,397.81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1,292,063,345.62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1,037,285,408.34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1,461,612,878.68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存放中央银行和同业款项净增加 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219,750,926.21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229,304,152.75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64,198,484.39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58,445,072.50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169,083,147.34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267,374,633.16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1,490,317,966.28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2,016,736,737.09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23,953,431.53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-724,673,391.47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894,209.59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4,755,830.77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863,685.83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2,963,105.59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307,718.56</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44,691,190.57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369,500,000.00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418,048,505.75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9,527,235.16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348,047,366.46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552,810,247.96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64,252,921.23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59,376,539.99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384,500,000.00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546,176,827.68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937,310,247.96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-128,128,321.93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-927,783,012.80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2,983,801.66</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26,000,000.00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2,192,498,035.20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1,557,741,266.40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21,924,314.26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130,535,685.74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2,214,422,349.46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1,691,260,753.80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1,953,327,210.29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750,835,000.00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97,330,227.19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87,527,733.86</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251,183,451.23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47,622,956.55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2,301,840,888.71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885,985,690.41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-87,418,539.25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805,275,063.39</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1,412,234.17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-9,059,392.18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-190,181,195.48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-856,240,733.06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409,022,972.53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1,265,263,705.59</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218,841,777.05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409,022,972.53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1,080,865,829.42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992,771,559.20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9,329,547.22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1,800,363.87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117,575,241.87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282,516,723.14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1,207,770,618.51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1,277,088,646.21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498,499,847.79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1,311,771,504.55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167,809,942.82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163,193,104.20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49,251,233.11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34,313,975.21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261,153,650.26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673,092,035.61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976,714,673.98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2,182,370,619.57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231,055,944.53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-905,281,973.36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21,644,209.59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5,281,301.35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863,685.83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1,058,408.28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154,058.54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375,490,000.00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132,988,149.74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422,192,617.87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139,287,195.46</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148,002,889.57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233,664,980.07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152,852,921.23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248,625,471.58</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374,855,810.80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851,290,451.65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47,336,807.07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-712,003,256.19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-23,016,198.33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1,603,579,700.00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9,471,850.26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1,649,471,850.26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1,580,563,501.67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1,740,344,700.00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773,851,198.33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113,795,931.85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87,724,398.10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198,058,736.13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2,052,199,367.98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861,575,596.43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-402,727,517.72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718,987,905.24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2,682,434.67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-6,021,031.46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-121,652,331.45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-904,318,355.77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246,101,300.13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1,150,419,655.90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124,448,968.68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246,101,300.13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本期金额</w:t>
      </w:r>
    </w:p>
    <w:p>
      <w:pPr>
        <w:pStyle w:val="BodyText"/>
        <w:spacing w:line="240" w:lineRule="auto" w:before="115"/>
        <w:ind w:left="0" w:right="1131"/>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5"/>
        <w:gridCol w:w="572"/>
        <w:gridCol w:w="533"/>
        <w:gridCol w:w="531"/>
        <w:gridCol w:w="530"/>
        <w:gridCol w:w="665"/>
        <w:gridCol w:w="665"/>
        <w:gridCol w:w="665"/>
        <w:gridCol w:w="665"/>
        <w:gridCol w:w="665"/>
        <w:gridCol w:w="665"/>
        <w:gridCol w:w="665"/>
        <w:gridCol w:w="665"/>
        <w:gridCol w:w="660"/>
      </w:tblGrid>
      <w:tr>
        <w:trPr>
          <w:trHeight w:val="403"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6"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0" w:hRule="exact"/>
        </w:trPr>
        <w:tc>
          <w:tcPr>
            <w:tcW w:w="1415"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4" w:space="0" w:color="000000"/>
              <w:right w:val="single" w:sz="4" w:space="0" w:color="000000"/>
            </w:tcBorders>
            <w:shd w:val="clear" w:color="auto" w:fill="D2D2D2"/>
          </w:tcPr>
          <w:p>
            <w:pPr/>
          </w:p>
        </w:tc>
      </w:tr>
      <w:tr>
        <w:trPr>
          <w:trHeight w:val="174"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10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71" w:right="7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68" w:hRule="exact"/>
        </w:trPr>
        <w:tc>
          <w:tcPr>
            <w:tcW w:w="1415" w:type="dxa"/>
            <w:vMerge/>
            <w:tcBorders>
              <w:left w:val="single" w:sz="4" w:space="0" w:color="000000"/>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0"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10" w:space="0" w:color="D2D2D2"/>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515,15</w:t>
            </w:r>
          </w:p>
          <w:p>
            <w:pPr>
              <w:pStyle w:val="TableParagraph"/>
              <w:spacing w:line="240" w:lineRule="auto" w:before="105"/>
              <w:ind w:left="82" w:right="0"/>
              <w:jc w:val="left"/>
              <w:rPr>
                <w:rFonts w:ascii="Times New Roman" w:hAnsi="Times New Roman" w:cs="Times New Roman" w:eastAsia="Times New Roman" w:hint="default"/>
                <w:sz w:val="18"/>
                <w:szCs w:val="18"/>
              </w:rPr>
            </w:pPr>
            <w:r>
              <w:rPr>
                <w:rFonts w:ascii="Times New Roman"/>
                <w:sz w:val="18"/>
              </w:rPr>
              <w:t>6,948.</w:t>
            </w:r>
          </w:p>
          <w:p>
            <w:pPr>
              <w:pStyle w:val="TableParagraph"/>
              <w:spacing w:line="240" w:lineRule="auto" w:before="105"/>
              <w:ind w:left="354"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03,137.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-302,71</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5.44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36,442,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010.41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410,061</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,468.61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42,115,</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850.76</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76,699.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79</w:t>
            </w:r>
          </w:p>
        </w:tc>
      </w:tr>
      <w:tr>
        <w:trPr>
          <w:trHeight w:val="39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3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3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 制下企业合并</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10" w:space="0" w:color="D2D2D2"/>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515,15</w:t>
            </w:r>
          </w:p>
          <w:p>
            <w:pPr>
              <w:pStyle w:val="TableParagraph"/>
              <w:spacing w:line="240" w:lineRule="auto" w:before="102"/>
              <w:ind w:left="82" w:right="0"/>
              <w:jc w:val="left"/>
              <w:rPr>
                <w:rFonts w:ascii="Times New Roman" w:hAnsi="Times New Roman" w:cs="Times New Roman" w:eastAsia="Times New Roman" w:hint="default"/>
                <w:sz w:val="18"/>
                <w:szCs w:val="18"/>
              </w:rPr>
            </w:pPr>
            <w:r>
              <w:rPr>
                <w:rFonts w:ascii="Times New Roman"/>
                <w:sz w:val="18"/>
              </w:rPr>
              <w:t>6,948.</w:t>
            </w:r>
          </w:p>
          <w:p>
            <w:pPr>
              <w:pStyle w:val="TableParagraph"/>
              <w:spacing w:line="240" w:lineRule="auto" w:before="105"/>
              <w:ind w:left="354"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1,805,5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03,137.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-302,71</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5.44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36,442,</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010.41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410,061</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,468.61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42,115,</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850.76</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2,808,9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76,699.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79</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027"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-65,954,</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753.43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27,883,</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032.00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1,429,6</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50.75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-266,95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8,839.5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-24,646,</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871.33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-384,01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3,845.5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10" w:space="0" w:color="D2D2D2"/>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1,429,6</w:t>
            </w:r>
          </w:p>
          <w:p>
            <w:pPr>
              <w:pStyle w:val="TableParagraph"/>
              <w:spacing w:line="240" w:lineRule="auto" w:before="102"/>
              <w:ind w:left="206" w:right="0"/>
              <w:jc w:val="center"/>
              <w:rPr>
                <w:rFonts w:ascii="Times New Roman" w:hAnsi="Times New Roman" w:cs="Times New Roman" w:eastAsia="Times New Roman" w:hint="default"/>
                <w:sz w:val="18"/>
                <w:szCs w:val="18"/>
              </w:rPr>
            </w:pPr>
            <w:r>
              <w:rPr>
                <w:rFonts w:ascii="Times New Roman"/>
                <w:sz w:val="18"/>
              </w:rPr>
              <w:t>50.75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-241,20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0,992.1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-13,182,</w:t>
            </w:r>
          </w:p>
          <w:p>
            <w:pPr>
              <w:pStyle w:val="TableParagraph"/>
              <w:spacing w:line="240" w:lineRule="auto" w:before="102"/>
              <w:ind w:left="118" w:right="0"/>
              <w:jc w:val="center"/>
              <w:rPr>
                <w:rFonts w:ascii="Times New Roman" w:hAnsi="Times New Roman" w:cs="Times New Roman" w:eastAsia="Times New Roman" w:hint="default"/>
                <w:sz w:val="18"/>
                <w:szCs w:val="18"/>
              </w:rPr>
            </w:pPr>
            <w:r>
              <w:rPr>
                <w:rFonts w:ascii="Times New Roman"/>
                <w:sz w:val="18"/>
              </w:rPr>
              <w:t>435.31</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-252,95</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3,776.6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r>
        <w:trPr>
          <w:trHeight w:val="703"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10" w:space="0" w:color="D2D2D2"/>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-65,954,</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753.43</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27,883,</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032.00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-11,464,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436.02</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-105,30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2,221.4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r>
        <w:trPr>
          <w:trHeight w:val="703"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3" w:right="0"/>
              <w:jc w:val="left"/>
              <w:rPr>
                <w:rFonts w:ascii="Times New Roman" w:hAnsi="Times New Roman" w:cs="Times New Roman" w:eastAsia="Times New Roman" w:hint="default"/>
                <w:sz w:val="18"/>
                <w:szCs w:val="18"/>
              </w:rPr>
            </w:pPr>
            <w:r>
              <w:rPr>
                <w:rFonts w:ascii="Times New Roman"/>
                <w:sz w:val="18"/>
              </w:rPr>
              <w:t>27,883,</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032.00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3" w:right="0"/>
              <w:jc w:val="center"/>
              <w:rPr>
                <w:rFonts w:ascii="Times New Roman" w:hAnsi="Times New Roman" w:cs="Times New Roman" w:eastAsia="Times New Roman" w:hint="default"/>
                <w:sz w:val="18"/>
                <w:szCs w:val="18"/>
              </w:rPr>
            </w:pPr>
            <w:r>
              <w:rPr>
                <w:rFonts w:ascii="Times New Roman"/>
                <w:sz w:val="18"/>
              </w:rPr>
              <w:t>-77,419,</w:t>
            </w:r>
          </w:p>
          <w:p>
            <w:pPr>
              <w:pStyle w:val="TableParagraph"/>
              <w:spacing w:line="240" w:lineRule="auto" w:before="102"/>
              <w:ind w:left="118" w:right="0"/>
              <w:jc w:val="center"/>
              <w:rPr>
                <w:rFonts w:ascii="Times New Roman" w:hAnsi="Times New Roman" w:cs="Times New Roman" w:eastAsia="Times New Roman" w:hint="default"/>
                <w:sz w:val="18"/>
                <w:szCs w:val="18"/>
              </w:rPr>
            </w:pPr>
            <w:r>
              <w:rPr>
                <w:rFonts w:ascii="Times New Roman"/>
                <w:sz w:val="18"/>
              </w:rPr>
              <w:t>189.45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1" w:right="0"/>
              <w:jc w:val="left"/>
              <w:rPr>
                <w:rFonts w:ascii="Times New Roman" w:hAnsi="Times New Roman" w:cs="Times New Roman" w:eastAsia="Times New Roman" w:hint="default"/>
                <w:sz w:val="18"/>
                <w:szCs w:val="18"/>
              </w:rPr>
            </w:pPr>
            <w:r>
              <w:rPr>
                <w:rFonts w:ascii="Times New Roman"/>
                <w:sz w:val="18"/>
              </w:rPr>
              <w:t>-105,30</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2,221.4</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36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5</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-65,954,</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753.43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-25,757,</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847.40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-25,757,</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847.40</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-25,757,</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847.40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-25,757,</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847.40</w:t>
            </w: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515,15</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6,948.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48,384.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27,883,</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032.00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1,126,9</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35.31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36,442,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010.41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143,102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,629.08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17,468,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979.43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62,854.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3"/>
        <w:rPr>
          <w:rFonts w:ascii="Times New Roman" w:hAnsi="Times New Roman" w:cs="Times New Roman" w:eastAsia="Times New Roman" w:hint="default"/>
          <w:sz w:val="29"/>
          <w:szCs w:val="29"/>
        </w:rPr>
      </w:pPr>
    </w:p>
    <w:p>
      <w:pPr>
        <w:pStyle w:val="BodyText"/>
        <w:spacing w:line="240" w:lineRule="auto" w:before="44"/>
        <w:ind w:right="1133"/>
        <w:jc w:val="left"/>
      </w:pPr>
      <w:r>
        <w:rPr/>
        <w:t>上期金额</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5"/>
        <w:gridCol w:w="572"/>
        <w:gridCol w:w="530"/>
        <w:gridCol w:w="531"/>
        <w:gridCol w:w="533"/>
        <w:gridCol w:w="662"/>
        <w:gridCol w:w="665"/>
        <w:gridCol w:w="668"/>
        <w:gridCol w:w="665"/>
        <w:gridCol w:w="662"/>
        <w:gridCol w:w="665"/>
        <w:gridCol w:w="680"/>
        <w:gridCol w:w="653"/>
        <w:gridCol w:w="658"/>
      </w:tblGrid>
      <w:tr>
        <w:trPr>
          <w:trHeight w:val="403"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0" w:hRule="exact"/>
        </w:trPr>
        <w:tc>
          <w:tcPr>
            <w:tcW w:w="1415" w:type="dxa"/>
            <w:vMerge/>
            <w:tcBorders>
              <w:left w:val="single" w:sz="4" w:space="0" w:color="000000"/>
              <w:right w:val="single" w:sz="4" w:space="0" w:color="000000"/>
            </w:tcBorders>
            <w:shd w:val="clear" w:color="auto" w:fill="D2D2D2"/>
          </w:tcPr>
          <w:p>
            <w:pPr/>
          </w:p>
        </w:tc>
        <w:tc>
          <w:tcPr>
            <w:tcW w:w="6833"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33" w:type="dxa"/>
            <w:gridSpan w:val="11"/>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8"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0"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tcBorders>
              <w:left w:val="single" w:sz="4" w:space="0" w:color="000000"/>
              <w:right w:val="single" w:sz="4" w:space="0" w:color="000000"/>
            </w:tcBorders>
            <w:shd w:val="clear" w:color="auto" w:fill="D2D2D2"/>
          </w:tcPr>
          <w:p>
            <w:pPr/>
          </w:p>
        </w:tc>
      </w:tr>
      <w:tr>
        <w:trPr>
          <w:trHeight w:val="174"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9"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53" w:right="63"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10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1" w:right="7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8"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80"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
        </w:tc>
        <w:tc>
          <w:tcPr>
            <w:tcW w:w="658" w:type="dxa"/>
            <w:vMerge/>
            <w:tcBorders>
              <w:left w:val="single" w:sz="4" w:space="0" w:color="000000"/>
              <w:bottom w:val="nil" w:sz="6" w:space="0" w:color="auto"/>
              <w:right w:val="single" w:sz="4" w:space="0" w:color="000000"/>
            </w:tcBorders>
            <w:shd w:val="clear" w:color="auto" w:fill="D2D2D2"/>
          </w:tcPr>
          <w:p>
            <w:pPr/>
          </w:p>
        </w:tc>
      </w:tr>
      <w:tr>
        <w:trPr>
          <w:trHeight w:val="227"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8"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519,67</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8,668.</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1,805,7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55,249.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23,016,</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198.33</w:t>
            </w:r>
          </w:p>
        </w:tc>
        <w:tc>
          <w:tcPr>
            <w:tcW w:w="66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2,128,8</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30.84</w:t>
            </w: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30,185,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286.42</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398,980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,440.32</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39,446,</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721.50</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2,773,1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58,997.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82</w:t>
            </w:r>
          </w:p>
        </w:tc>
      </w:tr>
      <w:tr>
        <w:trPr>
          <w:trHeight w:val="39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3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3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 制下企业合并</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519,67</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8,668.</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1,805,7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55,249.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23,016,</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198.33</w:t>
            </w:r>
          </w:p>
        </w:tc>
        <w:tc>
          <w:tcPr>
            <w:tcW w:w="66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2,128,8</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30.84</w:t>
            </w: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30,185,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286.42</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398,980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,440.32</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39,446,</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721.50</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2,773,1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58,997.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82</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1027"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7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-4,521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,720.0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-252,11</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1.62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-23,016,</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198.33</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-2,431,5</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46.28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6,256,7</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23.99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11,081,</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028.29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2,669,1</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29.26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35,817,</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701.97</w:t>
            </w: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-2,431,5</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46.28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43,095,</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599.68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-14,720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,097.45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25,943,</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955.95</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-4,521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,720.0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-9,883,7</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05.04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-23,016,</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198.33</w:t>
            </w: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17,389,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226.71</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26,000,</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000.00</w:t>
            </w:r>
          </w:p>
        </w:tc>
      </w:tr>
      <w:tr>
        <w:trPr>
          <w:trHeight w:val="706"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1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7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26,000,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26,000,</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000.00</w:t>
            </w: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-4,521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,720.0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-18,494,</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478.33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-23,016,</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198.33</w:t>
            </w: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8,610,7</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73.29</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-8,610,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773.29</w:t>
            </w:r>
          </w:p>
        </w:tc>
        <w:tc>
          <w:tcPr>
            <w:tcW w:w="658" w:type="dxa"/>
            <w:vMerge w:val="restart"/>
            <w:tcBorders>
              <w:top w:val="single" w:sz="4" w:space="0" w:color="000000"/>
              <w:left w:val="single" w:sz="4" w:space="0" w:color="000000"/>
              <w:right w:val="single" w:sz="4" w:space="0" w:color="000000"/>
            </w:tcBorders>
          </w:tcPr>
          <w:p>
            <w:pPr/>
          </w:p>
        </w:tc>
      </w:tr>
      <w:tr>
        <w:trPr>
          <w:trHeight w:val="39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6,256,7</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23.99</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-32,014,</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571.39</w:t>
            </w:r>
          </w:p>
        </w:tc>
        <w:tc>
          <w:tcPr>
            <w:tcW w:w="653"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-25,757,</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847.40</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6,256,7</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23.99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-6,256,7</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23.99</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-25,757,</w:t>
            </w:r>
          </w:p>
          <w:p>
            <w:pPr>
              <w:pStyle w:val="TableParagraph"/>
              <w:spacing w:line="240" w:lineRule="auto" w:before="102"/>
              <w:ind w:left="127" w:right="0"/>
              <w:jc w:val="center"/>
              <w:rPr>
                <w:rFonts w:ascii="Times New Roman" w:hAnsi="Times New Roman" w:cs="Times New Roman" w:eastAsia="Times New Roman" w:hint="default"/>
                <w:sz w:val="18"/>
                <w:szCs w:val="18"/>
              </w:rPr>
            </w:pPr>
            <w:r>
              <w:rPr>
                <w:rFonts w:ascii="Times New Roman"/>
                <w:sz w:val="18"/>
              </w:rPr>
              <w:t>847.40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 w:right="0"/>
              <w:jc w:val="center"/>
              <w:rPr>
                <w:rFonts w:ascii="Times New Roman" w:hAnsi="Times New Roman" w:cs="Times New Roman" w:eastAsia="Times New Roman" w:hint="default"/>
                <w:sz w:val="18"/>
                <w:szCs w:val="18"/>
              </w:rPr>
            </w:pPr>
            <w:r>
              <w:rPr>
                <w:rFonts w:ascii="Times New Roman"/>
                <w:sz w:val="18"/>
              </w:rPr>
              <w:t>-25,757,</w:t>
            </w:r>
          </w:p>
          <w:p>
            <w:pPr>
              <w:pStyle w:val="TableParagraph"/>
              <w:spacing w:line="240" w:lineRule="auto" w:before="102"/>
              <w:ind w:left="110" w:right="0"/>
              <w:jc w:val="center"/>
              <w:rPr>
                <w:rFonts w:ascii="Times New Roman" w:hAnsi="Times New Roman" w:cs="Times New Roman" w:eastAsia="Times New Roman" w:hint="default"/>
                <w:sz w:val="18"/>
                <w:szCs w:val="18"/>
              </w:rPr>
            </w:pPr>
            <w:r>
              <w:rPr>
                <w:rFonts w:ascii="Times New Roman"/>
                <w:sz w:val="18"/>
              </w:rPr>
              <w:t>847.40</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center"/>
              <w:rPr>
                <w:rFonts w:ascii="Times New Roman" w:hAnsi="Times New Roman" w:cs="Times New Roman" w:eastAsia="Times New Roman" w:hint="default"/>
                <w:sz w:val="18"/>
                <w:szCs w:val="18"/>
              </w:rPr>
            </w:pPr>
            <w:r>
              <w:rPr>
                <w:rFonts w:ascii="Times New Roman"/>
                <w:sz w:val="18"/>
              </w:rPr>
              <w:t>9,631,5</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93.42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5" w:right="0"/>
              <w:jc w:val="center"/>
              <w:rPr>
                <w:rFonts w:ascii="Times New Roman" w:hAnsi="Times New Roman" w:cs="Times New Roman" w:eastAsia="Times New Roman" w:hint="default"/>
                <w:sz w:val="18"/>
                <w:szCs w:val="18"/>
              </w:rPr>
            </w:pPr>
            <w:r>
              <w:rPr>
                <w:rFonts w:ascii="Times New Roman"/>
                <w:sz w:val="18"/>
              </w:rPr>
              <w:t>9,631,5</w:t>
            </w:r>
          </w:p>
          <w:p>
            <w:pPr>
              <w:pStyle w:val="TableParagraph"/>
              <w:spacing w:line="240" w:lineRule="auto" w:before="102"/>
              <w:ind w:left="200" w:right="0"/>
              <w:jc w:val="center"/>
              <w:rPr>
                <w:rFonts w:ascii="Times New Roman" w:hAnsi="Times New Roman" w:cs="Times New Roman" w:eastAsia="Times New Roman" w:hint="default"/>
                <w:sz w:val="18"/>
                <w:szCs w:val="18"/>
              </w:rPr>
            </w:pPr>
            <w:r>
              <w:rPr>
                <w:rFonts w:ascii="Times New Roman"/>
                <w:sz w:val="18"/>
              </w:rPr>
              <w:t>93.42</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515,15</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6,948.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1,805,5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03,137.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-302,71</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5.44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36,442,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010.41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410,061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,468.61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42,115,</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850.76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2,808,9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76,699.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本期金额</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31"/>
        <w:gridCol w:w="689"/>
        <w:gridCol w:w="665"/>
        <w:gridCol w:w="667"/>
        <w:gridCol w:w="665"/>
        <w:gridCol w:w="797"/>
        <w:gridCol w:w="797"/>
        <w:gridCol w:w="797"/>
        <w:gridCol w:w="799"/>
        <w:gridCol w:w="797"/>
        <w:gridCol w:w="677"/>
        <w:gridCol w:w="780"/>
      </w:tblGrid>
      <w:tr>
        <w:trPr>
          <w:trHeight w:val="396" w:hRule="exact"/>
        </w:trPr>
        <w:tc>
          <w:tcPr>
            <w:tcW w:w="143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689"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31" w:type="dxa"/>
            <w:vMerge/>
            <w:tcBorders>
              <w:left w:val="single" w:sz="4" w:space="0" w:color="000000"/>
              <w:bottom w:val="nil" w:sz="6" w:space="0" w:color="auto"/>
              <w:right w:val="single" w:sz="4" w:space="0" w:color="000000"/>
            </w:tcBorders>
            <w:shd w:val="clear" w:color="auto" w:fill="D2D2D2"/>
          </w:tcPr>
          <w:p>
            <w:pPr/>
          </w:p>
        </w:tc>
        <w:tc>
          <w:tcPr>
            <w:tcW w:w="6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99" w:hRule="exact"/>
        </w:trPr>
        <w:tc>
          <w:tcPr>
            <w:tcW w:w="1431" w:type="dxa"/>
            <w:vMerge w:val="restart"/>
            <w:tcBorders>
              <w:top w:val="nil" w:sz="6" w:space="0" w:color="auto"/>
              <w:left w:val="single" w:sz="4" w:space="0" w:color="000000"/>
              <w:right w:val="single" w:sz="4" w:space="0" w:color="000000"/>
            </w:tcBorders>
            <w:shd w:val="clear" w:color="auto" w:fill="D2D2D2"/>
          </w:tcPr>
          <w:p>
            <w:pPr/>
          </w:p>
        </w:tc>
        <w:tc>
          <w:tcPr>
            <w:tcW w:w="689"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431" w:type="dxa"/>
            <w:vMerge/>
            <w:tcBorders>
              <w:left w:val="single" w:sz="4" w:space="0" w:color="000000"/>
              <w:bottom w:val="single" w:sz="4" w:space="0" w:color="000000"/>
              <w:right w:val="single" w:sz="4" w:space="0" w:color="000000"/>
            </w:tcBorders>
            <w:shd w:val="clear" w:color="auto" w:fill="D2D2D2"/>
          </w:tcPr>
          <w:p>
            <w:pPr/>
          </w:p>
        </w:tc>
        <w:tc>
          <w:tcPr>
            <w:tcW w:w="689"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1" w:type="dxa"/>
            <w:tcBorders>
              <w:top w:val="single" w:sz="4" w:space="0" w:color="000000"/>
              <w:left w:val="single" w:sz="4" w:space="0" w:color="000000"/>
              <w:bottom w:val="nil" w:sz="6" w:space="0" w:color="auto"/>
              <w:right w:val="single" w:sz="4" w:space="0" w:color="000000"/>
            </w:tcBorders>
            <w:shd w:val="clear" w:color="auto" w:fill="D2D2D2"/>
          </w:tcPr>
          <w:p>
            <w:pPr/>
          </w:p>
        </w:tc>
        <w:tc>
          <w:tcPr>
            <w:tcW w:w="689" w:type="dxa"/>
            <w:vMerge w:val="restart"/>
            <w:tcBorders>
              <w:top w:val="single" w:sz="4" w:space="0" w:color="000000"/>
              <w:left w:val="single" w:sz="10" w:space="0" w:color="D2D2D2"/>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515,156,</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948.00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1,792,139</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,279.23</w:t>
            </w:r>
          </w:p>
        </w:tc>
        <w:tc>
          <w:tcPr>
            <w:tcW w:w="797" w:type="dxa"/>
            <w:vMerge w:val="restart"/>
            <w:tcBorders>
              <w:top w:val="single" w:sz="18" w:space="0" w:color="D2D2D2"/>
              <w:left w:val="single" w:sz="4" w:space="0" w:color="000000"/>
              <w:right w:val="single" w:sz="4" w:space="0" w:color="000000"/>
            </w:tcBorders>
          </w:tcPr>
          <w:p>
            <w:pPr/>
          </w:p>
        </w:tc>
        <w:tc>
          <w:tcPr>
            <w:tcW w:w="797" w:type="dxa"/>
            <w:vMerge w:val="restart"/>
            <w:tcBorders>
              <w:top w:val="single" w:sz="18"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36,442,01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0.41</w:t>
            </w:r>
          </w:p>
        </w:tc>
        <w:tc>
          <w:tcPr>
            <w:tcW w:w="677" w:type="dxa"/>
            <w:vMerge w:val="restart"/>
            <w:tcBorders>
              <w:top w:val="single" w:sz="18" w:space="0" w:color="D2D2D2"/>
              <w:left w:val="single" w:sz="4" w:space="0" w:color="000000"/>
              <w:right w:val="single" w:sz="4" w:space="0" w:color="000000"/>
            </w:tcBorders>
          </w:tcPr>
          <w:p>
            <w:pPr>
              <w:pStyle w:val="TableParagraph"/>
              <w:spacing w:line="240" w:lineRule="auto" w:before="73"/>
              <w:ind w:left="57" w:right="0"/>
              <w:jc w:val="left"/>
              <w:rPr>
                <w:rFonts w:ascii="Times New Roman" w:hAnsi="Times New Roman" w:cs="Times New Roman" w:eastAsia="Times New Roman" w:hint="default"/>
                <w:sz w:val="18"/>
                <w:szCs w:val="18"/>
              </w:rPr>
            </w:pPr>
            <w:r>
              <w:rPr>
                <w:rFonts w:ascii="Times New Roman"/>
                <w:sz w:val="18"/>
              </w:rPr>
              <w:t>160,470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,858.53</w:t>
            </w:r>
          </w:p>
        </w:tc>
        <w:tc>
          <w:tcPr>
            <w:tcW w:w="780" w:type="dxa"/>
            <w:vMerge w:val="restart"/>
            <w:tcBorders>
              <w:top w:val="single" w:sz="18" w:space="0" w:color="D2D2D2"/>
              <w:left w:val="single" w:sz="4" w:space="0" w:color="000000"/>
              <w:right w:val="single" w:sz="4" w:space="0" w:color="000000"/>
            </w:tcBorders>
          </w:tcPr>
          <w:p>
            <w:pPr>
              <w:pStyle w:val="TableParagraph"/>
              <w:spacing w:line="240" w:lineRule="auto" w:before="73"/>
              <w:ind w:left="7" w:right="0"/>
              <w:jc w:val="center"/>
              <w:rPr>
                <w:rFonts w:ascii="Times New Roman" w:hAnsi="Times New Roman" w:cs="Times New Roman" w:eastAsia="Times New Roman" w:hint="default"/>
                <w:sz w:val="18"/>
                <w:szCs w:val="18"/>
              </w:rPr>
            </w:pPr>
            <w:r>
              <w:rPr>
                <w:rFonts w:ascii="Times New Roman"/>
                <w:sz w:val="18"/>
              </w:rPr>
              <w:t>2,504,209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,096.17</w:t>
            </w:r>
          </w:p>
        </w:tc>
      </w:tr>
      <w:tr>
        <w:trPr>
          <w:trHeight w:val="391" w:hRule="exact"/>
        </w:trPr>
        <w:tc>
          <w:tcPr>
            <w:tcW w:w="14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89"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31" w:type="dxa"/>
            <w:tcBorders>
              <w:top w:val="nil" w:sz="6" w:space="0" w:color="auto"/>
              <w:left w:val="single" w:sz="4" w:space="0" w:color="000000"/>
              <w:bottom w:val="single" w:sz="4" w:space="0" w:color="000000"/>
              <w:right w:val="single" w:sz="4" w:space="0" w:color="000000"/>
            </w:tcBorders>
            <w:shd w:val="clear" w:color="auto" w:fill="D2D2D2"/>
          </w:tcPr>
          <w:p>
            <w:pPr/>
          </w:p>
        </w:tc>
        <w:tc>
          <w:tcPr>
            <w:tcW w:w="689"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403" w:hRule="exact"/>
        </w:trPr>
        <w:tc>
          <w:tcPr>
            <w:tcW w:w="1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21"/>
              <w:jc w:val="righ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p>
        </w:tc>
        <w:tc>
          <w:tcPr>
            <w:tcW w:w="689"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36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515,156,</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948.00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1,792,139</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,279.23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36,442,01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0.41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160,470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,858.53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2,504,209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,096.17</w:t>
            </w: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27,883,03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-193,62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9,409.3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-221,512,</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441.38</w:t>
            </w: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-167,87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1,561.9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-167,871,</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561.98</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27,883,03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-27,883,0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32.00</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27,883,03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-27,883,0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32.00</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-25,757,</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847.40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-25,757,8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47.40</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-25,757,</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847.40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-25,757,8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47.40</w:t>
            </w:r>
          </w:p>
        </w:tc>
      </w:tr>
      <w:tr>
        <w:trPr>
          <w:trHeight w:val="40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515,156,</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948.00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1,792,139</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,279.23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27,883,03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36,442,01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0.41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-33,158,</w:t>
            </w:r>
          </w:p>
          <w:p>
            <w:pPr>
              <w:pStyle w:val="TableParagraph"/>
              <w:spacing w:line="240" w:lineRule="auto" w:before="102"/>
              <w:ind w:left="125" w:right="0"/>
              <w:jc w:val="center"/>
              <w:rPr>
                <w:rFonts w:ascii="Times New Roman" w:hAnsi="Times New Roman" w:cs="Times New Roman" w:eastAsia="Times New Roman" w:hint="default"/>
                <w:sz w:val="18"/>
                <w:szCs w:val="18"/>
              </w:rPr>
            </w:pPr>
            <w:r>
              <w:rPr>
                <w:rFonts w:ascii="Times New Roman"/>
                <w:sz w:val="18"/>
              </w:rPr>
              <w:t>550.85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2,282,696</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,654.79</w:t>
            </w:r>
          </w:p>
        </w:tc>
      </w:tr>
    </w:tbl>
    <w:p>
      <w:pPr>
        <w:pStyle w:val="BodyText"/>
        <w:spacing w:line="240" w:lineRule="auto" w:before="49"/>
        <w:ind w:right="1133"/>
        <w:jc w:val="left"/>
      </w:pPr>
      <w:r>
        <w:rPr/>
        <w:t>上期金额</w:t>
      </w:r>
    </w:p>
    <w:p>
      <w:pPr>
        <w:pStyle w:val="BodyText"/>
        <w:spacing w:line="240" w:lineRule="auto" w:before="115"/>
        <w:ind w:left="0" w:right="1131"/>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8"/>
        <w:gridCol w:w="691"/>
        <w:gridCol w:w="665"/>
        <w:gridCol w:w="667"/>
        <w:gridCol w:w="665"/>
        <w:gridCol w:w="797"/>
        <w:gridCol w:w="797"/>
        <w:gridCol w:w="797"/>
        <w:gridCol w:w="799"/>
        <w:gridCol w:w="797"/>
        <w:gridCol w:w="677"/>
        <w:gridCol w:w="780"/>
      </w:tblGrid>
      <w:tr>
        <w:trPr>
          <w:trHeight w:val="398"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0"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2" w:hRule="exact"/>
        </w:trPr>
        <w:tc>
          <w:tcPr>
            <w:tcW w:w="1428"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428"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519,678,</w:t>
            </w:r>
          </w:p>
          <w:p>
            <w:pPr>
              <w:pStyle w:val="TableParagraph"/>
              <w:spacing w:line="240" w:lineRule="auto" w:before="102"/>
              <w:ind w:left="142" w:right="0"/>
              <w:jc w:val="center"/>
              <w:rPr>
                <w:rFonts w:ascii="Times New Roman" w:hAnsi="Times New Roman" w:cs="Times New Roman" w:eastAsia="Times New Roman" w:hint="default"/>
                <w:sz w:val="18"/>
                <w:szCs w:val="18"/>
              </w:rPr>
            </w:pPr>
            <w:r>
              <w:rPr>
                <w:rFonts w:ascii="Times New Roman"/>
                <w:sz w:val="18"/>
              </w:rPr>
              <w:t>668.00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1,804,602</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,164.14</w:t>
            </w:r>
          </w:p>
        </w:tc>
        <w:tc>
          <w:tcPr>
            <w:tcW w:w="797" w:type="dxa"/>
            <w:vMerge w:val="restart"/>
            <w:tcBorders>
              <w:top w:val="single" w:sz="18" w:space="0" w:color="D2D2D2"/>
              <w:left w:val="single" w:sz="4" w:space="0" w:color="000000"/>
              <w:right w:val="single" w:sz="4" w:space="0" w:color="000000"/>
            </w:tcBorders>
          </w:tcPr>
          <w:p>
            <w:pPr>
              <w:pStyle w:val="TableParagraph"/>
              <w:spacing w:line="240" w:lineRule="auto" w:before="73"/>
              <w:ind w:left="45" w:right="0"/>
              <w:jc w:val="left"/>
              <w:rPr>
                <w:rFonts w:ascii="Times New Roman" w:hAnsi="Times New Roman" w:cs="Times New Roman" w:eastAsia="Times New Roman" w:hint="default"/>
                <w:sz w:val="18"/>
                <w:szCs w:val="18"/>
              </w:rPr>
            </w:pPr>
            <w:r>
              <w:rPr>
                <w:rFonts w:ascii="Times New Roman"/>
                <w:sz w:val="18"/>
              </w:rPr>
              <w:t>23,016,19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8.33</w:t>
            </w:r>
          </w:p>
        </w:tc>
        <w:tc>
          <w:tcPr>
            <w:tcW w:w="797" w:type="dxa"/>
            <w:vMerge w:val="restart"/>
            <w:tcBorders>
              <w:top w:val="single" w:sz="18"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30,185,28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6.42</w:t>
            </w:r>
          </w:p>
        </w:tc>
        <w:tc>
          <w:tcPr>
            <w:tcW w:w="677" w:type="dxa"/>
            <w:vMerge w:val="restart"/>
            <w:tcBorders>
              <w:top w:val="single" w:sz="18" w:space="0" w:color="D2D2D2"/>
              <w:left w:val="single" w:sz="4" w:space="0" w:color="000000"/>
              <w:right w:val="single" w:sz="4" w:space="0" w:color="000000"/>
            </w:tcBorders>
          </w:tcPr>
          <w:p>
            <w:pPr>
              <w:pStyle w:val="TableParagraph"/>
              <w:spacing w:line="240" w:lineRule="auto" w:before="73"/>
              <w:ind w:left="57" w:right="0"/>
              <w:jc w:val="left"/>
              <w:rPr>
                <w:rFonts w:ascii="Times New Roman" w:hAnsi="Times New Roman" w:cs="Times New Roman" w:eastAsia="Times New Roman" w:hint="default"/>
                <w:sz w:val="18"/>
                <w:szCs w:val="18"/>
              </w:rPr>
            </w:pPr>
            <w:r>
              <w:rPr>
                <w:rFonts w:ascii="Times New Roman"/>
                <w:sz w:val="18"/>
              </w:rPr>
              <w:t>129,918</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,189.98</w:t>
            </w:r>
          </w:p>
        </w:tc>
        <w:tc>
          <w:tcPr>
            <w:tcW w:w="780" w:type="dxa"/>
            <w:vMerge w:val="restart"/>
            <w:tcBorders>
              <w:top w:val="single" w:sz="18" w:space="0" w:color="D2D2D2"/>
              <w:left w:val="single" w:sz="4" w:space="0" w:color="000000"/>
              <w:right w:val="single" w:sz="4" w:space="0" w:color="000000"/>
            </w:tcBorders>
          </w:tcPr>
          <w:p>
            <w:pPr>
              <w:pStyle w:val="TableParagraph"/>
              <w:spacing w:line="240" w:lineRule="auto" w:before="73"/>
              <w:ind w:left="7" w:right="0"/>
              <w:jc w:val="center"/>
              <w:rPr>
                <w:rFonts w:ascii="Times New Roman" w:hAnsi="Times New Roman" w:cs="Times New Roman" w:eastAsia="Times New Roman" w:hint="default"/>
                <w:sz w:val="18"/>
                <w:szCs w:val="18"/>
              </w:rPr>
            </w:pPr>
            <w:r>
              <w:rPr>
                <w:rFonts w:ascii="Times New Roman"/>
                <w:sz w:val="18"/>
              </w:rPr>
              <w:t>2,461,368</w:t>
            </w:r>
          </w:p>
          <w:p>
            <w:pPr>
              <w:pStyle w:val="TableParagraph"/>
              <w:spacing w:line="240" w:lineRule="auto" w:before="102"/>
              <w:ind w:left="194" w:right="0"/>
              <w:jc w:val="center"/>
              <w:rPr>
                <w:rFonts w:ascii="Times New Roman" w:hAnsi="Times New Roman" w:cs="Times New Roman" w:eastAsia="Times New Roman" w:hint="default"/>
                <w:sz w:val="18"/>
                <w:szCs w:val="18"/>
              </w:rPr>
            </w:pPr>
            <w:r>
              <w:rPr>
                <w:rFonts w:ascii="Times New Roman"/>
                <w:sz w:val="18"/>
              </w:rPr>
              <w:t>,110.21</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4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519,678,</w:t>
            </w:r>
          </w:p>
          <w:p>
            <w:pPr>
              <w:pStyle w:val="TableParagraph"/>
              <w:spacing w:line="240" w:lineRule="auto" w:before="102"/>
              <w:ind w:left="142" w:right="0"/>
              <w:jc w:val="center"/>
              <w:rPr>
                <w:rFonts w:ascii="Times New Roman" w:hAnsi="Times New Roman" w:cs="Times New Roman" w:eastAsia="Times New Roman" w:hint="default"/>
                <w:sz w:val="18"/>
                <w:szCs w:val="18"/>
              </w:rPr>
            </w:pPr>
            <w:r>
              <w:rPr>
                <w:rFonts w:ascii="Times New Roman"/>
                <w:sz w:val="18"/>
              </w:rPr>
              <w:t>668.00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1,804,602</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,164.14</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23,016,19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8.33</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30,185,28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6.42</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129,918</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,189.98</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2,461,368</w:t>
            </w:r>
          </w:p>
          <w:p>
            <w:pPr>
              <w:pStyle w:val="TableParagraph"/>
              <w:spacing w:line="240" w:lineRule="auto" w:before="102"/>
              <w:ind w:left="194" w:right="0"/>
              <w:jc w:val="center"/>
              <w:rPr>
                <w:rFonts w:ascii="Times New Roman" w:hAnsi="Times New Roman" w:cs="Times New Roman" w:eastAsia="Times New Roman" w:hint="default"/>
                <w:sz w:val="18"/>
                <w:szCs w:val="18"/>
              </w:rPr>
            </w:pPr>
            <w:r>
              <w:rPr>
                <w:rFonts w:ascii="Times New Roman"/>
                <w:sz w:val="18"/>
              </w:rPr>
              <w:t>,110.21</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7"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-4,521,7</w:t>
            </w:r>
          </w:p>
          <w:p>
            <w:pPr>
              <w:pStyle w:val="TableParagraph"/>
              <w:spacing w:line="240" w:lineRule="auto" w:before="105"/>
              <w:ind w:left="231" w:right="0"/>
              <w:jc w:val="center"/>
              <w:rPr>
                <w:rFonts w:ascii="Times New Roman" w:hAnsi="Times New Roman" w:cs="Times New Roman" w:eastAsia="Times New Roman" w:hint="default"/>
                <w:sz w:val="18"/>
                <w:szCs w:val="18"/>
              </w:rPr>
            </w:pPr>
            <w:r>
              <w:rPr>
                <w:rFonts w:ascii="Times New Roman"/>
                <w:sz w:val="18"/>
              </w:rPr>
              <w:t>20.00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-12,462,8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84.91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-23,016,1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98.33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6,256,723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30,552,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668.55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42,840,98</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5.96</w:t>
            </w: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62,567,</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239.94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62,567,23</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9.94</w:t>
            </w:r>
          </w:p>
        </w:tc>
      </w:tr>
      <w:tr>
        <w:trPr>
          <w:trHeight w:val="716"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-4,521,7</w:t>
            </w:r>
          </w:p>
          <w:p>
            <w:pPr>
              <w:pStyle w:val="TableParagraph"/>
              <w:spacing w:line="240" w:lineRule="auto" w:before="105"/>
              <w:ind w:left="231" w:right="0"/>
              <w:jc w:val="center"/>
              <w:rPr>
                <w:rFonts w:ascii="Times New Roman" w:hAnsi="Times New Roman" w:cs="Times New Roman" w:eastAsia="Times New Roman" w:hint="default"/>
                <w:sz w:val="18"/>
                <w:szCs w:val="18"/>
              </w:rPr>
            </w:pPr>
            <w:r>
              <w:rPr>
                <w:rFonts w:ascii="Times New Roman"/>
                <w:sz w:val="18"/>
              </w:rPr>
              <w:t>20.00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-18,494,4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78.33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-23,016,1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98.33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62,567,23</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9.94</w:t>
            </w: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-4,521,7</w:t>
            </w:r>
          </w:p>
          <w:p>
            <w:pPr>
              <w:pStyle w:val="TableParagraph"/>
              <w:spacing w:line="240" w:lineRule="auto" w:before="102"/>
              <w:ind w:left="206" w:right="0"/>
              <w:jc w:val="center"/>
              <w:rPr>
                <w:rFonts w:ascii="Times New Roman" w:hAnsi="Times New Roman" w:cs="Times New Roman" w:eastAsia="Times New Roman" w:hint="default"/>
                <w:sz w:val="18"/>
                <w:szCs w:val="18"/>
              </w:rPr>
            </w:pPr>
            <w:r>
              <w:rPr>
                <w:rFonts w:ascii="Times New Roman"/>
                <w:sz w:val="18"/>
              </w:rPr>
              <w:t>20.00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-18,494,4</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78.33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-23,016,1</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98.33</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6,256,723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3" w:right="0"/>
              <w:jc w:val="left"/>
              <w:rPr>
                <w:rFonts w:ascii="Times New Roman" w:hAnsi="Times New Roman" w:cs="Times New Roman" w:eastAsia="Times New Roman" w:hint="default"/>
                <w:sz w:val="18"/>
                <w:szCs w:val="18"/>
              </w:rPr>
            </w:pPr>
            <w:r>
              <w:rPr>
                <w:rFonts w:ascii="Times New Roman"/>
                <w:sz w:val="18"/>
              </w:rPr>
              <w:t>-32,014,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9" w:right="0"/>
              <w:jc w:val="left"/>
              <w:rPr>
                <w:rFonts w:ascii="Times New Roman" w:hAnsi="Times New Roman" w:cs="Times New Roman" w:eastAsia="Times New Roman" w:hint="default"/>
                <w:sz w:val="18"/>
                <w:szCs w:val="18"/>
              </w:rPr>
            </w:pPr>
            <w:r>
              <w:rPr>
                <w:rFonts w:ascii="Times New Roman"/>
                <w:sz w:val="18"/>
              </w:rPr>
              <w:t>-25,757,8</w:t>
            </w:r>
          </w:p>
        </w:tc>
      </w:tr>
    </w:tbl>
    <w:p>
      <w:pPr>
        <w:spacing w:after="0" w:line="240" w:lineRule="auto"/>
        <w:jc w:val="left"/>
        <w:rPr>
          <w:rFonts w:ascii="Times New Roman" w:hAnsi="Times New Roman" w:cs="Times New Roman" w:eastAsia="Times New Roman" w:hint="default"/>
          <w:sz w:val="18"/>
          <w:szCs w:val="18"/>
        </w:rPr>
        <w:sectPr>
          <w:footerReference w:type="default" r:id="rId22"/>
          <w:pgSz w:w="11910" w:h="16840"/>
          <w:pgMar w:footer="979" w:header="745" w:top="1060" w:bottom="1160" w:left="980" w:right="0"/>
          <w:pgNumType w:start="1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36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.99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8" w:right="0"/>
              <w:jc w:val="left"/>
              <w:rPr>
                <w:rFonts w:ascii="Times New Roman" w:hAnsi="Times New Roman" w:cs="Times New Roman" w:eastAsia="Times New Roman" w:hint="default"/>
                <w:sz w:val="18"/>
                <w:szCs w:val="18"/>
              </w:rPr>
            </w:pPr>
            <w:r>
              <w:rPr>
                <w:rFonts w:ascii="Times New Roman"/>
                <w:sz w:val="18"/>
              </w:rPr>
              <w:t>571.39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43" w:right="0"/>
              <w:jc w:val="left"/>
              <w:rPr>
                <w:rFonts w:ascii="Times New Roman" w:hAnsi="Times New Roman" w:cs="Times New Roman" w:eastAsia="Times New Roman" w:hint="default"/>
                <w:sz w:val="18"/>
                <w:szCs w:val="18"/>
              </w:rPr>
            </w:pPr>
            <w:r>
              <w:rPr>
                <w:rFonts w:ascii="Times New Roman"/>
                <w:sz w:val="18"/>
              </w:rPr>
              <w:t>47.40</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6,256,723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-6,256,7</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23.99</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-25,757,</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847.40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-25,757,8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47.40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6,031,593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6,031,593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.42</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515,156,</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948.00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1,792,139</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,279.23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36,442,01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0.41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160,470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,858.53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2,504,209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,096.17</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三、公司基本情况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9043"/>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公司概况</w:t>
      </w:r>
      <w:r>
        <w:rPr>
          <w:w w:val="99"/>
        </w:rPr>
        <w:t> </w:t>
      </w:r>
      <w:r>
        <w:rPr>
          <w:rFonts w:ascii="Times New Roman" w:hAnsi="Times New Roman" w:cs="Times New Roman" w:eastAsia="Times New Roman" w:hint="default"/>
        </w:rPr>
        <w:t>1</w:t>
      </w:r>
      <w:r>
        <w:rPr/>
        <w:t>、公司基本情况</w:t>
      </w:r>
    </w:p>
    <w:p>
      <w:pPr>
        <w:pStyle w:val="BodyText"/>
        <w:spacing w:line="300" w:lineRule="auto" w:before="13"/>
        <w:ind w:right="1124" w:firstLine="360"/>
        <w:jc w:val="left"/>
      </w:pPr>
      <w:r>
        <w:rPr/>
        <w:t>深圳市证通电子股份有限公司</w:t>
      </w:r>
      <w:r>
        <w:rPr>
          <w:rFonts w:ascii="Times New Roman" w:hAnsi="Times New Roman" w:cs="Times New Roman" w:eastAsia="Times New Roman" w:hint="default"/>
        </w:rPr>
        <w:t>(</w:t>
      </w:r>
      <w:r>
        <w:rPr/>
        <w:t>以下简称公司或本公司</w:t>
      </w:r>
      <w:r>
        <w:rPr>
          <w:rFonts w:ascii="Times New Roman" w:hAnsi="Times New Roman" w:cs="Times New Roman" w:eastAsia="Times New Roman" w:hint="default"/>
        </w:rPr>
        <w:t>)</w:t>
      </w:r>
      <w:r>
        <w:rPr/>
        <w:t>前身系深圳市证通电子有限公司于</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4</w:t>
      </w:r>
      <w:r>
        <w:rPr/>
        <w:t>日经深圳市工商 行政管理局核准成立。公司的企业法人营业执照注册号：</w:t>
      </w:r>
      <w:r>
        <w:rPr>
          <w:rFonts w:ascii="Times New Roman" w:hAnsi="Times New Roman" w:cs="Times New Roman" w:eastAsia="Times New Roman" w:hint="default"/>
        </w:rPr>
        <w:t>440301103106038</w:t>
      </w:r>
      <w:r>
        <w:rPr/>
        <w:t>。根据公司</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12</w:t>
      </w:r>
      <w:r>
        <w:rPr/>
        <w:t>日发起人协议和股东会 </w:t>
      </w:r>
      <w:r>
        <w:rPr>
          <w:spacing w:val="-2"/>
        </w:rPr>
        <w:t>决议由深圳市证通电子有限公司整体改制变更而成，</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23</w:t>
      </w:r>
      <w:r>
        <w:rPr>
          <w:spacing w:val="-2"/>
        </w:rPr>
        <w:t>日经中国证券监督管理委员会核准，公司向社会公开发行</w:t>
      </w:r>
      <w:r>
        <w:rPr>
          <w:spacing w:val="-59"/>
        </w:rPr>
        <w:t> </w:t>
      </w:r>
      <w:r>
        <w:rPr>
          <w:spacing w:val="-59"/>
        </w:rPr>
      </w:r>
      <w:r>
        <w:rPr>
          <w:spacing w:val="-4"/>
        </w:rPr>
        <w:t>人民币普通股</w:t>
      </w:r>
      <w:r>
        <w:rPr>
          <w:rFonts w:ascii="Times New Roman" w:hAnsi="Times New Roman" w:cs="Times New Roman" w:eastAsia="Times New Roman" w:hint="default"/>
          <w:spacing w:val="-4"/>
        </w:rPr>
        <w:t>2,200</w:t>
      </w:r>
      <w:r>
        <w:rPr>
          <w:spacing w:val="-4"/>
        </w:rPr>
        <w:t>万股</w:t>
      </w:r>
      <w:r>
        <w:rPr>
          <w:rFonts w:ascii="Times New Roman" w:hAnsi="Times New Roman" w:cs="Times New Roman" w:eastAsia="Times New Roman" w:hint="default"/>
          <w:spacing w:val="-4"/>
        </w:rPr>
        <w:t>(</w:t>
      </w:r>
      <w:r>
        <w:rPr>
          <w:spacing w:val="-4"/>
        </w:rPr>
        <w:t>每股面值</w:t>
      </w:r>
      <w:r>
        <w:rPr>
          <w:rFonts w:ascii="Times New Roman" w:hAnsi="Times New Roman" w:cs="Times New Roman" w:eastAsia="Times New Roman" w:hint="default"/>
          <w:spacing w:val="-4"/>
        </w:rPr>
        <w:t>1</w:t>
      </w:r>
      <w:r>
        <w:rPr>
          <w:spacing w:val="-4"/>
        </w:rPr>
        <w:t>元</w:t>
      </w:r>
      <w:r>
        <w:rPr>
          <w:rFonts w:ascii="Times New Roman" w:hAnsi="Times New Roman" w:cs="Times New Roman" w:eastAsia="Times New Roman" w:hint="default"/>
          <w:spacing w:val="-4"/>
        </w:rPr>
        <w:t>)</w:t>
      </w:r>
      <w:r>
        <w:rPr>
          <w:spacing w:val="-4"/>
        </w:rPr>
        <w:t>，发行后股本增至</w:t>
      </w:r>
      <w:r>
        <w:rPr>
          <w:rFonts w:ascii="Times New Roman" w:hAnsi="Times New Roman" w:cs="Times New Roman" w:eastAsia="Times New Roman" w:hint="default"/>
          <w:spacing w:val="-4"/>
        </w:rPr>
        <w:t>8,743</w:t>
      </w:r>
      <w:r>
        <w:rPr>
          <w:spacing w:val="-4"/>
        </w:rPr>
        <w:t>万股，</w:t>
      </w:r>
      <w:r>
        <w:rPr>
          <w:rFonts w:ascii="Times New Roman" w:hAnsi="Times New Roman" w:cs="Times New Roman" w:eastAsia="Times New Roman" w:hint="default"/>
          <w:spacing w:val="-4"/>
        </w:rPr>
        <w:t>2007</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18</w:t>
      </w:r>
      <w:r>
        <w:rPr>
          <w:spacing w:val="-4"/>
        </w:rPr>
        <w:t>日在深圳证券交易所挂牌交易，股票简称：</w:t>
      </w:r>
      <w:r>
        <w:rPr>
          <w:spacing w:val="-39"/>
        </w:rPr>
        <w:t> </w:t>
      </w:r>
      <w:r>
        <w:rPr>
          <w:spacing w:val="-39"/>
        </w:rPr>
      </w:r>
      <w:r>
        <w:rPr/>
        <w:t>证通电子，股票代码</w:t>
      </w:r>
      <w:r>
        <w:rPr>
          <w:rFonts w:ascii="Times New Roman" w:hAnsi="Times New Roman" w:cs="Times New Roman" w:eastAsia="Times New Roman" w:hint="default"/>
        </w:rPr>
        <w:t>002197,</w:t>
      </w:r>
      <w:r>
        <w:rPr>
          <w:rFonts w:ascii="Times New Roman" w:hAnsi="Times New Roman" w:cs="Times New Roman" w:eastAsia="Times New Roman" w:hint="default"/>
          <w:spacing w:val="27"/>
        </w:rPr>
        <w:t> </w:t>
      </w:r>
      <w:r>
        <w:rPr/>
        <w:t>本次发行后，公司注册的资本变更为</w:t>
      </w:r>
      <w:r>
        <w:rPr>
          <w:rFonts w:ascii="Times New Roman" w:hAnsi="Times New Roman" w:cs="Times New Roman" w:eastAsia="Times New Roman" w:hint="default"/>
        </w:rPr>
        <w:t>8,743.00</w:t>
      </w:r>
      <w:r>
        <w:rPr/>
        <w:t>万元。</w:t>
      </w:r>
    </w:p>
    <w:p>
      <w:pPr>
        <w:pStyle w:val="BodyText"/>
        <w:spacing w:line="297" w:lineRule="auto" w:before="13"/>
        <w:ind w:right="1149" w:firstLine="360"/>
        <w:jc w:val="left"/>
      </w:pPr>
      <w:r>
        <w:rPr/>
        <w:t>公司现持有统一社会信用代码为</w:t>
      </w:r>
      <w:r>
        <w:rPr>
          <w:rFonts w:ascii="Times New Roman" w:hAnsi="Times New Roman" w:cs="Times New Roman" w:eastAsia="Times New Roman" w:hint="default"/>
        </w:rPr>
        <w:t>91440300279402305L</w:t>
      </w:r>
      <w:r>
        <w:rPr/>
        <w:t>的营业执照，注册资本</w:t>
      </w:r>
      <w:r>
        <w:rPr>
          <w:rFonts w:ascii="Times New Roman" w:hAnsi="Times New Roman" w:cs="Times New Roman" w:eastAsia="Times New Roman" w:hint="default"/>
        </w:rPr>
        <w:t>515,156,948.00</w:t>
      </w:r>
      <w:r>
        <w:rPr/>
        <w:t>元，股份总数为</w:t>
      </w:r>
      <w:r>
        <w:rPr>
          <w:rFonts w:ascii="Times New Roman" w:hAnsi="Times New Roman" w:cs="Times New Roman" w:eastAsia="Times New Roman" w:hint="default"/>
        </w:rPr>
        <w:t>515,156,948 </w:t>
      </w:r>
      <w:r>
        <w:rPr/>
        <w:t>股</w:t>
      </w:r>
      <w:r>
        <w:rPr>
          <w:rFonts w:ascii="Times New Roman" w:hAnsi="Times New Roman" w:cs="Times New Roman" w:eastAsia="Times New Roman" w:hint="default"/>
        </w:rPr>
        <w:t>(</w:t>
      </w:r>
      <w:r>
        <w:rPr/>
        <w:t>每股面值</w:t>
      </w:r>
      <w:r>
        <w:rPr>
          <w:rFonts w:ascii="Times New Roman" w:hAnsi="Times New Roman" w:cs="Times New Roman" w:eastAsia="Times New Roman" w:hint="default"/>
        </w:rPr>
        <w:t>1</w:t>
      </w:r>
      <w:r>
        <w:rPr/>
        <w:t>元</w:t>
      </w:r>
      <w:r>
        <w:rPr>
          <w:rFonts w:ascii="Times New Roman" w:hAnsi="Times New Roman" w:cs="Times New Roman" w:eastAsia="Times New Roman" w:hint="default"/>
        </w:rPr>
        <w:t>)</w:t>
      </w:r>
      <w:r>
        <w:rPr/>
        <w:t>，其中：有限售条件的流通股份为</w:t>
      </w:r>
      <w:r>
        <w:rPr>
          <w:rFonts w:ascii="Times New Roman" w:hAnsi="Times New Roman" w:cs="Times New Roman" w:eastAsia="Times New Roman" w:hint="default"/>
        </w:rPr>
        <w:t>80,578,634</w:t>
      </w:r>
      <w:r>
        <w:rPr/>
        <w:t>股；无限售条件的流通股份为</w:t>
      </w:r>
      <w:r>
        <w:rPr>
          <w:rFonts w:ascii="Times New Roman" w:hAnsi="Times New Roman" w:cs="Times New Roman" w:eastAsia="Times New Roman" w:hint="default"/>
        </w:rPr>
        <w:t>434,578,314</w:t>
      </w:r>
      <w:r>
        <w:rPr/>
        <w:t>股。</w:t>
      </w:r>
    </w:p>
    <w:p>
      <w:pPr>
        <w:pStyle w:val="BodyText"/>
        <w:spacing w:line="240" w:lineRule="auto" w:before="15"/>
        <w:ind w:left="513" w:right="1133"/>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日公司股本为</w:t>
      </w:r>
      <w:r>
        <w:rPr>
          <w:rFonts w:ascii="Times New Roman" w:hAnsi="Times New Roman" w:cs="Times New Roman" w:eastAsia="Times New Roman" w:hint="default"/>
        </w:rPr>
        <w:t>515,156,948.00</w:t>
      </w:r>
      <w:r>
        <w:rPr/>
        <w:t>元。</w:t>
      </w:r>
    </w:p>
    <w:p>
      <w:pPr>
        <w:pStyle w:val="BodyText"/>
        <w:spacing w:line="240" w:lineRule="auto" w:before="63"/>
        <w:ind w:left="513" w:right="1133"/>
        <w:jc w:val="left"/>
      </w:pPr>
      <w:r>
        <w:rPr>
          <w:rFonts w:ascii="Times New Roman" w:hAnsi="Times New Roman" w:cs="Times New Roman" w:eastAsia="Times New Roman" w:hint="default"/>
        </w:rPr>
        <w:t>2</w:t>
      </w:r>
      <w:r>
        <w:rPr/>
        <w:t>、企业的业务性质：通用设备制造业。</w:t>
      </w:r>
    </w:p>
    <w:p>
      <w:pPr>
        <w:pStyle w:val="BodyText"/>
        <w:spacing w:line="240" w:lineRule="auto" w:before="63"/>
        <w:ind w:left="513" w:right="1133"/>
        <w:jc w:val="left"/>
      </w:pPr>
      <w:r>
        <w:rPr>
          <w:rFonts w:ascii="Times New Roman" w:hAnsi="Times New Roman" w:cs="Times New Roman" w:eastAsia="Times New Roman" w:hint="default"/>
        </w:rPr>
        <w:t>3</w:t>
      </w:r>
      <w:r>
        <w:rPr/>
        <w:t>、主要经营活动：主要从事金融自助服务终端、金融支付终端设备、</w:t>
      </w:r>
      <w:r>
        <w:rPr>
          <w:rFonts w:ascii="Times New Roman" w:hAnsi="Times New Roman" w:cs="Times New Roman" w:eastAsia="Times New Roman" w:hint="default"/>
        </w:rPr>
        <w:t>LED</w:t>
      </w:r>
      <w:r>
        <w:rPr/>
        <w:t>照明产品、</w:t>
      </w:r>
      <w:r>
        <w:rPr>
          <w:rFonts w:ascii="Times New Roman" w:hAnsi="Times New Roman" w:cs="Times New Roman" w:eastAsia="Times New Roman" w:hint="default"/>
        </w:rPr>
        <w:t>IDC</w:t>
      </w:r>
      <w:r>
        <w:rPr/>
        <w:t>及云计算等开发、生产和销</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1133"/>
        <w:jc w:val="left"/>
      </w:pPr>
      <w:r>
        <w:rPr/>
        <w:t>售。</w:t>
      </w:r>
    </w:p>
    <w:p>
      <w:pPr>
        <w:pStyle w:val="BodyText"/>
        <w:spacing w:line="240" w:lineRule="auto" w:before="76"/>
        <w:ind w:left="513" w:right="1133"/>
        <w:jc w:val="left"/>
      </w:pPr>
      <w:r>
        <w:rPr>
          <w:rFonts w:ascii="Times New Roman" w:hAnsi="Times New Roman" w:cs="Times New Roman" w:eastAsia="Times New Roman" w:hint="default"/>
        </w:rPr>
        <w:t>4</w:t>
      </w:r>
      <w:r>
        <w:rPr/>
        <w:t>、公司注册地：深圳市南山区粤海街道西海岸大厦</w:t>
      </w:r>
      <w:r>
        <w:rPr>
          <w:rFonts w:ascii="Times New Roman" w:hAnsi="Times New Roman" w:cs="Times New Roman" w:eastAsia="Times New Roman" w:hint="default"/>
        </w:rPr>
        <w:t>18</w:t>
      </w:r>
      <w:r>
        <w:rPr/>
        <w:t>楼。</w:t>
      </w:r>
    </w:p>
    <w:p>
      <w:pPr>
        <w:pStyle w:val="BodyText"/>
        <w:spacing w:line="240" w:lineRule="auto" w:before="63"/>
        <w:ind w:left="513" w:right="1133"/>
        <w:jc w:val="left"/>
      </w:pPr>
      <w:r>
        <w:rPr>
          <w:rFonts w:ascii="Times New Roman" w:hAnsi="Times New Roman" w:cs="Times New Roman" w:eastAsia="Times New Roman" w:hint="default"/>
        </w:rPr>
        <w:t>5</w:t>
      </w:r>
      <w:r>
        <w:rPr/>
        <w:t>、本公司的实际控制人为曾胜强、许忠桂夫妇持有深圳市证通电子股份有限公司</w:t>
      </w:r>
      <w:r>
        <w:rPr>
          <w:rFonts w:ascii="Times New Roman" w:hAnsi="Times New Roman" w:cs="Times New Roman" w:eastAsia="Times New Roman" w:hint="default"/>
        </w:rPr>
        <w:t>26.15%</w:t>
      </w:r>
      <w:r>
        <w:rPr/>
        <w:t>的股权。</w:t>
      </w:r>
    </w:p>
    <w:p>
      <w:pPr>
        <w:pStyle w:val="BodyText"/>
        <w:spacing w:line="300" w:lineRule="auto" w:before="63"/>
        <w:ind w:left="513" w:right="4543"/>
        <w:jc w:val="left"/>
      </w:pPr>
      <w:r>
        <w:rPr>
          <w:rFonts w:ascii="Times New Roman" w:hAnsi="Times New Roman" w:cs="Times New Roman" w:eastAsia="Times New Roman" w:hint="default"/>
        </w:rPr>
        <w:t>6</w:t>
      </w:r>
      <w:r>
        <w:rPr/>
        <w:t>、财务报告的批准报出日 本财务报表经公司第四届董事会第四十次会议批准于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日报出。</w:t>
      </w:r>
    </w:p>
    <w:p>
      <w:pPr>
        <w:spacing w:line="240" w:lineRule="auto" w:before="11"/>
        <w:rPr>
          <w:rFonts w:ascii="宋体" w:hAnsi="宋体" w:cs="宋体" w:eastAsia="宋体" w:hint="default"/>
          <w:sz w:val="24"/>
          <w:szCs w:val="24"/>
        </w:rPr>
      </w:pPr>
    </w:p>
    <w:p>
      <w:pPr>
        <w:pStyle w:val="BodyText"/>
        <w:spacing w:line="300" w:lineRule="auto"/>
        <w:ind w:left="513" w:right="3013"/>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合并财务报表范围</w:t>
      </w:r>
      <w:r>
        <w:rPr>
          <w:w w:val="99"/>
        </w:rPr>
        <w:t> </w:t>
      </w:r>
      <w:r>
        <w:rPr/>
        <w:t>截至报告期末，纳入合并财务报表范围的子公司及孙公司共计</w:t>
      </w:r>
      <w:r>
        <w:rPr>
          <w:rFonts w:ascii="Times New Roman" w:hAnsi="Times New Roman" w:cs="Times New Roman" w:eastAsia="Times New Roman" w:hint="default"/>
        </w:rPr>
        <w:t>14</w:t>
      </w:r>
      <w:r>
        <w:rPr/>
        <w:t>家，详见本附注六和附注七。</w:t>
      </w:r>
    </w:p>
    <w:p>
      <w:pPr>
        <w:spacing w:line="240" w:lineRule="auto" w:before="5"/>
        <w:rPr>
          <w:rFonts w:ascii="宋体" w:hAnsi="宋体" w:cs="宋体" w:eastAsia="宋体" w:hint="default"/>
          <w:sz w:val="20"/>
          <w:szCs w:val="20"/>
        </w:rPr>
      </w:pPr>
    </w:p>
    <w:p>
      <w:pPr>
        <w:pStyle w:val="Heading2"/>
        <w:spacing w:line="240" w:lineRule="auto"/>
        <w:ind w:right="1133"/>
        <w:jc w:val="left"/>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114" w:firstLine="360"/>
        <w:jc w:val="left"/>
      </w:pPr>
      <w:r>
        <w:rPr>
          <w:spacing w:val="-5"/>
        </w:rPr>
        <w:t>本公司财务报表以持续经营假设为基础，根据实际发生的交易和事项，按照财政部发布的《企业会计准则</w:t>
      </w:r>
      <w:r>
        <w:rPr>
          <w:rFonts w:ascii="Times New Roman" w:hAnsi="Times New Roman" w:cs="Times New Roman" w:eastAsia="Times New Roman" w:hint="default"/>
          <w:spacing w:val="-5"/>
        </w:rPr>
        <w:t>——</w:t>
      </w:r>
      <w:r>
        <w:rPr>
          <w:spacing w:val="-5"/>
        </w:rPr>
        <w:t>基本准则》</w:t>
      </w:r>
      <w:r>
        <w:rPr/>
        <w:t> </w:t>
      </w:r>
      <w:r>
        <w:rPr>
          <w:rFonts w:ascii="Times New Roman" w:hAnsi="Times New Roman" w:cs="Times New Roman" w:eastAsia="Times New Roman" w:hint="default"/>
        </w:rPr>
        <w:t>(</w:t>
      </w:r>
      <w:r>
        <w:rPr/>
        <w:t>财政部令第</w:t>
      </w:r>
      <w:r>
        <w:rPr>
          <w:rFonts w:ascii="Times New Roman" w:hAnsi="Times New Roman" w:cs="Times New Roman" w:eastAsia="Times New Roman" w:hint="default"/>
        </w:rPr>
        <w:t>33</w:t>
      </w:r>
      <w:r>
        <w:rPr/>
        <w:t>号发布、财政部令第</w:t>
      </w:r>
      <w:r>
        <w:rPr>
          <w:rFonts w:ascii="Times New Roman" w:hAnsi="Times New Roman" w:cs="Times New Roman" w:eastAsia="Times New Roman" w:hint="default"/>
        </w:rPr>
        <w:t>76</w:t>
      </w:r>
      <w:r>
        <w:rPr/>
        <w:t>号修订</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日及其后颁布和修订的</w:t>
      </w:r>
      <w:r>
        <w:rPr>
          <w:rFonts w:ascii="Times New Roman" w:hAnsi="Times New Roman" w:cs="Times New Roman" w:eastAsia="Times New Roman" w:hint="default"/>
        </w:rPr>
        <w:t>42</w:t>
      </w:r>
      <w:r>
        <w:rPr/>
        <w:t>项具体会计准则、企业会计准则应 用指南、企业会计准则解释及其他相关规定</w:t>
      </w:r>
      <w:r>
        <w:rPr>
          <w:rFonts w:ascii="Times New Roman" w:hAnsi="Times New Roman" w:cs="Times New Roman" w:eastAsia="Times New Roman" w:hint="default"/>
        </w:rPr>
        <w:t>(</w:t>
      </w:r>
      <w:r>
        <w:rPr/>
        <w:t>以下合称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，以及中国证券监督管理委员会《公开发行证券的公 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w:t>
      </w:r>
      <w:r>
        <w:rPr>
          <w:rFonts w:ascii="Times New Roman" w:hAnsi="Times New Roman" w:cs="Times New Roman" w:eastAsia="Times New Roman" w:hint="default"/>
        </w:rPr>
        <w:t>)</w:t>
      </w:r>
      <w:r>
        <w:rPr/>
        <w:t>的披露规定编制。</w:t>
      </w:r>
    </w:p>
    <w:p>
      <w:pPr>
        <w:spacing w:line="240" w:lineRule="auto" w:before="4"/>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29" w:firstLine="360"/>
        <w:jc w:val="left"/>
      </w:pPr>
      <w:r>
        <w:rPr>
          <w:spacing w:val="-2"/>
        </w:rPr>
        <w:t>本公司管理层对公司持续经营能力评估后认为公司</w:t>
      </w:r>
      <w:r>
        <w:rPr>
          <w:rFonts w:ascii="Times New Roman" w:hAnsi="Times New Roman" w:cs="Times New Roman" w:eastAsia="Times New Roman" w:hint="default"/>
          <w:spacing w:val="-2"/>
        </w:rPr>
        <w:t>12</w:t>
      </w:r>
      <w:r>
        <w:rPr>
          <w:spacing w:val="-2"/>
        </w:rPr>
        <w:t>个月内能持续经营，不存在可能导致持续经营产生重大疑虑的事项</w:t>
      </w:r>
      <w:r>
        <w:rPr/>
        <w:t> 和情况，本公司财务报表是按照持续经营假设为基础编制的。</w:t>
      </w:r>
    </w:p>
    <w:p>
      <w:pPr>
        <w:spacing w:line="240" w:lineRule="auto" w:before="11"/>
        <w:rPr>
          <w:rFonts w:ascii="宋体" w:hAnsi="宋体" w:cs="宋体" w:eastAsia="宋体" w:hint="default"/>
          <w:sz w:val="21"/>
          <w:szCs w:val="21"/>
        </w:rPr>
      </w:pPr>
    </w:p>
    <w:p>
      <w:pPr>
        <w:pStyle w:val="Heading2"/>
        <w:spacing w:line="240" w:lineRule="auto"/>
        <w:ind w:right="1133"/>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否</w:t>
      </w:r>
    </w:p>
    <w:p>
      <w:pPr>
        <w:pStyle w:val="BodyText"/>
        <w:spacing w:line="360" w:lineRule="auto" w:before="25"/>
        <w:ind w:right="8104"/>
        <w:jc w:val="left"/>
      </w:pPr>
      <w:r>
        <w:rPr/>
        <w:t>具体会计政策和会计估计提示： 无</w:t>
      </w:r>
    </w:p>
    <w:p>
      <w:pPr>
        <w:spacing w:line="240" w:lineRule="auto" w:before="4"/>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33" w:firstLine="360"/>
        <w:jc w:val="left"/>
      </w:pPr>
      <w:r>
        <w:rPr>
          <w:spacing w:val="-2"/>
        </w:rPr>
        <w:t>本公司所编制的财务报表符合企业会计准则的要求，真实、完整地反映了公司的财务状况、经营成果、股东权益变动和</w:t>
      </w:r>
      <w:r>
        <w:rPr/>
        <w:t> 现金流量等有关信息。</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1133"/>
        <w:jc w:val="left"/>
      </w:pPr>
      <w:r>
        <w:rPr/>
        <w:t>本公司会计年度自公历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本公司营业周期为</w:t>
      </w:r>
      <w:r>
        <w:rPr>
          <w:rFonts w:ascii="Times New Roman" w:hAnsi="Times New Roman" w:cs="Times New Roman" w:eastAsia="Times New Roman" w:hint="default"/>
        </w:rPr>
        <w:t>12</w:t>
      </w:r>
      <w:r>
        <w:rPr/>
        <w:t>个月。</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rPr>
          <w:rFonts w:ascii="宋体" w:hAnsi="宋体" w:cs="宋体" w:eastAsia="宋体" w:hint="default"/>
        </w:rPr>
      </w:pPr>
      <w:r>
        <w:rPr/>
        <w:t>本公司以人民币为记账本位币。</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13" w:right="1129"/>
        <w:jc w:val="left"/>
      </w:pPr>
      <w:r>
        <w:rPr>
          <w:rFonts w:ascii="宋体" w:hAnsi="宋体" w:cs="宋体" w:eastAsia="宋体" w:hint="default"/>
        </w:rPr>
        <w:t>1</w:t>
      </w:r>
      <w:r>
        <w:rPr/>
        <w:t>、同一控制下企业合并</w:t>
      </w:r>
      <w:r>
        <w:rPr>
          <w:rFonts w:ascii="宋体" w:hAnsi="宋体" w:cs="宋体" w:eastAsia="宋体" w:hint="default"/>
        </w:rPr>
        <w:t> </w:t>
      </w:r>
      <w:r>
        <w:rPr>
          <w:spacing w:val="-2"/>
        </w:rPr>
        <w:t>参与合并的企业在合并前后均受同一方或相同的多方最终控制，且该控制并非暂时性的，为同一控制下的企业合并。同</w:t>
      </w:r>
    </w:p>
    <w:p>
      <w:pPr>
        <w:pStyle w:val="BodyText"/>
        <w:spacing w:line="316" w:lineRule="auto" w:before="19"/>
        <w:ind w:right="1129"/>
        <w:jc w:val="left"/>
        <w:rPr>
          <w:rFonts w:ascii="宋体" w:hAnsi="宋体" w:cs="宋体" w:eastAsia="宋体" w:hint="default"/>
        </w:rPr>
      </w:pPr>
      <w:r>
        <w:rPr>
          <w:spacing w:val="-5"/>
        </w:rPr>
        <w:t>一控制下的企业合并，在合并日取得对其他参与合并企业控制权的一方为合并方，参与合并的其他企业为被合并方。合并日，</w:t>
      </w:r>
      <w:r>
        <w:rPr>
          <w:spacing w:val="-76"/>
        </w:rPr>
        <w:t> </w:t>
      </w:r>
      <w:r>
        <w:rPr>
          <w:spacing w:val="-76"/>
        </w:rPr>
      </w:r>
      <w:r>
        <w:rPr/>
        <w:t>是指合并方实际取得对被合并方控制权的日期。</w:t>
      </w:r>
      <w:r>
        <w:rPr>
          <w:rFonts w:ascii="宋体" w:hAnsi="宋体" w:cs="宋体" w:eastAsia="宋体" w:hint="default"/>
        </w:rPr>
        <w:t> </w:t>
      </w:r>
    </w:p>
    <w:p>
      <w:pPr>
        <w:pStyle w:val="BodyText"/>
        <w:spacing w:line="319" w:lineRule="auto" w:before="19"/>
        <w:ind w:right="1132" w:firstLine="360"/>
        <w:jc w:val="both"/>
        <w:rPr>
          <w:rFonts w:ascii="宋体" w:hAnsi="宋体" w:cs="宋体" w:eastAsia="宋体" w:hint="default"/>
        </w:rPr>
      </w:pPr>
      <w:r>
        <w:rPr>
          <w:spacing w:val="-2"/>
        </w:rPr>
        <w:t>合并方取得的资产和负债均按合并日在被合并方的账面价值计量。合并方取得的净资产账面价值与支付的合并对价账面</w:t>
      </w:r>
      <w:r>
        <w:rPr/>
        <w:t> 价值</w:t>
      </w:r>
      <w:r>
        <w:rPr>
          <w:rFonts w:ascii="宋体" w:hAnsi="宋体" w:cs="宋体" w:eastAsia="宋体" w:hint="default"/>
        </w:rPr>
        <w:t>(</w:t>
      </w:r>
      <w:r>
        <w:rPr/>
        <w:t>或发行股份面值总额</w:t>
      </w:r>
      <w:r>
        <w:rPr>
          <w:rFonts w:ascii="宋体" w:hAnsi="宋体" w:cs="宋体" w:eastAsia="宋体" w:hint="default"/>
        </w:rPr>
        <w:t>)</w:t>
      </w:r>
      <w:r>
        <w:rPr/>
        <w:t>的差额，调整资本公积</w:t>
      </w:r>
      <w:r>
        <w:rPr>
          <w:rFonts w:ascii="宋体" w:hAnsi="宋体" w:cs="宋体" w:eastAsia="宋体" w:hint="default"/>
        </w:rPr>
        <w:t>(</w:t>
      </w:r>
      <w:r>
        <w:rPr/>
        <w:t>股本溢价</w:t>
      </w:r>
      <w:r>
        <w:rPr>
          <w:rFonts w:ascii="宋体" w:hAnsi="宋体" w:cs="宋体" w:eastAsia="宋体" w:hint="default"/>
        </w:rPr>
        <w:t>)</w:t>
      </w:r>
      <w:r>
        <w:rPr/>
        <w:t>；资本公积</w:t>
      </w:r>
      <w:r>
        <w:rPr>
          <w:rFonts w:ascii="宋体" w:hAnsi="宋体" w:cs="宋体" w:eastAsia="宋体" w:hint="default"/>
        </w:rPr>
        <w:t>(</w:t>
      </w:r>
      <w:r>
        <w:rPr/>
        <w:t>股本溢价</w:t>
      </w:r>
      <w:r>
        <w:rPr>
          <w:rFonts w:ascii="宋体" w:hAnsi="宋体" w:cs="宋体" w:eastAsia="宋体" w:hint="default"/>
        </w:rPr>
        <w:t>)</w:t>
      </w:r>
      <w:r>
        <w:rPr/>
        <w:t>不足以冲减的，调整留存收益。</w:t>
      </w:r>
      <w:r>
        <w:rPr>
          <w:rFonts w:ascii="宋体" w:hAnsi="宋体" w:cs="宋体" w:eastAsia="宋体" w:hint="default"/>
        </w:rPr>
        <w:t> </w:t>
      </w:r>
    </w:p>
    <w:p>
      <w:pPr>
        <w:pStyle w:val="BodyText"/>
        <w:spacing w:line="316" w:lineRule="auto" w:before="17"/>
        <w:ind w:left="513" w:right="3553"/>
        <w:jc w:val="left"/>
        <w:rPr>
          <w:rFonts w:ascii="宋体" w:hAnsi="宋体" w:cs="宋体" w:eastAsia="宋体" w:hint="default"/>
        </w:rPr>
      </w:pPr>
      <w:r>
        <w:rPr/>
        <w:t>合并方为进行企业合并发生的各项直接费用，于发生时计入当期损益。</w:t>
      </w:r>
      <w:r>
        <w:rPr>
          <w:rFonts w:ascii="宋体" w:hAnsi="宋体" w:cs="宋体" w:eastAsia="宋体" w:hint="default"/>
        </w:rPr>
        <w:t> 2</w:t>
      </w:r>
      <w:r>
        <w:rPr/>
        <w:t>、非同一控制下企业合并</w:t>
      </w:r>
      <w:r>
        <w:rPr>
          <w:rFonts w:ascii="宋体" w:hAnsi="宋体" w:cs="宋体" w:eastAsia="宋体" w:hint="default"/>
        </w:rPr>
        <w:t> </w:t>
      </w:r>
    </w:p>
    <w:p>
      <w:pPr>
        <w:pStyle w:val="BodyText"/>
        <w:spacing w:line="316" w:lineRule="auto" w:before="19"/>
        <w:ind w:right="1131" w:firstLine="360"/>
        <w:jc w:val="both"/>
        <w:rPr>
          <w:rFonts w:ascii="宋体" w:hAnsi="宋体" w:cs="宋体" w:eastAsia="宋体" w:hint="default"/>
        </w:rPr>
      </w:pPr>
      <w:r>
        <w:rPr>
          <w:spacing w:val="-2"/>
        </w:rPr>
        <w:t>参与合并的企业在合并前后不受同一方或相同的多方最终控制的，为非同一控制下的企业合并。非同一控制下的企业合</w:t>
      </w:r>
      <w:r>
        <w:rPr/>
        <w:t> </w:t>
      </w:r>
      <w:r>
        <w:rPr>
          <w:spacing w:val="-2"/>
        </w:rPr>
        <w:t>并，在购买日取得对其他参与合并企业控制权的一方为购买方，参与合并的其他企业为被购买方。购买日，是指为购买方实</w:t>
      </w:r>
      <w:r>
        <w:rPr>
          <w:spacing w:val="-64"/>
        </w:rPr>
        <w:t> </w:t>
      </w:r>
      <w:r>
        <w:rPr>
          <w:spacing w:val="-64"/>
        </w:rPr>
      </w:r>
      <w:r>
        <w:rPr/>
        <w:t>际取得对被购买方控制权的日期。</w:t>
      </w:r>
      <w:r>
        <w:rPr>
          <w:rFonts w:ascii="宋体" w:hAnsi="宋体" w:cs="宋体" w:eastAsia="宋体" w:hint="default"/>
        </w:rPr>
        <w:t> </w:t>
      </w:r>
    </w:p>
    <w:p>
      <w:pPr>
        <w:pStyle w:val="BodyText"/>
        <w:spacing w:line="316" w:lineRule="auto" w:before="19"/>
        <w:ind w:right="1131" w:firstLine="360"/>
        <w:jc w:val="both"/>
        <w:rPr>
          <w:rFonts w:ascii="宋体" w:hAnsi="宋体" w:cs="宋体" w:eastAsia="宋体" w:hint="default"/>
        </w:rPr>
      </w:pPr>
      <w:r>
        <w:rPr>
          <w:spacing w:val="-2"/>
        </w:rPr>
        <w:t>对于非同一控制下的企业合并，合并成本包含购买日购买方为取得对被购买方的控制权而付出的资产、发生或承担的负</w:t>
      </w:r>
      <w:r>
        <w:rPr/>
        <w:t> </w:t>
      </w:r>
      <w:r>
        <w:rPr>
          <w:spacing w:val="-2"/>
        </w:rPr>
        <w:t>债以及发行的权益性证券的公允价值，为企业合并发生的审计、法律服务、评估咨询等中介费用以及其他管理费用于发生时</w:t>
      </w:r>
      <w:r>
        <w:rPr>
          <w:spacing w:val="-66"/>
        </w:rPr>
        <w:t> </w:t>
      </w:r>
      <w:r>
        <w:rPr>
          <w:spacing w:val="-66"/>
        </w:rPr>
      </w:r>
      <w:r>
        <w:rPr>
          <w:spacing w:val="-2"/>
        </w:rPr>
        <w:t>计入当期损益。购买方作为合并对价发行的权益性证券或债务性证券的交易费用，计入权益性证券或债务性证券的初始确认</w:t>
      </w:r>
      <w:r>
        <w:rPr>
          <w:spacing w:val="-64"/>
        </w:rPr>
        <w:t> </w:t>
      </w:r>
      <w:r>
        <w:rPr>
          <w:spacing w:val="-64"/>
        </w:rPr>
      </w:r>
      <w:r>
        <w:rPr>
          <w:spacing w:val="-2"/>
        </w:rPr>
        <w:t>金额。所涉及的或有对价按其在购买日的公允价值计入合并成本，购买日后</w:t>
      </w:r>
      <w:r>
        <w:rPr>
          <w:rFonts w:ascii="宋体" w:hAnsi="宋体" w:cs="宋体" w:eastAsia="宋体" w:hint="default"/>
          <w:spacing w:val="-2"/>
        </w:rPr>
        <w:t>12</w:t>
      </w:r>
      <w:r>
        <w:rPr>
          <w:spacing w:val="-2"/>
        </w:rPr>
        <w:t>个月内出现对购买日已存在情况的新的或进一</w:t>
      </w:r>
      <w:r>
        <w:rPr>
          <w:spacing w:val="-62"/>
        </w:rPr>
        <w:t> </w:t>
      </w:r>
      <w:r>
        <w:rPr>
          <w:spacing w:val="-62"/>
        </w:rPr>
      </w:r>
      <w:r>
        <w:rPr>
          <w:spacing w:val="-2"/>
        </w:rPr>
        <w:t>步证据而需要调整或有对价的，相应调整合并商誉。购买方发生的合并成本及在合并中取得的可辨认净资产按购买日的公允</w:t>
      </w:r>
      <w:r>
        <w:rPr>
          <w:spacing w:val="-64"/>
        </w:rPr>
        <w:t> </w:t>
      </w:r>
      <w:r>
        <w:rPr>
          <w:spacing w:val="-64"/>
        </w:rPr>
      </w:r>
      <w:r>
        <w:rPr>
          <w:spacing w:val="-2"/>
        </w:rPr>
        <w:t>价值计量。合并成本大于合并中取得的被购买方于购买日可辨认净资产公允价值份额的差额，确认为商誉。合并成本小于合</w:t>
      </w:r>
      <w:r>
        <w:rPr>
          <w:spacing w:val="-66"/>
        </w:rPr>
        <w:t> </w:t>
      </w:r>
      <w:r>
        <w:rPr>
          <w:spacing w:val="-66"/>
        </w:rPr>
      </w:r>
      <w:r>
        <w:rPr>
          <w:spacing w:val="-2"/>
        </w:rPr>
        <w:t>并中取得的被购买方可辨认净资产公允价值份额的，首先对取得的被购买方各项可辨认资产、负债及或有负债的公允价值以</w:t>
      </w:r>
      <w:r>
        <w:rPr>
          <w:spacing w:val="-63"/>
        </w:rPr>
        <w:t> </w:t>
      </w:r>
      <w:r>
        <w:rPr>
          <w:spacing w:val="-63"/>
        </w:rPr>
      </w:r>
      <w:r>
        <w:rPr>
          <w:spacing w:val="-2"/>
        </w:rPr>
        <w:t>及合并成本的计量进行复核，复核后合并成本仍小于合并中取得的被购买方可辨认净资产公允价值份额的，其差额计入当期</w:t>
      </w:r>
      <w:r>
        <w:rPr>
          <w:spacing w:val="-64"/>
        </w:rPr>
        <w:t> </w:t>
      </w:r>
      <w:r>
        <w:rPr>
          <w:spacing w:val="-64"/>
        </w:rPr>
      </w:r>
      <w:r>
        <w:rPr/>
        <w:t>损益。</w:t>
      </w:r>
      <w:r>
        <w:rPr>
          <w:rFonts w:ascii="宋体" w:hAnsi="宋体" w:cs="宋体" w:eastAsia="宋体" w:hint="default"/>
        </w:rPr>
        <w:t> </w:t>
      </w:r>
    </w:p>
    <w:p>
      <w:pPr>
        <w:pStyle w:val="BodyText"/>
        <w:spacing w:line="316" w:lineRule="auto" w:before="19"/>
        <w:ind w:right="1129" w:firstLine="360"/>
        <w:jc w:val="left"/>
        <w:rPr>
          <w:rFonts w:ascii="宋体" w:hAnsi="宋体" w:cs="宋体" w:eastAsia="宋体" w:hint="default"/>
        </w:rPr>
      </w:pPr>
      <w:r>
        <w:rPr/>
        <w:t>购买方取得被购买方的可抵扣暂时性差异，在购买日因不符合递延所得税资产确认条件而未予确认的，在购买日后</w:t>
      </w:r>
      <w:r>
        <w:rPr>
          <w:rFonts w:ascii="宋体" w:hAnsi="宋体" w:cs="宋体" w:eastAsia="宋体" w:hint="default"/>
        </w:rPr>
        <w:t>12</w:t>
      </w:r>
      <w:r>
        <w:rPr>
          <w:rFonts w:ascii="宋体" w:hAnsi="宋体" w:cs="宋体" w:eastAsia="宋体" w:hint="default"/>
          <w:spacing w:val="1"/>
        </w:rPr>
        <w:t> </w:t>
      </w:r>
      <w:r>
        <w:rPr>
          <w:spacing w:val="-2"/>
        </w:rPr>
        <w:t>个月内，如取得新的或进一步的信息表明购买日的相关情况已经存在，预期被购买方在购买日可抵扣暂时性差异带来的经济</w:t>
      </w:r>
      <w:r>
        <w:rPr>
          <w:spacing w:val="-64"/>
        </w:rPr>
        <w:t> </w:t>
      </w:r>
      <w:r>
        <w:rPr>
          <w:spacing w:val="-64"/>
        </w:rPr>
      </w:r>
      <w:r>
        <w:rPr>
          <w:spacing w:val="-2"/>
        </w:rPr>
        <w:t>利益能够实现的，则确认相关的递延所得税资产，同时减少商誉，商誉不足冲减的，差额部分确认为当期损益；除上述情况</w:t>
      </w:r>
      <w:r>
        <w:rPr>
          <w:spacing w:val="-67"/>
        </w:rPr>
        <w:t> </w:t>
      </w:r>
      <w:r>
        <w:rPr>
          <w:spacing w:val="-67"/>
        </w:rPr>
      </w:r>
      <w:r>
        <w:rPr/>
        <w:t>以外，确认与企业合并相关的递延所得税资产的，计入当期损益。</w:t>
      </w:r>
      <w:r>
        <w:rPr>
          <w:rFonts w:ascii="宋体" w:hAnsi="宋体" w:cs="宋体" w:eastAsia="宋体" w:hint="default"/>
        </w:rPr>
        <w:t> </w:t>
      </w:r>
    </w:p>
    <w:p>
      <w:pPr>
        <w:pStyle w:val="BodyText"/>
        <w:spacing w:line="319" w:lineRule="auto" w:before="19"/>
        <w:ind w:right="1128" w:firstLine="360"/>
        <w:jc w:val="both"/>
        <w:rPr>
          <w:rFonts w:ascii="宋体" w:hAnsi="宋体" w:cs="宋体" w:eastAsia="宋体" w:hint="default"/>
        </w:rPr>
      </w:pPr>
      <w:r>
        <w:rPr>
          <w:spacing w:val="-5"/>
        </w:rPr>
        <w:t>通过多次交易分步实现的非同一控制下企业合并，根据《财政部关于印发企业会计准则解释第</w:t>
      </w:r>
      <w:r>
        <w:rPr>
          <w:rFonts w:ascii="宋体" w:hAnsi="宋体" w:cs="宋体" w:eastAsia="宋体" w:hint="default"/>
          <w:spacing w:val="-5"/>
        </w:rPr>
        <w:t>5</w:t>
      </w:r>
      <w:r>
        <w:rPr>
          <w:spacing w:val="-5"/>
        </w:rPr>
        <w:t>号的通知》</w:t>
      </w:r>
      <w:r>
        <w:rPr>
          <w:rFonts w:ascii="宋体" w:hAnsi="宋体" w:cs="宋体" w:eastAsia="宋体" w:hint="default"/>
          <w:spacing w:val="-5"/>
        </w:rPr>
        <w:t>(</w:t>
      </w:r>
      <w:r>
        <w:rPr>
          <w:spacing w:val="-5"/>
        </w:rPr>
        <w:t>财会〔</w:t>
      </w:r>
      <w:r>
        <w:rPr>
          <w:rFonts w:ascii="宋体" w:hAnsi="宋体" w:cs="宋体" w:eastAsia="宋体" w:hint="default"/>
          <w:spacing w:val="-5"/>
        </w:rPr>
        <w:t>2012</w:t>
      </w:r>
      <w:r>
        <w:rPr>
          <w:spacing w:val="-5"/>
        </w:rPr>
        <w:t>〕</w:t>
      </w:r>
      <w:r>
        <w:rPr/>
        <w:t> </w:t>
      </w:r>
      <w:r>
        <w:rPr>
          <w:rFonts w:ascii="宋体" w:hAnsi="宋体" w:cs="宋体" w:eastAsia="宋体" w:hint="default"/>
          <w:spacing w:val="-2"/>
        </w:rPr>
        <w:t>19</w:t>
      </w:r>
      <w:r>
        <w:rPr>
          <w:spacing w:val="-2"/>
        </w:rPr>
        <w:t>号</w:t>
      </w:r>
      <w:r>
        <w:rPr>
          <w:rFonts w:ascii="宋体" w:hAnsi="宋体" w:cs="宋体" w:eastAsia="宋体" w:hint="default"/>
          <w:spacing w:val="-2"/>
        </w:rPr>
        <w:t>)</w:t>
      </w:r>
      <w:r>
        <w:rPr>
          <w:spacing w:val="-2"/>
        </w:rPr>
        <w:t>和《企业会计准则第</w:t>
      </w:r>
      <w:r>
        <w:rPr>
          <w:rFonts w:ascii="宋体" w:hAnsi="宋体" w:cs="宋体" w:eastAsia="宋体" w:hint="default"/>
          <w:spacing w:val="-2"/>
        </w:rPr>
        <w:t>33</w:t>
      </w:r>
      <w:r>
        <w:rPr>
          <w:spacing w:val="-2"/>
        </w:rPr>
        <w:t>号——合并财务报表》第五十一条关于“一揽子交易”的判断标准</w:t>
      </w:r>
      <w:r>
        <w:rPr>
          <w:rFonts w:ascii="宋体" w:hAnsi="宋体" w:cs="宋体" w:eastAsia="宋体" w:hint="default"/>
          <w:spacing w:val="-2"/>
        </w:rPr>
        <w:t>(</w:t>
      </w:r>
      <w:r>
        <w:rPr>
          <w:spacing w:val="-2"/>
        </w:rPr>
        <w:t>参见本附注三、</w:t>
      </w:r>
      <w:r>
        <w:rPr>
          <w:rFonts w:ascii="宋体" w:hAnsi="宋体" w:cs="宋体" w:eastAsia="宋体" w:hint="default"/>
          <w:spacing w:val="-2"/>
        </w:rPr>
        <w:t>(</w:t>
      </w:r>
      <w:r>
        <w:rPr>
          <w:spacing w:val="-2"/>
        </w:rPr>
        <w:t>六</w:t>
      </w:r>
      <w:r>
        <w:rPr>
          <w:rFonts w:ascii="宋体" w:hAnsi="宋体" w:cs="宋体" w:eastAsia="宋体" w:hint="default"/>
          <w:spacing w:val="-2"/>
        </w:rPr>
        <w:t>)2)</w:t>
      </w:r>
      <w:r>
        <w:rPr>
          <w:spacing w:val="-2"/>
        </w:rPr>
        <w:t>，判</w:t>
      </w:r>
      <w:r>
        <w:rPr>
          <w:spacing w:val="-76"/>
        </w:rPr>
        <w:t> </w:t>
      </w:r>
      <w:r>
        <w:rPr>
          <w:spacing w:val="-2"/>
        </w:rPr>
        <w:t>断该多次交易是否属于“一揽子交易”。属于“一揽子交易”的，参考本部分前面各段描述及本附注三、</w:t>
      </w:r>
      <w:r>
        <w:rPr>
          <w:rFonts w:ascii="宋体" w:hAnsi="宋体" w:cs="宋体" w:eastAsia="宋体" w:hint="default"/>
          <w:spacing w:val="-2"/>
        </w:rPr>
        <w:t>(</w:t>
      </w:r>
      <w:r>
        <w:rPr>
          <w:spacing w:val="-2"/>
        </w:rPr>
        <w:t>十四</w:t>
      </w:r>
      <w:r>
        <w:rPr>
          <w:rFonts w:ascii="宋体" w:hAnsi="宋体" w:cs="宋体" w:eastAsia="宋体" w:hint="default"/>
          <w:spacing w:val="-2"/>
        </w:rPr>
        <w:t>)</w:t>
      </w:r>
      <w:r>
        <w:rPr>
          <w:spacing w:val="-2"/>
        </w:rPr>
        <w:t>“长期股权</w:t>
      </w:r>
      <w:r>
        <w:rPr>
          <w:spacing w:val="-63"/>
        </w:rPr>
        <w:t> </w:t>
      </w:r>
      <w:r>
        <w:rPr>
          <w:spacing w:val="-63"/>
        </w:rPr>
      </w:r>
      <w:r>
        <w:rPr/>
        <w:t>投资”准则进行会计处理；不属于“一揽子交易”的，区分个别财务报表和合并财务报表进行相关会计处理：</w:t>
      </w:r>
      <w:r>
        <w:rPr>
          <w:rFonts w:ascii="宋体" w:hAnsi="宋体" w:cs="宋体" w:eastAsia="宋体" w:hint="default"/>
        </w:rPr>
        <w:t> </w:t>
      </w:r>
    </w:p>
    <w:p>
      <w:pPr>
        <w:pStyle w:val="BodyText"/>
        <w:spacing w:line="316" w:lineRule="auto" w:before="17"/>
        <w:ind w:right="1133" w:firstLine="360"/>
        <w:jc w:val="both"/>
        <w:rPr>
          <w:rFonts w:ascii="宋体" w:hAnsi="宋体" w:cs="宋体" w:eastAsia="宋体" w:hint="default"/>
        </w:rPr>
      </w:pPr>
      <w:r>
        <w:rPr>
          <w:rFonts w:ascii="宋体" w:hAnsi="宋体" w:cs="宋体" w:eastAsia="宋体" w:hint="default"/>
          <w:spacing w:val="1"/>
        </w:rPr>
        <w:t> </w:t>
      </w:r>
      <w:r>
        <w:rPr/>
        <w:t>在个别财务报表中，以购买日之前所持被购买方的股权投资的账面价值与购买日新增投资成本之和，作为该项投资的 </w:t>
      </w:r>
      <w:r>
        <w:rPr>
          <w:spacing w:val="-2"/>
        </w:rPr>
        <w:t>初始投资成本；购买日之前持有的被购买方的股权涉及其他综合收益的，在处置该项投资时将与其相关的其他综合收益采用</w:t>
      </w:r>
      <w:r>
        <w:rPr>
          <w:spacing w:val="-64"/>
        </w:rPr>
        <w:t> </w:t>
      </w:r>
      <w:r>
        <w:rPr>
          <w:spacing w:val="-64"/>
        </w:rPr>
      </w:r>
      <w:r>
        <w:rPr/>
        <w:t>与被购买方直接处置相关资产或负债相同的基础进行会计处理</w:t>
      </w:r>
      <w:r>
        <w:rPr>
          <w:rFonts w:ascii="宋体" w:hAnsi="宋体" w:cs="宋体" w:eastAsia="宋体" w:hint="default"/>
        </w:rPr>
        <w:t>(</w:t>
      </w:r>
      <w:r>
        <w:rPr/>
        <w:t>即，除了按照权益法核算的在被购买方重新计量设定受益计 划净负债或净资产导致的变动中的相应份额以外，其余转入当期投资收益</w:t>
      </w:r>
      <w:r>
        <w:rPr>
          <w:rFonts w:ascii="宋体" w:hAnsi="宋体" w:cs="宋体" w:eastAsia="宋体" w:hint="default"/>
        </w:rPr>
        <w:t>)</w:t>
      </w:r>
      <w:r>
        <w:rPr/>
        <w:t>。</w:t>
      </w:r>
      <w:r>
        <w:rPr>
          <w:rFonts w:ascii="宋体" w:hAnsi="宋体" w:cs="宋体" w:eastAsia="宋体" w:hint="default"/>
        </w:rPr>
        <w:t> </w:t>
      </w:r>
    </w:p>
    <w:p>
      <w:pPr>
        <w:pStyle w:val="BodyText"/>
        <w:spacing w:line="316" w:lineRule="auto" w:before="19"/>
        <w:ind w:right="1130" w:firstLine="360"/>
        <w:jc w:val="both"/>
        <w:rPr>
          <w:rFonts w:ascii="宋体" w:hAnsi="宋体" w:cs="宋体" w:eastAsia="宋体" w:hint="default"/>
        </w:rPr>
      </w:pPr>
      <w:r>
        <w:rPr>
          <w:spacing w:val="-2"/>
        </w:rPr>
        <w:t>在合并财务报表中，对于购买日之前持有的被购买方的股权，按照该股权在购买日的公允价值进行重新计量，公允价值</w:t>
      </w:r>
      <w:r>
        <w:rPr/>
        <w:t> </w:t>
      </w:r>
      <w:r>
        <w:rPr>
          <w:spacing w:val="-2"/>
        </w:rPr>
        <w:t>与其账面价值的差额计入当期投资收益；购买日之前持有的被购买方的股权涉及其他综合收益的，与其相关的其他综合收益</w:t>
      </w:r>
      <w:r>
        <w:rPr>
          <w:spacing w:val="-64"/>
        </w:rPr>
        <w:t> </w:t>
      </w:r>
      <w:r>
        <w:rPr>
          <w:spacing w:val="-64"/>
        </w:rPr>
      </w:r>
      <w:r>
        <w:rPr/>
        <w:t>应当采用与被购买方直接处置相关资产或负债相同的基础进行会计处理</w:t>
      </w:r>
      <w:r>
        <w:rPr>
          <w:rFonts w:ascii="宋体" w:hAnsi="宋体" w:cs="宋体" w:eastAsia="宋体" w:hint="default"/>
        </w:rPr>
        <w:t>(</w:t>
      </w:r>
      <w:r>
        <w:rPr/>
        <w:t>即，除了按照权益法核算的在被购买方重新计量设 定受益计划净负债或净资产导致的变动中的相应份额以外，其余转为购买日所属当期投资收益</w:t>
      </w:r>
      <w:r>
        <w:rPr>
          <w:rFonts w:ascii="宋体" w:hAnsi="宋体" w:cs="宋体" w:eastAsia="宋体" w:hint="default"/>
        </w:rPr>
        <w:t>)</w:t>
      </w:r>
      <w:r>
        <w:rPr/>
        <w:t>。</w:t>
      </w:r>
      <w:r>
        <w:rPr>
          <w:rFonts w:ascii="宋体" w:hAnsi="宋体" w:cs="宋体" w:eastAsia="宋体" w:hint="default"/>
        </w:rPr>
        <w:t> </w:t>
      </w:r>
    </w:p>
    <w:p>
      <w:pPr>
        <w:spacing w:after="0" w:line="316" w:lineRule="auto"/>
        <w:jc w:val="both"/>
        <w:rPr>
          <w:rFonts w:ascii="宋体" w:hAnsi="宋体" w:cs="宋体" w:eastAsia="宋体" w:hint="default"/>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1129"/>
        <w:jc w:val="left"/>
      </w:pPr>
      <w:r>
        <w:rPr>
          <w:rFonts w:ascii="宋体" w:hAnsi="宋体" w:cs="宋体" w:eastAsia="宋体" w:hint="default"/>
        </w:rPr>
        <w:t>1</w:t>
      </w:r>
      <w:r>
        <w:rPr/>
        <w:t>、合并财务报表范围的确定原则</w:t>
      </w:r>
      <w:r>
        <w:rPr>
          <w:rFonts w:ascii="宋体" w:hAnsi="宋体" w:cs="宋体" w:eastAsia="宋体" w:hint="default"/>
        </w:rPr>
        <w:t> </w:t>
      </w:r>
      <w:r>
        <w:rPr>
          <w:spacing w:val="-2"/>
        </w:rPr>
        <w:t>合并财务报表的合并范围以控制为基础予以确定。控制是指本公司拥有对被投资方的权力，通过参与被投资方的相关活</w:t>
      </w:r>
    </w:p>
    <w:p>
      <w:pPr>
        <w:pStyle w:val="BodyText"/>
        <w:spacing w:line="316" w:lineRule="auto" w:before="19"/>
        <w:ind w:right="1129"/>
        <w:jc w:val="left"/>
        <w:rPr>
          <w:rFonts w:ascii="宋体" w:hAnsi="宋体" w:cs="宋体" w:eastAsia="宋体" w:hint="default"/>
        </w:rPr>
      </w:pPr>
      <w:r>
        <w:rPr>
          <w:spacing w:val="-2"/>
        </w:rPr>
        <w:t>动而享有可变回报，并且有能力运用对被投资方的权力影响其回报金额。相关活动是指对被投资方的回报产生重大影响的活</w:t>
      </w:r>
      <w:r>
        <w:rPr>
          <w:spacing w:val="-63"/>
        </w:rPr>
        <w:t> </w:t>
      </w:r>
      <w:r>
        <w:rPr>
          <w:spacing w:val="-63"/>
        </w:rPr>
      </w:r>
      <w:r>
        <w:rPr/>
        <w:t>动。合并范围包括本公司及全部子公司。子公司，是指被本公司控制的企业或主体。</w:t>
      </w:r>
      <w:r>
        <w:rPr>
          <w:rFonts w:ascii="宋体" w:hAnsi="宋体" w:cs="宋体" w:eastAsia="宋体" w:hint="default"/>
        </w:rPr>
        <w:t> </w:t>
      </w:r>
    </w:p>
    <w:p>
      <w:pPr>
        <w:pStyle w:val="BodyText"/>
        <w:spacing w:line="316" w:lineRule="auto" w:before="19"/>
        <w:ind w:left="513" w:right="1129"/>
        <w:jc w:val="left"/>
      </w:pPr>
      <w:r>
        <w:rPr/>
        <w:t>一旦相关事实和情况的变化导致上述控制定义涉及的相关要素发生了变化，本公司将进行重新评估。</w:t>
      </w:r>
      <w:r>
        <w:rPr>
          <w:rFonts w:ascii="宋体" w:hAnsi="宋体" w:cs="宋体" w:eastAsia="宋体" w:hint="default"/>
        </w:rPr>
        <w:t> 2</w:t>
      </w:r>
      <w:r>
        <w:rPr/>
        <w:t>、合并财务报表编制的方法</w:t>
      </w:r>
      <w:r>
        <w:rPr>
          <w:rFonts w:ascii="宋体" w:hAnsi="宋体" w:cs="宋体" w:eastAsia="宋体" w:hint="default"/>
        </w:rPr>
        <w:t> </w:t>
      </w:r>
      <w:r>
        <w:rPr>
          <w:spacing w:val="-2"/>
        </w:rPr>
        <w:t>从取得子公司的净资产和生产经营决策的实际控制权之日起，本公司开始将其纳入合并范围；从丧失实际控制权之日起</w:t>
      </w:r>
    </w:p>
    <w:p>
      <w:pPr>
        <w:pStyle w:val="BodyText"/>
        <w:spacing w:line="319" w:lineRule="auto" w:before="19"/>
        <w:ind w:right="1034"/>
        <w:jc w:val="left"/>
        <w:rPr>
          <w:rFonts w:ascii="宋体" w:hAnsi="宋体" w:cs="宋体" w:eastAsia="宋体" w:hint="default"/>
        </w:rPr>
      </w:pPr>
      <w:r>
        <w:rPr>
          <w:spacing w:val="-4"/>
        </w:rPr>
        <w:t>停止纳入合并范围。对于处置的子公司，处置日前的经营成果和现金流量已经适当地包括在合并利润表和合并现金流量表中；</w:t>
      </w:r>
      <w:r>
        <w:rPr>
          <w:spacing w:val="-44"/>
        </w:rPr>
        <w:t> </w:t>
      </w:r>
      <w:r>
        <w:rPr>
          <w:spacing w:val="-44"/>
        </w:rPr>
      </w:r>
      <w:r>
        <w:rPr>
          <w:spacing w:val="-2"/>
        </w:rPr>
        <w:t>当期处置的子公司，不调整合并资产负债表的期初数。非同一控制下企业合并增加的子公司，其购买日后的经营成果及现金</w:t>
      </w:r>
      <w:r>
        <w:rPr>
          <w:spacing w:val="-63"/>
        </w:rPr>
        <w:t> </w:t>
      </w:r>
      <w:r>
        <w:rPr>
          <w:spacing w:val="-63"/>
        </w:rPr>
      </w:r>
      <w:r>
        <w:rPr>
          <w:spacing w:val="-2"/>
        </w:rPr>
        <w:t>流量已经适当地包括在合并利润表和合并现金流量表中，且不调整合并财务报表的期初数和对比数。同一控制下企业合并增</w:t>
      </w:r>
      <w:r>
        <w:rPr>
          <w:spacing w:val="-64"/>
        </w:rPr>
        <w:t> </w:t>
      </w:r>
      <w:r>
        <w:rPr>
          <w:spacing w:val="-64"/>
        </w:rPr>
      </w:r>
      <w:r>
        <w:rPr>
          <w:spacing w:val="-2"/>
        </w:rPr>
        <w:t>加的子公司，其自合并当期期初至合并日的经营成果和现金流量已经适当地包括在合并利润表和合并现金流量表中，并且同</w:t>
      </w:r>
      <w:r>
        <w:rPr>
          <w:spacing w:val="-63"/>
        </w:rPr>
        <w:t> </w:t>
      </w:r>
      <w:r>
        <w:rPr>
          <w:spacing w:val="-63"/>
        </w:rPr>
      </w:r>
      <w:r>
        <w:rPr/>
        <w:t>时调整合并财务报表的对比数。</w:t>
      </w:r>
      <w:r>
        <w:rPr>
          <w:rFonts w:ascii="宋体" w:hAnsi="宋体" w:cs="宋体" w:eastAsia="宋体" w:hint="default"/>
        </w:rPr>
        <w:t> </w:t>
      </w:r>
    </w:p>
    <w:p>
      <w:pPr>
        <w:pStyle w:val="BodyText"/>
        <w:spacing w:line="316" w:lineRule="auto" w:before="17"/>
        <w:ind w:right="1132" w:firstLine="360"/>
        <w:jc w:val="both"/>
        <w:rPr>
          <w:rFonts w:ascii="宋体" w:hAnsi="宋体" w:cs="宋体" w:eastAsia="宋体" w:hint="default"/>
        </w:rPr>
      </w:pPr>
      <w:r>
        <w:rPr>
          <w:spacing w:val="-2"/>
        </w:rPr>
        <w:t>在编制合并财务报表时，子公司与本公司采用的会计政策或会计期间不一致的，按照本公司的会计政策和会计期间对子</w:t>
      </w:r>
      <w:r>
        <w:rPr/>
        <w:t> </w:t>
      </w:r>
      <w:r>
        <w:rPr>
          <w:spacing w:val="-2"/>
        </w:rPr>
        <w:t>公司财务报表进行必要的调整。对于非同一控制下企业合并取得的子公司，以购买日可辨认净资产公允价值为基础对其财务</w:t>
      </w:r>
      <w:r>
        <w:rPr>
          <w:spacing w:val="-64"/>
        </w:rPr>
        <w:t> </w:t>
      </w:r>
      <w:r>
        <w:rPr>
          <w:spacing w:val="-64"/>
        </w:rPr>
      </w:r>
      <w:r>
        <w:rPr/>
        <w:t>报表进行调整。</w:t>
      </w:r>
      <w:r>
        <w:rPr>
          <w:rFonts w:ascii="宋体" w:hAnsi="宋体" w:cs="宋体" w:eastAsia="宋体" w:hint="default"/>
        </w:rPr>
        <w:t> </w:t>
      </w:r>
    </w:p>
    <w:p>
      <w:pPr>
        <w:pStyle w:val="BodyText"/>
        <w:spacing w:line="316" w:lineRule="auto" w:before="19"/>
        <w:ind w:left="513" w:right="1213"/>
        <w:jc w:val="left"/>
      </w:pPr>
      <w:r>
        <w:rPr/>
        <w:t>公司内所有重大往来余额、交易及未实现利润在合并财务报表编制时予以抵销</w:t>
      </w:r>
      <w:r>
        <w:rPr>
          <w:rFonts w:ascii="宋体" w:hAnsi="宋体" w:cs="宋体" w:eastAsia="宋体" w:hint="default"/>
        </w:rPr>
        <w:t> </w:t>
      </w:r>
      <w:r>
        <w:rPr/>
        <w:t>子公司的股东权益及当期净损益中不属于本公司所拥有的部分分别作为少数股东权益及少数股东损益在合并财务报表</w:t>
      </w:r>
    </w:p>
    <w:p>
      <w:pPr>
        <w:pStyle w:val="BodyText"/>
        <w:spacing w:line="319" w:lineRule="auto" w:before="19"/>
        <w:ind w:right="1128"/>
        <w:jc w:val="both"/>
        <w:rPr>
          <w:rFonts w:ascii="宋体" w:hAnsi="宋体" w:cs="宋体" w:eastAsia="宋体" w:hint="default"/>
        </w:rPr>
      </w:pPr>
      <w:r>
        <w:rPr>
          <w:spacing w:val="-2"/>
        </w:rPr>
        <w:t>中股东权益及净利润项下单独列示。子公司当期净损益中属于少数股东权益的份额，在合并利润表中净利润项目下以“少数</w:t>
      </w:r>
      <w:r>
        <w:rPr>
          <w:spacing w:val="-61"/>
        </w:rPr>
        <w:t> </w:t>
      </w:r>
      <w:r>
        <w:rPr>
          <w:spacing w:val="-61"/>
        </w:rPr>
      </w:r>
      <w:r>
        <w:rPr>
          <w:spacing w:val="-2"/>
        </w:rPr>
        <w:t>股东损益”项目列示。少数股东分担的子公司的亏损超过了少数股东在该子公司期初股东权益中所享有的份额，仍冲减少数</w:t>
      </w:r>
      <w:r>
        <w:rPr>
          <w:spacing w:val="-66"/>
        </w:rPr>
        <w:t> </w:t>
      </w:r>
      <w:r>
        <w:rPr>
          <w:spacing w:val="-66"/>
        </w:rPr>
      </w:r>
      <w:r>
        <w:rPr/>
        <w:t>股东权益。</w:t>
      </w:r>
      <w:r>
        <w:rPr>
          <w:rFonts w:ascii="宋体" w:hAnsi="宋体" w:cs="宋体" w:eastAsia="宋体" w:hint="default"/>
        </w:rPr>
        <w:t> </w:t>
      </w:r>
    </w:p>
    <w:p>
      <w:pPr>
        <w:pStyle w:val="BodyText"/>
        <w:spacing w:line="316" w:lineRule="auto" w:before="17"/>
        <w:ind w:right="1130" w:firstLine="360"/>
        <w:jc w:val="both"/>
        <w:rPr>
          <w:rFonts w:ascii="宋体" w:hAnsi="宋体" w:cs="宋体" w:eastAsia="宋体" w:hint="default"/>
        </w:rPr>
      </w:pPr>
      <w:r>
        <w:rPr>
          <w:spacing w:val="-2"/>
        </w:rPr>
        <w:t>当因处置部分股权投资或其他原因丧失了对原有子公司的控制权时，对于剩余股权，按照其在丧失控制权日的公允价值</w:t>
      </w:r>
      <w:r>
        <w:rPr/>
        <w:t> </w:t>
      </w:r>
      <w:r>
        <w:rPr>
          <w:spacing w:val="-2"/>
        </w:rPr>
        <w:t>进行重新计量。处置股权取得的对价与剩余股权公允价值之和，减去按原持股比例计算应享有原有子公司自购买日开始持续</w:t>
      </w:r>
      <w:r>
        <w:rPr>
          <w:spacing w:val="-64"/>
        </w:rPr>
        <w:t> </w:t>
      </w:r>
      <w:r>
        <w:rPr>
          <w:spacing w:val="-64"/>
        </w:rPr>
      </w:r>
      <w:r>
        <w:rPr>
          <w:spacing w:val="-2"/>
        </w:rPr>
        <w:t>计算的净资产的份额之间的差额，计入丧失控制权当期的投资收益。与原有子公司股权投资相关的其他综合收益，在丧失控</w:t>
      </w:r>
      <w:r>
        <w:rPr>
          <w:spacing w:val="-63"/>
        </w:rPr>
        <w:t> </w:t>
      </w:r>
      <w:r>
        <w:rPr>
          <w:spacing w:val="-63"/>
        </w:rPr>
      </w:r>
      <w:r>
        <w:rPr/>
        <w:t>制权时采用与被购买方直接处置相关资产或负债相同的基础进行会计处理</w:t>
      </w:r>
      <w:r>
        <w:rPr>
          <w:rFonts w:ascii="宋体" w:hAnsi="宋体" w:cs="宋体" w:eastAsia="宋体" w:hint="default"/>
        </w:rPr>
        <w:t>(</w:t>
      </w:r>
      <w:r>
        <w:rPr/>
        <w:t>即，除了在该原有子公司重新计量设定受益计划 </w:t>
      </w:r>
      <w:r>
        <w:rPr>
          <w:spacing w:val="-2"/>
        </w:rPr>
        <w:t>净负债或净资产导致的变动以外，其余一并转为当期投资收益</w:t>
      </w:r>
      <w:r>
        <w:rPr>
          <w:rFonts w:ascii="宋体" w:hAnsi="宋体" w:cs="宋体" w:eastAsia="宋体" w:hint="default"/>
          <w:spacing w:val="-2"/>
        </w:rPr>
        <w:t>)</w:t>
      </w:r>
      <w:r>
        <w:rPr>
          <w:spacing w:val="-2"/>
        </w:rPr>
        <w:t>。其后，对该部分剩余股权按照《企业会计准则第</w:t>
      </w:r>
      <w:r>
        <w:rPr>
          <w:rFonts w:ascii="宋体" w:hAnsi="宋体" w:cs="宋体" w:eastAsia="宋体" w:hint="default"/>
          <w:spacing w:val="-2"/>
        </w:rPr>
        <w:t>2</w:t>
      </w:r>
      <w:r>
        <w:rPr>
          <w:spacing w:val="-2"/>
        </w:rPr>
        <w:t>号——长</w:t>
      </w:r>
      <w:r>
        <w:rPr>
          <w:spacing w:val="-62"/>
        </w:rPr>
        <w:t> </w:t>
      </w:r>
      <w:r>
        <w:rPr>
          <w:spacing w:val="-2"/>
        </w:rPr>
        <w:t>期股权投资》或《企业会计准则第</w:t>
      </w:r>
      <w:r>
        <w:rPr>
          <w:rFonts w:ascii="宋体" w:hAnsi="宋体" w:cs="宋体" w:eastAsia="宋体" w:hint="default"/>
          <w:spacing w:val="-2"/>
        </w:rPr>
        <w:t>22</w:t>
      </w:r>
      <w:r>
        <w:rPr>
          <w:spacing w:val="-2"/>
        </w:rPr>
        <w:t>号——金融工具确认和计量》等相关规定进行后续计量，详见本附注三、</w:t>
      </w:r>
      <w:r>
        <w:rPr>
          <w:rFonts w:ascii="宋体" w:hAnsi="宋体" w:cs="宋体" w:eastAsia="宋体" w:hint="default"/>
          <w:spacing w:val="-2"/>
        </w:rPr>
        <w:t>(</w:t>
      </w:r>
      <w:r>
        <w:rPr>
          <w:spacing w:val="-2"/>
        </w:rPr>
        <w:t>十四</w:t>
      </w:r>
      <w:r>
        <w:rPr>
          <w:rFonts w:ascii="宋体" w:hAnsi="宋体" w:cs="宋体" w:eastAsia="宋体" w:hint="default"/>
          <w:spacing w:val="-2"/>
        </w:rPr>
        <w:t>)</w:t>
      </w:r>
      <w:r>
        <w:rPr>
          <w:spacing w:val="-2"/>
        </w:rPr>
        <w:t>“长期</w:t>
      </w:r>
      <w:r>
        <w:rPr>
          <w:spacing w:val="-63"/>
        </w:rPr>
        <w:t> </w:t>
      </w:r>
      <w:r>
        <w:rPr/>
        <w:t>股权投资”或本附注三、</w:t>
      </w:r>
      <w:r>
        <w:rPr>
          <w:rFonts w:ascii="宋体" w:hAnsi="宋体" w:cs="宋体" w:eastAsia="宋体" w:hint="default"/>
        </w:rPr>
        <w:t>(</w:t>
      </w:r>
      <w:r>
        <w:rPr/>
        <w:t>十</w:t>
      </w:r>
      <w:r>
        <w:rPr>
          <w:rFonts w:ascii="宋体" w:hAnsi="宋体" w:cs="宋体" w:eastAsia="宋体" w:hint="default"/>
        </w:rPr>
        <w:t>)</w:t>
      </w:r>
      <w:r>
        <w:rPr/>
        <w:t>“金融工具”。</w:t>
      </w:r>
      <w:r>
        <w:rPr>
          <w:rFonts w:ascii="宋体" w:hAnsi="宋体" w:cs="宋体" w:eastAsia="宋体" w:hint="default"/>
        </w:rPr>
        <w:t> </w:t>
      </w:r>
    </w:p>
    <w:p>
      <w:pPr>
        <w:pStyle w:val="BodyText"/>
        <w:spacing w:line="316" w:lineRule="auto" w:before="19"/>
        <w:ind w:right="1130" w:firstLine="360"/>
        <w:jc w:val="both"/>
        <w:rPr>
          <w:rFonts w:ascii="宋体" w:hAnsi="宋体" w:cs="宋体" w:eastAsia="宋体" w:hint="default"/>
        </w:rPr>
      </w:pPr>
      <w:r>
        <w:rPr>
          <w:spacing w:val="-2"/>
        </w:rPr>
        <w:t>本公司通过多次交易分步处置对子公司股权投资直至丧失控制权的，需区分处置对子公司股权投资直至丧失控制权的各</w:t>
      </w:r>
      <w:r>
        <w:rPr/>
        <w:t> </w:t>
      </w:r>
      <w:r>
        <w:rPr>
          <w:spacing w:val="-2"/>
        </w:rPr>
        <w:t>项交易是否属于一揽子交易。处置对子公司股权投资的各项交易的条款、条件以及经济影响符合以下一种或多种情况，通常</w:t>
      </w:r>
      <w:r>
        <w:rPr>
          <w:spacing w:val="-62"/>
        </w:rPr>
        <w:t> </w:t>
      </w:r>
      <w:r>
        <w:rPr>
          <w:spacing w:val="-62"/>
        </w:rPr>
      </w:r>
      <w:r>
        <w:rPr>
          <w:spacing w:val="-2"/>
        </w:rPr>
        <w:t>表明应将多次交易事项作为一揽子交易进行会计处理：</w:t>
      </w:r>
      <w:r>
        <w:rPr>
          <w:rFonts w:ascii="宋体" w:hAnsi="宋体" w:cs="宋体" w:eastAsia="宋体" w:hint="default"/>
          <w:spacing w:val="-2"/>
        </w:rPr>
        <w:t>(1)</w:t>
      </w:r>
      <w:r>
        <w:rPr>
          <w:spacing w:val="-2"/>
        </w:rPr>
        <w:t>这些交易是同时或者在考虑了彼此影响的情况下订立的；</w:t>
      </w:r>
      <w:r>
        <w:rPr>
          <w:rFonts w:ascii="宋体" w:hAnsi="宋体" w:cs="宋体" w:eastAsia="宋体" w:hint="default"/>
          <w:spacing w:val="-2"/>
        </w:rPr>
        <w:t>(2)</w:t>
      </w:r>
      <w:r>
        <w:rPr>
          <w:spacing w:val="-2"/>
        </w:rPr>
        <w:t>这些</w:t>
      </w:r>
      <w:r>
        <w:rPr>
          <w:spacing w:val="-65"/>
        </w:rPr>
        <w:t> </w:t>
      </w:r>
      <w:r>
        <w:rPr>
          <w:spacing w:val="-2"/>
        </w:rPr>
        <w:t>交易整体才能达成一项完整的商业结果；</w:t>
      </w:r>
      <w:r>
        <w:rPr>
          <w:rFonts w:ascii="宋体" w:hAnsi="宋体" w:cs="宋体" w:eastAsia="宋体" w:hint="default"/>
          <w:spacing w:val="-2"/>
        </w:rPr>
        <w:t>(3)</w:t>
      </w:r>
      <w:r>
        <w:rPr>
          <w:spacing w:val="-2"/>
        </w:rPr>
        <w:t>一项交易的发生取决于其他至少一项交易的发生；</w:t>
      </w:r>
      <w:r>
        <w:rPr>
          <w:rFonts w:ascii="宋体" w:hAnsi="宋体" w:cs="宋体" w:eastAsia="宋体" w:hint="default"/>
          <w:spacing w:val="-2"/>
        </w:rPr>
        <w:t>(4)</w:t>
      </w:r>
      <w:r>
        <w:rPr>
          <w:spacing w:val="-2"/>
        </w:rPr>
        <w:t>一项交易单独看是不经济</w:t>
      </w:r>
      <w:r>
        <w:rPr>
          <w:spacing w:val="-63"/>
        </w:rPr>
        <w:t> </w:t>
      </w:r>
      <w:r>
        <w:rPr>
          <w:spacing w:val="-63"/>
        </w:rPr>
      </w:r>
      <w:r>
        <w:rPr>
          <w:spacing w:val="-2"/>
        </w:rPr>
        <w:t>的，但是和其他交易一并考虑时是经济的。不属于一揽子交易的，对其中的每一项交易视情况分别按照“不丧失控制权的情</w:t>
      </w:r>
      <w:r>
        <w:rPr>
          <w:spacing w:val="-62"/>
        </w:rPr>
        <w:t> </w:t>
      </w:r>
      <w:r>
        <w:rPr>
          <w:spacing w:val="-62"/>
        </w:rPr>
      </w:r>
      <w:r>
        <w:rPr>
          <w:spacing w:val="-2"/>
        </w:rPr>
        <w:t>况下部分处置对子公司的长期股权投资”</w:t>
      </w:r>
      <w:r>
        <w:rPr>
          <w:rFonts w:ascii="宋体" w:hAnsi="宋体" w:cs="宋体" w:eastAsia="宋体" w:hint="default"/>
          <w:spacing w:val="-2"/>
        </w:rPr>
        <w:t>(</w:t>
      </w:r>
      <w:r>
        <w:rPr>
          <w:spacing w:val="-2"/>
        </w:rPr>
        <w:t>详见本附注三、</w:t>
      </w:r>
      <w:r>
        <w:rPr>
          <w:rFonts w:ascii="宋体" w:hAnsi="宋体" w:cs="宋体" w:eastAsia="宋体" w:hint="default"/>
          <w:spacing w:val="-2"/>
        </w:rPr>
        <w:t>(</w:t>
      </w:r>
      <w:r>
        <w:rPr>
          <w:spacing w:val="-2"/>
        </w:rPr>
        <w:t>十四</w:t>
      </w:r>
      <w:r>
        <w:rPr>
          <w:rFonts w:ascii="宋体" w:hAnsi="宋体" w:cs="宋体" w:eastAsia="宋体" w:hint="default"/>
          <w:spacing w:val="-2"/>
        </w:rPr>
        <w:t>)4</w:t>
      </w:r>
      <w:r>
        <w:rPr>
          <w:spacing w:val="-2"/>
        </w:rPr>
        <w:t>、</w:t>
      </w:r>
      <w:r>
        <w:rPr>
          <w:rFonts w:ascii="宋体" w:hAnsi="宋体" w:cs="宋体" w:eastAsia="宋体" w:hint="default"/>
          <w:spacing w:val="-2"/>
        </w:rPr>
        <w:t>(2))</w:t>
      </w:r>
      <w:r>
        <w:rPr>
          <w:spacing w:val="-2"/>
        </w:rPr>
        <w:t>和“因处置部分股权投资或其他原因丧失了对原有</w:t>
      </w:r>
      <w:r>
        <w:rPr>
          <w:spacing w:val="-59"/>
        </w:rPr>
        <w:t> </w:t>
      </w:r>
      <w:r>
        <w:rPr>
          <w:spacing w:val="-59"/>
        </w:rPr>
      </w:r>
      <w:r>
        <w:rPr>
          <w:spacing w:val="-2"/>
        </w:rPr>
        <w:t>子公司的控制权”</w:t>
      </w:r>
      <w:r>
        <w:rPr>
          <w:rFonts w:ascii="宋体" w:hAnsi="宋体" w:cs="宋体" w:eastAsia="宋体" w:hint="default"/>
          <w:spacing w:val="-2"/>
        </w:rPr>
        <w:t>(</w:t>
      </w:r>
      <w:r>
        <w:rPr>
          <w:spacing w:val="-2"/>
        </w:rPr>
        <w:t>详见前段</w:t>
      </w:r>
      <w:r>
        <w:rPr>
          <w:rFonts w:ascii="宋体" w:hAnsi="宋体" w:cs="宋体" w:eastAsia="宋体" w:hint="default"/>
          <w:spacing w:val="-2"/>
        </w:rPr>
        <w:t>)</w:t>
      </w:r>
      <w:r>
        <w:rPr>
          <w:spacing w:val="-2"/>
        </w:rPr>
        <w:t>适用的原则进行会计处理。处置对子公司股权投资直至丧失控制权的各项交易属于一揽子交易</w:t>
      </w:r>
      <w:r>
        <w:rPr>
          <w:spacing w:val="-64"/>
        </w:rPr>
        <w:t> </w:t>
      </w:r>
      <w:r>
        <w:rPr>
          <w:spacing w:val="-64"/>
        </w:rPr>
      </w:r>
      <w:r>
        <w:rPr>
          <w:spacing w:val="-2"/>
        </w:rPr>
        <w:t>的，将各项交易作为一项处置子公司并丧失控制权的交易进行会计处理；但是，在丧失控制权之前每一次处置价款与处置投</w:t>
      </w:r>
      <w:r>
        <w:rPr>
          <w:spacing w:val="-66"/>
        </w:rPr>
        <w:t> </w:t>
      </w:r>
      <w:r>
        <w:rPr>
          <w:spacing w:val="-66"/>
        </w:rPr>
      </w:r>
      <w:r>
        <w:rPr>
          <w:spacing w:val="-2"/>
        </w:rPr>
        <w:t>资对应的享有该子公司净资产份额的差额，在合并财务报表中确认为其他综合收益，在丧失控制权时一并转入丧失控制权当</w:t>
      </w:r>
      <w:r>
        <w:rPr>
          <w:spacing w:val="-64"/>
        </w:rPr>
        <w:t> </w:t>
      </w:r>
      <w:r>
        <w:rPr>
          <w:spacing w:val="-64"/>
        </w:rPr>
      </w:r>
      <w:r>
        <w:rPr/>
        <w:t>期的损益。</w:t>
      </w:r>
      <w:r>
        <w:rPr>
          <w:rFonts w:ascii="宋体" w:hAnsi="宋体" w:cs="宋体" w:eastAsia="宋体" w:hint="default"/>
        </w:rPr>
        <w:t> </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1133"/>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944"/>
        <w:jc w:val="left"/>
      </w:pPr>
      <w:r>
        <w:rPr/>
        <w:t>合营安排，是指一项由两个或两个以上的参与方共同控制的安排。本公司根据在合营安排中享有的权利和承担的义务，</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33"/>
        <w:jc w:val="both"/>
        <w:rPr>
          <w:rFonts w:ascii="宋体" w:hAnsi="宋体" w:cs="宋体" w:eastAsia="宋体" w:hint="default"/>
        </w:rPr>
      </w:pPr>
      <w:r>
        <w:rPr>
          <w:spacing w:val="-2"/>
        </w:rPr>
        <w:t>将合营安排分为共同经营和合营企业。共同经营，是指本公司享有该安排相关资产且承担该安排相关负债的合营安排。合营</w:t>
      </w:r>
      <w:r>
        <w:rPr>
          <w:spacing w:val="-66"/>
        </w:rPr>
        <w:t> </w:t>
      </w:r>
      <w:r>
        <w:rPr>
          <w:spacing w:val="-66"/>
        </w:rPr>
      </w:r>
      <w:r>
        <w:rPr/>
        <w:t>企业，是指本公司仅对该安排的净资产享有权利的合营安排。</w:t>
      </w:r>
      <w:r>
        <w:rPr>
          <w:rFonts w:ascii="宋体" w:hAnsi="宋体" w:cs="宋体" w:eastAsia="宋体" w:hint="default"/>
        </w:rPr>
        <w:t> </w:t>
      </w:r>
    </w:p>
    <w:p>
      <w:pPr>
        <w:pStyle w:val="BodyText"/>
        <w:spacing w:line="316" w:lineRule="auto" w:before="19"/>
        <w:ind w:right="1126" w:firstLine="360"/>
        <w:jc w:val="left"/>
        <w:rPr>
          <w:rFonts w:ascii="宋体" w:hAnsi="宋体" w:cs="宋体" w:eastAsia="宋体" w:hint="default"/>
        </w:rPr>
      </w:pPr>
      <w:r>
        <w:rPr/>
        <w:t>本公司对合营企业的投资采用权益法核算，按照本附注三、</w:t>
      </w:r>
      <w:r>
        <w:rPr>
          <w:rFonts w:ascii="宋体" w:hAnsi="宋体" w:cs="宋体" w:eastAsia="宋体" w:hint="default"/>
        </w:rPr>
        <w:t>(</w:t>
      </w:r>
      <w:r>
        <w:rPr/>
        <w:t>十四</w:t>
      </w:r>
      <w:r>
        <w:rPr>
          <w:rFonts w:ascii="宋体" w:hAnsi="宋体" w:cs="宋体" w:eastAsia="宋体" w:hint="default"/>
        </w:rPr>
        <w:t>)2</w:t>
      </w:r>
      <w:r>
        <w:rPr/>
        <w:t>、</w:t>
      </w:r>
      <w:r>
        <w:rPr>
          <w:rFonts w:ascii="宋体" w:hAnsi="宋体" w:cs="宋体" w:eastAsia="宋体" w:hint="default"/>
        </w:rPr>
        <w:t>(2)</w:t>
      </w:r>
      <w:r>
        <w:rPr>
          <w:rFonts w:ascii="宋体" w:hAnsi="宋体" w:cs="宋体" w:eastAsia="宋体" w:hint="default"/>
          <w:spacing w:val="-2"/>
        </w:rPr>
        <w:t> </w:t>
      </w:r>
      <w:r>
        <w:rPr/>
        <w:t>“权益法核算的长期股权投资”中所述的会 计政策处理。</w:t>
      </w:r>
      <w:r>
        <w:rPr>
          <w:rFonts w:ascii="宋体" w:hAnsi="宋体" w:cs="宋体" w:eastAsia="宋体" w:hint="default"/>
        </w:rPr>
        <w:t> </w:t>
      </w:r>
    </w:p>
    <w:p>
      <w:pPr>
        <w:pStyle w:val="BodyText"/>
        <w:spacing w:line="316" w:lineRule="auto" w:before="19"/>
        <w:ind w:left="513" w:right="1133"/>
        <w:jc w:val="left"/>
        <w:rPr>
          <w:rFonts w:ascii="宋体" w:hAnsi="宋体" w:cs="宋体" w:eastAsia="宋体" w:hint="default"/>
        </w:rPr>
      </w:pPr>
      <w:r>
        <w:rPr/>
        <w:t>本公司确认与共同经营中利益份额相关的下列项目，并按照相关企业会计准则的规定进行会计处理：</w:t>
      </w:r>
      <w:r>
        <w:rPr>
          <w:rFonts w:ascii="宋体" w:hAnsi="宋体" w:cs="宋体" w:eastAsia="宋体" w:hint="default"/>
        </w:rPr>
        <w:t> 1</w:t>
      </w:r>
      <w:r>
        <w:rPr/>
        <w:t>、确认本公司单独所持有的资产，以及按本公司份额确认共同持有的资产；</w:t>
      </w:r>
      <w:r>
        <w:rPr>
          <w:rFonts w:ascii="宋体" w:hAnsi="宋体" w:cs="宋体" w:eastAsia="宋体" w:hint="default"/>
        </w:rPr>
        <w:t> </w:t>
      </w:r>
    </w:p>
    <w:p>
      <w:pPr>
        <w:pStyle w:val="BodyText"/>
        <w:spacing w:line="240" w:lineRule="auto" w:before="19"/>
        <w:ind w:left="513" w:right="1133"/>
        <w:jc w:val="left"/>
        <w:rPr>
          <w:rFonts w:ascii="宋体" w:hAnsi="宋体" w:cs="宋体" w:eastAsia="宋体" w:hint="default"/>
        </w:rPr>
      </w:pPr>
      <w:r>
        <w:rPr>
          <w:rFonts w:ascii="宋体" w:hAnsi="宋体" w:cs="宋体" w:eastAsia="宋体" w:hint="default"/>
        </w:rPr>
        <w:t>2</w:t>
      </w:r>
      <w:r>
        <w:rPr/>
        <w:t>、确认本公司单独所承担的负债，以及按本公司份额确认共同承担的负债；</w:t>
      </w:r>
      <w:r>
        <w:rPr>
          <w:rFonts w:ascii="宋体" w:hAnsi="宋体" w:cs="宋体" w:eastAsia="宋体" w:hint="default"/>
        </w:rPr>
        <w:t> </w:t>
      </w:r>
    </w:p>
    <w:p>
      <w:pPr>
        <w:pStyle w:val="BodyText"/>
        <w:spacing w:line="240" w:lineRule="auto" w:before="76"/>
        <w:ind w:left="513" w:right="1133"/>
        <w:jc w:val="left"/>
        <w:rPr>
          <w:rFonts w:ascii="宋体" w:hAnsi="宋体" w:cs="宋体" w:eastAsia="宋体" w:hint="default"/>
        </w:rPr>
      </w:pPr>
      <w:r>
        <w:rPr>
          <w:rFonts w:ascii="宋体" w:hAnsi="宋体" w:cs="宋体" w:eastAsia="宋体" w:hint="default"/>
        </w:rPr>
        <w:t>3</w:t>
      </w:r>
      <w:r>
        <w:rPr/>
        <w:t>、确认出售本公司享有的共同经营产出份额所产生的收入；</w:t>
      </w:r>
      <w:r>
        <w:rPr>
          <w:rFonts w:ascii="宋体" w:hAnsi="宋体" w:cs="宋体" w:eastAsia="宋体" w:hint="default"/>
        </w:rPr>
        <w:t> </w:t>
      </w:r>
    </w:p>
    <w:p>
      <w:pPr>
        <w:pStyle w:val="BodyText"/>
        <w:spacing w:line="240" w:lineRule="auto" w:before="76"/>
        <w:ind w:left="513" w:right="1133"/>
        <w:jc w:val="left"/>
        <w:rPr>
          <w:rFonts w:ascii="宋体" w:hAnsi="宋体" w:cs="宋体" w:eastAsia="宋体" w:hint="default"/>
        </w:rPr>
      </w:pPr>
      <w:r>
        <w:rPr>
          <w:rFonts w:ascii="宋体" w:hAnsi="宋体" w:cs="宋体" w:eastAsia="宋体" w:hint="default"/>
        </w:rPr>
        <w:t>4</w:t>
      </w:r>
      <w:r>
        <w:rPr/>
        <w:t>、按本公司份额确认共同经营因出售产出所产生的收入；</w:t>
      </w:r>
      <w:r>
        <w:rPr>
          <w:rFonts w:ascii="宋体" w:hAnsi="宋体" w:cs="宋体" w:eastAsia="宋体" w:hint="default"/>
        </w:rPr>
        <w:t> </w:t>
      </w:r>
    </w:p>
    <w:p>
      <w:pPr>
        <w:pStyle w:val="BodyText"/>
        <w:spacing w:line="316" w:lineRule="auto" w:before="76"/>
        <w:ind w:left="513" w:right="1133"/>
        <w:jc w:val="left"/>
        <w:rPr>
          <w:rFonts w:ascii="宋体" w:hAnsi="宋体" w:cs="宋体" w:eastAsia="宋体" w:hint="default"/>
        </w:rPr>
      </w:pPr>
      <w:r>
        <w:rPr>
          <w:rFonts w:ascii="宋体" w:hAnsi="宋体" w:cs="宋体" w:eastAsia="宋体" w:hint="default"/>
        </w:rPr>
        <w:t>5</w:t>
      </w:r>
      <w:r>
        <w:rPr/>
        <w:t>、确认单独所发生的费用，以及按本公司份额确认共同经营发生的费用。</w:t>
      </w:r>
      <w:r>
        <w:rPr>
          <w:rFonts w:ascii="宋体" w:hAnsi="宋体" w:cs="宋体" w:eastAsia="宋体" w:hint="default"/>
        </w:rPr>
        <w:t> </w:t>
      </w:r>
      <w:r>
        <w:rPr/>
        <w:t>本公司对合营企业投资的会计政策见本附注“三、</w:t>
      </w:r>
      <w:r>
        <w:rPr>
          <w:rFonts w:ascii="宋体" w:hAnsi="宋体" w:cs="宋体" w:eastAsia="宋体" w:hint="default"/>
        </w:rPr>
        <w:t>(</w:t>
      </w:r>
      <w:r>
        <w:rPr/>
        <w:t>十四</w:t>
      </w:r>
      <w:r>
        <w:rPr>
          <w:rFonts w:ascii="宋体" w:hAnsi="宋体" w:cs="宋体" w:eastAsia="宋体" w:hint="default"/>
        </w:rPr>
        <w:t>)</w:t>
      </w:r>
      <w:r>
        <w:rPr/>
        <w:t>长期股权投资”。</w:t>
      </w:r>
      <w:r>
        <w:rPr>
          <w:rFonts w:ascii="宋体" w:hAnsi="宋体" w:cs="宋体" w:eastAsia="宋体" w:hint="default"/>
        </w:rPr>
        <w:t> </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0"/>
        <w:jc w:val="both"/>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54" w:firstLine="360"/>
        <w:jc w:val="left"/>
      </w:pPr>
      <w:r>
        <w:rPr/>
        <w:t>现金流量表的现金指企业库存现金及可以随时用于支付的存款。现金等价物指持有的期限短</w:t>
      </w:r>
      <w:r>
        <w:rPr>
          <w:rFonts w:ascii="Times New Roman" w:hAnsi="Times New Roman" w:cs="Times New Roman" w:eastAsia="Times New Roman" w:hint="default"/>
        </w:rPr>
        <w:t>(</w:t>
      </w:r>
      <w:r>
        <w:rPr/>
        <w:t>一般是指从购买日起三个 月内到期</w:t>
      </w:r>
      <w:r>
        <w:rPr>
          <w:rFonts w:ascii="Times New Roman" w:hAnsi="Times New Roman" w:cs="Times New Roman" w:eastAsia="Times New Roman" w:hint="default"/>
        </w:rPr>
        <w:t>)</w:t>
      </w:r>
      <w:r>
        <w:rPr/>
        <w:t>、流动性强、易于转换为已知金额现金、价值变动风险很小的投资。</w:t>
      </w:r>
    </w:p>
    <w:p>
      <w:pPr>
        <w:spacing w:line="240" w:lineRule="auto" w:before="4"/>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13" w:right="1129"/>
        <w:jc w:val="left"/>
      </w:pPr>
      <w:r>
        <w:rPr>
          <w:rFonts w:ascii="宋体" w:hAnsi="宋体" w:cs="宋体" w:eastAsia="宋体" w:hint="default"/>
        </w:rPr>
        <w:t>1</w:t>
      </w:r>
      <w:r>
        <w:rPr/>
        <w:t>、外币业务折算</w:t>
      </w:r>
      <w:r>
        <w:rPr>
          <w:rFonts w:ascii="宋体" w:hAnsi="宋体" w:cs="宋体" w:eastAsia="宋体" w:hint="default"/>
        </w:rPr>
        <w:t> </w:t>
      </w:r>
      <w:r>
        <w:rPr>
          <w:spacing w:val="-2"/>
        </w:rPr>
        <w:t>外币交易在初始确认时，采用交易发生日的即期汇率折算为人民币金额。资产负债表日，外币货币性项目采用资产负债</w:t>
      </w:r>
    </w:p>
    <w:p>
      <w:pPr>
        <w:pStyle w:val="BodyText"/>
        <w:spacing w:line="316" w:lineRule="auto" w:before="19"/>
        <w:ind w:right="1133"/>
        <w:jc w:val="both"/>
        <w:rPr>
          <w:rFonts w:ascii="宋体" w:hAnsi="宋体" w:cs="宋体" w:eastAsia="宋体" w:hint="default"/>
        </w:rPr>
      </w:pPr>
      <w:r>
        <w:rPr>
          <w:spacing w:val="-2"/>
        </w:rPr>
        <w:t>表日即期汇率折算，因汇率不同而产生的汇兑差额，除与购建符合资本化条件资产有关的外币专门借款本金及利息的汇兑差</w:t>
      </w:r>
      <w:r>
        <w:rPr>
          <w:spacing w:val="-64"/>
        </w:rPr>
        <w:t> </w:t>
      </w:r>
      <w:r>
        <w:rPr>
          <w:spacing w:val="-64"/>
        </w:rPr>
      </w:r>
      <w:r>
        <w:rPr>
          <w:spacing w:val="-2"/>
        </w:rPr>
        <w:t>额外，计入当期损益；以历史成本计量的外币非货币性项目仍采用交易发生日的即期汇率折算，不改变其人民币金额；以公</w:t>
      </w:r>
      <w:r>
        <w:rPr>
          <w:spacing w:val="-66"/>
        </w:rPr>
        <w:t> </w:t>
      </w:r>
      <w:r>
        <w:rPr>
          <w:spacing w:val="-66"/>
        </w:rPr>
      </w:r>
      <w:r>
        <w:rPr/>
        <w:t>允价值计量的外币非货币性项目，采用公允价值确定日的即期汇率折算，差额计入当期损益或其他综合收益。</w:t>
      </w:r>
      <w:r>
        <w:rPr>
          <w:rFonts w:ascii="宋体" w:hAnsi="宋体" w:cs="宋体" w:eastAsia="宋体" w:hint="default"/>
        </w:rPr>
        <w:t> </w:t>
      </w:r>
    </w:p>
    <w:p>
      <w:pPr>
        <w:pStyle w:val="BodyText"/>
        <w:spacing w:line="316" w:lineRule="auto" w:before="19"/>
        <w:ind w:left="513" w:right="1129"/>
        <w:jc w:val="left"/>
      </w:pPr>
      <w:r>
        <w:rPr>
          <w:rFonts w:ascii="宋体" w:hAnsi="宋体" w:cs="宋体" w:eastAsia="宋体" w:hint="default"/>
        </w:rPr>
        <w:t>2</w:t>
      </w:r>
      <w:r>
        <w:rPr/>
        <w:t>、外币财务报表折算</w:t>
      </w:r>
      <w:r>
        <w:rPr>
          <w:rFonts w:ascii="宋体" w:hAnsi="宋体" w:cs="宋体" w:eastAsia="宋体" w:hint="default"/>
        </w:rPr>
        <w:t> </w:t>
      </w:r>
      <w:r>
        <w:rPr>
          <w:spacing w:val="-2"/>
        </w:rPr>
        <w:t>资产负债表中的资产和负债项目，采用资产负债表日的即期汇率折算；所有者权益项目除“未分配利润”项目外，其他</w:t>
      </w:r>
    </w:p>
    <w:p>
      <w:pPr>
        <w:pStyle w:val="BodyText"/>
        <w:spacing w:line="316" w:lineRule="auto" w:before="19"/>
        <w:ind w:right="1130"/>
        <w:jc w:val="both"/>
        <w:rPr>
          <w:rFonts w:ascii="宋体" w:hAnsi="宋体" w:cs="宋体" w:eastAsia="宋体" w:hint="default"/>
        </w:rPr>
      </w:pPr>
      <w:r>
        <w:rPr>
          <w:spacing w:val="-2"/>
        </w:rPr>
        <w:t>项目采用交易发生日的即期汇率折算；利润表中的收入和费用项目，采用交易发生日即期汇率的近似汇率。按照上述折算产</w:t>
      </w:r>
      <w:r>
        <w:rPr>
          <w:spacing w:val="-63"/>
        </w:rPr>
        <w:t> </w:t>
      </w:r>
      <w:r>
        <w:rPr>
          <w:spacing w:val="-63"/>
        </w:rPr>
      </w:r>
      <w:r>
        <w:rPr>
          <w:spacing w:val="-2"/>
        </w:rPr>
        <w:t>生的外币财务报表折算差额，在资产负债表中所有者权益项目下其他综合收益中列示。处置境外经营时，将与该境外经营相</w:t>
      </w:r>
      <w:r>
        <w:rPr>
          <w:spacing w:val="-63"/>
        </w:rPr>
        <w:t> </w:t>
      </w:r>
      <w:r>
        <w:rPr>
          <w:spacing w:val="-63"/>
        </w:rPr>
      </w:r>
      <w:r>
        <w:rPr/>
        <w:t>关的外币财务报表折算差额，自所有者权益项目转入处置当期损益。</w:t>
      </w:r>
      <w:r>
        <w:rPr>
          <w:rFonts w:ascii="宋体" w:hAnsi="宋体" w:cs="宋体" w:eastAsia="宋体" w:hint="default"/>
        </w:rPr>
        <w:t> </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0"/>
        <w:jc w:val="both"/>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4" w:firstLine="360"/>
        <w:jc w:val="left"/>
        <w:rPr>
          <w:rFonts w:ascii="宋体" w:hAnsi="宋体" w:cs="宋体" w:eastAsia="宋体" w:hint="default"/>
        </w:rPr>
      </w:pPr>
      <w:r>
        <w:rPr>
          <w:spacing w:val="-2"/>
        </w:rPr>
        <w:t>在本公司成为金融工具合同的一方时确认一项金融资产或金融负债。金融资产和金融负债在初始确认时以公允价值计量。</w:t>
      </w:r>
      <w:r>
        <w:rPr/>
        <w:t> 对于以公允价值计量且其变动计入当期损益的金融资产和金融负债，相关的交易费用直接计入损益；对于其他类别的金融资 产和金融负债，相关交易费用计入初始确认金额。</w:t>
      </w:r>
      <w:r>
        <w:rPr>
          <w:rFonts w:ascii="宋体" w:hAnsi="宋体" w:cs="宋体" w:eastAsia="宋体" w:hint="default"/>
        </w:rPr>
        <w:t> </w:t>
      </w:r>
    </w:p>
    <w:p>
      <w:pPr>
        <w:pStyle w:val="BodyText"/>
        <w:spacing w:line="316" w:lineRule="auto" w:before="19"/>
        <w:ind w:left="513" w:right="1129"/>
        <w:jc w:val="left"/>
      </w:pPr>
      <w:r>
        <w:rPr>
          <w:rFonts w:ascii="宋体" w:hAnsi="宋体" w:cs="宋体" w:eastAsia="宋体" w:hint="default"/>
        </w:rPr>
        <w:t>1</w:t>
      </w:r>
      <w:r>
        <w:rPr/>
        <w:t>、金融资产和金融负债的公允价值确定方法</w:t>
      </w:r>
      <w:r>
        <w:rPr>
          <w:rFonts w:ascii="宋体" w:hAnsi="宋体" w:cs="宋体" w:eastAsia="宋体" w:hint="default"/>
        </w:rPr>
        <w:t> </w:t>
      </w:r>
      <w:r>
        <w:rPr>
          <w:spacing w:val="-2"/>
        </w:rPr>
        <w:t>公允价值，是指市场参与者在计量日发生的有序交易中，出售一项资产所能收到或者转移一项负债所需支付的价格。金</w:t>
      </w:r>
    </w:p>
    <w:p>
      <w:pPr>
        <w:pStyle w:val="BodyText"/>
        <w:spacing w:line="316" w:lineRule="auto" w:before="19"/>
        <w:ind w:right="1034"/>
        <w:jc w:val="left"/>
        <w:rPr>
          <w:rFonts w:ascii="宋体" w:hAnsi="宋体" w:cs="宋体" w:eastAsia="宋体" w:hint="default"/>
        </w:rPr>
      </w:pPr>
      <w:r>
        <w:rPr>
          <w:spacing w:val="-5"/>
        </w:rPr>
        <w:t>融工具存在活跃市场的，本公司采用活跃市场中的报价确定其公允价值。活跃市场中的报价是指易于定期从交易所、经纪商、</w:t>
      </w:r>
      <w:r>
        <w:rPr>
          <w:spacing w:val="-76"/>
        </w:rPr>
        <w:t> </w:t>
      </w:r>
      <w:r>
        <w:rPr>
          <w:spacing w:val="-76"/>
        </w:rPr>
      </w:r>
      <w:r>
        <w:rPr/>
        <w:t>行业协会、定价服务机构等获得的价格，且代表了在公平交易中实际发生的市场交易的价格。金融工具不存在活跃市场的，</w:t>
      </w:r>
      <w:r>
        <w:rPr>
          <w:spacing w:val="-86"/>
        </w:rPr>
        <w:t> </w:t>
      </w:r>
      <w:r>
        <w:rPr>
          <w:spacing w:val="-86"/>
        </w:rPr>
      </w:r>
      <w:r>
        <w:rPr>
          <w:spacing w:val="-2"/>
        </w:rPr>
        <w:t>本公司采用估值技术确定其公允价值。估值技术包括参考熟悉情况并自愿交易的各方最近进行的市场交易中使用的价格、参</w:t>
      </w:r>
      <w:r>
        <w:rPr>
          <w:spacing w:val="-64"/>
        </w:rPr>
        <w:t> </w:t>
      </w:r>
      <w:r>
        <w:rPr>
          <w:spacing w:val="-64"/>
        </w:rPr>
      </w:r>
      <w:r>
        <w:rPr/>
        <w:t>照实质上相同的其他金融工具当前的公允价值、现金流量折现法和期权定价模型等。</w:t>
      </w:r>
      <w:r>
        <w:rPr>
          <w:rFonts w:ascii="宋体" w:hAnsi="宋体" w:cs="宋体" w:eastAsia="宋体" w:hint="default"/>
        </w:rPr>
        <w:t> </w:t>
      </w:r>
    </w:p>
    <w:p>
      <w:pPr>
        <w:pStyle w:val="BodyText"/>
        <w:spacing w:line="316" w:lineRule="auto" w:before="19"/>
        <w:ind w:left="513" w:right="1129"/>
        <w:jc w:val="left"/>
      </w:pPr>
      <w:r>
        <w:rPr>
          <w:rFonts w:ascii="宋体" w:hAnsi="宋体" w:cs="宋体" w:eastAsia="宋体" w:hint="default"/>
        </w:rPr>
        <w:t>2</w:t>
      </w:r>
      <w:r>
        <w:rPr/>
        <w:t>、金融资产的分类、确认和计量</w:t>
      </w:r>
      <w:r>
        <w:rPr>
          <w:rFonts w:ascii="宋体" w:hAnsi="宋体" w:cs="宋体" w:eastAsia="宋体" w:hint="default"/>
        </w:rPr>
        <w:t> </w:t>
      </w:r>
      <w:r>
        <w:rPr>
          <w:spacing w:val="-2"/>
        </w:rPr>
        <w:t>以常规方式买卖金融资产，按交易日进行会计确认和终止确认。金融资产在初始确认时划分为以公允价值计量且其变动</w:t>
      </w:r>
    </w:p>
    <w:p>
      <w:pPr>
        <w:spacing w:after="0" w:line="316" w:lineRule="auto"/>
        <w:jc w:val="left"/>
        <w:sectPr>
          <w:footerReference w:type="default" r:id="rId23"/>
          <w:pgSz w:w="11910" w:h="16840"/>
          <w:pgMar w:footer="979" w:header="745" w:top="1060" w:bottom="1160" w:left="980" w:right="0"/>
          <w:pgNumType w:start="125"/>
        </w:sectPr>
      </w:pPr>
    </w:p>
    <w:p>
      <w:pPr>
        <w:spacing w:line="240" w:lineRule="auto" w:before="10"/>
        <w:rPr>
          <w:rFonts w:ascii="宋体" w:hAnsi="宋体" w:cs="宋体" w:eastAsia="宋体" w:hint="default"/>
          <w:sz w:val="25"/>
          <w:szCs w:val="25"/>
        </w:rPr>
      </w:pPr>
    </w:p>
    <w:p>
      <w:pPr>
        <w:pStyle w:val="BodyText"/>
        <w:spacing w:line="316" w:lineRule="auto" w:before="44"/>
        <w:ind w:left="513" w:right="1129" w:hanging="361"/>
        <w:jc w:val="left"/>
      </w:pPr>
      <w:r>
        <w:rPr/>
        <w:t>计入当期损益的金融资产、持有至到期投资、贷款和应收款项以及可供出售金融资产。</w:t>
      </w:r>
      <w:r>
        <w:rPr>
          <w:rFonts w:ascii="宋体" w:hAnsi="宋体" w:cs="宋体" w:eastAsia="宋体" w:hint="default"/>
        </w:rPr>
        <w:t> (1)</w:t>
      </w:r>
      <w:r>
        <w:rPr/>
        <w:t>以公允价值计量且其变动计入当期损益的金融资产</w:t>
      </w:r>
      <w:r>
        <w:rPr>
          <w:rFonts w:ascii="宋体" w:hAnsi="宋体" w:cs="宋体" w:eastAsia="宋体" w:hint="default"/>
        </w:rPr>
        <w:t> </w:t>
      </w:r>
      <w:r>
        <w:rPr/>
        <w:t>包括交易性金融资产和指定为以公允价值计量且其变动计入当期损益的金融资产。</w:t>
      </w:r>
      <w:r>
        <w:rPr>
          <w:rFonts w:ascii="宋体" w:hAnsi="宋体" w:cs="宋体" w:eastAsia="宋体" w:hint="default"/>
        </w:rPr>
        <w:t> </w:t>
      </w:r>
      <w:r>
        <w:rPr>
          <w:spacing w:val="-2"/>
        </w:rPr>
        <w:t>交易性金融资产是指满足下列条件之一的金融资产：①取得该金融资产的目的，主要是为了近期内出售；②属于进行集</w:t>
      </w:r>
    </w:p>
    <w:p>
      <w:pPr>
        <w:pStyle w:val="BodyText"/>
        <w:spacing w:line="316" w:lineRule="auto" w:before="19"/>
        <w:ind w:right="1131"/>
        <w:jc w:val="both"/>
        <w:rPr>
          <w:rFonts w:ascii="宋体" w:hAnsi="宋体" w:cs="宋体" w:eastAsia="宋体" w:hint="default"/>
        </w:rPr>
      </w:pPr>
      <w:r>
        <w:rPr>
          <w:spacing w:val="-2"/>
        </w:rPr>
        <w:t>中管理的可辨认金融工具组合的一部分，且有客观证据表明本公司近期采用短期获利方式对该组合进行管理；③属于衍生工</w:t>
      </w:r>
      <w:r>
        <w:rPr>
          <w:spacing w:val="-64"/>
        </w:rPr>
        <w:t> </w:t>
      </w:r>
      <w:r>
        <w:rPr>
          <w:spacing w:val="-64"/>
        </w:rPr>
      </w:r>
      <w:r>
        <w:rPr>
          <w:spacing w:val="-2"/>
        </w:rPr>
        <w:t>具，但是，被指定且为有效套期工具的衍生工具、属于财务担保合同的衍生工具、与在活跃市场中没有报价且其公允价值不</w:t>
      </w:r>
      <w:r>
        <w:rPr>
          <w:spacing w:val="-64"/>
        </w:rPr>
        <w:t> </w:t>
      </w:r>
      <w:r>
        <w:rPr>
          <w:spacing w:val="-64"/>
        </w:rPr>
      </w:r>
      <w:r>
        <w:rPr/>
        <w:t>能可靠计量的权益工具投资挂钩并须通过交付该权益工具结算的衍生工具除外。</w:t>
      </w:r>
      <w:r>
        <w:rPr>
          <w:rFonts w:ascii="宋体" w:hAnsi="宋体" w:cs="宋体" w:eastAsia="宋体" w:hint="default"/>
        </w:rPr>
        <w:t> </w:t>
      </w:r>
    </w:p>
    <w:p>
      <w:pPr>
        <w:pStyle w:val="BodyText"/>
        <w:spacing w:line="316" w:lineRule="auto" w:before="19"/>
        <w:ind w:right="1132" w:firstLine="360"/>
        <w:jc w:val="both"/>
        <w:rPr>
          <w:rFonts w:ascii="宋体" w:hAnsi="宋体" w:cs="宋体" w:eastAsia="宋体" w:hint="default"/>
        </w:rPr>
      </w:pPr>
      <w:r>
        <w:rPr>
          <w:spacing w:val="-2"/>
        </w:rPr>
        <w:t>符合下述条件之一的金融资产，在初始确认时可指定为以公允价值计量且其变动计入当期损益的金融资产：①该指定可</w:t>
      </w:r>
      <w:r>
        <w:rPr/>
        <w:t> </w:t>
      </w:r>
      <w:r>
        <w:rPr>
          <w:spacing w:val="-2"/>
        </w:rPr>
        <w:t>以消除或明显减少由于该金融资产的计量基础不同所导致的相关利得或损失在确认或计量方面不一致的情况；②本公司风险</w:t>
      </w:r>
      <w:r>
        <w:rPr>
          <w:spacing w:val="-64"/>
        </w:rPr>
        <w:t> </w:t>
      </w:r>
      <w:r>
        <w:rPr>
          <w:spacing w:val="-64"/>
        </w:rPr>
      </w:r>
      <w:r>
        <w:rPr>
          <w:spacing w:val="-2"/>
        </w:rPr>
        <w:t>管理或投资策略的正式书面文件已载明，对该金融资产所在的金融资产组合或金融资产和金融负债组合以公允价值为基础进</w:t>
      </w:r>
      <w:r>
        <w:rPr>
          <w:spacing w:val="-64"/>
        </w:rPr>
        <w:t> </w:t>
      </w:r>
      <w:r>
        <w:rPr>
          <w:spacing w:val="-64"/>
        </w:rPr>
      </w:r>
      <w:r>
        <w:rPr/>
        <w:t>行管理、评价并向关键管理人员报告。</w:t>
      </w:r>
      <w:r>
        <w:rPr>
          <w:rFonts w:ascii="宋体" w:hAnsi="宋体" w:cs="宋体" w:eastAsia="宋体" w:hint="default"/>
        </w:rPr>
        <w:t> </w:t>
      </w:r>
    </w:p>
    <w:p>
      <w:pPr>
        <w:pStyle w:val="BodyText"/>
        <w:spacing w:line="316" w:lineRule="auto" w:before="19"/>
        <w:ind w:right="1132" w:firstLine="360"/>
        <w:jc w:val="both"/>
        <w:rPr>
          <w:rFonts w:ascii="宋体" w:hAnsi="宋体" w:cs="宋体" w:eastAsia="宋体" w:hint="default"/>
        </w:rPr>
      </w:pPr>
      <w:r>
        <w:rPr>
          <w:spacing w:val="-2"/>
        </w:rPr>
        <w:t>以公允价值计量且其变动计入当期损益的金融资产采用公允价值进行后续计量，公允价值变动形成的利得或损失以及与</w:t>
      </w:r>
      <w:r>
        <w:rPr/>
        <w:t> 该等金融资产相关的股利和利息收入计入当期损益。</w:t>
      </w:r>
      <w:r>
        <w:rPr>
          <w:rFonts w:ascii="宋体" w:hAnsi="宋体" w:cs="宋体" w:eastAsia="宋体" w:hint="default"/>
        </w:rPr>
        <w:t> </w:t>
      </w:r>
    </w:p>
    <w:p>
      <w:pPr>
        <w:pStyle w:val="BodyText"/>
        <w:spacing w:line="316" w:lineRule="auto" w:before="19"/>
        <w:ind w:left="513" w:right="1129"/>
        <w:jc w:val="left"/>
      </w:pPr>
      <w:r>
        <w:rPr>
          <w:rFonts w:ascii="宋体" w:hAnsi="宋体" w:cs="宋体" w:eastAsia="宋体" w:hint="default"/>
          <w:spacing w:val="1"/>
        </w:rPr>
        <w:t> </w:t>
      </w:r>
      <w:r>
        <w:rPr>
          <w:rFonts w:ascii="宋体" w:hAnsi="宋体" w:cs="宋体" w:eastAsia="宋体" w:hint="default"/>
        </w:rPr>
        <w:t>(2)</w:t>
      </w:r>
      <w:r>
        <w:rPr/>
        <w:t>持有至到期投资</w:t>
      </w:r>
      <w:r>
        <w:rPr>
          <w:rFonts w:ascii="宋体" w:hAnsi="宋体" w:cs="宋体" w:eastAsia="宋体" w:hint="default"/>
        </w:rPr>
        <w:t> </w:t>
      </w:r>
      <w:r>
        <w:rPr/>
        <w:t>是指到期日固定、回收金额固定或可确定，且本公司有明确意图和能力持有至到期的非衍生金融资产。</w:t>
      </w:r>
      <w:r>
        <w:rPr>
          <w:rFonts w:ascii="宋体" w:hAnsi="宋体" w:cs="宋体" w:eastAsia="宋体" w:hint="default"/>
        </w:rPr>
        <w:t> </w:t>
      </w:r>
      <w:r>
        <w:rPr>
          <w:spacing w:val="-2"/>
        </w:rPr>
        <w:t>持有至到期投资采用实际利率法，按摊余成本进行后续计量，在终止确认、发生减值或摊销时产生的利得或损失，计入</w:t>
      </w:r>
    </w:p>
    <w:p>
      <w:pPr>
        <w:pStyle w:val="BodyText"/>
        <w:spacing w:line="240" w:lineRule="auto" w:before="19"/>
        <w:ind w:right="1133"/>
        <w:jc w:val="left"/>
        <w:rPr>
          <w:rFonts w:ascii="宋体" w:hAnsi="宋体" w:cs="宋体" w:eastAsia="宋体" w:hint="default"/>
        </w:rPr>
      </w:pPr>
      <w:r>
        <w:rPr/>
        <w:t>当期损益。</w:t>
      </w:r>
      <w:r>
        <w:rPr>
          <w:rFonts w:ascii="宋体" w:hAnsi="宋体" w:cs="宋体" w:eastAsia="宋体" w:hint="default"/>
        </w:rPr>
        <w:t> </w:t>
      </w:r>
    </w:p>
    <w:p>
      <w:pPr>
        <w:pStyle w:val="BodyText"/>
        <w:spacing w:line="316" w:lineRule="auto" w:before="76"/>
        <w:ind w:right="1129" w:firstLine="360"/>
        <w:jc w:val="left"/>
        <w:rPr>
          <w:rFonts w:ascii="宋体" w:hAnsi="宋体" w:cs="宋体" w:eastAsia="宋体" w:hint="default"/>
        </w:rPr>
      </w:pPr>
      <w:r>
        <w:rPr/>
        <w:t>实际利率法是指按照金融资产或金融负债</w:t>
      </w:r>
      <w:r>
        <w:rPr>
          <w:rFonts w:ascii="宋体" w:hAnsi="宋体" w:cs="宋体" w:eastAsia="宋体" w:hint="default"/>
        </w:rPr>
        <w:t>(</w:t>
      </w:r>
      <w:r>
        <w:rPr/>
        <w:t>含一组金融资产或金融负债</w:t>
      </w:r>
      <w:r>
        <w:rPr>
          <w:rFonts w:ascii="宋体" w:hAnsi="宋体" w:cs="宋体" w:eastAsia="宋体" w:hint="default"/>
        </w:rPr>
        <w:t>)</w:t>
      </w:r>
      <w:r>
        <w:rPr/>
        <w:t>的实际利率计算其摊余成本及各期利息收入或 </w:t>
      </w:r>
      <w:r>
        <w:rPr>
          <w:spacing w:val="-2"/>
        </w:rPr>
        <w:t>支出的方法。实际利率是指将金融资产或金融负债在预期存续期间或适用的更短期间内的未来现金流量，折现为该金融资产</w:t>
      </w:r>
      <w:r>
        <w:rPr>
          <w:spacing w:val="-64"/>
        </w:rPr>
        <w:t> </w:t>
      </w:r>
      <w:r>
        <w:rPr>
          <w:spacing w:val="-64"/>
        </w:rPr>
      </w:r>
      <w:r>
        <w:rPr/>
        <w:t>或金融负债当前账面价值所使用的利率。</w:t>
      </w:r>
      <w:r>
        <w:rPr>
          <w:rFonts w:ascii="宋体" w:hAnsi="宋体" w:cs="宋体" w:eastAsia="宋体" w:hint="default"/>
        </w:rPr>
        <w:t> </w:t>
      </w:r>
    </w:p>
    <w:p>
      <w:pPr>
        <w:pStyle w:val="BodyText"/>
        <w:spacing w:line="319" w:lineRule="auto" w:before="19"/>
        <w:ind w:right="1138" w:firstLine="360"/>
        <w:jc w:val="both"/>
        <w:rPr>
          <w:rFonts w:ascii="宋体" w:hAnsi="宋体" w:cs="宋体" w:eastAsia="宋体" w:hint="default"/>
        </w:rPr>
      </w:pPr>
      <w:r>
        <w:rPr/>
        <w:t>在计算实际利率时，本公司将在考虑金融资产或金融负债所有合同条款的基础上预计未来现金流量</w:t>
      </w:r>
      <w:r>
        <w:rPr>
          <w:rFonts w:ascii="宋体" w:hAnsi="宋体" w:cs="宋体" w:eastAsia="宋体" w:hint="default"/>
        </w:rPr>
        <w:t>(</w:t>
      </w:r>
      <w:r>
        <w:rPr/>
        <w:t>不考虑未来的信用 损失</w:t>
      </w:r>
      <w:r>
        <w:rPr>
          <w:rFonts w:ascii="宋体" w:hAnsi="宋体" w:cs="宋体" w:eastAsia="宋体" w:hint="default"/>
        </w:rPr>
        <w:t>)</w:t>
      </w:r>
      <w:r>
        <w:rPr/>
        <w:t>，同时还将考虑金融资产或金融负债合同各方之间支付或收取的、属于实际利率组成部分的各项收费、交易费用及折 价或溢价等。</w:t>
      </w:r>
      <w:r>
        <w:rPr>
          <w:rFonts w:ascii="宋体" w:hAnsi="宋体" w:cs="宋体" w:eastAsia="宋体" w:hint="default"/>
        </w:rPr>
        <w:t> </w:t>
      </w:r>
    </w:p>
    <w:p>
      <w:pPr>
        <w:pStyle w:val="BodyText"/>
        <w:spacing w:line="316" w:lineRule="auto" w:before="17"/>
        <w:ind w:left="513" w:right="1129"/>
        <w:jc w:val="left"/>
      </w:pPr>
      <w:r>
        <w:rPr>
          <w:rFonts w:ascii="宋体" w:hAnsi="宋体" w:cs="宋体" w:eastAsia="宋体" w:hint="default"/>
        </w:rPr>
        <w:t>(3)</w:t>
      </w:r>
      <w:r>
        <w:rPr/>
        <w:t>贷款和应收款项</w:t>
      </w:r>
      <w:r>
        <w:rPr>
          <w:rFonts w:ascii="宋体" w:hAnsi="宋体" w:cs="宋体" w:eastAsia="宋体" w:hint="default"/>
        </w:rPr>
        <w:t> </w:t>
      </w:r>
      <w:r>
        <w:rPr>
          <w:spacing w:val="-2"/>
        </w:rPr>
        <w:t>是指在活跃市场中没有报价、回收金额固定或可确定的非衍生金融资产。本公司划分为贷款和应收款的金融资产包括应</w:t>
      </w:r>
    </w:p>
    <w:p>
      <w:pPr>
        <w:pStyle w:val="BodyText"/>
        <w:spacing w:line="316" w:lineRule="auto" w:before="19"/>
        <w:ind w:left="513" w:right="1129" w:hanging="361"/>
        <w:jc w:val="left"/>
      </w:pPr>
      <w:r>
        <w:rPr/>
        <w:t>收票据、应收账款、应收利息、应收股利及其他应收款等。</w:t>
      </w:r>
      <w:r>
        <w:rPr>
          <w:rFonts w:ascii="宋体" w:hAnsi="宋体" w:cs="宋体" w:eastAsia="宋体" w:hint="default"/>
        </w:rPr>
        <w:t> </w:t>
      </w:r>
      <w:r>
        <w:rPr>
          <w:spacing w:val="-2"/>
        </w:rPr>
        <w:t>贷款和应收款项采用实际利率法，按摊余成本进行后续计量，在终止确认、发生减值或摊销时产生的利得或损失，计入</w:t>
      </w:r>
    </w:p>
    <w:p>
      <w:pPr>
        <w:pStyle w:val="BodyText"/>
        <w:spacing w:line="316" w:lineRule="auto" w:before="19"/>
        <w:ind w:left="513" w:right="1033" w:hanging="361"/>
        <w:jc w:val="left"/>
      </w:pPr>
      <w:r>
        <w:rPr/>
        <w:t>当期损益。</w:t>
      </w:r>
      <w:r>
        <w:rPr>
          <w:rFonts w:ascii="宋体" w:hAnsi="宋体" w:cs="宋体" w:eastAsia="宋体" w:hint="default"/>
        </w:rPr>
        <w:t>(4)</w:t>
      </w:r>
      <w:r>
        <w:rPr/>
        <w:t>可供出售金融资产</w:t>
      </w:r>
      <w:r>
        <w:rPr>
          <w:rFonts w:ascii="宋体" w:hAnsi="宋体" w:cs="宋体" w:eastAsia="宋体" w:hint="default"/>
        </w:rPr>
        <w:t> </w:t>
      </w:r>
      <w:r>
        <w:rPr/>
        <w:t>包括初始确认时即被指定为可供出售的非衍生金融资产，以及除了以公允价值计量且其变动计入当期损益的金融资产、</w:t>
      </w:r>
    </w:p>
    <w:p>
      <w:pPr>
        <w:pStyle w:val="BodyText"/>
        <w:spacing w:line="316" w:lineRule="auto" w:before="19"/>
        <w:ind w:left="513" w:right="1129" w:hanging="361"/>
        <w:jc w:val="left"/>
      </w:pPr>
      <w:r>
        <w:rPr/>
        <w:t>贷款和应收款项、持有至到期投资以外的金融资产。</w:t>
      </w:r>
      <w:r>
        <w:rPr>
          <w:rFonts w:ascii="宋体" w:hAnsi="宋体" w:cs="宋体" w:eastAsia="宋体" w:hint="default"/>
        </w:rPr>
        <w:t> </w:t>
      </w:r>
      <w:r>
        <w:rPr>
          <w:spacing w:val="-2"/>
        </w:rPr>
        <w:t>可供出售债务工具投资的期末成本按照摊余成本法确定，即初始确认金额扣除已偿还的本金，加上或减去采用实际利率</w:t>
      </w:r>
    </w:p>
    <w:p>
      <w:pPr>
        <w:pStyle w:val="BodyText"/>
        <w:spacing w:line="319" w:lineRule="auto" w:before="19"/>
        <w:ind w:right="1133"/>
        <w:jc w:val="both"/>
        <w:rPr>
          <w:rFonts w:ascii="宋体" w:hAnsi="宋体" w:cs="宋体" w:eastAsia="宋体" w:hint="default"/>
        </w:rPr>
      </w:pPr>
      <w:r>
        <w:rPr>
          <w:spacing w:val="-2"/>
        </w:rPr>
        <w:t>法将该初始确认金额与到期日金额之间的差额进行摊销形成的累计摊销额，并扣除已发生的减值损失后的金额。可供出售权</w:t>
      </w:r>
      <w:r>
        <w:rPr>
          <w:spacing w:val="-64"/>
        </w:rPr>
        <w:t> </w:t>
      </w:r>
      <w:r>
        <w:rPr>
          <w:spacing w:val="-64"/>
        </w:rPr>
      </w:r>
      <w:r>
        <w:rPr/>
        <w:t>益工具投资的期末成本为其初始取得成本。</w:t>
      </w:r>
      <w:r>
        <w:rPr>
          <w:rFonts w:ascii="宋体" w:hAnsi="宋体" w:cs="宋体" w:eastAsia="宋体" w:hint="default"/>
        </w:rPr>
        <w:t> </w:t>
      </w:r>
    </w:p>
    <w:p>
      <w:pPr>
        <w:pStyle w:val="BodyText"/>
        <w:spacing w:line="316" w:lineRule="auto" w:before="17"/>
        <w:ind w:right="1132" w:firstLine="360"/>
        <w:jc w:val="both"/>
        <w:rPr>
          <w:rFonts w:ascii="宋体" w:hAnsi="宋体" w:cs="宋体" w:eastAsia="宋体" w:hint="default"/>
        </w:rPr>
      </w:pPr>
      <w:r>
        <w:rPr>
          <w:spacing w:val="-2"/>
        </w:rPr>
        <w:t>可供出售金融资产采用公允价值进行后续计量，公允价值变动形成的利得或损失，除减值损失和外币货币性金融资产与</w:t>
      </w:r>
      <w:r>
        <w:rPr/>
        <w:t> </w:t>
      </w:r>
      <w:r>
        <w:rPr>
          <w:spacing w:val="-2"/>
        </w:rPr>
        <w:t>摊余成本相关的汇兑差额计入当期损益外，确认为其他综合收益，在该金融资产终止确认时转出，计入当期损益。但是，在</w:t>
      </w:r>
      <w:r>
        <w:rPr>
          <w:spacing w:val="-67"/>
        </w:rPr>
        <w:t> </w:t>
      </w:r>
      <w:r>
        <w:rPr>
          <w:spacing w:val="-67"/>
        </w:rPr>
      </w:r>
      <w:r>
        <w:rPr>
          <w:spacing w:val="-2"/>
        </w:rPr>
        <w:t>活跃市场中没有报价且其公允价值不能可靠计量的权益工具投资，以及与该权益工具挂钩并须通过交付该权益工具结算的衍</w:t>
      </w:r>
      <w:r>
        <w:rPr>
          <w:spacing w:val="-64"/>
        </w:rPr>
        <w:t> </w:t>
      </w:r>
      <w:r>
        <w:rPr>
          <w:spacing w:val="-64"/>
        </w:rPr>
      </w:r>
      <w:r>
        <w:rPr/>
        <w:t>生金融资产，按照成本进行后续计量。</w:t>
      </w:r>
      <w:r>
        <w:rPr>
          <w:rFonts w:ascii="宋体" w:hAnsi="宋体" w:cs="宋体" w:eastAsia="宋体" w:hint="default"/>
        </w:rPr>
        <w:t> </w:t>
      </w:r>
    </w:p>
    <w:p>
      <w:pPr>
        <w:pStyle w:val="BodyText"/>
        <w:spacing w:line="316" w:lineRule="auto" w:before="19"/>
        <w:ind w:left="513" w:right="2113"/>
        <w:jc w:val="left"/>
        <w:rPr>
          <w:rFonts w:ascii="宋体" w:hAnsi="宋体" w:cs="宋体" w:eastAsia="宋体" w:hint="default"/>
        </w:rPr>
      </w:pPr>
      <w:r>
        <w:rPr/>
        <w:t>可供出售金融资产持有期间取得的利息及被投资单位宣告发放的现金股利，计入投资收益。</w:t>
      </w:r>
      <w:r>
        <w:rPr>
          <w:rFonts w:ascii="宋体" w:hAnsi="宋体" w:cs="宋体" w:eastAsia="宋体" w:hint="default"/>
        </w:rPr>
        <w:t> 3</w:t>
      </w:r>
      <w:r>
        <w:rPr/>
        <w:t>、金融资产的减值</w:t>
      </w:r>
      <w:r>
        <w:rPr>
          <w:rFonts w:ascii="宋体" w:hAnsi="宋体" w:cs="宋体" w:eastAsia="宋体" w:hint="default"/>
        </w:rPr>
        <w:t> </w:t>
      </w:r>
    </w:p>
    <w:p>
      <w:pPr>
        <w:pStyle w:val="BodyText"/>
        <w:spacing w:line="316" w:lineRule="auto" w:before="19"/>
        <w:ind w:right="1132" w:firstLine="360"/>
        <w:jc w:val="both"/>
        <w:rPr>
          <w:rFonts w:ascii="宋体" w:hAnsi="宋体" w:cs="宋体" w:eastAsia="宋体" w:hint="default"/>
        </w:rPr>
      </w:pPr>
      <w:r>
        <w:rPr>
          <w:spacing w:val="-2"/>
        </w:rPr>
        <w:t>除了以公允价值计量且其变动计入当期损益的金融资产外，本公司在每个资产负债表日对其他金融资产的账面价值进行</w:t>
      </w:r>
      <w:r>
        <w:rPr/>
        <w:t> 检查，有客观证据表明金融资产发生减值的，计提减值准备。</w:t>
      </w:r>
      <w:r>
        <w:rPr>
          <w:rFonts w:ascii="宋体" w:hAnsi="宋体" w:cs="宋体" w:eastAsia="宋体" w:hint="default"/>
        </w:rPr>
        <w:t> </w:t>
      </w:r>
    </w:p>
    <w:p>
      <w:pPr>
        <w:pStyle w:val="BodyText"/>
        <w:spacing w:line="319" w:lineRule="auto" w:before="19"/>
        <w:ind w:right="1132" w:firstLine="360"/>
        <w:jc w:val="both"/>
      </w:pPr>
      <w:r>
        <w:rPr>
          <w:spacing w:val="-2"/>
        </w:rPr>
        <w:t>本公司对单项金额重大的金融资产单独进行减值测试；对单项金额不重大的金融资产，单独进行减值测试或包括在具有</w:t>
      </w:r>
      <w:r>
        <w:rPr/>
        <w:t> 类似信用风险特征的金融资产组合中进行减值测试。单独测试未发生减值的金融资产</w:t>
      </w:r>
      <w:r>
        <w:rPr>
          <w:rFonts w:ascii="宋体" w:hAnsi="宋体" w:cs="宋体" w:eastAsia="宋体" w:hint="default"/>
        </w:rPr>
        <w:t>(</w:t>
      </w:r>
      <w:r>
        <w:rPr/>
        <w:t>包括单项金额重大和不重大的金融资 产</w:t>
      </w:r>
      <w:r>
        <w:rPr>
          <w:rFonts w:ascii="宋体" w:hAnsi="宋体" w:cs="宋体" w:eastAsia="宋体" w:hint="default"/>
        </w:rPr>
        <w:t>)</w:t>
      </w:r>
      <w:r>
        <w:rPr/>
        <w:t>，包括在具有类似信用风险特征的金融资产组合中再进行减值测试。已单项确认减值损失的金融资产，不包括在具有类</w:t>
      </w:r>
    </w:p>
    <w:p>
      <w:pPr>
        <w:spacing w:after="0" w:line="319" w:lineRule="auto"/>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left="513" w:right="3553" w:hanging="361"/>
        <w:jc w:val="left"/>
        <w:rPr>
          <w:rFonts w:ascii="宋体" w:hAnsi="宋体" w:cs="宋体" w:eastAsia="宋体" w:hint="default"/>
        </w:rPr>
      </w:pPr>
      <w:r>
        <w:rPr/>
        <w:t>似信用风险特征的金融资产组合中进行减值测试。</w:t>
      </w:r>
      <w:r>
        <w:rPr>
          <w:rFonts w:ascii="宋体" w:hAnsi="宋体" w:cs="宋体" w:eastAsia="宋体" w:hint="default"/>
        </w:rPr>
        <w:t> (1)</w:t>
      </w:r>
      <w:r>
        <w:rPr/>
        <w:t>持有至到期投资、贷款和应收款项减值</w:t>
      </w:r>
      <w:r>
        <w:rPr>
          <w:rFonts w:ascii="宋体" w:hAnsi="宋体" w:cs="宋体" w:eastAsia="宋体" w:hint="default"/>
        </w:rPr>
        <w:t> </w:t>
      </w:r>
    </w:p>
    <w:p>
      <w:pPr>
        <w:pStyle w:val="BodyText"/>
        <w:spacing w:line="316" w:lineRule="auto" w:before="19"/>
        <w:ind w:right="1131" w:firstLine="360"/>
        <w:jc w:val="both"/>
        <w:rPr>
          <w:rFonts w:ascii="宋体" w:hAnsi="宋体" w:cs="宋体" w:eastAsia="宋体" w:hint="default"/>
        </w:rPr>
      </w:pPr>
      <w:r>
        <w:rPr>
          <w:spacing w:val="-2"/>
        </w:rPr>
        <w:t>以成本或摊余成本计量的金融资产将其账面价值减记至预计未来现金流量现值，减记金额确认为减值损失，计入当期损</w:t>
      </w:r>
      <w:r>
        <w:rPr/>
        <w:t> </w:t>
      </w:r>
      <w:r>
        <w:rPr>
          <w:spacing w:val="-2"/>
        </w:rPr>
        <w:t>益。金融资产在确认减值损失后，如有客观证据表明该金融资产价值已恢复，且客观上与确认该损失后发生的事项有关，原</w:t>
      </w:r>
      <w:r>
        <w:rPr>
          <w:spacing w:val="-64"/>
        </w:rPr>
        <w:t> </w:t>
      </w:r>
      <w:r>
        <w:rPr>
          <w:spacing w:val="-64"/>
        </w:rPr>
      </w:r>
      <w:r>
        <w:rPr>
          <w:spacing w:val="-2"/>
        </w:rPr>
        <w:t>确认的减值损失予以转回，金融资产转回减值损失后的账面价值不超过假定不计提减值准备情况下该金融资产在转回日的摊</w:t>
      </w:r>
      <w:r>
        <w:rPr>
          <w:spacing w:val="-64"/>
        </w:rPr>
        <w:t> </w:t>
      </w:r>
      <w:r>
        <w:rPr>
          <w:spacing w:val="-64"/>
        </w:rPr>
      </w:r>
      <w:r>
        <w:rPr/>
        <w:t>余成本。</w:t>
      </w:r>
      <w:r>
        <w:rPr>
          <w:rFonts w:ascii="宋体" w:hAnsi="宋体" w:cs="宋体" w:eastAsia="宋体" w:hint="default"/>
        </w:rPr>
        <w:t> </w:t>
      </w:r>
    </w:p>
    <w:p>
      <w:pPr>
        <w:pStyle w:val="BodyText"/>
        <w:spacing w:line="316" w:lineRule="auto" w:before="19"/>
        <w:ind w:left="513" w:right="5534"/>
        <w:jc w:val="left"/>
        <w:rPr>
          <w:rFonts w:ascii="宋体" w:hAnsi="宋体" w:cs="宋体" w:eastAsia="宋体" w:hint="default"/>
        </w:rPr>
      </w:pPr>
      <w:r>
        <w:rPr>
          <w:rFonts w:ascii="宋体" w:hAnsi="宋体" w:cs="宋体" w:eastAsia="宋体" w:hint="default"/>
        </w:rPr>
        <w:t>(2)</w:t>
      </w:r>
      <w:r>
        <w:rPr/>
        <w:t>可供出售金融资产减值</w:t>
      </w:r>
      <w:r>
        <w:rPr>
          <w:rFonts w:ascii="宋体" w:hAnsi="宋体" w:cs="宋体" w:eastAsia="宋体" w:hint="default"/>
        </w:rPr>
        <w:t> 1)</w:t>
      </w:r>
      <w:r>
        <w:rPr/>
        <w:t>表明可供出售债务工具投资发生减值的客观证据包括：</w:t>
      </w:r>
      <w:r>
        <w:rPr>
          <w:rFonts w:ascii="宋体" w:hAnsi="宋体" w:cs="宋体" w:eastAsia="宋体" w:hint="default"/>
        </w:rPr>
        <w:t> </w:t>
      </w:r>
    </w:p>
    <w:p>
      <w:pPr>
        <w:pStyle w:val="BodyText"/>
        <w:spacing w:line="240" w:lineRule="auto" w:before="19"/>
        <w:ind w:left="513" w:right="1133"/>
        <w:jc w:val="left"/>
        <w:rPr>
          <w:rFonts w:ascii="宋体" w:hAnsi="宋体" w:cs="宋体" w:eastAsia="宋体" w:hint="default"/>
        </w:rPr>
      </w:pPr>
      <w:r>
        <w:rPr/>
        <w:t>①</w:t>
      </w:r>
      <w:r>
        <w:rPr>
          <w:spacing w:val="1"/>
        </w:rPr>
        <w:t> </w:t>
      </w:r>
      <w:r>
        <w:rPr>
          <w:rFonts w:ascii="宋体" w:hAnsi="宋体" w:cs="宋体" w:eastAsia="宋体" w:hint="default"/>
          <w:spacing w:val="1"/>
        </w:rPr>
      </w:r>
      <w:r>
        <w:rPr/>
        <w:t>债务人发生严重财务困难；</w:t>
      </w:r>
      <w:r>
        <w:rPr>
          <w:rFonts w:ascii="宋体" w:hAnsi="宋体" w:cs="宋体" w:eastAsia="宋体" w:hint="default"/>
        </w:rPr>
        <w:t> </w:t>
      </w:r>
    </w:p>
    <w:p>
      <w:pPr>
        <w:pStyle w:val="BodyText"/>
        <w:spacing w:line="240" w:lineRule="auto" w:before="76"/>
        <w:ind w:left="513" w:right="1133"/>
        <w:jc w:val="left"/>
        <w:rPr>
          <w:rFonts w:ascii="宋体" w:hAnsi="宋体" w:cs="宋体" w:eastAsia="宋体" w:hint="default"/>
        </w:rPr>
      </w:pPr>
      <w:r>
        <w:rPr/>
        <w:t>②</w:t>
      </w:r>
      <w:r>
        <w:rPr>
          <w:spacing w:val="1"/>
        </w:rPr>
        <w:t> </w:t>
      </w:r>
      <w:r>
        <w:rPr>
          <w:rFonts w:ascii="宋体" w:hAnsi="宋体" w:cs="宋体" w:eastAsia="宋体" w:hint="default"/>
          <w:spacing w:val="1"/>
        </w:rPr>
      </w:r>
      <w:r>
        <w:rPr/>
        <w:t>债务人违反了合同条款，如偿付利息或本金发生违约或逾期；</w:t>
      </w:r>
      <w:r>
        <w:rPr>
          <w:rFonts w:ascii="宋体" w:hAnsi="宋体" w:cs="宋体" w:eastAsia="宋体" w:hint="default"/>
        </w:rPr>
        <w:t> </w:t>
      </w:r>
    </w:p>
    <w:p>
      <w:pPr>
        <w:pStyle w:val="BodyText"/>
        <w:spacing w:line="240" w:lineRule="auto" w:before="76"/>
        <w:ind w:left="513" w:right="1133"/>
        <w:jc w:val="left"/>
        <w:rPr>
          <w:rFonts w:ascii="宋体" w:hAnsi="宋体" w:cs="宋体" w:eastAsia="宋体" w:hint="default"/>
        </w:rPr>
      </w:pPr>
      <w:r>
        <w:rPr/>
        <w:t>③</w:t>
      </w:r>
      <w:r>
        <w:rPr>
          <w:spacing w:val="1"/>
        </w:rPr>
        <w:t> </w:t>
      </w:r>
      <w:r>
        <w:rPr>
          <w:rFonts w:ascii="宋体" w:hAnsi="宋体" w:cs="宋体" w:eastAsia="宋体" w:hint="default"/>
          <w:spacing w:val="1"/>
        </w:rPr>
      </w:r>
      <w:r>
        <w:rPr/>
        <w:t>公司出于经济或法律等方面因素的考虑，对发生财务困难的债务人作出让步；</w:t>
      </w:r>
      <w:r>
        <w:rPr>
          <w:rFonts w:ascii="宋体" w:hAnsi="宋体" w:cs="宋体" w:eastAsia="宋体" w:hint="default"/>
        </w:rPr>
        <w:t> </w:t>
      </w:r>
    </w:p>
    <w:p>
      <w:pPr>
        <w:pStyle w:val="BodyText"/>
        <w:spacing w:line="240" w:lineRule="auto" w:before="77"/>
        <w:ind w:left="513" w:right="1133"/>
        <w:jc w:val="left"/>
        <w:rPr>
          <w:rFonts w:ascii="宋体" w:hAnsi="宋体" w:cs="宋体" w:eastAsia="宋体" w:hint="default"/>
        </w:rPr>
      </w:pPr>
      <w:r>
        <w:rPr/>
        <w:t>④</w:t>
      </w:r>
      <w:r>
        <w:rPr>
          <w:spacing w:val="1"/>
        </w:rPr>
        <w:t> </w:t>
      </w:r>
      <w:r>
        <w:rPr>
          <w:rFonts w:ascii="宋体" w:hAnsi="宋体" w:cs="宋体" w:eastAsia="宋体" w:hint="default"/>
          <w:spacing w:val="1"/>
        </w:rPr>
      </w:r>
      <w:r>
        <w:rPr/>
        <w:t>债务人很可能倒闭或进行其他财务重组；</w:t>
      </w:r>
      <w:r>
        <w:rPr>
          <w:rFonts w:ascii="宋体" w:hAnsi="宋体" w:cs="宋体" w:eastAsia="宋体" w:hint="default"/>
        </w:rPr>
        <w:t> </w:t>
      </w:r>
    </w:p>
    <w:p>
      <w:pPr>
        <w:pStyle w:val="BodyText"/>
        <w:spacing w:line="240" w:lineRule="auto" w:before="76"/>
        <w:ind w:left="513" w:right="1133"/>
        <w:jc w:val="left"/>
        <w:rPr>
          <w:rFonts w:ascii="宋体" w:hAnsi="宋体" w:cs="宋体" w:eastAsia="宋体" w:hint="default"/>
        </w:rPr>
      </w:pPr>
      <w:r>
        <w:rPr/>
        <w:t>⑤</w:t>
      </w:r>
      <w:r>
        <w:rPr>
          <w:spacing w:val="1"/>
        </w:rPr>
        <w:t> </w:t>
      </w:r>
      <w:r>
        <w:rPr>
          <w:rFonts w:ascii="宋体" w:hAnsi="宋体" w:cs="宋体" w:eastAsia="宋体" w:hint="default"/>
          <w:spacing w:val="1"/>
        </w:rPr>
      </w:r>
      <w:r>
        <w:rPr/>
        <w:t>因债务人发生重大财务困难，该债务工具无法在活跃市场继续交易；</w:t>
      </w:r>
      <w:r>
        <w:rPr>
          <w:rFonts w:ascii="宋体" w:hAnsi="宋体" w:cs="宋体" w:eastAsia="宋体" w:hint="default"/>
        </w:rPr>
        <w:t> </w:t>
      </w:r>
    </w:p>
    <w:p>
      <w:pPr>
        <w:pStyle w:val="BodyText"/>
        <w:spacing w:line="316" w:lineRule="auto" w:before="76"/>
        <w:ind w:left="513" w:right="1129"/>
        <w:jc w:val="left"/>
      </w:pPr>
      <w:r>
        <w:rPr/>
        <w:t>⑥</w:t>
      </w:r>
      <w:r>
        <w:rPr>
          <w:spacing w:val="1"/>
        </w:rPr>
        <w:t> </w:t>
      </w:r>
      <w:r>
        <w:rPr>
          <w:rFonts w:ascii="宋体" w:hAnsi="宋体" w:cs="宋体" w:eastAsia="宋体" w:hint="default"/>
          <w:spacing w:val="1"/>
        </w:rPr>
      </w:r>
      <w:r>
        <w:rPr/>
        <w:t>其他表明可供出售债务工具已经发生减值的情况。</w:t>
      </w:r>
      <w:r>
        <w:rPr>
          <w:rFonts w:ascii="宋体" w:hAnsi="宋体" w:cs="宋体" w:eastAsia="宋体" w:hint="default"/>
        </w:rPr>
        <w:t> </w:t>
      </w:r>
      <w:r>
        <w:rPr>
          <w:rFonts w:ascii="宋体" w:hAnsi="宋体" w:cs="宋体" w:eastAsia="宋体" w:hint="default"/>
          <w:spacing w:val="-2"/>
        </w:rPr>
        <w:t>2)</w:t>
      </w:r>
      <w:r>
        <w:rPr>
          <w:spacing w:val="-2"/>
        </w:rPr>
        <w:t>表明可供出售权益工具投资发生减值的客观证据包括权益工具投资的公允价值发生严重或非暂时性下跌，以及被投资</w:t>
      </w:r>
    </w:p>
    <w:p>
      <w:pPr>
        <w:pStyle w:val="BodyText"/>
        <w:spacing w:line="316" w:lineRule="auto" w:before="19"/>
        <w:ind w:left="513" w:right="1129" w:hanging="361"/>
        <w:jc w:val="left"/>
      </w:pPr>
      <w:r>
        <w:rPr/>
        <w:t>单位经营所处的技术、市场、经济或法律环境等发生重大不利变化使公司可能无法收回投资成本。</w:t>
      </w:r>
      <w:r>
        <w:rPr>
          <w:rFonts w:ascii="宋体" w:hAnsi="宋体" w:cs="宋体" w:eastAsia="宋体" w:hint="default"/>
        </w:rPr>
        <w:t> </w:t>
      </w:r>
      <w:r>
        <w:rPr>
          <w:spacing w:val="-2"/>
        </w:rPr>
        <w:t>本公司于资产负债表日对各项可供出售权益工具投资单独进行检查。对于以公允价值计量的权益工具投资，若其于资产</w:t>
      </w:r>
    </w:p>
    <w:p>
      <w:pPr>
        <w:pStyle w:val="BodyText"/>
        <w:spacing w:line="319" w:lineRule="auto" w:before="19"/>
        <w:ind w:right="1130"/>
        <w:jc w:val="both"/>
        <w:rPr>
          <w:rFonts w:ascii="宋体" w:hAnsi="宋体" w:cs="宋体" w:eastAsia="宋体" w:hint="default"/>
        </w:rPr>
      </w:pPr>
      <w:r>
        <w:rPr>
          <w:spacing w:val="-2"/>
        </w:rPr>
        <w:t>负债表日的公允价值低于其成本超过</w:t>
      </w:r>
      <w:r>
        <w:rPr>
          <w:rFonts w:ascii="宋体" w:hAnsi="宋体" w:cs="宋体" w:eastAsia="宋体" w:hint="default"/>
          <w:spacing w:val="-2"/>
        </w:rPr>
        <w:t>50%(</w:t>
      </w:r>
      <w:r>
        <w:rPr>
          <w:spacing w:val="-2"/>
        </w:rPr>
        <w:t>含</w:t>
      </w:r>
      <w:r>
        <w:rPr>
          <w:rFonts w:ascii="宋体" w:hAnsi="宋体" w:cs="宋体" w:eastAsia="宋体" w:hint="default"/>
          <w:spacing w:val="-2"/>
        </w:rPr>
        <w:t>50%)</w:t>
      </w:r>
      <w:r>
        <w:rPr>
          <w:spacing w:val="-2"/>
        </w:rPr>
        <w:t>或低于其成本持续时间超过</w:t>
      </w:r>
      <w:r>
        <w:rPr>
          <w:rFonts w:ascii="宋体" w:hAnsi="宋体" w:cs="宋体" w:eastAsia="宋体" w:hint="default"/>
          <w:spacing w:val="-2"/>
        </w:rPr>
        <w:t>12</w:t>
      </w:r>
      <w:r>
        <w:rPr>
          <w:spacing w:val="-2"/>
        </w:rPr>
        <w:t>个月</w:t>
      </w:r>
      <w:r>
        <w:rPr>
          <w:rFonts w:ascii="宋体" w:hAnsi="宋体" w:cs="宋体" w:eastAsia="宋体" w:hint="default"/>
          <w:spacing w:val="-2"/>
        </w:rPr>
        <w:t>(</w:t>
      </w:r>
      <w:r>
        <w:rPr>
          <w:spacing w:val="-2"/>
        </w:rPr>
        <w:t>含</w:t>
      </w:r>
      <w:r>
        <w:rPr>
          <w:rFonts w:ascii="宋体" w:hAnsi="宋体" w:cs="宋体" w:eastAsia="宋体" w:hint="default"/>
          <w:spacing w:val="-2"/>
        </w:rPr>
        <w:t>12</w:t>
      </w:r>
      <w:r>
        <w:rPr>
          <w:spacing w:val="-2"/>
        </w:rPr>
        <w:t>个月</w:t>
      </w:r>
      <w:r>
        <w:rPr>
          <w:rFonts w:ascii="宋体" w:hAnsi="宋体" w:cs="宋体" w:eastAsia="宋体" w:hint="default"/>
          <w:spacing w:val="-2"/>
        </w:rPr>
        <w:t>)</w:t>
      </w:r>
      <w:r>
        <w:rPr>
          <w:spacing w:val="-2"/>
        </w:rPr>
        <w:t>的，则表明其发生减值；若其</w:t>
      </w:r>
      <w:r>
        <w:rPr>
          <w:spacing w:val="-56"/>
        </w:rPr>
        <w:t> </w:t>
      </w:r>
      <w:r>
        <w:rPr>
          <w:spacing w:val="-56"/>
        </w:rPr>
      </w:r>
      <w:r>
        <w:rPr/>
        <w:t>于资产负债表日的公允价值低于其成本超过</w:t>
      </w:r>
      <w:r>
        <w:rPr>
          <w:rFonts w:ascii="宋体" w:hAnsi="宋体" w:cs="宋体" w:eastAsia="宋体" w:hint="default"/>
        </w:rPr>
        <w:t>20%(</w:t>
      </w:r>
      <w:r>
        <w:rPr/>
        <w:t>含</w:t>
      </w:r>
      <w:r>
        <w:rPr>
          <w:rFonts w:ascii="宋体" w:hAnsi="宋体" w:cs="宋体" w:eastAsia="宋体" w:hint="default"/>
        </w:rPr>
        <w:t>20%)</w:t>
      </w:r>
      <w:r>
        <w:rPr/>
        <w:t>但尚未达到</w:t>
      </w:r>
      <w:r>
        <w:rPr>
          <w:rFonts w:ascii="宋体" w:hAnsi="宋体" w:cs="宋体" w:eastAsia="宋体" w:hint="default"/>
        </w:rPr>
        <w:t>50%</w:t>
      </w:r>
      <w:r>
        <w:rPr/>
        <w:t>的，或低于其成本持续时间超过</w:t>
      </w:r>
      <w:r>
        <w:rPr>
          <w:rFonts w:ascii="宋体" w:hAnsi="宋体" w:cs="宋体" w:eastAsia="宋体" w:hint="default"/>
        </w:rPr>
        <w:t>6</w:t>
      </w:r>
      <w:r>
        <w:rPr/>
        <w:t>个月</w:t>
      </w:r>
      <w:r>
        <w:rPr>
          <w:rFonts w:ascii="宋体" w:hAnsi="宋体" w:cs="宋体" w:eastAsia="宋体" w:hint="default"/>
        </w:rPr>
        <w:t>(</w:t>
      </w:r>
      <w:r>
        <w:rPr/>
        <w:t>含</w:t>
      </w:r>
      <w:r>
        <w:rPr>
          <w:rFonts w:ascii="宋体" w:hAnsi="宋体" w:cs="宋体" w:eastAsia="宋体" w:hint="default"/>
        </w:rPr>
        <w:t>6</w:t>
      </w:r>
      <w:r>
        <w:rPr/>
        <w:t>个月</w:t>
      </w:r>
      <w:r>
        <w:rPr>
          <w:rFonts w:ascii="宋体" w:hAnsi="宋体" w:cs="宋体" w:eastAsia="宋体" w:hint="default"/>
        </w:rPr>
        <w:t>)</w:t>
      </w:r>
      <w:r>
        <w:rPr/>
        <w:t>但未</w:t>
      </w:r>
      <w:r>
        <w:rPr>
          <w:spacing w:val="-3"/>
        </w:rPr>
        <w:t> </w:t>
      </w:r>
      <w:r>
        <w:rPr>
          <w:spacing w:val="-2"/>
        </w:rPr>
        <w:t>超过</w:t>
      </w:r>
      <w:r>
        <w:rPr>
          <w:rFonts w:ascii="宋体" w:hAnsi="宋体" w:cs="宋体" w:eastAsia="宋体" w:hint="default"/>
          <w:spacing w:val="-2"/>
        </w:rPr>
        <w:t>12</w:t>
      </w:r>
      <w:r>
        <w:rPr>
          <w:spacing w:val="-2"/>
        </w:rPr>
        <w:t>个月的，本公司会综合考虑其他相关因素，诸如价格波动率等，判断该权益工具投资是否发生减值。对于以成本计量</w:t>
      </w:r>
      <w:r>
        <w:rPr>
          <w:spacing w:val="-63"/>
        </w:rPr>
        <w:t> </w:t>
      </w:r>
      <w:r>
        <w:rPr>
          <w:spacing w:val="-63"/>
        </w:rPr>
      </w:r>
      <w:r>
        <w:rPr>
          <w:spacing w:val="-2"/>
        </w:rPr>
        <w:t>的权益工具投资，公司综合考虑被投资单位经营所处的技术、市场、经济或法律环境等是否发生重大不利变化，判断该权益</w:t>
      </w:r>
      <w:r>
        <w:rPr>
          <w:spacing w:val="-64"/>
        </w:rPr>
        <w:t> </w:t>
      </w:r>
      <w:r>
        <w:rPr>
          <w:spacing w:val="-64"/>
        </w:rPr>
      </w:r>
      <w:r>
        <w:rPr/>
        <w:t>工具是否发生减值。</w:t>
      </w:r>
      <w:r>
        <w:rPr>
          <w:rFonts w:ascii="宋体" w:hAnsi="宋体" w:cs="宋体" w:eastAsia="宋体" w:hint="default"/>
        </w:rPr>
        <w:t> </w:t>
      </w:r>
    </w:p>
    <w:p>
      <w:pPr>
        <w:pStyle w:val="BodyText"/>
        <w:spacing w:line="316" w:lineRule="auto" w:before="17"/>
        <w:ind w:right="1130" w:firstLine="360"/>
        <w:jc w:val="both"/>
        <w:rPr>
          <w:rFonts w:ascii="宋体" w:hAnsi="宋体" w:cs="宋体" w:eastAsia="宋体" w:hint="default"/>
        </w:rPr>
      </w:pPr>
      <w:r>
        <w:rPr>
          <w:spacing w:val="-2"/>
        </w:rPr>
        <w:t>以公允价值计量的可供出售金融资产发生减值时，原直接计入其他综合收益的因公允价值下降形成的累计损失予以转出</w:t>
      </w:r>
      <w:r>
        <w:rPr/>
        <w:t> </w:t>
      </w:r>
      <w:r>
        <w:rPr>
          <w:spacing w:val="-2"/>
        </w:rPr>
        <w:t>并计入减值损失。对已确认减值损失的可供出售债务工具投资，在期后公允价值回升且客观上与确认原减值损失后发生的事</w:t>
      </w:r>
      <w:r>
        <w:rPr>
          <w:spacing w:val="-64"/>
        </w:rPr>
        <w:t> </w:t>
      </w:r>
      <w:r>
        <w:rPr>
          <w:spacing w:val="-64"/>
        </w:rPr>
      </w:r>
      <w:r>
        <w:rPr>
          <w:spacing w:val="-2"/>
        </w:rPr>
        <w:t>项有关的，原确认的减值损失予以转回并计入当期损益。对已确认减值损失的可供出售权益工具投资，期后公允价值回升直</w:t>
      </w:r>
      <w:r>
        <w:rPr>
          <w:spacing w:val="-63"/>
        </w:rPr>
        <w:t> </w:t>
      </w:r>
      <w:r>
        <w:rPr>
          <w:spacing w:val="-63"/>
        </w:rPr>
      </w:r>
      <w:r>
        <w:rPr/>
        <w:t>接计入其他综合收益。</w:t>
      </w:r>
      <w:r>
        <w:rPr>
          <w:rFonts w:ascii="宋体" w:hAnsi="宋体" w:cs="宋体" w:eastAsia="宋体" w:hint="default"/>
        </w:rPr>
        <w:t> </w:t>
      </w:r>
    </w:p>
    <w:p>
      <w:pPr>
        <w:pStyle w:val="BodyText"/>
        <w:spacing w:line="316" w:lineRule="auto" w:before="19"/>
        <w:ind w:right="1132" w:firstLine="360"/>
        <w:jc w:val="both"/>
        <w:rPr>
          <w:rFonts w:ascii="宋体" w:hAnsi="宋体" w:cs="宋体" w:eastAsia="宋体" w:hint="default"/>
        </w:rPr>
      </w:pPr>
      <w:r>
        <w:rPr>
          <w:spacing w:val="-2"/>
        </w:rPr>
        <w:t>以成本计量的可供出售权益工具发生减值时，将该权益工具投资的账面价值，与按照类似金融资产当时市场收益率对未</w:t>
      </w:r>
      <w:r>
        <w:rPr/>
        <w:t> 来现金流量折现确定的现值之间的差额，确认为减值损失，计入当期损益，发生的减值损失一经确认，不予转回。</w:t>
      </w:r>
      <w:r>
        <w:rPr>
          <w:rFonts w:ascii="宋体" w:hAnsi="宋体" w:cs="宋体" w:eastAsia="宋体" w:hint="default"/>
        </w:rPr>
        <w:t> </w:t>
      </w:r>
    </w:p>
    <w:p>
      <w:pPr>
        <w:pStyle w:val="BodyText"/>
        <w:spacing w:line="316" w:lineRule="auto" w:before="19"/>
        <w:ind w:left="513" w:right="1133"/>
        <w:jc w:val="left"/>
      </w:pPr>
      <w:r>
        <w:rPr>
          <w:rFonts w:ascii="宋体" w:hAnsi="宋体" w:cs="宋体" w:eastAsia="宋体" w:hint="default"/>
        </w:rPr>
        <w:t>4</w:t>
      </w:r>
      <w:r>
        <w:rPr/>
        <w:t>、金融资产转移的确认依据和计量方法</w:t>
      </w:r>
      <w:r>
        <w:rPr>
          <w:rFonts w:ascii="宋体" w:hAnsi="宋体" w:cs="宋体" w:eastAsia="宋体" w:hint="default"/>
        </w:rPr>
        <w:t> </w:t>
      </w:r>
      <w:r>
        <w:rPr>
          <w:spacing w:val="-2"/>
        </w:rPr>
        <w:t>满足下列条件之一的金融资产，予以终止确认：①收取该金融资产现金流量的合同权利终止；②该金融资产已转移，且</w:t>
      </w:r>
    </w:p>
    <w:p>
      <w:pPr>
        <w:pStyle w:val="BodyText"/>
        <w:spacing w:line="316" w:lineRule="auto" w:before="19"/>
        <w:ind w:right="1133"/>
        <w:jc w:val="both"/>
        <w:rPr>
          <w:rFonts w:ascii="宋体" w:hAnsi="宋体" w:cs="宋体" w:eastAsia="宋体" w:hint="default"/>
        </w:rPr>
      </w:pPr>
      <w:r>
        <w:rPr>
          <w:spacing w:val="-2"/>
        </w:rPr>
        <w:t>将金融资产所有权上几乎所有的风险和报酬转移给转入方；③该金融资产已转移，虽然企业既没有转移也没有保留金融资产</w:t>
      </w:r>
      <w:r>
        <w:rPr>
          <w:spacing w:val="-64"/>
        </w:rPr>
        <w:t> </w:t>
      </w:r>
      <w:r>
        <w:rPr>
          <w:spacing w:val="-64"/>
        </w:rPr>
      </w:r>
      <w:r>
        <w:rPr/>
        <w:t>所有权上几乎所有的风险和报酬，但是放弃了对该金融资产的控制。</w:t>
      </w:r>
      <w:r>
        <w:rPr>
          <w:rFonts w:ascii="宋体" w:hAnsi="宋体" w:cs="宋体" w:eastAsia="宋体" w:hint="default"/>
        </w:rPr>
        <w:t> </w:t>
      </w:r>
    </w:p>
    <w:p>
      <w:pPr>
        <w:pStyle w:val="BodyText"/>
        <w:spacing w:line="316" w:lineRule="auto" w:before="19"/>
        <w:ind w:right="1130" w:firstLine="360"/>
        <w:jc w:val="both"/>
        <w:rPr>
          <w:rFonts w:ascii="宋体" w:hAnsi="宋体" w:cs="宋体" w:eastAsia="宋体" w:hint="default"/>
        </w:rPr>
      </w:pPr>
      <w:r>
        <w:rPr>
          <w:spacing w:val="-2"/>
        </w:rPr>
        <w:t>若企业既没有转移也没有保留金融资产所有权上几乎所有的风险和报酬，且未放弃对该金融资产的控制的，则按照继续</w:t>
      </w:r>
      <w:r>
        <w:rPr/>
        <w:t> </w:t>
      </w:r>
      <w:r>
        <w:rPr>
          <w:spacing w:val="-2"/>
        </w:rPr>
        <w:t>涉入所转移金融资产的程度确认有关金融资产，并相应确认有关负债。继续涉入所转移金融资产的程度，是指该金融资产价</w:t>
      </w:r>
      <w:r>
        <w:rPr>
          <w:spacing w:val="-63"/>
        </w:rPr>
        <w:t> </w:t>
      </w:r>
      <w:r>
        <w:rPr>
          <w:spacing w:val="-63"/>
        </w:rPr>
      </w:r>
      <w:r>
        <w:rPr/>
        <w:t>值变动使企业面临的风险水平。</w:t>
      </w:r>
      <w:r>
        <w:rPr>
          <w:rFonts w:ascii="宋体" w:hAnsi="宋体" w:cs="宋体" w:eastAsia="宋体" w:hint="default"/>
        </w:rPr>
        <w:t> </w:t>
      </w:r>
    </w:p>
    <w:p>
      <w:pPr>
        <w:pStyle w:val="BodyText"/>
        <w:spacing w:line="316" w:lineRule="auto" w:before="19"/>
        <w:ind w:right="1132" w:firstLine="360"/>
        <w:jc w:val="both"/>
        <w:rPr>
          <w:rFonts w:ascii="宋体" w:hAnsi="宋体" w:cs="宋体" w:eastAsia="宋体" w:hint="default"/>
        </w:rPr>
      </w:pPr>
      <w:r>
        <w:rPr>
          <w:spacing w:val="-2"/>
        </w:rPr>
        <w:t>金融资产整体转移满足终止确认条件的，将所转移金融资产的账面价值及因转移而收到的对价与原计入其他综合收益的</w:t>
      </w:r>
      <w:r>
        <w:rPr/>
        <w:t> 公允价值变动累计额之和的差额计入当期损益。</w:t>
      </w:r>
      <w:r>
        <w:rPr>
          <w:rFonts w:ascii="宋体" w:hAnsi="宋体" w:cs="宋体" w:eastAsia="宋体" w:hint="default"/>
        </w:rPr>
        <w:t> </w:t>
      </w:r>
    </w:p>
    <w:p>
      <w:pPr>
        <w:pStyle w:val="BodyText"/>
        <w:spacing w:line="316" w:lineRule="auto" w:before="19"/>
        <w:ind w:right="1132" w:firstLine="360"/>
        <w:jc w:val="both"/>
        <w:rPr>
          <w:rFonts w:ascii="宋体" w:hAnsi="宋体" w:cs="宋体" w:eastAsia="宋体" w:hint="default"/>
        </w:rPr>
      </w:pPr>
      <w:r>
        <w:rPr>
          <w:spacing w:val="-2"/>
        </w:rPr>
        <w:t>金融资产部分转移满足终止确认条件的，将所转移金融资产的账面价值在终止确认及未终止确认部分之间按其相对的公</w:t>
      </w:r>
      <w:r>
        <w:rPr/>
        <w:t> </w:t>
      </w:r>
      <w:r>
        <w:rPr>
          <w:spacing w:val="-2"/>
        </w:rPr>
        <w:t>允价值进行分摊，并将因转移而收到的对价与应分摊至终止确认部分的原计入其他综合收益的公允价值变动累计额之和与分</w:t>
      </w:r>
      <w:r>
        <w:rPr>
          <w:spacing w:val="-64"/>
        </w:rPr>
        <w:t> </w:t>
      </w:r>
      <w:r>
        <w:rPr>
          <w:spacing w:val="-64"/>
        </w:rPr>
      </w:r>
      <w:r>
        <w:rPr/>
        <w:t>摊的前述账面金额之差额计入当期损益。</w:t>
      </w:r>
      <w:r>
        <w:rPr>
          <w:rFonts w:ascii="宋体" w:hAnsi="宋体" w:cs="宋体" w:eastAsia="宋体" w:hint="default"/>
        </w:rPr>
        <w:t> </w:t>
      </w:r>
    </w:p>
    <w:p>
      <w:pPr>
        <w:pStyle w:val="BodyText"/>
        <w:spacing w:line="319" w:lineRule="auto" w:before="19"/>
        <w:ind w:right="1132" w:firstLine="360"/>
        <w:jc w:val="both"/>
        <w:rPr>
          <w:rFonts w:ascii="宋体" w:hAnsi="宋体" w:cs="宋体" w:eastAsia="宋体" w:hint="default"/>
        </w:rPr>
      </w:pPr>
      <w:r>
        <w:rPr>
          <w:spacing w:val="-2"/>
        </w:rPr>
        <w:t>本公司对采用附追索权方式出售的金融资产，或将持有的金融资产背书转让，需确定该金融资产所有权上几乎所有的风</w:t>
      </w:r>
      <w:r>
        <w:rPr/>
        <w:t> </w:t>
      </w:r>
      <w:r>
        <w:rPr>
          <w:spacing w:val="-2"/>
        </w:rPr>
        <w:t>险和报酬是否已经转移。已将该金融资产所有权上几乎所有的风险和报酬转移给转入方的，终止确认该金融资产；保留了金</w:t>
      </w:r>
      <w:r>
        <w:rPr>
          <w:spacing w:val="-65"/>
        </w:rPr>
        <w:t> </w:t>
      </w:r>
      <w:r>
        <w:rPr>
          <w:spacing w:val="-65"/>
        </w:rPr>
      </w:r>
      <w:r>
        <w:rPr>
          <w:spacing w:val="-2"/>
        </w:rPr>
        <w:t>融资产所有权上几乎所有的风险和报酬的，不终止确认该金融资产；既没有转移也没有保留金融资产所有权上几乎所有的风</w:t>
      </w:r>
      <w:r>
        <w:rPr>
          <w:spacing w:val="-64"/>
        </w:rPr>
        <w:t> </w:t>
      </w:r>
      <w:r>
        <w:rPr>
          <w:spacing w:val="-64"/>
        </w:rPr>
      </w:r>
      <w:r>
        <w:rPr/>
        <w:t>险和报酬的，则继续判断企业是否对该资产保留了控制，并根据前面各段所述的原则进行会计处理。</w:t>
      </w:r>
      <w:r>
        <w:rPr>
          <w:rFonts w:ascii="宋体" w:hAnsi="宋体" w:cs="宋体" w:eastAsia="宋体" w:hint="default"/>
        </w:rPr>
        <w:t> </w:t>
      </w:r>
    </w:p>
    <w:p>
      <w:pPr>
        <w:spacing w:after="0" w:line="319" w:lineRule="auto"/>
        <w:jc w:val="both"/>
        <w:rPr>
          <w:rFonts w:ascii="宋体" w:hAnsi="宋体" w:cs="宋体" w:eastAsia="宋体" w:hint="default"/>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left="513" w:right="1033"/>
        <w:jc w:val="left"/>
      </w:pPr>
      <w:r>
        <w:rPr>
          <w:rFonts w:ascii="宋体" w:hAnsi="宋体" w:cs="宋体" w:eastAsia="宋体" w:hint="default"/>
        </w:rPr>
        <w:t>5</w:t>
      </w:r>
      <w:r>
        <w:rPr/>
        <w:t>、金融负债的分类和计量</w:t>
      </w:r>
      <w:r>
        <w:rPr>
          <w:rFonts w:ascii="宋体" w:hAnsi="宋体" w:cs="宋体" w:eastAsia="宋体" w:hint="default"/>
        </w:rPr>
        <w:t> </w:t>
      </w:r>
      <w:r>
        <w:rPr/>
        <w:t>金融负债在初始确认时划分为以公允价值计量且其变动计入当期损益的金融负债和其他金融负债。初始确认金融负债，</w:t>
      </w:r>
    </w:p>
    <w:p>
      <w:pPr>
        <w:pStyle w:val="BodyText"/>
        <w:spacing w:line="316" w:lineRule="auto" w:before="19"/>
        <w:ind w:right="1129"/>
        <w:jc w:val="left"/>
        <w:rPr>
          <w:rFonts w:ascii="宋体" w:hAnsi="宋体" w:cs="宋体" w:eastAsia="宋体" w:hint="default"/>
        </w:rPr>
      </w:pPr>
      <w:r>
        <w:rPr>
          <w:spacing w:val="-2"/>
        </w:rPr>
        <w:t>以公允价值计量。对于以公允价值计量且其变动计入当期损益的金融负债，相关的交易费用直接计入当期损益；对于其他金</w:t>
      </w:r>
      <w:r>
        <w:rPr>
          <w:spacing w:val="-63"/>
        </w:rPr>
        <w:t> </w:t>
      </w:r>
      <w:r>
        <w:rPr>
          <w:spacing w:val="-63"/>
        </w:rPr>
      </w:r>
      <w:r>
        <w:rPr/>
        <w:t>融负债，相关交易费用计入初始确认金额。</w:t>
      </w:r>
      <w:r>
        <w:rPr>
          <w:rFonts w:ascii="宋体" w:hAnsi="宋体" w:cs="宋体" w:eastAsia="宋体" w:hint="default"/>
        </w:rPr>
        <w:t> </w:t>
      </w:r>
    </w:p>
    <w:p>
      <w:pPr>
        <w:pStyle w:val="BodyText"/>
        <w:spacing w:line="316" w:lineRule="auto" w:before="19"/>
        <w:ind w:left="513" w:right="1213"/>
        <w:jc w:val="left"/>
      </w:pPr>
      <w:r>
        <w:rPr>
          <w:rFonts w:ascii="宋体" w:hAnsi="宋体" w:cs="宋体" w:eastAsia="宋体" w:hint="default"/>
        </w:rPr>
        <w:t>(1)</w:t>
      </w:r>
      <w:r>
        <w:rPr/>
        <w:t>以公允价值计量且其变动计入当期损益的金融负债</w:t>
      </w:r>
      <w:r>
        <w:rPr>
          <w:rFonts w:ascii="宋体" w:hAnsi="宋体" w:cs="宋体" w:eastAsia="宋体" w:hint="default"/>
        </w:rPr>
        <w:t> </w:t>
      </w:r>
      <w:r>
        <w:rPr/>
        <w:t>分类为交易性金融负债和在初始确认时指定为以公允价值计量且其变动计入当期损益的金融负债的条件与分类为交易</w:t>
      </w:r>
    </w:p>
    <w:p>
      <w:pPr>
        <w:pStyle w:val="BodyText"/>
        <w:spacing w:line="316" w:lineRule="auto" w:before="19"/>
        <w:ind w:left="513" w:right="1034" w:hanging="361"/>
        <w:jc w:val="left"/>
      </w:pPr>
      <w:r>
        <w:rPr/>
        <w:t>性金融资产和在初始确认时指定为以公允价值计量且其变动计入当期损益的金融资产的条件一致。</w:t>
      </w:r>
      <w:r>
        <w:rPr>
          <w:rFonts w:ascii="宋体" w:hAnsi="宋体" w:cs="宋体" w:eastAsia="宋体" w:hint="default"/>
        </w:rPr>
        <w:t> </w:t>
      </w:r>
      <w:r>
        <w:rPr>
          <w:spacing w:val="-2"/>
        </w:rPr>
        <w:t>以公允价值计量且其变动计入当期损益的金融负债采用公允价值进行后续计量，公允价值的变动形成的利得或损失以及</w:t>
      </w:r>
      <w:r>
        <w:rPr>
          <w:rFonts w:ascii="宋体" w:hAnsi="宋体" w:cs="宋体" w:eastAsia="宋体" w:hint="default"/>
        </w:rPr>
        <w:t> (2)</w:t>
      </w:r>
      <w:r>
        <w:rPr/>
        <w:t>其他金融负债</w:t>
      </w:r>
      <w:r>
        <w:rPr>
          <w:rFonts w:ascii="宋体" w:hAnsi="宋体" w:cs="宋体" w:eastAsia="宋体" w:hint="default"/>
        </w:rPr>
        <w:t> </w:t>
      </w:r>
      <w:r>
        <w:rPr>
          <w:spacing w:val="-2"/>
        </w:rPr>
        <w:t>与在活跃市场中没有报价、公允价值不能可靠计量的权益工具挂钩并须通过交付该权益工具结算的衍生金融负债，按照</w:t>
      </w:r>
    </w:p>
    <w:p>
      <w:pPr>
        <w:pStyle w:val="BodyText"/>
        <w:spacing w:line="319" w:lineRule="auto" w:before="19"/>
        <w:ind w:right="1129"/>
        <w:jc w:val="left"/>
        <w:rPr>
          <w:rFonts w:ascii="宋体" w:hAnsi="宋体" w:cs="宋体" w:eastAsia="宋体" w:hint="default"/>
        </w:rPr>
      </w:pPr>
      <w:r>
        <w:rPr>
          <w:spacing w:val="-2"/>
        </w:rPr>
        <w:t>成本进行后续计量。其他金融负债采用实际利率法，按摊余成本进行后续计量，终止确认或摊销产生的利得或损失计入当期</w:t>
      </w:r>
      <w:r>
        <w:rPr>
          <w:spacing w:val="-63"/>
        </w:rPr>
        <w:t> </w:t>
      </w:r>
      <w:r>
        <w:rPr>
          <w:spacing w:val="-63"/>
        </w:rPr>
      </w:r>
      <w:r>
        <w:rPr/>
        <w:t>损益。</w:t>
      </w:r>
      <w:r>
        <w:rPr>
          <w:rFonts w:ascii="宋体" w:hAnsi="宋体" w:cs="宋体" w:eastAsia="宋体" w:hint="default"/>
        </w:rPr>
        <w:t> </w:t>
      </w:r>
    </w:p>
    <w:p>
      <w:pPr>
        <w:pStyle w:val="BodyText"/>
        <w:tabs>
          <w:tab w:pos="2253" w:val="left" w:leader="none"/>
        </w:tabs>
        <w:spacing w:line="316" w:lineRule="auto" w:before="17"/>
        <w:ind w:left="513" w:right="1132"/>
        <w:jc w:val="left"/>
      </w:pPr>
      <w:r>
        <w:rPr>
          <w:rFonts w:ascii="宋体" w:hAnsi="宋体" w:cs="宋体" w:eastAsia="宋体" w:hint="default"/>
        </w:rPr>
        <w:t>(3)</w:t>
      </w:r>
      <w:r>
        <w:rPr/>
        <w:t>财务担保合同</w:t>
      </w:r>
      <w:r>
        <w:rPr>
          <w:rFonts w:ascii="宋体" w:hAnsi="宋体" w:cs="宋体" w:eastAsia="宋体" w:hint="default"/>
        </w:rPr>
        <w:t> </w:t>
        <w:tab/>
        <w:t> </w:t>
      </w:r>
      <w:r>
        <w:rPr>
          <w:spacing w:val="-2"/>
        </w:rPr>
        <w:t>不属于指定为以公允价值计量且其变动计入当期损益的金融负债的财务担保合同，以公允价值进行初始确认，在初始确</w:t>
      </w:r>
    </w:p>
    <w:p>
      <w:pPr>
        <w:pStyle w:val="BodyText"/>
        <w:spacing w:line="316" w:lineRule="auto" w:before="19"/>
        <w:ind w:right="1034"/>
        <w:jc w:val="left"/>
        <w:rPr>
          <w:rFonts w:ascii="宋体" w:hAnsi="宋体" w:cs="宋体" w:eastAsia="宋体" w:hint="default"/>
        </w:rPr>
      </w:pPr>
      <w:r>
        <w:rPr>
          <w:spacing w:val="-2"/>
        </w:rPr>
        <w:t>认后按照《企业会计准则第</w:t>
      </w:r>
      <w:r>
        <w:rPr>
          <w:rFonts w:ascii="宋体" w:hAnsi="宋体" w:cs="宋体" w:eastAsia="宋体" w:hint="default"/>
          <w:spacing w:val="-2"/>
        </w:rPr>
        <w:t>13</w:t>
      </w:r>
      <w:r>
        <w:rPr>
          <w:spacing w:val="-2"/>
        </w:rPr>
        <w:t>号—或有事项》确定的金额和初始确认金额扣除按照《企业会计准则第</w:t>
      </w:r>
      <w:r>
        <w:rPr>
          <w:rFonts w:ascii="宋体" w:hAnsi="宋体" w:cs="宋体" w:eastAsia="宋体" w:hint="default"/>
          <w:spacing w:val="-2"/>
        </w:rPr>
        <w:t>14</w:t>
      </w:r>
      <w:r>
        <w:rPr>
          <w:spacing w:val="-2"/>
        </w:rPr>
        <w:t>号—收入》的原则确</w:t>
      </w:r>
      <w:r>
        <w:rPr>
          <w:spacing w:val="-60"/>
        </w:rPr>
        <w:t> </w:t>
      </w:r>
      <w:r>
        <w:rPr>
          <w:spacing w:val="-60"/>
        </w:rPr>
      </w:r>
      <w:r>
        <w:rPr/>
        <w:t>定的累计摊销额后的余额之中的较高者进行后续计量。</w:t>
      </w:r>
      <w:r>
        <w:rPr>
          <w:rFonts w:ascii="宋体" w:hAnsi="宋体" w:cs="宋体" w:eastAsia="宋体" w:hint="default"/>
        </w:rPr>
        <w:t> </w:t>
      </w:r>
    </w:p>
    <w:p>
      <w:pPr>
        <w:pStyle w:val="BodyText"/>
        <w:spacing w:line="316" w:lineRule="auto" w:before="19"/>
        <w:ind w:left="513" w:right="1034"/>
        <w:jc w:val="left"/>
      </w:pPr>
      <w:r>
        <w:rPr>
          <w:rFonts w:ascii="宋体" w:hAnsi="宋体" w:cs="宋体" w:eastAsia="宋体" w:hint="default"/>
        </w:rPr>
        <w:t>6</w:t>
      </w:r>
      <w:r>
        <w:rPr/>
        <w:t>、金融负债的终止确认</w:t>
      </w:r>
      <w:r>
        <w:rPr>
          <w:rFonts w:ascii="宋体" w:hAnsi="宋体" w:cs="宋体" w:eastAsia="宋体" w:hint="default"/>
        </w:rPr>
        <w:t> </w:t>
      </w:r>
      <w:r>
        <w:rPr>
          <w:spacing w:val="-2"/>
        </w:rPr>
        <w:t>金融负债的现时义务全部或部分已经解除的，才能终止确认该金融负债或其一部分。本公司</w:t>
      </w:r>
      <w:r>
        <w:rPr>
          <w:rFonts w:ascii="宋体" w:hAnsi="宋体" w:cs="宋体" w:eastAsia="宋体" w:hint="default"/>
          <w:spacing w:val="-2"/>
        </w:rPr>
        <w:t>(</w:t>
      </w:r>
      <w:r>
        <w:rPr>
          <w:spacing w:val="-2"/>
        </w:rPr>
        <w:t>债务人</w:t>
      </w:r>
      <w:r>
        <w:rPr>
          <w:rFonts w:ascii="宋体" w:hAnsi="宋体" w:cs="宋体" w:eastAsia="宋体" w:hint="default"/>
          <w:spacing w:val="-2"/>
        </w:rPr>
        <w:t>)</w:t>
      </w:r>
      <w:r>
        <w:rPr>
          <w:spacing w:val="-2"/>
        </w:rPr>
        <w:t>与债权人之间签订</w:t>
      </w:r>
    </w:p>
    <w:p>
      <w:pPr>
        <w:pStyle w:val="BodyText"/>
        <w:spacing w:line="316" w:lineRule="auto" w:before="19"/>
        <w:ind w:right="1129"/>
        <w:jc w:val="left"/>
        <w:rPr>
          <w:rFonts w:ascii="宋体" w:hAnsi="宋体" w:cs="宋体" w:eastAsia="宋体" w:hint="default"/>
        </w:rPr>
      </w:pPr>
      <w:r>
        <w:rPr>
          <w:spacing w:val="-2"/>
        </w:rPr>
        <w:t>协议，以承担新金融负债方式替换现存金融负债，且新金融负债与现存金融负债的合同条款实质上不同的，终止确认现存金</w:t>
      </w:r>
      <w:r>
        <w:rPr>
          <w:spacing w:val="-63"/>
        </w:rPr>
        <w:t> </w:t>
      </w:r>
      <w:r>
        <w:rPr>
          <w:spacing w:val="-63"/>
        </w:rPr>
      </w:r>
      <w:r>
        <w:rPr/>
        <w:t>融负债，并同时确认新金融负债。</w:t>
      </w:r>
      <w:r>
        <w:rPr>
          <w:rFonts w:ascii="宋体" w:hAnsi="宋体" w:cs="宋体" w:eastAsia="宋体" w:hint="default"/>
        </w:rPr>
        <w:t> </w:t>
      </w:r>
    </w:p>
    <w:p>
      <w:pPr>
        <w:pStyle w:val="BodyText"/>
        <w:spacing w:line="319" w:lineRule="auto" w:before="19"/>
        <w:ind w:right="1124" w:firstLine="360"/>
        <w:jc w:val="left"/>
        <w:rPr>
          <w:rFonts w:ascii="宋体" w:hAnsi="宋体" w:cs="宋体" w:eastAsia="宋体" w:hint="default"/>
        </w:rPr>
      </w:pPr>
      <w:r>
        <w:rPr/>
        <w:t>金融负债全部或部分终止确认的，将终止确认部分的账面价值与支付的对价</w:t>
      </w:r>
      <w:r>
        <w:rPr>
          <w:rFonts w:ascii="宋体" w:hAnsi="宋体" w:cs="宋体" w:eastAsia="宋体" w:hint="default"/>
        </w:rPr>
        <w:t>(</w:t>
      </w:r>
      <w:r>
        <w:rPr/>
        <w:t>包括转出的非现金资产或承担的新金融负 债</w:t>
      </w:r>
      <w:r>
        <w:rPr>
          <w:rFonts w:ascii="宋体" w:hAnsi="宋体" w:cs="宋体" w:eastAsia="宋体" w:hint="default"/>
        </w:rPr>
        <w:t>)</w:t>
      </w:r>
      <w:r>
        <w:rPr/>
        <w:t>之间的差额，计入当期损益。</w:t>
      </w:r>
      <w:r>
        <w:rPr>
          <w:rFonts w:ascii="宋体" w:hAnsi="宋体" w:cs="宋体" w:eastAsia="宋体" w:hint="default"/>
        </w:rPr>
        <w:t> </w:t>
      </w:r>
    </w:p>
    <w:p>
      <w:pPr>
        <w:pStyle w:val="BodyText"/>
        <w:spacing w:line="316" w:lineRule="auto" w:before="17"/>
        <w:ind w:left="513" w:right="1129"/>
        <w:jc w:val="left"/>
      </w:pPr>
      <w:r>
        <w:rPr>
          <w:rFonts w:ascii="宋体" w:hAnsi="宋体" w:cs="宋体" w:eastAsia="宋体" w:hint="default"/>
        </w:rPr>
        <w:t>7</w:t>
      </w:r>
      <w:r>
        <w:rPr/>
        <w:t>、衍生工具及嵌入衍生工具</w:t>
      </w:r>
      <w:r>
        <w:rPr>
          <w:rFonts w:ascii="宋体" w:hAnsi="宋体" w:cs="宋体" w:eastAsia="宋体" w:hint="default"/>
        </w:rPr>
        <w:t> </w:t>
      </w:r>
      <w:r>
        <w:rPr>
          <w:spacing w:val="-2"/>
        </w:rPr>
        <w:t>衍生工具于相关合同签署日以公允价值进行初始计量，并以公允价值进行后续计量。衍生工具的公允价值变动计入当期</w:t>
      </w:r>
    </w:p>
    <w:p>
      <w:pPr>
        <w:pStyle w:val="BodyText"/>
        <w:spacing w:line="240" w:lineRule="auto" w:before="19"/>
        <w:ind w:right="1133"/>
        <w:jc w:val="left"/>
        <w:rPr>
          <w:rFonts w:ascii="宋体" w:hAnsi="宋体" w:cs="宋体" w:eastAsia="宋体" w:hint="default"/>
        </w:rPr>
      </w:pPr>
      <w:r>
        <w:rPr/>
        <w:t>损益。</w:t>
      </w:r>
      <w:r>
        <w:rPr>
          <w:rFonts w:ascii="宋体" w:hAnsi="宋体" w:cs="宋体" w:eastAsia="宋体" w:hint="default"/>
        </w:rPr>
        <w:t> </w:t>
      </w:r>
    </w:p>
    <w:p>
      <w:pPr>
        <w:pStyle w:val="BodyText"/>
        <w:spacing w:line="316" w:lineRule="auto" w:before="76"/>
        <w:ind w:right="1034" w:firstLine="360"/>
        <w:jc w:val="left"/>
        <w:rPr>
          <w:rFonts w:ascii="宋体" w:hAnsi="宋体" w:cs="宋体" w:eastAsia="宋体" w:hint="default"/>
        </w:rPr>
      </w:pPr>
      <w:r>
        <w:rPr>
          <w:spacing w:val="-2"/>
        </w:rPr>
        <w:t>对包含嵌入衍生工具的混合工具，如未指定为以公允价值计量且其变动计入当期损益的金融资产或金融负债，嵌入衍生</w:t>
      </w:r>
      <w:r>
        <w:rPr/>
        <w:t> </w:t>
      </w:r>
      <w:r>
        <w:rPr>
          <w:spacing w:val="-4"/>
        </w:rPr>
        <w:t>工具与该主合同在经济特征及风险方面不存在紧密关系，且与嵌入衍生工具条件相同，单独存在的工具符合衍生工具定义的，</w:t>
      </w:r>
      <w:r>
        <w:rPr>
          <w:spacing w:val="-44"/>
        </w:rPr>
        <w:t> </w:t>
      </w:r>
      <w:r>
        <w:rPr>
          <w:spacing w:val="-44"/>
        </w:rPr>
      </w:r>
      <w:r>
        <w:rPr>
          <w:spacing w:val="-2"/>
        </w:rPr>
        <w:t>嵌入衍生工具从混合工具中分拆，作为单独的衍生金融工具处理。如果无法在取得时或后续的资产负债表日对嵌入衍生工具</w:t>
      </w:r>
      <w:r>
        <w:rPr>
          <w:spacing w:val="-64"/>
        </w:rPr>
        <w:t> </w:t>
      </w:r>
      <w:r>
        <w:rPr>
          <w:spacing w:val="-64"/>
        </w:rPr>
      </w:r>
      <w:r>
        <w:rPr/>
        <w:t>进行单独计量，则将混合工具整体指定为以公允价值计量且其变动计入当期损益的金融资产或金融负债。</w:t>
      </w:r>
      <w:r>
        <w:rPr>
          <w:rFonts w:ascii="宋体" w:hAnsi="宋体" w:cs="宋体" w:eastAsia="宋体" w:hint="default"/>
        </w:rPr>
        <w:t> </w:t>
      </w:r>
    </w:p>
    <w:p>
      <w:pPr>
        <w:pStyle w:val="BodyText"/>
        <w:spacing w:line="316" w:lineRule="auto" w:before="19"/>
        <w:ind w:left="513" w:right="1129"/>
        <w:jc w:val="left"/>
      </w:pPr>
      <w:r>
        <w:rPr>
          <w:rFonts w:ascii="宋体" w:hAnsi="宋体" w:cs="宋体" w:eastAsia="宋体" w:hint="default"/>
        </w:rPr>
        <w:t>8</w:t>
      </w:r>
      <w:r>
        <w:rPr/>
        <w:t>、金融资产和金融负债的抵销</w:t>
      </w:r>
      <w:r>
        <w:rPr>
          <w:rFonts w:ascii="宋体" w:hAnsi="宋体" w:cs="宋体" w:eastAsia="宋体" w:hint="default"/>
        </w:rPr>
        <w:t> </w:t>
      </w:r>
      <w:r>
        <w:rPr>
          <w:spacing w:val="-2"/>
        </w:rPr>
        <w:t>当本公司具有抵销已确认金融资产和金融负债的法定权利，且目前可执行该种法定权利，同时本公司计划以净额结算或</w:t>
      </w:r>
    </w:p>
    <w:p>
      <w:pPr>
        <w:pStyle w:val="BodyText"/>
        <w:spacing w:line="319" w:lineRule="auto" w:before="19"/>
        <w:ind w:right="1129"/>
        <w:jc w:val="left"/>
        <w:rPr>
          <w:rFonts w:ascii="宋体" w:hAnsi="宋体" w:cs="宋体" w:eastAsia="宋体" w:hint="default"/>
        </w:rPr>
      </w:pPr>
      <w:r>
        <w:rPr>
          <w:spacing w:val="-2"/>
        </w:rPr>
        <w:t>同时变现该金融资产和清偿该金融负债时，金融资产和金融负债以相互抵销后的金额在资产负债表内列示。除此以外，金融</w:t>
      </w:r>
      <w:r>
        <w:rPr>
          <w:spacing w:val="-65"/>
        </w:rPr>
        <w:t> </w:t>
      </w:r>
      <w:r>
        <w:rPr>
          <w:spacing w:val="-65"/>
        </w:rPr>
      </w:r>
      <w:r>
        <w:rPr/>
        <w:t>资产和金融负债在资产负债表内分别列示，不予相互抵销。</w:t>
      </w:r>
      <w:r>
        <w:rPr>
          <w:rFonts w:ascii="宋体" w:hAnsi="宋体" w:cs="宋体" w:eastAsia="宋体" w:hint="default"/>
        </w:rPr>
        <w:t> </w:t>
      </w:r>
    </w:p>
    <w:p>
      <w:pPr>
        <w:pStyle w:val="BodyText"/>
        <w:spacing w:line="316" w:lineRule="auto" w:before="17"/>
        <w:ind w:left="513" w:right="1034"/>
        <w:jc w:val="left"/>
      </w:pPr>
      <w:r>
        <w:rPr>
          <w:rFonts w:ascii="宋体" w:hAnsi="宋体" w:cs="宋体" w:eastAsia="宋体" w:hint="default"/>
        </w:rPr>
        <w:t>9</w:t>
      </w:r>
      <w:r>
        <w:rPr/>
        <w:t>、权益工具</w:t>
      </w:r>
      <w:r>
        <w:rPr>
          <w:rFonts w:ascii="宋体" w:hAnsi="宋体" w:cs="宋体" w:eastAsia="宋体" w:hint="default"/>
        </w:rPr>
        <w:t> </w:t>
      </w:r>
      <w:r>
        <w:rPr>
          <w:spacing w:val="-2"/>
        </w:rPr>
        <w:t>权益工具是指能证明拥有本公司在扣除所有负债后的资产中的剩余权益的合同。本公司发行</w:t>
      </w:r>
      <w:r>
        <w:rPr>
          <w:rFonts w:ascii="宋体" w:hAnsi="宋体" w:cs="宋体" w:eastAsia="宋体" w:hint="default"/>
          <w:spacing w:val="-2"/>
        </w:rPr>
        <w:t>(</w:t>
      </w:r>
      <w:r>
        <w:rPr>
          <w:spacing w:val="-2"/>
        </w:rPr>
        <w:t>含再融资</w:t>
      </w:r>
      <w:r>
        <w:rPr>
          <w:rFonts w:ascii="宋体" w:hAnsi="宋体" w:cs="宋体" w:eastAsia="宋体" w:hint="default"/>
          <w:spacing w:val="-2"/>
        </w:rPr>
        <w:t>)</w:t>
      </w:r>
      <w:r>
        <w:rPr>
          <w:spacing w:val="-2"/>
        </w:rPr>
        <w:t>、回购、出售或</w:t>
      </w:r>
    </w:p>
    <w:p>
      <w:pPr>
        <w:pStyle w:val="BodyText"/>
        <w:spacing w:line="316" w:lineRule="auto" w:before="19"/>
        <w:ind w:left="513" w:right="1034" w:hanging="361"/>
        <w:jc w:val="left"/>
        <w:rPr>
          <w:rFonts w:ascii="宋体" w:hAnsi="宋体" w:cs="宋体" w:eastAsia="宋体" w:hint="default"/>
        </w:rPr>
      </w:pPr>
      <w:r>
        <w:rPr>
          <w:spacing w:val="-2"/>
        </w:rPr>
        <w:t>注销权益工具作为权益的变动处理。本公司不确认权益工具的公允价值变动。与权益性交易相关的交易费用从权益中扣减。</w:t>
      </w:r>
      <w:r>
        <w:rPr>
          <w:spacing w:val="-80"/>
        </w:rPr>
        <w:t> </w:t>
      </w:r>
      <w:r>
        <w:rPr>
          <w:rFonts w:ascii="宋体" w:hAnsi="宋体" w:cs="宋体" w:eastAsia="宋体" w:hint="default"/>
          <w:spacing w:val="-80"/>
        </w:rPr>
      </w:r>
      <w:r>
        <w:rPr/>
        <w:t>本公司对权益工具持有方的各种分配</w:t>
      </w:r>
      <w:r>
        <w:rPr>
          <w:rFonts w:ascii="宋体" w:hAnsi="宋体" w:cs="宋体" w:eastAsia="宋体" w:hint="default"/>
        </w:rPr>
        <w:t>(</w:t>
      </w:r>
      <w:r>
        <w:rPr/>
        <w:t>不包括股票股利</w:t>
      </w:r>
      <w:r>
        <w:rPr>
          <w:rFonts w:ascii="宋体" w:hAnsi="宋体" w:cs="宋体" w:eastAsia="宋体" w:hint="default"/>
        </w:rPr>
        <w:t>)</w:t>
      </w:r>
      <w:r>
        <w:rPr/>
        <w:t>，减少股东权益。本公司不确认权益工具的公允价值变动额。</w:t>
      </w:r>
      <w:r>
        <w:rPr>
          <w:rFonts w:ascii="宋体" w:hAnsi="宋体" w:cs="宋体" w:eastAsia="宋体" w:hint="default"/>
        </w:rPr>
        <w:t> </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1133"/>
        <w:jc w:val="left"/>
        <w:rPr>
          <w:b w:val="0"/>
          <w:bCs w:val="0"/>
        </w:rPr>
      </w:pPr>
      <w:r>
        <w:rPr>
          <w:rFonts w:ascii="Times New Roman" w:hAnsi="Times New Roman" w:cs="Times New Roman" w:eastAsia="Times New Roman" w:hint="default"/>
        </w:rPr>
        <w:t>11</w:t>
      </w:r>
      <w:r>
        <w:rPr/>
        <w:t>、应收票据及应收账款</w:t>
      </w:r>
      <w:r>
        <w:rPr>
          <w:b w:val="0"/>
          <w:bCs w:val="0"/>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）单项金额重大并单独计提坏账准备的应收款项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单项金额重大的应收账款指单笔金额为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万元以上的客户</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67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17"/>
              <w:jc w:val="left"/>
              <w:rPr>
                <w:rFonts w:ascii="宋体" w:hAnsi="宋体" w:cs="宋体" w:eastAsia="宋体" w:hint="default"/>
                <w:sz w:val="18"/>
                <w:szCs w:val="18"/>
              </w:rPr>
            </w:pPr>
            <w:r>
              <w:rPr>
                <w:rFonts w:ascii="宋体" w:hAnsi="宋体" w:cs="宋体" w:eastAsia="宋体" w:hint="default"/>
                <w:sz w:val="18"/>
                <w:szCs w:val="18"/>
              </w:rPr>
              <w:t>应收账款，单项金额重大的其他应收款指单笔金额为</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万元 以上的其他应收款。</w:t>
            </w:r>
          </w:p>
        </w:tc>
      </w:tr>
      <w:tr>
        <w:trPr>
          <w:trHeight w:val="71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单独测试未发生减值的应收款项在具有类似信用风险特征的 应收款项组合中再进行减值测试。</w:t>
            </w:r>
          </w:p>
        </w:tc>
      </w:tr>
    </w:tbl>
    <w:p>
      <w:pPr>
        <w:spacing w:line="240" w:lineRule="auto" w:before="3"/>
        <w:rPr>
          <w:rFonts w:ascii="宋体" w:hAnsi="宋体" w:cs="宋体" w:eastAsia="宋体" w:hint="default"/>
          <w:b/>
          <w:bCs/>
          <w:sz w:val="19"/>
          <w:szCs w:val="19"/>
        </w:rPr>
      </w:pPr>
    </w:p>
    <w:p>
      <w:pPr>
        <w:spacing w:before="36"/>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）按信用风险特征组合计提坏账准备的应收款项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：以账龄特征划分为若干应收款项组合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：应收合并范围内关联方款项</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49"/>
        <w:ind w:right="1133"/>
        <w:jc w:val="left"/>
      </w:pPr>
      <w:r>
        <w:rPr/>
        <w:t>组合中，采用账龄分析法计提坏账准备的：</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1133"/>
        <w:jc w:val="left"/>
      </w:pPr>
      <w:r>
        <w:rPr/>
        <w:t>组合中，采用余额百分比法计提坏账准备的：</w:t>
      </w:r>
    </w:p>
    <w:p>
      <w:pPr>
        <w:pStyle w:val="BodyText"/>
        <w:spacing w:line="338" w:lineRule="auto" w:before="117"/>
        <w:ind w:right="7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43"/>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8"/>
          <w:szCs w:val="28"/>
        </w:rPr>
      </w:pPr>
    </w:p>
    <w:p>
      <w:pPr>
        <w:pStyle w:val="BodyText"/>
        <w:spacing w:line="240" w:lineRule="auto" w:before="44"/>
        <w:ind w:left="0" w:right="1141"/>
        <w:jc w:val="right"/>
      </w:pPr>
      <w:r>
        <w:rPr/>
        <w:pict>
          <v:shape style="position:absolute;margin-left:56.459999pt;margin-top:-145.708328pt;width:479.2pt;height:179.2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3"/>
                    <w:gridCol w:w="4787"/>
                  </w:tblGrid>
                  <w:tr>
                    <w:trPr>
                      <w:trHeight w:val="227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9"/>
                          <w:jc w:val="both"/>
                          <w:rPr>
                            <w:rFonts w:ascii="宋体" w:hAnsi="宋体" w:cs="宋体" w:eastAsia="宋体" w:hint="default"/>
                            <w:sz w:val="18"/>
                            <w:szCs w:val="18"/>
                          </w:rPr>
                        </w:pPr>
                        <w:r>
                          <w:rPr>
                            <w:rFonts w:ascii="宋体" w:hAnsi="宋体" w:cs="宋体" w:eastAsia="宋体" w:hint="default"/>
                            <w:sz w:val="18"/>
                            <w:szCs w:val="18"/>
                          </w:rPr>
                          <w:t>有客观证据表明可能发生减值，如债务人出现撤销、破产或 死亡，以其破产财产或遗产清偿后仍不能收回，现金流量严 重不足等情况的。单项金额虽不重大但单项计提坏账准备的 应收账款，是指单笔金额为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万元以下、账龄超过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 的应收款项。单项金额不重大但单项计提坏账准备的其他应 </w:t>
                        </w:r>
                        <w:r>
                          <w:rPr>
                            <w:rFonts w:ascii="宋体" w:hAnsi="宋体" w:cs="宋体" w:eastAsia="宋体" w:hint="default"/>
                            <w:spacing w:val="-4"/>
                            <w:sz w:val="18"/>
                            <w:szCs w:val="18"/>
                          </w:rPr>
                          <w:t>收账款，是指单笔金额为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万元以下、账龄超过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年的应 收款项。</w:t>
                        </w:r>
                      </w:p>
                    </w:tc>
                  </w:tr>
                  <w:tr>
                    <w:trPr>
                      <w:trHeight w:val="1299"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对有客观证据表明可能发生了减值的应收款项，将其从相关 组合中分离出来，单独进行减值测试，根据其未来现金流量 </w:t>
                        </w:r>
                        <w:r>
                          <w:rPr>
                            <w:rFonts w:ascii="宋体" w:hAnsi="宋体" w:cs="宋体" w:eastAsia="宋体" w:hint="default"/>
                            <w:spacing w:val="-2"/>
                            <w:sz w:val="18"/>
                            <w:szCs w:val="18"/>
                          </w:rPr>
                          <w:t>现值低于其账面价值的差额，确认减值损失，计提坏账准备</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单独测试未发生减值的应收款项，将其归入相应组合计提坏</w:t>
                        </w:r>
                      </w:p>
                    </w:tc>
                  </w:tr>
                </w:tbl>
                <w:p>
                  <w:pPr/>
                </w:p>
              </w:txbxContent>
            </v:textbox>
            <w10:wrap type="none"/>
          </v:shape>
        </w:pict>
      </w:r>
      <w:r>
        <w:rPr/>
        <w:t>。</w:t>
      </w:r>
    </w:p>
    <w:p>
      <w:pPr>
        <w:spacing w:after="0" w:line="240" w:lineRule="auto"/>
        <w:jc w:val="right"/>
        <w:sectPr>
          <w:pgSz w:w="11910" w:h="16840"/>
          <w:pgMar w:header="745" w:footer="979" w:top="1060" w:bottom="1160" w:left="980" w:right="0"/>
        </w:sectPr>
      </w:pPr>
    </w:p>
    <w:p>
      <w:pPr>
        <w:spacing w:line="240" w:lineRule="auto" w:before="2"/>
        <w:rPr>
          <w:rFonts w:ascii="宋体" w:hAnsi="宋体" w:cs="宋体" w:eastAsia="宋体" w:hint="default"/>
          <w:sz w:val="28"/>
          <w:szCs w:val="28"/>
        </w:rPr>
      </w:pPr>
    </w:p>
    <w:p>
      <w:pPr>
        <w:spacing w:line="38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19.1pt;mso-position-horizontal-relative:char;mso-position-vertical-relative:line" coordorigin="0,0" coordsize="9581,382">
            <v:group style="position:absolute;left:12;top:14;width:4775;height:354" coordorigin="12,14" coordsize="4775,354">
              <v:shape style="position:absolute;left:12;top:14;width:4775;height:354" coordorigin="12,14" coordsize="4775,354" path="m12,368l4787,368,4787,14,12,14,12,368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pt" strokecolor="#000000">
                <v:path arrowok="t"/>
              </v:shape>
            </v:group>
            <v:group style="position:absolute;left:5;top:5;width:2;height:373" coordorigin="5,5" coordsize="2,373">
              <v:shape style="position:absolute;left:5;top:5;width:2;height:373" coordorigin="5,5" coordsize="0,373" path="m5,5l5,377e" filled="false" stroked="true" strokeweight=".48pt" strokecolor="#000000">
                <v:path arrowok="t"/>
              </v:shape>
            </v:group>
            <v:group style="position:absolute;left:10;top:372;width:4775;height:2" coordorigin="10,372" coordsize="4775,2">
              <v:shape style="position:absolute;left:10;top:372;width:4775;height:2" coordorigin="10,372" coordsize="4775,0" path="m10,372l4784,372e" filled="false" stroked="true" strokeweight=".48pt" strokecolor="#000000">
                <v:path arrowok="t"/>
              </v:shape>
            </v:group>
            <v:group style="position:absolute;left:4789;top:5;width:2;height:373" coordorigin="4789,5" coordsize="2,373">
              <v:shape style="position:absolute;left:4789;top:5;width:2;height:373" coordorigin="4789,5" coordsize="0,373" path="m4789,5l4789,377e" filled="false" stroked="true" strokeweight=".48001pt" strokecolor="#000000">
                <v:path arrowok="t"/>
              </v:shape>
            </v:group>
            <v:group style="position:absolute;left:4794;top:372;width:4777;height:2" coordorigin="4794,372" coordsize="4777,2">
              <v:shape style="position:absolute;left:4794;top:372;width:4777;height:2" coordorigin="4794,372" coordsize="4777,0" path="m4794,372l9571,372e" filled="false" stroked="true" strokeweight=".48pt" strokecolor="#000000">
                <v:path arrowok="t"/>
              </v:shape>
            </v:group>
            <v:group style="position:absolute;left:9576;top:5;width:2;height:373" coordorigin="9576,5" coordsize="2,373">
              <v:shape style="position:absolute;left:9576;top:5;width:2;height:373" coordorigin="9576,5" coordsize="0,373" path="m9576,5l9576,377e" filled="false" stroked="true" strokeweight=".47998pt" strokecolor="#000000">
                <v:path arrowok="t"/>
              </v:shape>
              <v:shape style="position:absolute;left:4789;top:10;width:4787;height:363" type="#_x0000_t202" filled="false" stroked="false">
                <v:textbox inset="0,0,0,0">
                  <w:txbxContent>
                    <w:p>
                      <w:pPr>
                        <w:spacing w:before="13"/>
                        <w:ind w:left="28" w:right="0" w:firstLine="0"/>
                        <w:jc w:val="left"/>
                        <w:rPr>
                          <w:rFonts w:ascii="宋体" w:hAnsi="宋体" w:cs="宋体" w:eastAsia="宋体" w:hint="default"/>
                          <w:sz w:val="18"/>
                          <w:szCs w:val="18"/>
                        </w:rPr>
                      </w:pPr>
                      <w:r>
                        <w:rPr>
                          <w:rFonts w:ascii="宋体" w:hAnsi="宋体" w:cs="宋体" w:eastAsia="宋体" w:hint="default"/>
                          <w:sz w:val="18"/>
                          <w:szCs w:val="18"/>
                        </w:rPr>
                        <w:t>账准备</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3"/>
        <w:spacing w:line="240" w:lineRule="auto" w:before="36"/>
        <w:ind w:right="1133"/>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694"/>
        <w:jc w:val="left"/>
      </w:pPr>
      <w:r>
        <w:rPr/>
        <w:t>公司是否需要遵守特殊行业的披露要求 否</w:t>
      </w:r>
    </w:p>
    <w:p>
      <w:pPr>
        <w:pStyle w:val="BodyText"/>
        <w:spacing w:line="316" w:lineRule="auto" w:before="29"/>
        <w:ind w:left="513" w:right="2113"/>
        <w:jc w:val="left"/>
        <w:rPr>
          <w:rFonts w:ascii="宋体" w:hAnsi="宋体" w:cs="宋体" w:eastAsia="宋体" w:hint="default"/>
        </w:rPr>
      </w:pPr>
      <w:r>
        <w:rPr>
          <w:rFonts w:ascii="宋体" w:hAnsi="宋体" w:cs="宋体" w:eastAsia="宋体" w:hint="default"/>
        </w:rPr>
        <w:t>1</w:t>
      </w:r>
      <w:r>
        <w:rPr/>
        <w:t>、存货的类别</w:t>
      </w:r>
      <w:r>
        <w:rPr>
          <w:rFonts w:ascii="宋体" w:hAnsi="宋体" w:cs="宋体" w:eastAsia="宋体" w:hint="default"/>
        </w:rPr>
        <w:t> </w:t>
      </w:r>
      <w:r>
        <w:rPr/>
        <w:t>存货分类为：原材料、包装物、库存商品、在产品、低值易耗品、发出商品、委托加工物资等。</w:t>
      </w:r>
      <w:r>
        <w:rPr>
          <w:rFonts w:ascii="宋体" w:hAnsi="宋体" w:cs="宋体" w:eastAsia="宋体" w:hint="default"/>
        </w:rPr>
        <w:t> 2</w:t>
      </w:r>
      <w:r>
        <w:rPr/>
        <w:t>、发出存货的计价方法</w:t>
      </w:r>
      <w:r>
        <w:rPr>
          <w:rFonts w:ascii="宋体" w:hAnsi="宋体" w:cs="宋体" w:eastAsia="宋体" w:hint="default"/>
        </w:rPr>
        <w:t> </w:t>
      </w:r>
    </w:p>
    <w:p>
      <w:pPr>
        <w:pStyle w:val="BodyText"/>
        <w:spacing w:line="319" w:lineRule="auto" w:before="19"/>
        <w:ind w:left="513" w:right="3303"/>
        <w:jc w:val="left"/>
        <w:rPr>
          <w:rFonts w:ascii="宋体" w:hAnsi="宋体" w:cs="宋体" w:eastAsia="宋体" w:hint="default"/>
        </w:rPr>
      </w:pPr>
      <w:r>
        <w:rPr/>
        <w:t>存货发出时按加权平均法计价。</w:t>
      </w:r>
      <w:r>
        <w:rPr>
          <w:rFonts w:ascii="宋体" w:hAnsi="宋体" w:cs="宋体" w:eastAsia="宋体" w:hint="default"/>
        </w:rPr>
        <w:t> 3</w:t>
      </w:r>
      <w:r>
        <w:rPr/>
        <w:t>、存货可变现净值的确定依据及存货跌价准备的计提方法</w:t>
      </w:r>
      <w:r>
        <w:rPr>
          <w:rFonts w:ascii="宋体" w:hAnsi="宋体" w:cs="宋体" w:eastAsia="宋体" w:hint="default"/>
        </w:rPr>
        <w:t> </w:t>
      </w:r>
      <w:r>
        <w:rPr/>
        <w:t>年末对存货进行全面清查后，按存货的成本与可变现净值孰低提取或调整存货跌价准备。</w:t>
      </w:r>
      <w:r>
        <w:rPr>
          <w:rFonts w:ascii="宋体" w:hAnsi="宋体" w:cs="宋体" w:eastAsia="宋体" w:hint="default"/>
        </w:rPr>
        <w:t> </w:t>
      </w:r>
    </w:p>
    <w:p>
      <w:pPr>
        <w:pStyle w:val="BodyText"/>
        <w:spacing w:line="316" w:lineRule="auto" w:before="17"/>
        <w:ind w:right="1130" w:firstLine="360"/>
        <w:jc w:val="both"/>
        <w:rPr>
          <w:rFonts w:ascii="宋体" w:hAnsi="宋体" w:cs="宋体" w:eastAsia="宋体" w:hint="default"/>
        </w:rPr>
      </w:pPr>
      <w:r>
        <w:rPr>
          <w:spacing w:val="-2"/>
        </w:rPr>
        <w:t>产成品、库存商品和用于出售的材料等直接用于出售的商品存货，在正常生产经营过程中，以该存货的估计售价减去估</w:t>
      </w:r>
      <w:r>
        <w:rPr/>
        <w:t> </w:t>
      </w:r>
      <w:r>
        <w:rPr>
          <w:spacing w:val="-2"/>
        </w:rPr>
        <w:t>计的销售费用和相关税费后的金额，确定其可变现净值；需要经过加工的材料存货，在正常生产经营过程中，以所生产的产</w:t>
      </w:r>
      <w:r>
        <w:rPr>
          <w:spacing w:val="-64"/>
        </w:rPr>
        <w:t> </w:t>
      </w:r>
      <w:r>
        <w:rPr>
          <w:spacing w:val="-64"/>
        </w:rPr>
      </w:r>
      <w:r>
        <w:rPr>
          <w:spacing w:val="-2"/>
        </w:rPr>
        <w:t>成品的估计售价减去至完工时估计将要发生的成本、估计的销售费用和相关税费后的金额，确定其可变现净值；为执行销售</w:t>
      </w:r>
      <w:r>
        <w:rPr>
          <w:spacing w:val="-66"/>
        </w:rPr>
        <w:t> </w:t>
      </w:r>
      <w:r>
        <w:rPr>
          <w:spacing w:val="-66"/>
        </w:rPr>
      </w:r>
      <w:r>
        <w:rPr>
          <w:spacing w:val="-2"/>
        </w:rPr>
        <w:t>合同或者劳务合同而持有的存货，其可变现净值以合同价格为基础计算，若持有存货的数量多于销售合同订购数量的，超出</w:t>
      </w:r>
      <w:r>
        <w:rPr>
          <w:spacing w:val="-63"/>
        </w:rPr>
        <w:t> </w:t>
      </w:r>
      <w:r>
        <w:rPr>
          <w:spacing w:val="-63"/>
        </w:rPr>
      </w:r>
      <w:r>
        <w:rPr/>
        <w:t>部分的存货的可变现净值以一般销售价格为基础计算。</w:t>
      </w:r>
      <w:r>
        <w:rPr>
          <w:rFonts w:ascii="宋体" w:hAnsi="宋体" w:cs="宋体" w:eastAsia="宋体" w:hint="default"/>
        </w:rPr>
        <w:t> </w:t>
      </w:r>
    </w:p>
    <w:p>
      <w:pPr>
        <w:pStyle w:val="BodyText"/>
        <w:spacing w:line="316" w:lineRule="auto" w:before="19"/>
        <w:ind w:right="1130" w:firstLine="360"/>
        <w:jc w:val="both"/>
        <w:rPr>
          <w:rFonts w:ascii="宋体" w:hAnsi="宋体" w:cs="宋体" w:eastAsia="宋体" w:hint="default"/>
        </w:rPr>
      </w:pPr>
      <w:r>
        <w:rPr>
          <w:spacing w:val="-2"/>
        </w:rPr>
        <w:t>年末按照单个存货项目计提存货跌价准备；但对于数量繁多、单价较低的存货，按照存货类别计提存货跌价准备；与在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3"/>
        </w:rPr>
        <w:t> </w:t>
      </w:r>
      <w:r>
        <w:rPr>
          <w:spacing w:val="-63"/>
        </w:rPr>
      </w:r>
      <w:r>
        <w:rPr/>
        <w:t>货跌价准备。</w:t>
      </w:r>
      <w:r>
        <w:rPr>
          <w:rFonts w:ascii="宋体" w:hAnsi="宋体" w:cs="宋体" w:eastAsia="宋体" w:hint="default"/>
        </w:rPr>
        <w:t> </w:t>
      </w:r>
    </w:p>
    <w:p>
      <w:pPr>
        <w:pStyle w:val="BodyText"/>
        <w:spacing w:line="319" w:lineRule="auto" w:before="19"/>
        <w:ind w:right="1130" w:firstLine="360"/>
        <w:jc w:val="both"/>
        <w:rPr>
          <w:rFonts w:ascii="宋体" w:hAnsi="宋体" w:cs="宋体" w:eastAsia="宋体" w:hint="default"/>
        </w:rPr>
      </w:pPr>
      <w:r>
        <w:rPr>
          <w:spacing w:val="-2"/>
        </w:rPr>
        <w:t>以前减记存货价值的影响因素已经消失的，减记的金额予以恢复，并在原已计提的存货跌价准备金额内转回，转回的金</w:t>
      </w:r>
      <w:r>
        <w:rPr/>
        <w:t> 额计入当期损益。</w:t>
      </w:r>
      <w:r>
        <w:rPr>
          <w:rFonts w:ascii="宋体" w:hAnsi="宋体" w:cs="宋体" w:eastAsia="宋体" w:hint="default"/>
        </w:rPr>
        <w:t> </w:t>
      </w:r>
    </w:p>
    <w:p>
      <w:pPr>
        <w:pStyle w:val="BodyText"/>
        <w:spacing w:line="316" w:lineRule="auto" w:before="17"/>
        <w:ind w:left="513" w:right="1133"/>
        <w:jc w:val="left"/>
        <w:rPr>
          <w:rFonts w:ascii="宋体" w:hAnsi="宋体" w:cs="宋体" w:eastAsia="宋体" w:hint="default"/>
        </w:rPr>
      </w:pPr>
      <w:r>
        <w:rPr/>
        <w:t>除有明确证据表明资产负债表日市场价格异常外，存货项目的可变现净值以资产负债表日市场价格为基础确定。</w:t>
      </w:r>
      <w:r>
        <w:rPr>
          <w:rFonts w:ascii="宋体" w:hAnsi="宋体" w:cs="宋体" w:eastAsia="宋体" w:hint="default"/>
        </w:rPr>
        <w:t> </w:t>
      </w:r>
      <w:r>
        <w:rPr/>
        <w:t>资产负债表日市场价格异常的判断依据为：本年年末存货项目的可变现净值以资产负债表日市场价格为基础确定。</w:t>
      </w:r>
      <w:r>
        <w:rPr>
          <w:rFonts w:ascii="宋体" w:hAnsi="宋体" w:cs="宋体" w:eastAsia="宋体" w:hint="default"/>
        </w:rPr>
        <w:t> 4</w:t>
      </w:r>
      <w:r>
        <w:rPr/>
        <w:t>、存货的盘存制度</w:t>
      </w:r>
      <w:r>
        <w:rPr>
          <w:rFonts w:ascii="宋体" w:hAnsi="宋体" w:cs="宋体" w:eastAsia="宋体" w:hint="default"/>
        </w:rPr>
        <w:t> </w:t>
      </w:r>
    </w:p>
    <w:p>
      <w:pPr>
        <w:pStyle w:val="BodyText"/>
        <w:spacing w:line="316" w:lineRule="auto" w:before="19"/>
        <w:ind w:left="513" w:right="7514"/>
        <w:jc w:val="left"/>
        <w:rPr>
          <w:rFonts w:ascii="宋体" w:hAnsi="宋体" w:cs="宋体" w:eastAsia="宋体" w:hint="default"/>
        </w:rPr>
      </w:pPr>
      <w:r>
        <w:rPr/>
        <w:t>存货的盘存制度为永续盘存制。</w:t>
      </w:r>
      <w:r>
        <w:rPr>
          <w:rFonts w:ascii="宋体" w:hAnsi="宋体" w:cs="宋体" w:eastAsia="宋体" w:hint="default"/>
        </w:rPr>
        <w:t> 5</w:t>
      </w:r>
      <w:r>
        <w:rPr/>
        <w:t>、低值易耗品和包装物的摊销方法</w:t>
      </w:r>
      <w:r>
        <w:rPr>
          <w:rFonts w:ascii="宋体" w:hAnsi="宋体" w:cs="宋体" w:eastAsia="宋体" w:hint="default"/>
        </w:rPr>
        <w:t> (1)</w:t>
      </w:r>
      <w:r>
        <w:rPr/>
        <w:t>低值易耗品</w:t>
      </w:r>
      <w:r>
        <w:rPr>
          <w:rFonts w:ascii="宋体" w:hAnsi="宋体" w:cs="宋体" w:eastAsia="宋体" w:hint="default"/>
        </w:rPr>
        <w:t> </w:t>
      </w:r>
      <w:r>
        <w:rPr/>
        <w:t>按照一次转销法进行摊销。</w:t>
      </w:r>
      <w:r>
        <w:rPr>
          <w:rFonts w:ascii="宋体" w:hAnsi="宋体" w:cs="宋体" w:eastAsia="宋体" w:hint="default"/>
        </w:rPr>
        <w:t> (2)</w:t>
      </w:r>
      <w:r>
        <w:rPr/>
        <w:t>包装物</w:t>
      </w:r>
      <w:r>
        <w:rPr>
          <w:rFonts w:ascii="宋体" w:hAnsi="宋体" w:cs="宋体" w:eastAsia="宋体" w:hint="default"/>
        </w:rPr>
        <w:t> </w:t>
      </w:r>
      <w:r>
        <w:rPr/>
        <w:t>按照一次转销法进行摊销。</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13</w:t>
      </w:r>
      <w:r>
        <w:rPr/>
        <w:t>、持有待售资产</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0" w:firstLine="360"/>
        <w:jc w:val="both"/>
        <w:rPr>
          <w:rFonts w:ascii="宋体" w:hAnsi="宋体" w:cs="宋体" w:eastAsia="宋体" w:hint="default"/>
        </w:rPr>
      </w:pPr>
      <w:r>
        <w:rPr>
          <w:spacing w:val="-2"/>
        </w:rPr>
        <w:t>本公司若主要通过出售</w:t>
      </w:r>
      <w:r>
        <w:rPr>
          <w:rFonts w:ascii="宋体" w:hAnsi="宋体" w:cs="宋体" w:eastAsia="宋体" w:hint="default"/>
          <w:spacing w:val="-2"/>
        </w:rPr>
        <w:t>(</w:t>
      </w:r>
      <w:r>
        <w:rPr>
          <w:spacing w:val="-2"/>
        </w:rPr>
        <w:t>包括具有商业实质的非货币性资产交换，下同</w:t>
      </w:r>
      <w:r>
        <w:rPr>
          <w:rFonts w:ascii="宋体" w:hAnsi="宋体" w:cs="宋体" w:eastAsia="宋体" w:hint="default"/>
          <w:spacing w:val="-2"/>
        </w:rPr>
        <w:t>)</w:t>
      </w:r>
      <w:r>
        <w:rPr>
          <w:spacing w:val="-2"/>
        </w:rPr>
        <w:t>而非持续使用一项非流动资产或处置组收回其账</w:t>
      </w:r>
      <w:r>
        <w:rPr/>
        <w:t> </w:t>
      </w:r>
      <w:r>
        <w:rPr>
          <w:spacing w:val="-2"/>
        </w:rPr>
        <w:t>面价值的，则将其划分为持有待售类别。具体标准为同时满足以下条件：某项非流动资产或处置组根据类似交易中出售此类</w:t>
      </w:r>
      <w:r>
        <w:rPr>
          <w:spacing w:val="-63"/>
        </w:rPr>
        <w:t> </w:t>
      </w:r>
      <w:r>
        <w:rPr>
          <w:spacing w:val="-63"/>
        </w:rPr>
      </w:r>
      <w:r>
        <w:rPr>
          <w:spacing w:val="-2"/>
        </w:rPr>
        <w:t>资产或处置组的惯例，在当前状况下即可立即出售；本公司已经就出售计划作出决议且获得确定的购买承诺；预计出售将在</w:t>
      </w:r>
      <w:r>
        <w:rPr>
          <w:spacing w:val="-63"/>
        </w:rPr>
        <w:t> </w:t>
      </w:r>
      <w:r>
        <w:rPr>
          <w:spacing w:val="-63"/>
        </w:rPr>
      </w:r>
      <w:r>
        <w:rPr>
          <w:spacing w:val="-2"/>
        </w:rPr>
        <w:t>一年内完成。其中，处置组是指在一项交易中作为整体通过出售或其他方式一并处置的一组资产，以及在该交易中转让的与</w:t>
      </w:r>
      <w:r>
        <w:rPr>
          <w:spacing w:val="-66"/>
        </w:rPr>
        <w:t> </w:t>
      </w:r>
      <w:r>
        <w:rPr>
          <w:spacing w:val="-66"/>
        </w:rPr>
      </w:r>
      <w:r>
        <w:rPr/>
        <w:t>这些资产直接相关的负债。处置组所属的资产组或资产组组合按照《企业会计准则第 </w:t>
      </w:r>
      <w:r>
        <w:rPr>
          <w:rFonts w:ascii="宋体" w:hAnsi="宋体" w:cs="宋体" w:eastAsia="宋体" w:hint="default"/>
        </w:rPr>
        <w:t>8</w:t>
      </w:r>
      <w:r>
        <w:rPr>
          <w:rFonts w:ascii="宋体" w:hAnsi="宋体" w:cs="宋体" w:eastAsia="宋体" w:hint="default"/>
          <w:spacing w:val="1"/>
        </w:rPr>
        <w:t> </w:t>
      </w:r>
      <w:r>
        <w:rPr/>
        <w:t>号——资产减值》分摊了企业合并 中取得的商誉的，该处置组应当包含分摊至处置组的商誉。</w:t>
      </w:r>
      <w:r>
        <w:rPr>
          <w:rFonts w:ascii="宋体" w:hAnsi="宋体" w:cs="宋体" w:eastAsia="宋体" w:hint="default"/>
        </w:rPr>
        <w:t> </w:t>
      </w:r>
    </w:p>
    <w:p>
      <w:pPr>
        <w:pStyle w:val="BodyText"/>
        <w:spacing w:line="319" w:lineRule="auto" w:before="19"/>
        <w:ind w:right="1034" w:firstLine="360"/>
        <w:jc w:val="left"/>
      </w:pPr>
      <w:r>
        <w:rPr>
          <w:spacing w:val="-2"/>
        </w:rPr>
        <w:t>本公司初始计量或在资产负债表日重新计量划分为持有待售的非流动资产和处置组时，其账面价值高于公允价值减去出</w:t>
      </w:r>
      <w:r>
        <w:rPr/>
        <w:t> 售费用后的净额的，将账面价值减记至公允价值减去出售费用后的净额，减记的金额确认为资产减值损失，计入当期损益，</w:t>
      </w:r>
      <w:r>
        <w:rPr>
          <w:spacing w:val="-85"/>
        </w:rPr>
        <w:t> </w:t>
      </w:r>
      <w:r>
        <w:rPr>
          <w:spacing w:val="-85"/>
        </w:rPr>
      </w:r>
      <w:r>
        <w:rPr>
          <w:spacing w:val="-2"/>
        </w:rPr>
        <w:t>同时计提持有待售资产减值准备。对于处置组，所确认的资产减值损失先抵减处置组中商誉的账面价值，再按比例抵减该处</w:t>
      </w:r>
      <w:r>
        <w:rPr>
          <w:spacing w:val="-66"/>
        </w:rPr>
        <w:t> </w:t>
      </w:r>
      <w:r>
        <w:rPr>
          <w:spacing w:val="-66"/>
        </w:rPr>
      </w:r>
      <w:r>
        <w:rPr>
          <w:spacing w:val="-2"/>
        </w:rPr>
        <w:t>置组内适用《企业会计准则第</w:t>
      </w:r>
      <w:r>
        <w:rPr>
          <w:rFonts w:ascii="宋体" w:hAnsi="宋体" w:cs="宋体" w:eastAsia="宋体" w:hint="default"/>
          <w:spacing w:val="-2"/>
        </w:rPr>
        <w:t>42</w:t>
      </w:r>
      <w:r>
        <w:rPr>
          <w:spacing w:val="-2"/>
        </w:rPr>
        <w:t>号——持有待售的非流动资产、处置组和终止经营》</w:t>
      </w:r>
      <w:r>
        <w:rPr>
          <w:rFonts w:ascii="宋体" w:hAnsi="宋体" w:cs="宋体" w:eastAsia="宋体" w:hint="default"/>
          <w:spacing w:val="-2"/>
        </w:rPr>
        <w:t>(</w:t>
      </w:r>
      <w:r>
        <w:rPr>
          <w:spacing w:val="-2"/>
        </w:rPr>
        <w:t>以下简称“持有待售准则”</w:t>
      </w:r>
      <w:r>
        <w:rPr>
          <w:rFonts w:ascii="宋体" w:hAnsi="宋体" w:cs="宋体" w:eastAsia="宋体" w:hint="default"/>
          <w:spacing w:val="-2"/>
        </w:rPr>
        <w:t>)</w:t>
      </w:r>
      <w:r>
        <w:rPr>
          <w:spacing w:val="-2"/>
        </w:rPr>
        <w:t>的计量规</w:t>
      </w:r>
    </w:p>
    <w:p>
      <w:pPr>
        <w:spacing w:after="0" w:line="319"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034"/>
        <w:jc w:val="left"/>
        <w:rPr>
          <w:rFonts w:ascii="宋体" w:hAnsi="宋体" w:cs="宋体" w:eastAsia="宋体" w:hint="default"/>
        </w:rPr>
      </w:pPr>
      <w:r>
        <w:rPr>
          <w:spacing w:val="-2"/>
        </w:rPr>
        <w:t>定的各项非流动资产的账面价值。后续资产负债表日持有待售的处置组公允价值减去出售费用后的净额增加的，以前减记的</w:t>
      </w:r>
      <w:r>
        <w:rPr>
          <w:spacing w:val="-64"/>
        </w:rPr>
        <w:t> </w:t>
      </w:r>
      <w:r>
        <w:rPr>
          <w:spacing w:val="-64"/>
        </w:rPr>
      </w:r>
      <w:r>
        <w:rPr/>
        <w:t>金额应当予以恢复，并在划分为持有待售类别后适用持有待售准则计量规定的非流动资产确认的资产减值损失金额内转回，</w:t>
      </w:r>
      <w:r>
        <w:rPr>
          <w:spacing w:val="-86"/>
        </w:rPr>
        <w:t> </w:t>
      </w:r>
      <w:r>
        <w:rPr>
          <w:spacing w:val="-86"/>
        </w:rPr>
      </w:r>
      <w:r>
        <w:rPr>
          <w:spacing w:val="-2"/>
        </w:rPr>
        <w:t>转回金额计入当期损益，并根据处置组中除商誉外适用持有待售准则计量规定的各项非流动资产账面价值所占比重按比例增</w:t>
      </w:r>
      <w:r>
        <w:rPr>
          <w:spacing w:val="-64"/>
        </w:rPr>
        <w:t> </w:t>
      </w:r>
      <w:r>
        <w:rPr>
          <w:spacing w:val="-64"/>
        </w:rPr>
      </w:r>
      <w:r>
        <w:rPr>
          <w:spacing w:val="-2"/>
        </w:rPr>
        <w:t>加其账面价值；已抵减的商誉账面价值，以及适用持有待售准则计量规定的非流动资产在划分为持有待售类别前确认的资产</w:t>
      </w:r>
      <w:r>
        <w:rPr>
          <w:spacing w:val="-64"/>
        </w:rPr>
        <w:t> </w:t>
      </w:r>
      <w:r>
        <w:rPr>
          <w:spacing w:val="-64"/>
        </w:rPr>
      </w:r>
      <w:r>
        <w:rPr/>
        <w:t>减值损失不得转回。</w:t>
      </w:r>
      <w:r>
        <w:rPr>
          <w:rFonts w:ascii="宋体" w:hAnsi="宋体" w:cs="宋体" w:eastAsia="宋体" w:hint="default"/>
        </w:rPr>
        <w:t> </w:t>
      </w:r>
    </w:p>
    <w:p>
      <w:pPr>
        <w:pStyle w:val="BodyText"/>
        <w:spacing w:line="316" w:lineRule="auto" w:before="19"/>
        <w:ind w:right="1132" w:firstLine="360"/>
        <w:jc w:val="both"/>
        <w:rPr>
          <w:rFonts w:ascii="宋体" w:hAnsi="宋体" w:cs="宋体" w:eastAsia="宋体" w:hint="default"/>
        </w:rPr>
      </w:pPr>
      <w:r>
        <w:rPr>
          <w:spacing w:val="-2"/>
        </w:rPr>
        <w:t>持有待售的非流动资产或处置组中的非流动资产不计提折旧或摊销，持有待售的处置组中负债的利息和其他费用继续予</w:t>
      </w:r>
      <w:r>
        <w:rPr/>
        <w:t> 以确认。</w:t>
      </w:r>
      <w:r>
        <w:rPr>
          <w:rFonts w:ascii="宋体" w:hAnsi="宋体" w:cs="宋体" w:eastAsia="宋体" w:hint="default"/>
        </w:rPr>
        <w:t> </w:t>
      </w:r>
    </w:p>
    <w:p>
      <w:pPr>
        <w:pStyle w:val="BodyText"/>
        <w:spacing w:line="316" w:lineRule="auto" w:before="19"/>
        <w:ind w:right="1132" w:firstLine="360"/>
        <w:jc w:val="both"/>
      </w:pPr>
      <w:r>
        <w:rPr>
          <w:spacing w:val="-2"/>
        </w:rPr>
        <w:t>非流动资产或处置组不再满足持有待售类别的划分条件时，本公司不再将其继续划分为持有待售类别或将非流动资产从</w:t>
      </w:r>
      <w:r>
        <w:rPr/>
        <w:t> 持有待售的处置组中移除，并按照以下两者孰低计量：</w:t>
      </w:r>
      <w:r>
        <w:rPr>
          <w:rFonts w:ascii="宋体" w:hAnsi="宋体" w:cs="宋体" w:eastAsia="宋体" w:hint="default"/>
        </w:rPr>
        <w:t>(1)</w:t>
      </w:r>
      <w:r>
        <w:rPr/>
        <w:t>划分为持有待售类别前的账面价值，按照假定不划分为持有待售 类别情况下本应确认的折旧、摊销或减值等进行调整后的金额；</w:t>
      </w:r>
      <w:r>
        <w:rPr>
          <w:rFonts w:ascii="Times New Roman" w:hAnsi="Times New Roman" w:cs="Times New Roman" w:eastAsia="Times New Roman" w:hint="default"/>
        </w:rPr>
        <w:t>(2)</w:t>
      </w:r>
      <w:r>
        <w:rPr/>
        <w:t>可收回金额。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1129"/>
        <w:jc w:val="left"/>
      </w:pPr>
      <w:r>
        <w:rPr>
          <w:rFonts w:ascii="宋体" w:hAnsi="宋体" w:cs="宋体" w:eastAsia="宋体" w:hint="default"/>
        </w:rPr>
        <w:t>1</w:t>
      </w:r>
      <w:r>
        <w:rPr/>
        <w:t>、共同控制、重大影响的判断标准</w:t>
      </w:r>
      <w:r>
        <w:rPr>
          <w:rFonts w:ascii="宋体" w:hAnsi="宋体" w:cs="宋体" w:eastAsia="宋体" w:hint="default"/>
        </w:rPr>
        <w:t> </w:t>
      </w:r>
      <w:r>
        <w:rPr>
          <w:spacing w:val="-2"/>
        </w:rPr>
        <w:t>本部分所指的长期股权投资是指本公司对被投资单位具有控制、共同控制或重大影响的长期股权投资。本公司对被投资</w:t>
      </w:r>
    </w:p>
    <w:p>
      <w:pPr>
        <w:pStyle w:val="BodyText"/>
        <w:spacing w:line="316" w:lineRule="auto" w:before="19"/>
        <w:ind w:right="1129"/>
        <w:jc w:val="left"/>
        <w:rPr>
          <w:rFonts w:ascii="宋体" w:hAnsi="宋体" w:cs="宋体" w:eastAsia="宋体" w:hint="default"/>
        </w:rPr>
      </w:pPr>
      <w:r>
        <w:rPr>
          <w:spacing w:val="-2"/>
        </w:rPr>
        <w:t>单位不具有控制、共同控制或重大影响的长期股权投资，作为可供出售金融资产或以公允价值计量且其变动计入当期损益的</w:t>
      </w:r>
      <w:r>
        <w:rPr>
          <w:spacing w:val="-64"/>
        </w:rPr>
        <w:t> </w:t>
      </w:r>
      <w:r>
        <w:rPr>
          <w:spacing w:val="-64"/>
        </w:rPr>
      </w:r>
      <w:r>
        <w:rPr/>
        <w:t>金融资产核算，其会计政策详见附注三、九“金融工具”。</w:t>
      </w:r>
      <w:r>
        <w:rPr>
          <w:rFonts w:ascii="宋体" w:hAnsi="宋体" w:cs="宋体" w:eastAsia="宋体" w:hint="default"/>
        </w:rPr>
        <w:t> </w:t>
      </w:r>
    </w:p>
    <w:p>
      <w:pPr>
        <w:pStyle w:val="BodyText"/>
        <w:spacing w:line="316" w:lineRule="auto" w:before="19"/>
        <w:ind w:right="1130" w:firstLine="360"/>
        <w:jc w:val="both"/>
        <w:rPr>
          <w:rFonts w:ascii="宋体" w:hAnsi="宋体" w:cs="宋体" w:eastAsia="宋体" w:hint="default"/>
        </w:rPr>
      </w:pPr>
      <w:r>
        <w:rPr>
          <w:spacing w:val="-2"/>
        </w:rPr>
        <w:t>共同控制，是指本公司按照相关约定对某项安排所共有的控制，并且该安排的相关活动必须经过分享控制权的参与方一</w:t>
      </w:r>
      <w:r>
        <w:rPr/>
        <w:t> </w:t>
      </w:r>
      <w:r>
        <w:rPr>
          <w:spacing w:val="-2"/>
        </w:rPr>
        <w:t>致同意后才能决策。重大影响，是指本公司对被投资单位的财务和经营政策有参与决策的权力，但并不能够控制或者与其他</w:t>
      </w:r>
      <w:r>
        <w:rPr>
          <w:spacing w:val="-63"/>
        </w:rPr>
        <w:t> </w:t>
      </w:r>
      <w:r>
        <w:rPr>
          <w:spacing w:val="-63"/>
        </w:rPr>
      </w:r>
      <w:r>
        <w:rPr/>
        <w:t>方一起共同控制这些政策的制定。</w:t>
      </w:r>
      <w:r>
        <w:rPr>
          <w:rFonts w:ascii="宋体" w:hAnsi="宋体" w:cs="宋体" w:eastAsia="宋体" w:hint="default"/>
        </w:rPr>
        <w:t> </w:t>
      </w:r>
    </w:p>
    <w:p>
      <w:pPr>
        <w:pStyle w:val="BodyText"/>
        <w:spacing w:line="240" w:lineRule="auto" w:before="19"/>
        <w:ind w:left="513" w:right="1133"/>
        <w:jc w:val="left"/>
        <w:rPr>
          <w:rFonts w:ascii="宋体" w:hAnsi="宋体" w:cs="宋体" w:eastAsia="宋体" w:hint="default"/>
        </w:rPr>
      </w:pPr>
      <w:r>
        <w:rPr>
          <w:rFonts w:ascii="宋体" w:hAnsi="宋体" w:cs="宋体" w:eastAsia="宋体" w:hint="default"/>
        </w:rPr>
        <w:t>2</w:t>
      </w:r>
      <w:r>
        <w:rPr/>
        <w:t>、初始投资成本的确定</w:t>
      </w:r>
      <w:r>
        <w:rPr>
          <w:rFonts w:ascii="宋体" w:hAnsi="宋体" w:cs="宋体" w:eastAsia="宋体" w:hint="default"/>
        </w:rPr>
        <w:t> </w:t>
      </w:r>
    </w:p>
    <w:p>
      <w:pPr>
        <w:pStyle w:val="BodyText"/>
        <w:spacing w:line="316" w:lineRule="auto" w:before="76"/>
        <w:ind w:right="1034" w:firstLine="36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8"/>
        </w:rPr>
        <w:t> </w:t>
      </w:r>
      <w:r>
        <w:rPr>
          <w:spacing w:val="-2"/>
        </w:rPr>
        <w:t>对于同一控制下的企业合并取得的长期股权投资，在合并日按照被合并方在最终控制方合并财务报表中的账面价值</w:t>
      </w:r>
      <w:r>
        <w:rPr/>
        <w:t> </w:t>
      </w:r>
      <w:r>
        <w:rPr>
          <w:spacing w:val="-2"/>
        </w:rPr>
        <w:t>的份额作为长期股权投资的初始投资成本。长期股权投资初始投资成本与支付的现金、转让的非现金资产以及所承担债务账</w:t>
      </w:r>
      <w:r>
        <w:rPr>
          <w:spacing w:val="-64"/>
        </w:rPr>
        <w:t> </w:t>
      </w:r>
      <w:r>
        <w:rPr>
          <w:spacing w:val="-64"/>
        </w:rPr>
      </w:r>
      <w:r>
        <w:rPr>
          <w:spacing w:val="-2"/>
        </w:rPr>
        <w:t>面价值之间的差额，调整资本公积；资本公积不足冲减的，调整留存收益。以发行权益性证券作为合并对价的，在合并日按</w:t>
      </w:r>
      <w:r>
        <w:rPr>
          <w:spacing w:val="-66"/>
        </w:rPr>
        <w:t> </w:t>
      </w:r>
      <w:r>
        <w:rPr>
          <w:spacing w:val="-66"/>
        </w:rPr>
      </w:r>
      <w:r>
        <w:rPr>
          <w:spacing w:val="-2"/>
        </w:rPr>
        <w:t>照被合并方在最终控制方合并财务报表中的账面价值的份额作为长期股权投资的初始投资成本，按照发行股份的面值总额作</w:t>
      </w:r>
      <w:r>
        <w:rPr>
          <w:spacing w:val="-64"/>
        </w:rPr>
        <w:t> </w:t>
      </w:r>
      <w:r>
        <w:rPr>
          <w:spacing w:val="-64"/>
        </w:rPr>
      </w:r>
      <w:r>
        <w:rPr>
          <w:spacing w:val="-2"/>
        </w:rPr>
        <w:t>为股本，长期股权投资初始投资成本与所发行股份面值总额之间的差额，调整资本公积；资本公积不足冲减的，调整留存收</w:t>
      </w:r>
      <w:r>
        <w:rPr>
          <w:spacing w:val="-64"/>
        </w:rPr>
        <w:t> </w:t>
      </w:r>
      <w:r>
        <w:rPr>
          <w:spacing w:val="-64"/>
        </w:rPr>
      </w:r>
      <w:r>
        <w:rPr/>
        <w:t>益。通过多次交易分步取得同一控制下被合并方的股权，最终形成同一控制下企业合并的，应分别是否属于“一揽子交易”</w:t>
      </w:r>
      <w:r>
        <w:rPr>
          <w:spacing w:val="-85"/>
        </w:rPr>
        <w:t> </w:t>
      </w:r>
      <w:r>
        <w:rPr>
          <w:spacing w:val="-85"/>
        </w:rPr>
      </w:r>
      <w:r>
        <w:rPr>
          <w:spacing w:val="-2"/>
        </w:rPr>
        <w:t>进行处理：属于“一揽子交易”的，将各项交易作为一项取得控制权的交易进行会计处理。不属于“一揽子交易”的，在合</w:t>
      </w:r>
      <w:r>
        <w:rPr>
          <w:spacing w:val="-64"/>
        </w:rPr>
        <w:t> </w:t>
      </w:r>
      <w:r>
        <w:rPr>
          <w:spacing w:val="-64"/>
        </w:rPr>
      </w:r>
      <w:r>
        <w:rPr>
          <w:spacing w:val="-2"/>
        </w:rPr>
        <w:t>并日按照应享有被合并方在最终控制方合并财务报表中的账面价值的份额作为长期股权投资的初始投资成本，长期股权投资</w:t>
      </w:r>
      <w:r>
        <w:rPr>
          <w:spacing w:val="-63"/>
        </w:rPr>
        <w:t> </w:t>
      </w:r>
      <w:r>
        <w:rPr>
          <w:spacing w:val="-63"/>
        </w:rPr>
      </w:r>
      <w:r>
        <w:rPr>
          <w:spacing w:val="-2"/>
        </w:rPr>
        <w:t>初始投资成本与达到合并前的长期股权投资账面价值加上合并日进一步取得股份新支付对价的账面价值之和的差额，调整资</w:t>
      </w:r>
      <w:r>
        <w:rPr>
          <w:spacing w:val="-64"/>
        </w:rPr>
        <w:t> </w:t>
      </w:r>
      <w:r>
        <w:rPr>
          <w:spacing w:val="-64"/>
        </w:rPr>
      </w:r>
      <w:r>
        <w:rPr>
          <w:spacing w:val="-2"/>
        </w:rPr>
        <w:t>本公积；资本公积不足冲减的，调整留存收益。合并日之前持有的股权投资因采用权益法核算或为可供出售金融资产而确认</w:t>
      </w:r>
      <w:r>
        <w:rPr>
          <w:spacing w:val="-66"/>
        </w:rPr>
        <w:t> </w:t>
      </w:r>
      <w:r>
        <w:rPr>
          <w:spacing w:val="-66"/>
        </w:rPr>
      </w:r>
      <w:r>
        <w:rPr/>
        <w:t>的其他综合收益，暂不进行会计处理。</w:t>
      </w:r>
      <w:r>
        <w:rPr>
          <w:rFonts w:ascii="宋体" w:hAnsi="宋体" w:cs="宋体" w:eastAsia="宋体" w:hint="default"/>
        </w:rPr>
        <w:t> </w:t>
      </w:r>
    </w:p>
    <w:p>
      <w:pPr>
        <w:pStyle w:val="BodyText"/>
        <w:spacing w:line="316" w:lineRule="auto" w:before="19"/>
        <w:ind w:right="1130" w:firstLine="360"/>
        <w:jc w:val="both"/>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(2)</w:t>
      </w:r>
      <w:r>
        <w:rPr>
          <w:spacing w:val="-2"/>
        </w:rPr>
        <w:t>对于非同一控制下的企业合并取得的长期股权投资，在购买日按照合并成本作为长期股权投资的初始投资成本，合</w:t>
      </w:r>
      <w:r>
        <w:rPr/>
        <w:t> </w:t>
      </w:r>
      <w:r>
        <w:rPr>
          <w:spacing w:val="-2"/>
        </w:rPr>
        <w:t>并成本包括购买方付出的资产、发生或承担的负债、发行的权益性证券的公允价值之和。通过多次交易分步取得被购买方的</w:t>
      </w:r>
      <w:r>
        <w:rPr>
          <w:spacing w:val="-64"/>
        </w:rPr>
        <w:t> </w:t>
      </w:r>
      <w:r>
        <w:rPr>
          <w:spacing w:val="-64"/>
        </w:rPr>
      </w:r>
      <w:r>
        <w:rPr>
          <w:spacing w:val="-2"/>
        </w:rPr>
        <w:t>股权，最终形成非同一控制下的企业合并的，应分别是否属于“一揽子交易”进行处理：属于“一揽子交易”的，将各项交</w:t>
      </w:r>
      <w:r>
        <w:rPr>
          <w:spacing w:val="-67"/>
        </w:rPr>
        <w:t> </w:t>
      </w:r>
      <w:r>
        <w:rPr>
          <w:spacing w:val="-67"/>
        </w:rPr>
      </w:r>
      <w:r>
        <w:rPr>
          <w:spacing w:val="-2"/>
        </w:rPr>
        <w:t>易作为一项取得控制权的交易进行会计处理。不属于“一揽子交易”的，按照原持有被购买方的股权投资账面价值加上新增</w:t>
      </w:r>
      <w:r>
        <w:rPr>
          <w:spacing w:val="-65"/>
        </w:rPr>
        <w:t> </w:t>
      </w:r>
      <w:r>
        <w:rPr>
          <w:spacing w:val="-65"/>
        </w:rPr>
      </w:r>
      <w:r>
        <w:rPr>
          <w:spacing w:val="-2"/>
        </w:rPr>
        <w:t>投资成本之和，作为改按成本法核算的长期股权投资的初始投资成本。原持有的股权采用权益法核算的，相关其他综合收益</w:t>
      </w:r>
      <w:r>
        <w:rPr>
          <w:spacing w:val="-63"/>
        </w:rPr>
        <w:t> </w:t>
      </w:r>
      <w:r>
        <w:rPr>
          <w:spacing w:val="-63"/>
        </w:rPr>
      </w:r>
      <w:r>
        <w:rPr>
          <w:spacing w:val="-2"/>
        </w:rPr>
        <w:t>暂不进行会计处理。原持有股权投资为可供出售金融资产的，其公允价值与账面价值之间的差额，以及原计入其他综合收益</w:t>
      </w:r>
      <w:r>
        <w:rPr>
          <w:spacing w:val="-63"/>
        </w:rPr>
        <w:t> </w:t>
      </w:r>
      <w:r>
        <w:rPr>
          <w:spacing w:val="-63"/>
        </w:rPr>
      </w:r>
      <w:r>
        <w:rPr/>
        <w:t>的累计公允价值变动转入当期损益。</w:t>
      </w:r>
      <w:r>
        <w:rPr>
          <w:rFonts w:ascii="宋体" w:hAnsi="宋体" w:cs="宋体" w:eastAsia="宋体" w:hint="default"/>
        </w:rPr>
        <w:t> </w:t>
      </w:r>
    </w:p>
    <w:p>
      <w:pPr>
        <w:pStyle w:val="BodyText"/>
        <w:spacing w:line="316" w:lineRule="auto" w:before="19"/>
        <w:ind w:right="1132" w:firstLine="360"/>
        <w:jc w:val="both"/>
        <w:rPr>
          <w:rFonts w:ascii="宋体" w:hAnsi="宋体" w:cs="宋体" w:eastAsia="宋体" w:hint="default"/>
        </w:rPr>
      </w:pPr>
      <w:r>
        <w:rPr>
          <w:spacing w:val="-2"/>
        </w:rPr>
        <w:t>合并方或购买方为企业合并发生的审计、法律服务、评估咨询等中介费用以及其他相关管理费用，于发生时计入当期损</w:t>
      </w:r>
      <w:r>
        <w:rPr/>
        <w:t> 益。</w:t>
      </w:r>
      <w:r>
        <w:rPr>
          <w:rFonts w:ascii="宋体" w:hAnsi="宋体" w:cs="宋体" w:eastAsia="宋体" w:hint="default"/>
        </w:rPr>
        <w:t> </w:t>
      </w:r>
    </w:p>
    <w:p>
      <w:pPr>
        <w:pStyle w:val="BodyText"/>
        <w:spacing w:line="316" w:lineRule="auto" w:before="19"/>
        <w:ind w:right="1130" w:firstLine="360"/>
        <w:jc w:val="both"/>
      </w:pPr>
      <w:r>
        <w:rPr>
          <w:spacing w:val="-2"/>
        </w:rPr>
        <w:t>除企业合并形成的长期股权投资外的其他股权投资，按成本进行初始计量，该成本视长期股权投资取得方式的不同，分</w:t>
      </w:r>
      <w:r>
        <w:rPr/>
        <w:t> </w:t>
      </w:r>
      <w:r>
        <w:rPr>
          <w:spacing w:val="-2"/>
        </w:rPr>
        <w:t>别按照本公司实际支付的现金购买价款、本公司发行的权益性证券的公允价值、投资合同或协议约定的价值、非货币性资产</w:t>
      </w:r>
    </w:p>
    <w:p>
      <w:pPr>
        <w:spacing w:after="0" w:line="316" w:lineRule="auto"/>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034"/>
        <w:jc w:val="left"/>
        <w:rPr>
          <w:rFonts w:ascii="宋体" w:hAnsi="宋体" w:cs="宋体" w:eastAsia="宋体" w:hint="default"/>
        </w:rPr>
      </w:pPr>
      <w:r>
        <w:rPr>
          <w:spacing w:val="-2"/>
        </w:rPr>
        <w:t>交换交易中换出资产的公允价值或原账面价值、该项长期股权投资自身的公允价值等方式确定。与取得长期股权投资直接相</w:t>
      </w:r>
      <w:r>
        <w:rPr>
          <w:spacing w:val="-64"/>
        </w:rPr>
        <w:t> </w:t>
      </w:r>
      <w:r>
        <w:rPr>
          <w:spacing w:val="-64"/>
        </w:rPr>
      </w:r>
      <w:r>
        <w:rPr/>
        <w:t>关的费用、税金及其他必要支出也计入投资成本。对于因能够对被投资单位实施重大影响或实施共同控制但不构成控制的，</w:t>
      </w:r>
      <w:r>
        <w:rPr>
          <w:spacing w:val="-85"/>
        </w:rPr>
        <w:t> </w:t>
      </w:r>
      <w:r>
        <w:rPr>
          <w:spacing w:val="-85"/>
        </w:rPr>
      </w:r>
      <w:r>
        <w:rPr>
          <w:spacing w:val="-2"/>
        </w:rPr>
        <w:t>长期股权投资成本为按照《企业会计准则第</w:t>
      </w:r>
      <w:r>
        <w:rPr>
          <w:rFonts w:ascii="宋体" w:hAnsi="宋体" w:cs="宋体" w:eastAsia="宋体" w:hint="default"/>
          <w:spacing w:val="-2"/>
        </w:rPr>
        <w:t>22</w:t>
      </w:r>
      <w:r>
        <w:rPr>
          <w:spacing w:val="-2"/>
        </w:rPr>
        <w:t>号——金融工具确认和计量》确定的原持有股权投资的公允价值加上新增投资</w:t>
      </w:r>
      <w:r>
        <w:rPr>
          <w:spacing w:val="-62"/>
        </w:rPr>
        <w:t> </w:t>
      </w:r>
      <w:r>
        <w:rPr>
          <w:spacing w:val="-62"/>
        </w:rPr>
      </w:r>
      <w:r>
        <w:rPr/>
        <w:t>成本之和。</w:t>
      </w:r>
      <w:r>
        <w:rPr>
          <w:rFonts w:ascii="宋体" w:hAnsi="宋体" w:cs="宋体" w:eastAsia="宋体" w:hint="default"/>
        </w:rPr>
        <w:t> </w:t>
      </w:r>
    </w:p>
    <w:p>
      <w:pPr>
        <w:pStyle w:val="BodyText"/>
        <w:spacing w:line="316" w:lineRule="auto" w:before="19"/>
        <w:ind w:left="513" w:right="1034"/>
        <w:jc w:val="left"/>
      </w:pPr>
      <w:r>
        <w:rPr>
          <w:rFonts w:ascii="宋体" w:hAnsi="宋体" w:cs="宋体" w:eastAsia="宋体" w:hint="default"/>
        </w:rPr>
        <w:t>3</w:t>
      </w:r>
      <w:r>
        <w:rPr/>
        <w:t>、后续计量及损益确认方法</w:t>
      </w:r>
      <w:r>
        <w:rPr>
          <w:rFonts w:ascii="宋体" w:hAnsi="宋体" w:cs="宋体" w:eastAsia="宋体" w:hint="default"/>
        </w:rPr>
        <w:t> </w:t>
      </w:r>
      <w:r>
        <w:rPr>
          <w:spacing w:val="-2"/>
        </w:rPr>
        <w:t>对被投资单位具有共同控制</w:t>
      </w:r>
      <w:r>
        <w:rPr>
          <w:rFonts w:ascii="宋体" w:hAnsi="宋体" w:cs="宋体" w:eastAsia="宋体" w:hint="default"/>
          <w:spacing w:val="-2"/>
        </w:rPr>
        <w:t>(</w:t>
      </w:r>
      <w:r>
        <w:rPr>
          <w:spacing w:val="-2"/>
        </w:rPr>
        <w:t>构成共同经营者除外</w:t>
      </w:r>
      <w:r>
        <w:rPr>
          <w:rFonts w:ascii="宋体" w:hAnsi="宋体" w:cs="宋体" w:eastAsia="宋体" w:hint="default"/>
          <w:spacing w:val="-2"/>
        </w:rPr>
        <w:t>)</w:t>
      </w:r>
      <w:r>
        <w:rPr>
          <w:spacing w:val="-2"/>
        </w:rPr>
        <w:t>或重大影响的长期股权投资，采用权益法核算。此外，公司财务报表</w:t>
      </w:r>
    </w:p>
    <w:p>
      <w:pPr>
        <w:pStyle w:val="BodyText"/>
        <w:spacing w:line="316" w:lineRule="auto" w:before="19"/>
        <w:ind w:left="513" w:right="3553" w:hanging="361"/>
        <w:jc w:val="left"/>
        <w:rPr>
          <w:rFonts w:ascii="宋体" w:hAnsi="宋体" w:cs="宋体" w:eastAsia="宋体" w:hint="default"/>
        </w:rPr>
      </w:pPr>
      <w:r>
        <w:rPr/>
        <w:t>采用成本法核算能够对被投资单位实施控制的长期股权投资。</w:t>
      </w:r>
      <w:r>
        <w:rPr>
          <w:rFonts w:ascii="宋体" w:hAnsi="宋体" w:cs="宋体" w:eastAsia="宋体" w:hint="default"/>
        </w:rPr>
        <w:t> (1)</w:t>
      </w:r>
      <w:r>
        <w:rPr/>
        <w:t>成本法核算的长期股权投资</w:t>
      </w:r>
      <w:r>
        <w:rPr>
          <w:rFonts w:ascii="宋体" w:hAnsi="宋体" w:cs="宋体" w:eastAsia="宋体" w:hint="default"/>
        </w:rPr>
        <w:t> </w:t>
      </w:r>
    </w:p>
    <w:p>
      <w:pPr>
        <w:pStyle w:val="BodyText"/>
        <w:spacing w:line="316" w:lineRule="auto" w:before="19"/>
        <w:ind w:right="1130" w:firstLine="360"/>
        <w:jc w:val="both"/>
        <w:rPr>
          <w:rFonts w:ascii="宋体" w:hAnsi="宋体" w:cs="宋体" w:eastAsia="宋体" w:hint="default"/>
        </w:rPr>
      </w:pPr>
      <w:r>
        <w:rPr>
          <w:spacing w:val="-2"/>
        </w:rPr>
        <w:t>采用成本法核算时，长期股权投资按初始投资成本计价，追加或收回投资调整长期股权投资的成本。除取得投资时实际</w:t>
      </w:r>
      <w:r>
        <w:rPr/>
        <w:t> </w:t>
      </w:r>
      <w:r>
        <w:rPr>
          <w:spacing w:val="-2"/>
        </w:rPr>
        <w:t>支付的价款或者对价中包含的已宣告但尚未发放的现金股利或者利润外，当期投资收益按照享有被投资单位宣告发放的现金</w:t>
      </w:r>
      <w:r>
        <w:rPr>
          <w:spacing w:val="-64"/>
        </w:rPr>
        <w:t> </w:t>
      </w:r>
      <w:r>
        <w:rPr>
          <w:spacing w:val="-64"/>
        </w:rPr>
      </w:r>
      <w:r>
        <w:rPr/>
        <w:t>股利或利润确认。</w:t>
      </w:r>
      <w:r>
        <w:rPr>
          <w:rFonts w:ascii="宋体" w:hAnsi="宋体" w:cs="宋体" w:eastAsia="宋体" w:hint="default"/>
        </w:rPr>
        <w:t> </w:t>
      </w:r>
    </w:p>
    <w:p>
      <w:pPr>
        <w:pStyle w:val="BodyText"/>
        <w:spacing w:line="316" w:lineRule="auto" w:before="19"/>
        <w:ind w:left="513" w:right="1129"/>
        <w:jc w:val="left"/>
      </w:pPr>
      <w:r>
        <w:rPr>
          <w:rFonts w:ascii="宋体" w:hAnsi="宋体" w:cs="宋体" w:eastAsia="宋体" w:hint="default"/>
        </w:rPr>
        <w:t>(2)</w:t>
      </w:r>
      <w:r>
        <w:rPr/>
        <w:t>权益法核算的长期股权投资</w:t>
      </w:r>
      <w:r>
        <w:rPr>
          <w:rFonts w:ascii="宋体" w:hAnsi="宋体" w:cs="宋体" w:eastAsia="宋体" w:hint="default"/>
        </w:rPr>
        <w:t> </w:t>
      </w:r>
      <w:r>
        <w:rPr>
          <w:spacing w:val="-2"/>
        </w:rPr>
        <w:t>采用权益法核算时，长期股权投资的初始投资成本大于投资时应享有被投资单位可辨认净资产公允价值份额的，不调整</w:t>
      </w:r>
    </w:p>
    <w:p>
      <w:pPr>
        <w:pStyle w:val="BodyText"/>
        <w:spacing w:line="316" w:lineRule="auto" w:before="19"/>
        <w:ind w:right="1129"/>
        <w:jc w:val="left"/>
        <w:rPr>
          <w:rFonts w:ascii="宋体" w:hAnsi="宋体" w:cs="宋体" w:eastAsia="宋体" w:hint="default"/>
        </w:rPr>
      </w:pPr>
      <w:r>
        <w:rPr>
          <w:spacing w:val="-2"/>
        </w:rPr>
        <w:t>长期股权投资的初始投资成本；初始投资成本小于投资时应享有被投资单位可辨认净资产公允价值份额的，其差额计入当期</w:t>
      </w:r>
      <w:r>
        <w:rPr>
          <w:spacing w:val="-64"/>
        </w:rPr>
        <w:t> </w:t>
      </w:r>
      <w:r>
        <w:rPr>
          <w:spacing w:val="-64"/>
        </w:rPr>
      </w:r>
      <w:r>
        <w:rPr/>
        <w:t>损益，同时调整长期股权投资的成本。</w:t>
      </w:r>
      <w:r>
        <w:rPr>
          <w:rFonts w:ascii="宋体" w:hAnsi="宋体" w:cs="宋体" w:eastAsia="宋体" w:hint="default"/>
        </w:rPr>
        <w:t> </w:t>
      </w:r>
    </w:p>
    <w:p>
      <w:pPr>
        <w:pStyle w:val="BodyText"/>
        <w:spacing w:line="316" w:lineRule="auto" w:before="19"/>
        <w:ind w:right="1034" w:firstLine="360"/>
        <w:jc w:val="left"/>
        <w:rPr>
          <w:rFonts w:ascii="宋体" w:hAnsi="宋体" w:cs="宋体" w:eastAsia="宋体" w:hint="default"/>
        </w:rPr>
      </w:pPr>
      <w:r>
        <w:rPr>
          <w:spacing w:val="-2"/>
        </w:rPr>
        <w:t>采用权益法核算时，按照应享有或应分担的被投资单位实现的净损益和其他综合收益的份额，分别确认投资收益和其他</w:t>
      </w:r>
      <w:r>
        <w:rPr/>
        <w:t> </w:t>
      </w:r>
      <w:r>
        <w:rPr>
          <w:spacing w:val="-2"/>
        </w:rPr>
        <w:t>综合收益，同时调整长期股权投资的账面价值；按照被投资单位宣告分派的利润或现金股利计算应享有的部分，相应减少长</w:t>
      </w:r>
      <w:r>
        <w:rPr>
          <w:spacing w:val="-63"/>
        </w:rPr>
        <w:t> </w:t>
      </w:r>
      <w:r>
        <w:rPr>
          <w:spacing w:val="-63"/>
        </w:rPr>
      </w:r>
      <w:r>
        <w:rPr>
          <w:spacing w:val="-2"/>
        </w:rPr>
        <w:t>期股权投资的账面价值；对于被投资单位除净损益、其他综合收益和利润分配以外所有者权益的其他变动，调整长期股权投</w:t>
      </w:r>
      <w:r>
        <w:rPr>
          <w:spacing w:val="-63"/>
        </w:rPr>
        <w:t> </w:t>
      </w:r>
      <w:r>
        <w:rPr>
          <w:spacing w:val="-63"/>
        </w:rPr>
      </w:r>
      <w:r>
        <w:rPr>
          <w:spacing w:val="-2"/>
        </w:rPr>
        <w:t>资的账面价值并计入资本公积。在确认应享有被投资单位净损益的份额时，以取得投资时被投资单位各项可辨认资产等的公</w:t>
      </w:r>
      <w:r>
        <w:rPr>
          <w:spacing w:val="-64"/>
        </w:rPr>
        <w:t> </w:t>
      </w:r>
      <w:r>
        <w:rPr>
          <w:spacing w:val="-64"/>
        </w:rPr>
      </w:r>
      <w:r>
        <w:rPr>
          <w:spacing w:val="-2"/>
        </w:rPr>
        <w:t>允价值为基础，对被投资单位的净利润进行调整后确认。被投资单位采用的会计政策及会计期间与本公司不一致的，按照本</w:t>
      </w:r>
      <w:r>
        <w:rPr>
          <w:spacing w:val="-62"/>
        </w:rPr>
        <w:t> </w:t>
      </w:r>
      <w:r>
        <w:rPr>
          <w:spacing w:val="-62"/>
        </w:rPr>
      </w:r>
      <w:r>
        <w:rPr>
          <w:spacing w:val="-2"/>
        </w:rPr>
        <w:t>公司的会计政策及会计期间对被投资单位的财务报表进行调整，并据以确认投资收益和其他综合收益。对于本公司与联营企</w:t>
      </w:r>
      <w:r>
        <w:rPr>
          <w:spacing w:val="-64"/>
        </w:rPr>
        <w:t> </w:t>
      </w:r>
      <w:r>
        <w:rPr>
          <w:spacing w:val="-64"/>
        </w:rPr>
      </w:r>
      <w:r>
        <w:rPr>
          <w:spacing w:val="-2"/>
        </w:rPr>
        <w:t>业及合营企业之间发生的交易，投出或出售的资产不构成业务的，未实现内部交易损益按照享有的比例计算归属于本公司的</w:t>
      </w:r>
      <w:r>
        <w:rPr>
          <w:spacing w:val="-64"/>
        </w:rPr>
        <w:t> </w:t>
      </w:r>
      <w:r>
        <w:rPr>
          <w:spacing w:val="-64"/>
        </w:rPr>
      </w:r>
      <w:r>
        <w:rPr>
          <w:spacing w:val="-5"/>
        </w:rPr>
        <w:t>部分予以抵销，在此基础上确认投资损益。但本公司与被投资单位发生的未实现内部交易损失，属于所转让资产减值损失的，</w:t>
      </w:r>
      <w:r>
        <w:rPr>
          <w:spacing w:val="-76"/>
        </w:rPr>
        <w:t> </w:t>
      </w:r>
      <w:r>
        <w:rPr>
          <w:spacing w:val="-76"/>
        </w:rPr>
      </w:r>
      <w:r>
        <w:rPr>
          <w:spacing w:val="-2"/>
        </w:rPr>
        <w:t>不予以抵销。本公司向合营企业或联营企业投出的资产构成业务的，投资方因此取得长期股权投资但未取得控制权的，以投</w:t>
      </w:r>
      <w:r>
        <w:rPr>
          <w:spacing w:val="-63"/>
        </w:rPr>
        <w:t> </w:t>
      </w:r>
      <w:r>
        <w:rPr>
          <w:spacing w:val="-63"/>
        </w:rPr>
      </w:r>
      <w:r>
        <w:rPr/>
        <w:t>出业务的公允价值作为新增长期股权投资的初始投资成本，初始投资成本与投出业务的账面价值之差，全额计入当期损益。</w:t>
      </w:r>
      <w:r>
        <w:rPr>
          <w:spacing w:val="-85"/>
        </w:rPr>
        <w:t> </w:t>
      </w:r>
      <w:r>
        <w:rPr>
          <w:spacing w:val="-85"/>
        </w:rPr>
      </w:r>
      <w:r>
        <w:rPr>
          <w:spacing w:val="-2"/>
        </w:rPr>
        <w:t>本公司向合营企业或联营企业出售的资产构成业务的，取得的对价与业务的账面价值之差，全额计入当期损益。本公司自联</w:t>
      </w:r>
      <w:r>
        <w:rPr>
          <w:spacing w:val="-66"/>
        </w:rPr>
        <w:t> </w:t>
      </w:r>
      <w:r>
        <w:rPr>
          <w:spacing w:val="-66"/>
        </w:rPr>
      </w:r>
      <w:r>
        <w:rPr>
          <w:spacing w:val="-2"/>
        </w:rPr>
        <w:t>营企业及合营企业购入的资产构成业务的，按《企业会计准则第</w:t>
      </w:r>
      <w:r>
        <w:rPr>
          <w:rFonts w:ascii="宋体" w:hAnsi="宋体" w:cs="宋体" w:eastAsia="宋体" w:hint="default"/>
          <w:spacing w:val="-2"/>
        </w:rPr>
        <w:t>20</w:t>
      </w:r>
      <w:r>
        <w:rPr>
          <w:spacing w:val="-2"/>
        </w:rPr>
        <w:t>号——企业合并》的规定进行会计处理，全额确认与交易</w:t>
      </w:r>
      <w:r>
        <w:rPr>
          <w:spacing w:val="-61"/>
        </w:rPr>
        <w:t> </w:t>
      </w:r>
      <w:r>
        <w:rPr>
          <w:spacing w:val="-61"/>
        </w:rPr>
      </w:r>
      <w:r>
        <w:rPr/>
        <w:t>相关的利得或损失。</w:t>
      </w:r>
      <w:r>
        <w:rPr>
          <w:rFonts w:ascii="宋体" w:hAnsi="宋体" w:cs="宋体" w:eastAsia="宋体" w:hint="default"/>
        </w:rPr>
        <w:t> </w:t>
      </w:r>
    </w:p>
    <w:p>
      <w:pPr>
        <w:pStyle w:val="BodyText"/>
        <w:spacing w:line="316" w:lineRule="auto" w:before="19"/>
        <w:ind w:right="1131" w:firstLine="360"/>
        <w:jc w:val="both"/>
        <w:rPr>
          <w:rFonts w:ascii="宋体" w:hAnsi="宋体" w:cs="宋体" w:eastAsia="宋体" w:hint="default"/>
        </w:rPr>
      </w:pPr>
      <w:r>
        <w:rPr>
          <w:spacing w:val="-2"/>
        </w:rPr>
        <w:t>在确认应分担被投资单位发生的净亏损时，以长期股权投资的账面价值和其他实质上构成对被投资单位净投资的长期权</w:t>
      </w:r>
      <w:r>
        <w:rPr/>
        <w:t> </w:t>
      </w:r>
      <w:r>
        <w:rPr>
          <w:spacing w:val="-2"/>
        </w:rPr>
        <w:t>益减记至零为限。此外，如本公司对被投资单位负有承担额外损失的义务，则按预计承担的义务确认预计负债，计入当期投</w:t>
      </w:r>
      <w:r>
        <w:rPr>
          <w:spacing w:val="-64"/>
        </w:rPr>
        <w:t> </w:t>
      </w:r>
      <w:r>
        <w:rPr>
          <w:spacing w:val="-64"/>
        </w:rPr>
      </w:r>
      <w:r>
        <w:rPr/>
        <w:t>资损失。被投资单位以后期间实现净利润的，本公司在收益分享额弥补未确认的亏损分担额后，恢复确认收益分享额。</w:t>
      </w:r>
      <w:r>
        <w:rPr>
          <w:rFonts w:ascii="宋体" w:hAnsi="宋体" w:cs="宋体" w:eastAsia="宋体" w:hint="default"/>
        </w:rPr>
        <w:t> </w:t>
      </w:r>
    </w:p>
    <w:p>
      <w:pPr>
        <w:pStyle w:val="BodyText"/>
        <w:spacing w:line="319" w:lineRule="auto" w:before="19"/>
        <w:ind w:left="513" w:right="1123"/>
        <w:jc w:val="left"/>
      </w:pPr>
      <w:r>
        <w:rPr>
          <w:rFonts w:ascii="宋体" w:hAnsi="宋体" w:cs="宋体" w:eastAsia="宋体" w:hint="default"/>
        </w:rPr>
        <w:t>(3)</w:t>
      </w:r>
      <w:r>
        <w:rPr/>
        <w:t>收购少数股权</w:t>
      </w:r>
      <w:r>
        <w:rPr>
          <w:rFonts w:ascii="宋体" w:hAnsi="宋体" w:cs="宋体" w:eastAsia="宋体" w:hint="default"/>
        </w:rPr>
        <w:t> </w:t>
      </w:r>
      <w:r>
        <w:rPr/>
        <w:t>在编制合并财务报表时，因购买少数股权新增的长期股权投资与按照新增持股比例计算应享有子公司自购买日</w:t>
      </w:r>
      <w:r>
        <w:rPr>
          <w:rFonts w:ascii="宋体" w:hAnsi="宋体" w:cs="宋体" w:eastAsia="宋体" w:hint="default"/>
        </w:rPr>
        <w:t>(</w:t>
      </w:r>
      <w:r>
        <w:rPr/>
        <w:t>或合并</w:t>
      </w:r>
    </w:p>
    <w:p>
      <w:pPr>
        <w:pStyle w:val="BodyText"/>
        <w:spacing w:line="316" w:lineRule="auto" w:before="17"/>
        <w:ind w:left="513" w:right="1132" w:hanging="361"/>
        <w:jc w:val="left"/>
      </w:pPr>
      <w:r>
        <w:rPr/>
        <w:t>日</w:t>
      </w:r>
      <w:r>
        <w:rPr>
          <w:rFonts w:ascii="宋体" w:hAnsi="宋体" w:cs="宋体" w:eastAsia="宋体" w:hint="default"/>
        </w:rPr>
        <w:t>)</w:t>
      </w:r>
      <w:r>
        <w:rPr/>
        <w:t>开始持续计算的净资产份额之间的差额，调整资本公积，资本公积不足冲减的，调整留存收益。</w:t>
      </w:r>
      <w:r>
        <w:rPr>
          <w:rFonts w:ascii="宋体" w:hAnsi="宋体" w:cs="宋体" w:eastAsia="宋体" w:hint="default"/>
        </w:rPr>
        <w:t> </w:t>
      </w:r>
      <w:r>
        <w:rPr>
          <w:rFonts w:ascii="宋体" w:hAnsi="宋体" w:cs="宋体" w:eastAsia="宋体" w:hint="default"/>
        </w:rPr>
        <w:t> (4)</w:t>
      </w:r>
      <w:r>
        <w:rPr/>
        <w:t>处置长期股权投资</w:t>
      </w:r>
      <w:r>
        <w:rPr>
          <w:rFonts w:ascii="宋体" w:hAnsi="宋体" w:cs="宋体" w:eastAsia="宋体" w:hint="default"/>
        </w:rPr>
        <w:t> </w:t>
      </w:r>
      <w:r>
        <w:rPr>
          <w:spacing w:val="-2"/>
        </w:rPr>
        <w:t>在合并财务报表中，母公司在不丧失控制权的情况下部分处置对子公司的长期股权投资，处置价款与处置长期股权投资</w:t>
      </w:r>
    </w:p>
    <w:p>
      <w:pPr>
        <w:pStyle w:val="BodyText"/>
        <w:spacing w:line="316" w:lineRule="auto" w:before="19"/>
        <w:ind w:right="1129"/>
        <w:jc w:val="left"/>
        <w:rPr>
          <w:rFonts w:ascii="宋体" w:hAnsi="宋体" w:cs="宋体" w:eastAsia="宋体" w:hint="default"/>
        </w:rPr>
      </w:pPr>
      <w:r>
        <w:rPr>
          <w:spacing w:val="-2"/>
        </w:rPr>
        <w:t>相对应享有子公司净资产的差额计入股东权益；母公司部分处置对子公司的长期股权投资导致丧失对子公司控制权的，按本</w:t>
      </w:r>
      <w:r>
        <w:rPr>
          <w:spacing w:val="-63"/>
        </w:rPr>
        <w:t> </w:t>
      </w:r>
      <w:r>
        <w:rPr>
          <w:spacing w:val="-63"/>
        </w:rPr>
      </w:r>
      <w:r>
        <w:rPr/>
        <w:t>附注三、</w:t>
      </w:r>
      <w:r>
        <w:rPr>
          <w:rFonts w:ascii="宋体" w:hAnsi="宋体" w:cs="宋体" w:eastAsia="宋体" w:hint="default"/>
        </w:rPr>
        <w:t>(</w:t>
      </w:r>
      <w:r>
        <w:rPr/>
        <w:t>六</w:t>
      </w:r>
      <w:r>
        <w:rPr>
          <w:rFonts w:ascii="宋体" w:hAnsi="宋体" w:cs="宋体" w:eastAsia="宋体" w:hint="default"/>
        </w:rPr>
        <w:t>)2</w:t>
      </w:r>
      <w:r>
        <w:rPr/>
        <w:t>、“合并财务报表编制的方法”中所述的相关会计政策处理。</w:t>
      </w:r>
      <w:r>
        <w:rPr>
          <w:rFonts w:ascii="宋体" w:hAnsi="宋体" w:cs="宋体" w:eastAsia="宋体" w:hint="default"/>
        </w:rPr>
        <w:t> </w:t>
      </w:r>
    </w:p>
    <w:p>
      <w:pPr>
        <w:pStyle w:val="BodyText"/>
        <w:spacing w:line="316" w:lineRule="auto" w:before="19"/>
        <w:ind w:left="513" w:right="1129"/>
        <w:jc w:val="left"/>
      </w:pPr>
      <w:r>
        <w:rPr/>
        <w:t>其他情形下的长期股权投资处置，对于处置的股权，其账面价值与实际取得价款的差额，计入当期损益。</w:t>
      </w:r>
      <w:r>
        <w:rPr>
          <w:rFonts w:ascii="宋体" w:hAnsi="宋体" w:cs="宋体" w:eastAsia="宋体" w:hint="default"/>
        </w:rPr>
        <w:t> </w:t>
      </w:r>
      <w:r>
        <w:rPr>
          <w:spacing w:val="-2"/>
        </w:rPr>
        <w:t>采用权益法核算的长期股权投资，处置后的剩余股权仍采用权益法核算的，在处置时将原计入股东权益的其他综合收益</w:t>
      </w:r>
    </w:p>
    <w:p>
      <w:pPr>
        <w:pStyle w:val="BodyText"/>
        <w:spacing w:line="316" w:lineRule="auto" w:before="19"/>
        <w:ind w:right="1129"/>
        <w:jc w:val="left"/>
        <w:rPr>
          <w:rFonts w:ascii="宋体" w:hAnsi="宋体" w:cs="宋体" w:eastAsia="宋体" w:hint="default"/>
        </w:rPr>
      </w:pPr>
      <w:r>
        <w:rPr>
          <w:spacing w:val="-2"/>
        </w:rPr>
        <w:t>部分按相应的比例采用与被投资单位直接处置相关资产或负债相同的基础进行会计处理。因被投资方除净损益、其他综合收</w:t>
      </w:r>
      <w:r>
        <w:rPr>
          <w:spacing w:val="-64"/>
        </w:rPr>
        <w:t> </w:t>
      </w:r>
      <w:r>
        <w:rPr>
          <w:spacing w:val="-64"/>
        </w:rPr>
      </w:r>
      <w:r>
        <w:rPr/>
        <w:t>益和利润分配以外的其他所有者权益变动而确认的所有者权益，按比例结转入当期损益。</w:t>
      </w:r>
      <w:r>
        <w:rPr>
          <w:rFonts w:ascii="宋体" w:hAnsi="宋体" w:cs="宋体" w:eastAsia="宋体" w:hint="default"/>
        </w:rPr>
        <w:t> </w:t>
      </w:r>
    </w:p>
    <w:p>
      <w:pPr>
        <w:pStyle w:val="BodyText"/>
        <w:spacing w:line="316" w:lineRule="auto" w:before="19"/>
        <w:ind w:right="1132" w:firstLine="360"/>
        <w:jc w:val="both"/>
      </w:pPr>
      <w:r>
        <w:rPr>
          <w:spacing w:val="-2"/>
        </w:rPr>
        <w:t>采用成本法核算的长期股权投资，处置后剩余股权仍采用成本法核算的，其在取得对被投资单位的控制之前因采用权益</w:t>
      </w:r>
      <w:r>
        <w:rPr/>
        <w:t> </w:t>
      </w:r>
      <w:r>
        <w:rPr>
          <w:spacing w:val="-2"/>
        </w:rPr>
        <w:t>法核算或金融工具确认和计量准则核算而确认的其他综合收益，采用与被投资单位直接处置相关资产或负债相同的基础进行</w:t>
      </w:r>
    </w:p>
    <w:p>
      <w:pPr>
        <w:spacing w:after="0" w:line="316" w:lineRule="auto"/>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29"/>
        <w:jc w:val="left"/>
        <w:rPr>
          <w:rFonts w:ascii="宋体" w:hAnsi="宋体" w:cs="宋体" w:eastAsia="宋体" w:hint="default"/>
        </w:rPr>
      </w:pPr>
      <w:r>
        <w:rPr>
          <w:spacing w:val="-2"/>
        </w:rPr>
        <w:t>会计处理，并按比例结转当期损益；因采用权益法核算而确认的被投资单位净资产中除净损益、其他综合收益和利润分配以</w:t>
      </w:r>
      <w:r>
        <w:rPr>
          <w:spacing w:val="-63"/>
        </w:rPr>
        <w:t> </w:t>
      </w:r>
      <w:r>
        <w:rPr>
          <w:spacing w:val="-63"/>
        </w:rPr>
      </w:r>
      <w:r>
        <w:rPr/>
        <w:t>外的其他所有者权益变动按比例结转当期损益。</w:t>
      </w:r>
      <w:r>
        <w:rPr>
          <w:rFonts w:ascii="宋体" w:hAnsi="宋体" w:cs="宋体" w:eastAsia="宋体" w:hint="default"/>
        </w:rPr>
        <w:t> </w:t>
      </w:r>
    </w:p>
    <w:p>
      <w:pPr>
        <w:pStyle w:val="BodyText"/>
        <w:spacing w:line="316" w:lineRule="auto" w:before="19"/>
        <w:ind w:right="1131" w:firstLine="360"/>
        <w:jc w:val="both"/>
        <w:rPr>
          <w:rFonts w:ascii="宋体" w:hAnsi="宋体" w:cs="宋体" w:eastAsia="宋体" w:hint="default"/>
        </w:rPr>
      </w:pPr>
      <w:r>
        <w:rPr>
          <w:spacing w:val="-2"/>
        </w:rPr>
        <w:t>本公司因处置部分股权投资丧失了对被投资单位的控制的，在编制个别财务报表时，处置后的剩余股权能够对被投资单</w:t>
      </w:r>
      <w:r>
        <w:rPr/>
        <w:t> </w:t>
      </w:r>
      <w:r>
        <w:rPr>
          <w:spacing w:val="-2"/>
        </w:rPr>
        <w:t>位实施共同控制或施加重大影响的，改按权益法核算，并对该剩余股权视同自取得时即采用权益法核算进行调整；处置后的</w:t>
      </w:r>
      <w:r>
        <w:rPr>
          <w:spacing w:val="-65"/>
        </w:rPr>
        <w:t> </w:t>
      </w:r>
      <w:r>
        <w:rPr>
          <w:spacing w:val="-65"/>
        </w:rPr>
      </w:r>
      <w:r>
        <w:rPr>
          <w:spacing w:val="-2"/>
        </w:rPr>
        <w:t>剩余股权不能对被投资单位实施共同控制或施加重大影响的，改按金融工具确认和计量准则的有关规定进行会计处理，其在</w:t>
      </w:r>
      <w:r>
        <w:rPr>
          <w:spacing w:val="-64"/>
        </w:rPr>
        <w:t> </w:t>
      </w:r>
      <w:r>
        <w:rPr>
          <w:spacing w:val="-64"/>
        </w:rPr>
      </w:r>
      <w:r>
        <w:rPr>
          <w:spacing w:val="-2"/>
        </w:rPr>
        <w:t>丧失控制之日的公允价值与账面价值之间的差额计入当期损益。对于本公司取得对被投资单位的控制之前，因采用权益法核</w:t>
      </w:r>
      <w:r>
        <w:rPr>
          <w:spacing w:val="-64"/>
        </w:rPr>
        <w:t> </w:t>
      </w:r>
      <w:r>
        <w:rPr>
          <w:spacing w:val="-64"/>
        </w:rPr>
      </w:r>
      <w:r>
        <w:rPr>
          <w:spacing w:val="-2"/>
        </w:rPr>
        <w:t>算或金融工具确认和计量准则核算而确认的其他综合收益，在丧失对被投资单位控制时采用与被投资单位直接处置相关资产</w:t>
      </w:r>
      <w:r>
        <w:rPr>
          <w:spacing w:val="-64"/>
        </w:rPr>
        <w:t> </w:t>
      </w:r>
      <w:r>
        <w:rPr>
          <w:spacing w:val="-64"/>
        </w:rPr>
      </w:r>
      <w:r>
        <w:rPr>
          <w:spacing w:val="-2"/>
        </w:rPr>
        <w:t>或负债相同的基础进行会计处理，因采用权益法核算而确认的被投资单位净资产中除净损益、其他综合收益和利润分配以外</w:t>
      </w:r>
      <w:r>
        <w:rPr>
          <w:spacing w:val="-64"/>
        </w:rPr>
        <w:t> </w:t>
      </w:r>
      <w:r>
        <w:rPr>
          <w:spacing w:val="-64"/>
        </w:rPr>
      </w:r>
      <w:r>
        <w:rPr>
          <w:spacing w:val="-2"/>
        </w:rPr>
        <w:t>的其他所有者权益变动在丧失对被投资单位控制时结转入当期损益。其中，处置后的剩余股权采用权益法核算的，其他综合</w:t>
      </w:r>
      <w:r>
        <w:rPr>
          <w:spacing w:val="-65"/>
        </w:rPr>
        <w:t> </w:t>
      </w:r>
      <w:r>
        <w:rPr>
          <w:spacing w:val="-65"/>
        </w:rPr>
      </w:r>
      <w:r>
        <w:rPr>
          <w:spacing w:val="-2"/>
        </w:rPr>
        <w:t>收益和其他所有者权益按比例结转；处置后的剩余股权改按金融工具确认和计量准则进行会计处理的，其他综合收益和其他</w:t>
      </w:r>
      <w:r>
        <w:rPr>
          <w:spacing w:val="-64"/>
        </w:rPr>
        <w:t> </w:t>
      </w:r>
      <w:r>
        <w:rPr>
          <w:spacing w:val="-64"/>
        </w:rPr>
      </w:r>
      <w:r>
        <w:rPr/>
        <w:t>所有者权益全部结转。</w:t>
      </w:r>
      <w:r>
        <w:rPr>
          <w:rFonts w:ascii="宋体" w:hAnsi="宋体" w:cs="宋体" w:eastAsia="宋体" w:hint="default"/>
        </w:rPr>
        <w:t> </w:t>
      </w:r>
    </w:p>
    <w:p>
      <w:pPr>
        <w:pStyle w:val="BodyText"/>
        <w:spacing w:line="316" w:lineRule="auto" w:before="19"/>
        <w:ind w:right="1034" w:firstLine="360"/>
        <w:jc w:val="left"/>
        <w:rPr>
          <w:rFonts w:ascii="宋体" w:hAnsi="宋体" w:cs="宋体" w:eastAsia="宋体" w:hint="default"/>
        </w:rPr>
      </w:pPr>
      <w:r>
        <w:rPr>
          <w:spacing w:val="-2"/>
        </w:rPr>
        <w:t>本公司因处置部分股权投资丧失了对被投资单位的共同控制或重大影响的，处置后的剩余股权改按金融工具确认和计量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w:t>
      </w:r>
      <w:r>
        <w:rPr>
          <w:spacing w:val="-85"/>
        </w:rPr>
        <w:t> </w:t>
      </w:r>
      <w:r>
        <w:rPr>
          <w:spacing w:val="-85"/>
        </w:rPr>
      </w:r>
      <w:r>
        <w:rPr>
          <w:spacing w:val="-2"/>
        </w:rPr>
        <w:t>因被投资方除净损益、其他综合收益和利润分配以外的其他所有者权益变动而确认的所有者权益，在终止采用权益法时全部</w:t>
      </w:r>
      <w:r>
        <w:rPr>
          <w:spacing w:val="-64"/>
        </w:rPr>
        <w:t> </w:t>
      </w:r>
      <w:r>
        <w:rPr>
          <w:spacing w:val="-64"/>
        </w:rPr>
      </w:r>
      <w:r>
        <w:rPr/>
        <w:t>转入当期投资收益。</w:t>
      </w:r>
      <w:r>
        <w:rPr>
          <w:rFonts w:ascii="宋体" w:hAnsi="宋体" w:cs="宋体" w:eastAsia="宋体" w:hint="default"/>
        </w:rPr>
        <w:t> </w:t>
      </w:r>
    </w:p>
    <w:p>
      <w:pPr>
        <w:pStyle w:val="BodyText"/>
        <w:spacing w:line="316" w:lineRule="auto" w:before="19"/>
        <w:ind w:right="1132" w:firstLine="360"/>
        <w:jc w:val="both"/>
      </w:pPr>
      <w:r>
        <w:rPr>
          <w:spacing w:val="-2"/>
        </w:rPr>
        <w:t>本公司通过多次交易分步处置对子公司股权投资直至丧失控制权，如果上述交易属于一揽子交易的，将各项交易作为一</w:t>
      </w:r>
      <w:r>
        <w:rPr/>
        <w:t> </w:t>
      </w:r>
      <w:r>
        <w:rPr>
          <w:spacing w:val="-2"/>
        </w:rPr>
        <w:t>项处置子公司股权投资并丧失控制权的交易进行会计处理，在丧失控制权之前每一次处置价款与所处置的股权对应的长期股</w:t>
      </w:r>
      <w:r>
        <w:rPr>
          <w:spacing w:val="-64"/>
        </w:rPr>
        <w:t> </w:t>
      </w:r>
      <w:r>
        <w:rPr>
          <w:spacing w:val="-64"/>
        </w:rPr>
      </w:r>
      <w:r>
        <w:rPr/>
        <w:t>权投资账面价值之间的差额，先确认为其他综合收益，到丧失控制权时再一并转入丧失控制权的当期损益。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1133"/>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8414"/>
        <w:jc w:val="left"/>
        <w:rPr>
          <w:rFonts w:ascii="宋体" w:hAnsi="宋体" w:cs="宋体" w:eastAsia="宋体" w:hint="default"/>
        </w:rPr>
      </w:pPr>
      <w:r>
        <w:rPr/>
        <w:t>投资性房地产计量模式</w:t>
      </w:r>
      <w:r>
        <w:rPr>
          <w:rFonts w:ascii="宋体" w:hAnsi="宋体" w:cs="宋体" w:eastAsia="宋体" w:hint="default"/>
        </w:rPr>
        <w:t> </w:t>
      </w:r>
      <w:r>
        <w:rPr/>
        <w:t>成本法计量</w:t>
      </w:r>
      <w:r>
        <w:rPr>
          <w:rFonts w:ascii="宋体" w:hAnsi="宋体" w:cs="宋体" w:eastAsia="宋体" w:hint="default"/>
        </w:rPr>
        <w:t> </w:t>
      </w:r>
      <w:r>
        <w:rPr/>
        <w:t>折旧或摊销方法</w:t>
      </w:r>
      <w:r>
        <w:rPr>
          <w:rFonts w:ascii="宋体" w:hAnsi="宋体" w:cs="宋体" w:eastAsia="宋体" w:hint="default"/>
        </w:rPr>
        <w:t> </w:t>
      </w:r>
    </w:p>
    <w:p>
      <w:pPr>
        <w:pStyle w:val="BodyText"/>
        <w:spacing w:line="240" w:lineRule="auto" w:before="19"/>
        <w:ind w:left="513" w:right="1133"/>
        <w:jc w:val="left"/>
        <w:rPr>
          <w:rFonts w:ascii="宋体" w:hAnsi="宋体" w:cs="宋体" w:eastAsia="宋体" w:hint="default"/>
        </w:rPr>
      </w:pPr>
      <w:r>
        <w:rPr>
          <w:rFonts w:ascii="宋体" w:hAnsi="宋体" w:cs="宋体" w:eastAsia="宋体" w:hint="default"/>
        </w:rPr>
        <w:t>1</w:t>
      </w:r>
      <w:r>
        <w:rPr/>
        <w:t>、投资性房地产包括已出租的土地使用权、持有并准备增值后转让的土地使用权和已出租的建筑物。</w:t>
      </w:r>
      <w:r>
        <w:rPr>
          <w:rFonts w:ascii="宋体" w:hAnsi="宋体" w:cs="宋体" w:eastAsia="宋体" w:hint="default"/>
        </w:rPr>
        <w:t> </w:t>
      </w:r>
    </w:p>
    <w:p>
      <w:pPr>
        <w:pStyle w:val="BodyText"/>
        <w:spacing w:line="316" w:lineRule="auto" w:before="76"/>
        <w:ind w:right="1139" w:firstLine="360"/>
        <w:jc w:val="both"/>
      </w:pPr>
      <w:r>
        <w:rPr>
          <w:rFonts w:ascii="宋体" w:hAnsi="宋体" w:cs="宋体" w:eastAsia="宋体" w:hint="default"/>
        </w:rPr>
        <w:t>2</w:t>
      </w:r>
      <w:r>
        <w:rPr/>
        <w:t>、投资性房地产按照成本进行初始计量，采用成本模式进行后续计量，并采用与固定资产和无形资产相同的方法计提 折旧或进行摊销。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1133"/>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）确认条件</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309" w:lineRule="auto"/>
        <w:ind w:right="1047" w:firstLine="360"/>
        <w:jc w:val="both"/>
      </w:pPr>
      <w:r>
        <w:rPr>
          <w:spacing w:val="-2"/>
        </w:rPr>
        <w:t>固定资产是指为生产商品、提供劳务、出租或经营管理而持有的，使用年限超过一个会计年度的有形资产。固定资产同</w:t>
      </w:r>
      <w:r>
        <w:rPr/>
        <w:t> 时满足下列条件的，才能予以确认：</w:t>
      </w:r>
      <w:r>
        <w:rPr>
          <w:rFonts w:ascii="Times New Roman" w:hAnsi="Times New Roman" w:cs="Times New Roman" w:eastAsia="Times New Roman" w:hint="default"/>
        </w:rPr>
        <w:t>(1)</w:t>
      </w:r>
      <w:r>
        <w:rPr/>
        <w:t>与该固定资产有关的经济利益很可能流入企业；</w:t>
      </w:r>
      <w:r>
        <w:rPr>
          <w:rFonts w:ascii="Times New Roman" w:hAnsi="Times New Roman" w:cs="Times New Roman" w:eastAsia="Times New Roman" w:hint="default"/>
        </w:rPr>
        <w:t>(2)</w:t>
      </w:r>
      <w:r>
        <w:rPr/>
        <w:t>该固定资产的成本能够可靠地计</w:t>
      </w:r>
      <w:r>
        <w:rPr>
          <w:spacing w:val="-87"/>
        </w:rPr>
        <w:t> </w:t>
      </w:r>
      <w:r>
        <w:rPr/>
        <w:t>量。本公司的固定资产分为：房屋及建筑物、机器设备、专用设备、运输工具、模具、电子设备、办公设备、其他设备等。</w:t>
      </w:r>
    </w:p>
    <w:p>
      <w:pPr>
        <w:spacing w:line="240" w:lineRule="auto" w:before="3"/>
        <w:rPr>
          <w:rFonts w:ascii="宋体" w:hAnsi="宋体" w:cs="宋体" w:eastAsia="宋体" w:hint="default"/>
          <w:sz w:val="23"/>
          <w:szCs w:val="23"/>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w:t>
      </w:r>
      <w:r>
        <w:rPr>
          <w:spacing w:val="-1"/>
        </w:rPr>
        <w:t> </w:t>
      </w:r>
      <w:r>
        <w:rPr/>
        <w:t>固定资产的初始计量及后续计量</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1133"/>
        <w:jc w:val="left"/>
      </w:pPr>
      <w:r>
        <w:rPr/>
        <w:t>固定资产以取得时的实际成本入账，并从其达到预定可使用状态的次月起计提折旧。</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1.9-4.75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9.5-19</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w:t>
            </w:r>
          </w:p>
        </w:tc>
      </w:tr>
    </w:tbl>
    <w:p>
      <w:pPr>
        <w:pStyle w:val="BodyText"/>
        <w:spacing w:line="316" w:lineRule="auto" w:before="8"/>
        <w:ind w:right="1130" w:firstLine="360"/>
        <w:jc w:val="both"/>
      </w:pPr>
      <w:r>
        <w:rPr>
          <w:spacing w:val="-2"/>
        </w:rPr>
        <w:t>固定资产折旧采用年限平均法分类计提，根据固定资产类别、预计使用寿命和预计净残值率确定折旧率。如固定资产各</w:t>
      </w:r>
      <w:r>
        <w:rPr/>
        <w:t> 组成部分的使用寿命不同或者以不同方式为企业提供经济利益，则选择不同折旧率或折旧方法，分别计提折旧。</w:t>
      </w:r>
    </w:p>
    <w:p>
      <w:pPr>
        <w:pStyle w:val="BodyText"/>
        <w:spacing w:line="316" w:lineRule="auto" w:before="19"/>
        <w:ind w:right="1132" w:firstLine="360"/>
        <w:jc w:val="both"/>
      </w:pPr>
      <w:r>
        <w:rPr>
          <w:spacing w:val="-2"/>
        </w:rPr>
        <w:t>融资租赁方式租入的固定资产，能合理确定租赁期届满时将会取得租赁资产所有权的，在租赁资产尚可使用年限内计提</w:t>
      </w:r>
      <w:r>
        <w:rPr/>
        <w:t> </w:t>
      </w:r>
      <w:r>
        <w:rPr>
          <w:spacing w:val="-2"/>
        </w:rPr>
        <w:t>折旧；无法合理确定租赁期届满时能够取得租赁资产所有权的，在租赁期与租赁资产尚可使用年限两者中较短的期间内计提</w:t>
      </w:r>
      <w:r>
        <w:rPr>
          <w:spacing w:val="-64"/>
        </w:rPr>
        <w:t> </w:t>
      </w:r>
      <w:r>
        <w:rPr>
          <w:spacing w:val="-64"/>
        </w:rPr>
      </w:r>
      <w:r>
        <w:rPr/>
        <w:t>折旧。</w:t>
      </w:r>
    </w:p>
    <w:p>
      <w:pPr>
        <w:spacing w:line="240" w:lineRule="auto" w:before="11"/>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）融资租入固定资产的认定依据、计价和折旧方法</w:t>
      </w:r>
      <w:r>
        <w:rPr>
          <w:b w:val="0"/>
          <w:bCs w:val="0"/>
        </w:rPr>
      </w:r>
    </w:p>
    <w:p>
      <w:pPr>
        <w:spacing w:line="240" w:lineRule="auto" w:before="2"/>
        <w:rPr>
          <w:rFonts w:ascii="宋体" w:hAnsi="宋体" w:cs="宋体" w:eastAsia="宋体" w:hint="default"/>
          <w:b/>
          <w:bCs/>
          <w:sz w:val="26"/>
          <w:szCs w:val="26"/>
        </w:rPr>
      </w:pPr>
    </w:p>
    <w:p>
      <w:pPr>
        <w:pStyle w:val="BodyText"/>
        <w:spacing w:line="304" w:lineRule="auto"/>
        <w:ind w:right="1130" w:firstLine="360"/>
        <w:jc w:val="both"/>
      </w:pPr>
      <w:r>
        <w:rPr/>
        <w:t>公司与租赁方所签订的租赁协议条款中规定了下列条件之一的，确认为融资租入资产：</w:t>
      </w:r>
      <w:r>
        <w:rPr>
          <w:rFonts w:ascii="Times New Roman" w:hAnsi="Times New Roman" w:cs="Times New Roman" w:eastAsia="Times New Roman" w:hint="default"/>
        </w:rPr>
        <w:t>(1)</w:t>
      </w:r>
      <w:r>
        <w:rPr/>
        <w:t>租赁期满后租赁资产的所有 权归属于本公司；</w:t>
      </w:r>
      <w:r>
        <w:rPr>
          <w:rFonts w:ascii="Times New Roman" w:hAnsi="Times New Roman" w:cs="Times New Roman" w:eastAsia="Times New Roman" w:hint="default"/>
        </w:rPr>
        <w:t>(2)</w:t>
      </w:r>
      <w:r>
        <w:rPr/>
        <w:t>公司具有购买资产的选择权，购买价款远低于行使选择权时该资产的公允价值；</w:t>
      </w:r>
      <w:r>
        <w:rPr>
          <w:rFonts w:ascii="Times New Roman" w:hAnsi="Times New Roman" w:cs="Times New Roman" w:eastAsia="Times New Roman" w:hint="default"/>
        </w:rPr>
        <w:t>(3)</w:t>
      </w:r>
      <w:r>
        <w:rPr/>
        <w:t>租赁期占所租赁资</w:t>
      </w:r>
      <w:r>
        <w:rPr>
          <w:spacing w:val="-87"/>
        </w:rPr>
        <w:t> </w:t>
      </w:r>
      <w:r>
        <w:rPr>
          <w:spacing w:val="-2"/>
        </w:rPr>
        <w:t>产使用寿命的大部分；</w:t>
      </w:r>
      <w:r>
        <w:rPr>
          <w:rFonts w:ascii="Times New Roman" w:hAnsi="Times New Roman" w:cs="Times New Roman" w:eastAsia="Times New Roman" w:hint="default"/>
          <w:spacing w:val="-2"/>
        </w:rPr>
        <w:t>(4)</w:t>
      </w:r>
      <w:r>
        <w:rPr>
          <w:spacing w:val="-2"/>
        </w:rPr>
        <w:t>租赁开始日的最低租赁付款额现值，与该资产的公允价值不存在较大的差异。公司在承租开始日，</w:t>
      </w:r>
      <w:r>
        <w:rPr/>
        <w:t> </w:t>
      </w:r>
      <w:r>
        <w:rPr>
          <w:spacing w:val="-2"/>
        </w:rPr>
        <w:t>将租赁资产公允价值与最低租赁付款额现值两者中较低者作为租入资产的入账价值，将最低租赁付款额作为长期应付款的入</w:t>
      </w:r>
      <w:r>
        <w:rPr>
          <w:spacing w:val="-64"/>
        </w:rPr>
        <w:t> </w:t>
      </w:r>
      <w:r>
        <w:rPr>
          <w:spacing w:val="-64"/>
        </w:rPr>
      </w:r>
      <w:r>
        <w:rPr/>
        <w:t>账价值，其差额作为未确认的融资费。</w:t>
      </w:r>
    </w:p>
    <w:p>
      <w:pPr>
        <w:spacing w:line="240" w:lineRule="auto" w:before="6"/>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694"/>
        <w:jc w:val="left"/>
      </w:pPr>
      <w:r>
        <w:rPr/>
        <w:t>公司是否需要遵守特殊行业的披露要求 否</w:t>
      </w:r>
    </w:p>
    <w:p>
      <w:pPr>
        <w:pStyle w:val="BodyText"/>
        <w:spacing w:line="316" w:lineRule="auto" w:before="29"/>
        <w:ind w:right="1124" w:firstLine="360"/>
        <w:jc w:val="left"/>
        <w:rPr>
          <w:rFonts w:ascii="宋体" w:hAnsi="宋体" w:cs="宋体" w:eastAsia="宋体" w:hint="default"/>
        </w:rPr>
      </w:pPr>
      <w:r>
        <w:rPr>
          <w:rFonts w:ascii="宋体" w:hAnsi="宋体" w:cs="宋体" w:eastAsia="宋体" w:hint="default"/>
        </w:rPr>
        <w:t>1</w:t>
      </w:r>
      <w:r>
        <w:rPr/>
        <w:t>、在建工程同时满足经济利益很可能流入、成本能够可靠计量时予以确认。在建工程按建造该项资产达到预定可使用 状态前所发生的实际成本计量。</w:t>
      </w:r>
      <w:r>
        <w:rPr>
          <w:rFonts w:ascii="宋体" w:hAnsi="宋体" w:cs="宋体" w:eastAsia="宋体" w:hint="default"/>
        </w:rPr>
        <w:t> </w:t>
      </w:r>
    </w:p>
    <w:p>
      <w:pPr>
        <w:pStyle w:val="BodyText"/>
        <w:spacing w:line="316" w:lineRule="auto" w:before="19"/>
        <w:ind w:right="1124" w:firstLine="360"/>
        <w:jc w:val="left"/>
        <w:rPr>
          <w:rFonts w:ascii="宋体" w:hAnsi="宋体" w:cs="宋体" w:eastAsia="宋体" w:hint="default"/>
        </w:rPr>
      </w:pPr>
      <w:r>
        <w:rPr>
          <w:rFonts w:ascii="宋体" w:hAnsi="宋体" w:cs="宋体" w:eastAsia="宋体" w:hint="default"/>
        </w:rPr>
        <w:t>2</w:t>
      </w:r>
      <w:r>
        <w:rPr/>
        <w:t>、在建工程达到预定可使用状态时，按工程实际成本转入固定资产。已达到预定可使用状态但尚未办理竣工决算的， 先按估计价值转入固定资产，待办理竣工决算后再按实际成本调整原暂估价值，但不再调整原已计提的折旧。</w:t>
      </w:r>
      <w:r>
        <w:rPr>
          <w:rFonts w:ascii="宋体" w:hAnsi="宋体" w:cs="宋体" w:eastAsia="宋体" w:hint="default"/>
        </w:rPr>
        <w:t> </w:t>
      </w:r>
    </w:p>
    <w:p>
      <w:pPr>
        <w:pStyle w:val="BodyText"/>
        <w:spacing w:line="240" w:lineRule="auto" w:before="19"/>
        <w:ind w:left="513" w:right="1133"/>
        <w:jc w:val="left"/>
      </w:pPr>
      <w:r>
        <w:rPr>
          <w:rFonts w:ascii="宋体" w:hAnsi="宋体" w:cs="宋体" w:eastAsia="宋体" w:hint="default"/>
        </w:rPr>
        <w:t>3</w:t>
      </w:r>
      <w:r>
        <w:rPr/>
        <w:t>、资产负债表日，有迹象表明在建工程发生减值的，按本附注二之资产减值所述方法计提在建工程减值准备。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3"/>
        <w:spacing w:line="240" w:lineRule="auto"/>
        <w:ind w:right="1133"/>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left="513" w:right="1133"/>
        <w:jc w:val="left"/>
        <w:rPr>
          <w:rFonts w:ascii="宋体" w:hAnsi="宋体" w:cs="宋体" w:eastAsia="宋体" w:hint="default"/>
        </w:rPr>
      </w:pPr>
      <w:r>
        <w:rPr>
          <w:rFonts w:ascii="宋体" w:hAnsi="宋体" w:cs="宋体" w:eastAsia="宋体" w:hint="default"/>
        </w:rPr>
        <w:t>1</w:t>
      </w:r>
      <w:r>
        <w:rPr/>
        <w:t>、借款费用资本化的确认原则</w:t>
      </w:r>
      <w:r>
        <w:rPr>
          <w:rFonts w:ascii="宋体" w:hAnsi="宋体" w:cs="宋体" w:eastAsia="宋体" w:hint="default"/>
        </w:rPr>
        <w:t> </w:t>
      </w:r>
      <w:r>
        <w:rPr/>
        <w:t>借款费用，包括借款利息、折价或者溢价的摊销、辅助费用以及因外币借款而发生的汇兑差额等。</w:t>
      </w:r>
      <w:r>
        <w:rPr>
          <w:rFonts w:ascii="宋体" w:hAnsi="宋体" w:cs="宋体" w:eastAsia="宋体" w:hint="default"/>
        </w:rPr>
        <w:t> </w:t>
      </w:r>
    </w:p>
    <w:p>
      <w:pPr>
        <w:spacing w:after="0" w:line="316" w:lineRule="auto"/>
        <w:jc w:val="left"/>
        <w:rPr>
          <w:rFonts w:ascii="宋体" w:hAnsi="宋体" w:cs="宋体" w:eastAsia="宋体" w:hint="default"/>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33" w:firstLine="360"/>
        <w:jc w:val="both"/>
        <w:rPr>
          <w:rFonts w:ascii="宋体" w:hAnsi="宋体" w:cs="宋体" w:eastAsia="宋体" w:hint="default"/>
        </w:rPr>
      </w:pPr>
      <w:r>
        <w:rPr>
          <w:spacing w:val="-2"/>
        </w:rPr>
        <w:t>公司发生的借款费用，可直接归属于符合资本化条件的资产的购建或者生产的，予以资本化，计入相关资产成本；其他</w:t>
      </w:r>
      <w:r>
        <w:rPr/>
        <w:t> 借款费用，在发生时根据其发生额确认为费用，计入当期损益。</w:t>
      </w:r>
      <w:r>
        <w:rPr>
          <w:rFonts w:ascii="宋体" w:hAnsi="宋体" w:cs="宋体" w:eastAsia="宋体" w:hint="default"/>
        </w:rPr>
        <w:t> </w:t>
      </w:r>
    </w:p>
    <w:p>
      <w:pPr>
        <w:pStyle w:val="BodyText"/>
        <w:spacing w:line="316" w:lineRule="auto" w:before="19"/>
        <w:ind w:right="944" w:firstLine="360"/>
        <w:jc w:val="left"/>
        <w:rPr>
          <w:rFonts w:ascii="宋体" w:hAnsi="宋体" w:cs="宋体" w:eastAsia="宋体" w:hint="default"/>
        </w:rPr>
      </w:pPr>
      <w:r>
        <w:rPr>
          <w:spacing w:val="-2"/>
        </w:rPr>
        <w:t>符合资本化条件的资产，是指需要经过相当长时间的购建或者生产活动才能达到预定可使用或者可销售状态的固定资产、</w:t>
      </w:r>
      <w:r>
        <w:rPr/>
        <w:t> 投资性房地产和存货等资产。</w:t>
      </w:r>
      <w:r>
        <w:rPr>
          <w:rFonts w:ascii="宋体" w:hAnsi="宋体" w:cs="宋体" w:eastAsia="宋体" w:hint="default"/>
        </w:rPr>
        <w:t> </w:t>
      </w:r>
    </w:p>
    <w:p>
      <w:pPr>
        <w:pStyle w:val="BodyText"/>
        <w:spacing w:line="316" w:lineRule="auto" w:before="19"/>
        <w:ind w:left="513" w:right="1123"/>
        <w:jc w:val="left"/>
      </w:pPr>
      <w:r>
        <w:rPr/>
        <w:t>借款费用同时满足下列条件时开始资本化：</w:t>
      </w:r>
      <w:r>
        <w:rPr>
          <w:rFonts w:ascii="宋体" w:hAnsi="宋体" w:cs="宋体" w:eastAsia="宋体" w:hint="default"/>
          <w:spacing w:val="1"/>
        </w:rPr>
        <w:t> </w:t>
      </w:r>
      <w:r>
        <w:rPr>
          <w:rFonts w:ascii="宋体" w:hAnsi="宋体" w:cs="宋体" w:eastAsia="宋体" w:hint="default"/>
        </w:rPr>
        <w:t> (1)</w:t>
      </w:r>
      <w:r>
        <w:rPr/>
        <w:t>资产支出已经发生，资产支出包括为购建或者生产符合资本化条件的资产而以支付现金、转移非现金资产或者承担</w:t>
      </w:r>
    </w:p>
    <w:p>
      <w:pPr>
        <w:pStyle w:val="BodyText"/>
        <w:spacing w:line="316" w:lineRule="auto" w:before="19"/>
        <w:ind w:left="513" w:right="6794" w:hanging="361"/>
        <w:jc w:val="left"/>
        <w:rPr>
          <w:rFonts w:ascii="宋体" w:hAnsi="宋体" w:cs="宋体" w:eastAsia="宋体" w:hint="default"/>
        </w:rPr>
      </w:pPr>
      <w:r>
        <w:rPr/>
        <w:t>带息债务形式发生的支出；</w:t>
      </w:r>
      <w:r>
        <w:rPr>
          <w:rFonts w:ascii="宋体" w:hAnsi="宋体" w:cs="宋体" w:eastAsia="宋体" w:hint="default"/>
          <w:spacing w:val="1"/>
        </w:rPr>
        <w:t> </w:t>
      </w:r>
      <w:r>
        <w:rPr>
          <w:rFonts w:ascii="宋体" w:hAnsi="宋体" w:cs="宋体" w:eastAsia="宋体" w:hint="default"/>
        </w:rPr>
        <w:t> (2)</w:t>
      </w:r>
      <w:r>
        <w:rPr/>
        <w:t>借款费用已经发生；</w:t>
      </w:r>
      <w:r>
        <w:rPr>
          <w:rFonts w:ascii="宋体" w:hAnsi="宋体" w:cs="宋体" w:eastAsia="宋体" w:hint="default"/>
          <w:spacing w:val="-2"/>
        </w:rPr>
        <w:t> </w:t>
      </w:r>
      <w:r>
        <w:rPr>
          <w:rFonts w:ascii="宋体" w:hAnsi="宋体" w:cs="宋体" w:eastAsia="宋体" w:hint="default"/>
        </w:rPr>
        <w:t> </w:t>
      </w:r>
    </w:p>
    <w:p>
      <w:pPr>
        <w:pStyle w:val="BodyText"/>
        <w:spacing w:line="316" w:lineRule="auto" w:before="19"/>
        <w:ind w:left="513" w:right="2113"/>
        <w:jc w:val="left"/>
        <w:rPr>
          <w:rFonts w:ascii="宋体" w:hAnsi="宋体" w:cs="宋体" w:eastAsia="宋体" w:hint="default"/>
        </w:rPr>
      </w:pPr>
      <w:r>
        <w:rPr>
          <w:rFonts w:ascii="宋体" w:hAnsi="宋体" w:cs="宋体" w:eastAsia="宋体" w:hint="default"/>
        </w:rPr>
        <w:t>(3)</w:t>
      </w:r>
      <w:r>
        <w:rPr/>
        <w:t>为使资产达到预定可使用或者可销售状态所必要的购建或者生产活动已经开始。</w:t>
      </w:r>
      <w:r>
        <w:rPr>
          <w:rFonts w:ascii="宋体" w:hAnsi="宋体" w:cs="宋体" w:eastAsia="宋体" w:hint="default"/>
        </w:rPr>
        <w:t> 2</w:t>
      </w:r>
      <w:r>
        <w:rPr/>
        <w:t>、借款费用资本化期间</w:t>
      </w:r>
      <w:r>
        <w:rPr>
          <w:rFonts w:ascii="宋体" w:hAnsi="宋体" w:cs="宋体" w:eastAsia="宋体" w:hint="default"/>
        </w:rPr>
        <w:t> </w:t>
      </w:r>
    </w:p>
    <w:p>
      <w:pPr>
        <w:pStyle w:val="BodyText"/>
        <w:spacing w:line="319" w:lineRule="auto" w:before="19"/>
        <w:ind w:left="513" w:right="1129"/>
        <w:jc w:val="left"/>
      </w:pPr>
      <w:r>
        <w:rPr/>
        <w:t>资本化期间，指从借款费用开始资本化时点到停止资本化时点的期间，借款费用暂停资本化的期间不包括在内。</w:t>
      </w:r>
      <w:r>
        <w:rPr>
          <w:rFonts w:ascii="宋体" w:hAnsi="宋体" w:cs="宋体" w:eastAsia="宋体" w:hint="default"/>
        </w:rPr>
        <w:t> </w:t>
      </w:r>
      <w:r>
        <w:rPr/>
        <w:t>当购建或者生产符合资本化条件的资产达到预定可使用或者可销售状态时，借款费用停止资本化。</w:t>
      </w:r>
      <w:r>
        <w:rPr>
          <w:rFonts w:ascii="宋体" w:hAnsi="宋体" w:cs="宋体" w:eastAsia="宋体" w:hint="default"/>
        </w:rPr>
        <w:t> </w:t>
      </w:r>
      <w:r>
        <w:rPr/>
        <w:t>当购建或者生产符合资本化条件的资产中部分项目分别完工且可单独使用时，该部分资产借款费用停止资本化。</w:t>
      </w:r>
      <w:r>
        <w:rPr>
          <w:rFonts w:ascii="宋体" w:hAnsi="宋体" w:cs="宋体" w:eastAsia="宋体" w:hint="default"/>
        </w:rPr>
        <w:t> </w:t>
      </w:r>
      <w:r>
        <w:rPr>
          <w:spacing w:val="-2"/>
        </w:rPr>
        <w:t>购建或者生产的资产的各部分分别完工，但必须等到整体完工后才可使用或可对外销售的，在该资产整体完工时停止借</w:t>
      </w:r>
    </w:p>
    <w:p>
      <w:pPr>
        <w:pStyle w:val="BodyText"/>
        <w:spacing w:line="316" w:lineRule="auto" w:before="17"/>
        <w:ind w:left="513" w:right="8414" w:hanging="361"/>
        <w:jc w:val="left"/>
        <w:rPr>
          <w:rFonts w:ascii="宋体" w:hAnsi="宋体" w:cs="宋体" w:eastAsia="宋体" w:hint="default"/>
        </w:rPr>
      </w:pPr>
      <w:r>
        <w:rPr/>
        <w:t>款费用资本化。</w:t>
      </w:r>
      <w:r>
        <w:rPr>
          <w:rFonts w:ascii="宋体" w:hAnsi="宋体" w:cs="宋体" w:eastAsia="宋体" w:hint="default"/>
        </w:rPr>
        <w:t> 3</w:t>
      </w:r>
      <w:r>
        <w:rPr/>
        <w:t>、暂停资本化期间</w:t>
      </w:r>
      <w:r>
        <w:rPr>
          <w:rFonts w:ascii="宋体" w:hAnsi="宋体" w:cs="宋体" w:eastAsia="宋体" w:hint="default"/>
        </w:rPr>
        <w:t> </w:t>
      </w:r>
    </w:p>
    <w:p>
      <w:pPr>
        <w:pStyle w:val="BodyText"/>
        <w:spacing w:line="316" w:lineRule="auto" w:before="19"/>
        <w:ind w:right="1131" w:firstLine="360"/>
        <w:jc w:val="both"/>
        <w:rPr>
          <w:rFonts w:ascii="宋体" w:hAnsi="宋体" w:cs="宋体" w:eastAsia="宋体" w:hint="default"/>
        </w:rPr>
      </w:pPr>
      <w:r>
        <w:rPr>
          <w:spacing w:val="-4"/>
        </w:rPr>
        <w:t>符合资本化条件的资产在购建或生产过程中发生的非正常中断、且中断时间连续超过</w:t>
      </w:r>
      <w:r>
        <w:rPr>
          <w:rFonts w:ascii="宋体" w:hAnsi="宋体" w:cs="宋体" w:eastAsia="宋体" w:hint="default"/>
          <w:spacing w:val="-4"/>
        </w:rPr>
        <w:t>3</w:t>
      </w:r>
      <w:r>
        <w:rPr>
          <w:spacing w:val="-4"/>
        </w:rPr>
        <w:t>个月的，则借款费用暂停资本化；</w:t>
      </w:r>
      <w:r>
        <w:rPr/>
        <w:t> </w:t>
      </w:r>
      <w:r>
        <w:rPr>
          <w:spacing w:val="-2"/>
        </w:rPr>
        <w:t>该项中断如是所购建或生产的符合资本化条件的资产达到预定可使用状态或者可销售状态必要的程序，则借款费用继续资本</w:t>
      </w:r>
      <w:r>
        <w:rPr>
          <w:spacing w:val="-64"/>
        </w:rPr>
        <w:t> </w:t>
      </w:r>
      <w:r>
        <w:rPr>
          <w:spacing w:val="-64"/>
        </w:rPr>
      </w:r>
      <w:r>
        <w:rPr/>
        <w:t>化。在中断期间发生的借款费用确认为当期损益，直至资产的购建或者生产活动重新开始后借款费用继续资本化。</w:t>
      </w:r>
      <w:r>
        <w:rPr>
          <w:rFonts w:ascii="宋体" w:hAnsi="宋体" w:cs="宋体" w:eastAsia="宋体" w:hint="default"/>
        </w:rPr>
        <w:t> </w:t>
      </w:r>
    </w:p>
    <w:p>
      <w:pPr>
        <w:pStyle w:val="BodyText"/>
        <w:spacing w:line="316" w:lineRule="auto" w:before="19"/>
        <w:ind w:left="513" w:right="1129"/>
        <w:jc w:val="left"/>
      </w:pPr>
      <w:r>
        <w:rPr>
          <w:rFonts w:ascii="宋体" w:hAnsi="宋体" w:cs="宋体" w:eastAsia="宋体" w:hint="default"/>
        </w:rPr>
        <w:t>4</w:t>
      </w:r>
      <w:r>
        <w:rPr/>
        <w:t>、借款费用资本化率、资本化金额的计算方法</w:t>
      </w:r>
      <w:r>
        <w:rPr>
          <w:rFonts w:ascii="宋体" w:hAnsi="宋体" w:cs="宋体" w:eastAsia="宋体" w:hint="default"/>
        </w:rPr>
        <w:t> </w:t>
      </w:r>
      <w:r>
        <w:rPr>
          <w:spacing w:val="-2"/>
        </w:rPr>
        <w:t>对于为购建或者生产符合资本化条件的资产而借入的专门借款，以专门借款当期实际发生的借款费用，减去尚未动用的</w:t>
      </w:r>
    </w:p>
    <w:p>
      <w:pPr>
        <w:pStyle w:val="BodyText"/>
        <w:spacing w:line="316" w:lineRule="auto" w:before="19"/>
        <w:ind w:left="513" w:right="1129" w:hanging="361"/>
        <w:jc w:val="left"/>
      </w:pPr>
      <w:r>
        <w:rPr/>
        <w:t>借款资金存入银行取得的利息收入或进行暂时性投资取得的投资收益后的金额，来确定借款费用的资本化金额。</w:t>
      </w:r>
      <w:r>
        <w:rPr>
          <w:rFonts w:ascii="宋体" w:hAnsi="宋体" w:cs="宋体" w:eastAsia="宋体" w:hint="default"/>
        </w:rPr>
        <w:t> </w:t>
      </w:r>
      <w:r>
        <w:rPr>
          <w:spacing w:val="-2"/>
        </w:rPr>
        <w:t>对于为购建或者生产符合资本化条件的资产而占用的一般借款，根据累计资产支出超过专门借款部分的资产支出加权平</w:t>
      </w:r>
    </w:p>
    <w:p>
      <w:pPr>
        <w:pStyle w:val="BodyText"/>
        <w:spacing w:line="316" w:lineRule="auto" w:before="19"/>
        <w:ind w:right="1129"/>
        <w:jc w:val="left"/>
        <w:rPr>
          <w:rFonts w:ascii="宋体" w:hAnsi="宋体" w:cs="宋体" w:eastAsia="宋体" w:hint="default"/>
        </w:rPr>
      </w:pPr>
      <w:r>
        <w:rPr>
          <w:spacing w:val="-2"/>
        </w:rPr>
        <w:t>均数乘以所占用一般借款的资本化率，计算确定一般借款应予资本化的借款费用金额。资本化率根据一般借款加权平均利率</w:t>
      </w:r>
      <w:r>
        <w:rPr>
          <w:spacing w:val="-64"/>
        </w:rPr>
        <w:t> </w:t>
      </w:r>
      <w:r>
        <w:rPr>
          <w:spacing w:val="-64"/>
        </w:rPr>
      </w:r>
      <w:r>
        <w:rPr/>
        <w:t>计算确定。</w:t>
      </w:r>
      <w:r>
        <w:rPr>
          <w:rFonts w:ascii="宋体" w:hAnsi="宋体" w:cs="宋体" w:eastAsia="宋体" w:hint="default"/>
        </w:rPr>
        <w:t> </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1133"/>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left="513" w:right="1133"/>
        <w:jc w:val="left"/>
        <w:rPr>
          <w:rFonts w:ascii="宋体" w:hAnsi="宋体" w:cs="宋体" w:eastAsia="宋体" w:hint="default"/>
        </w:rPr>
      </w:pPr>
      <w:r>
        <w:rPr>
          <w:rFonts w:ascii="宋体" w:hAnsi="宋体" w:cs="宋体" w:eastAsia="宋体" w:hint="default"/>
        </w:rPr>
        <w:t>1</w:t>
      </w:r>
      <w:r>
        <w:rPr/>
        <w:t>、无形资产的计价方法</w:t>
      </w:r>
      <w:r>
        <w:rPr>
          <w:rFonts w:ascii="宋体" w:hAnsi="宋体" w:cs="宋体" w:eastAsia="宋体" w:hint="default"/>
        </w:rPr>
        <w:t> </w:t>
      </w:r>
    </w:p>
    <w:p>
      <w:pPr>
        <w:pStyle w:val="BodyText"/>
        <w:spacing w:line="316" w:lineRule="auto" w:before="77"/>
        <w:ind w:left="513" w:right="1129"/>
        <w:jc w:val="left"/>
      </w:pPr>
      <w:r>
        <w:rPr/>
        <w:t>（</w:t>
      </w:r>
      <w:r>
        <w:rPr>
          <w:rFonts w:ascii="宋体" w:hAnsi="宋体" w:cs="宋体" w:eastAsia="宋体" w:hint="default"/>
        </w:rPr>
        <w:t>1</w:t>
      </w:r>
      <w:r>
        <w:rPr/>
        <w:t>）公司取得无形资产时按成本进行初始计量；</w:t>
      </w:r>
      <w:r>
        <w:rPr>
          <w:rFonts w:ascii="宋体" w:hAnsi="宋体" w:cs="宋体" w:eastAsia="宋体" w:hint="default"/>
        </w:rPr>
        <w:t> </w:t>
      </w:r>
      <w:r>
        <w:rPr>
          <w:spacing w:val="-2"/>
        </w:rPr>
        <w:t>外购无形资产的成本，包括购买价款、相关税费以及直接归属于使该项资产达到预定用途所发生的其他支出。购买无形</w:t>
      </w:r>
    </w:p>
    <w:p>
      <w:pPr>
        <w:pStyle w:val="BodyText"/>
        <w:spacing w:line="316" w:lineRule="auto" w:before="19"/>
        <w:ind w:left="513" w:right="1129" w:hanging="361"/>
        <w:jc w:val="left"/>
      </w:pPr>
      <w:r>
        <w:rPr/>
        <w:t>资产的价款超过正常信用条件延期支付，实质上具有融资性质的，无形资产的成本以购买价款的现值为基础确定。</w:t>
      </w:r>
      <w:r>
        <w:rPr>
          <w:rFonts w:ascii="宋体" w:hAnsi="宋体" w:cs="宋体" w:eastAsia="宋体" w:hint="default"/>
        </w:rPr>
        <w:t> </w:t>
      </w:r>
      <w:r>
        <w:rPr>
          <w:spacing w:val="-2"/>
        </w:rPr>
        <w:t>债务重组取得债务人用以抵债的无形资产，以该无形资产的公允价值为基础确定其入账价值，并将重组债务的账面价值</w:t>
      </w:r>
    </w:p>
    <w:p>
      <w:pPr>
        <w:pStyle w:val="BodyText"/>
        <w:spacing w:line="316" w:lineRule="auto" w:before="19"/>
        <w:ind w:left="513" w:right="1129" w:hanging="361"/>
        <w:jc w:val="left"/>
      </w:pPr>
      <w:r>
        <w:rPr/>
        <w:t>与该用以抵债的无形资产公允价值之间的差额，计入当期损益。</w:t>
      </w:r>
      <w:r>
        <w:rPr>
          <w:rFonts w:ascii="宋体" w:hAnsi="宋体" w:cs="宋体" w:eastAsia="宋体" w:hint="default"/>
        </w:rPr>
        <w:t> </w:t>
      </w:r>
      <w:r>
        <w:rPr>
          <w:spacing w:val="-2"/>
        </w:rPr>
        <w:t>在非货币性资产交换具备商业实质且换入资产或换出资产的公允价值能够可靠计量的前提下，非货币性资产交换换入的</w:t>
      </w:r>
    </w:p>
    <w:p>
      <w:pPr>
        <w:pStyle w:val="BodyText"/>
        <w:spacing w:line="316" w:lineRule="auto" w:before="19"/>
        <w:ind w:right="1129"/>
        <w:jc w:val="left"/>
        <w:rPr>
          <w:rFonts w:ascii="宋体" w:hAnsi="宋体" w:cs="宋体" w:eastAsia="宋体" w:hint="default"/>
        </w:rPr>
      </w:pPr>
      <w:r>
        <w:rPr>
          <w:spacing w:val="-2"/>
        </w:rPr>
        <w:t>无形资产以换出资产的公允价值为基础确定其入账价值，除非有确凿证据表明换入资产的公允价值更加可靠；不满足上述前</w:t>
      </w:r>
      <w:r>
        <w:rPr>
          <w:spacing w:val="-63"/>
        </w:rPr>
        <w:t> </w:t>
      </w:r>
      <w:r>
        <w:rPr>
          <w:spacing w:val="-63"/>
        </w:rPr>
      </w:r>
      <w:r>
        <w:rPr/>
        <w:t>提的非货币性资产交换，以换出资产的账面价值和应支付的相关税费作为换入无形资产的成本，不确认损益。</w:t>
      </w:r>
      <w:r>
        <w:rPr>
          <w:rFonts w:ascii="宋体" w:hAnsi="宋体" w:cs="宋体" w:eastAsia="宋体" w:hint="default"/>
        </w:rPr>
        <w:t> </w:t>
      </w:r>
    </w:p>
    <w:p>
      <w:pPr>
        <w:pStyle w:val="BodyText"/>
        <w:spacing w:line="316" w:lineRule="auto" w:before="19"/>
        <w:ind w:left="513" w:right="6794"/>
        <w:jc w:val="left"/>
        <w:rPr>
          <w:rFonts w:ascii="宋体" w:hAnsi="宋体" w:cs="宋体" w:eastAsia="宋体" w:hint="default"/>
        </w:rPr>
      </w:pPr>
      <w:r>
        <w:rPr/>
        <w:t>（</w:t>
      </w:r>
      <w:r>
        <w:rPr>
          <w:rFonts w:ascii="宋体" w:hAnsi="宋体" w:cs="宋体" w:eastAsia="宋体" w:hint="default"/>
        </w:rPr>
        <w:t>2</w:t>
      </w:r>
      <w:r>
        <w:rPr/>
        <w:t>）后续计量</w:t>
      </w:r>
      <w:r>
        <w:rPr>
          <w:rFonts w:ascii="宋体" w:hAnsi="宋体" w:cs="宋体" w:eastAsia="宋体" w:hint="default"/>
        </w:rPr>
        <w:t> </w:t>
      </w:r>
      <w:r>
        <w:rPr/>
        <w:t>在取得无形资产时分析判断其使用寿命。</w:t>
      </w:r>
      <w:r>
        <w:rPr>
          <w:rFonts w:ascii="宋体" w:hAnsi="宋体" w:cs="宋体" w:eastAsia="宋体" w:hint="default"/>
        </w:rPr>
        <w:t> </w:t>
      </w:r>
    </w:p>
    <w:p>
      <w:pPr>
        <w:pStyle w:val="BodyText"/>
        <w:spacing w:line="316" w:lineRule="auto" w:before="19"/>
        <w:ind w:right="1132" w:firstLine="360"/>
        <w:jc w:val="both"/>
        <w:rPr>
          <w:rFonts w:ascii="宋体" w:hAnsi="宋体" w:cs="宋体" w:eastAsia="宋体" w:hint="default"/>
        </w:rPr>
      </w:pPr>
      <w:r>
        <w:rPr>
          <w:spacing w:val="-2"/>
        </w:rPr>
        <w:t>对于使用寿命有限的无形资产，在为企业带来经济利益的期限内按直线法摊销；无法预见无形资产为企业带来经济利益</w:t>
      </w:r>
      <w:r>
        <w:rPr/>
        <w:t> 期限的，视为使用寿命不确定的无形资产，不予摊销。</w:t>
      </w:r>
      <w:r>
        <w:rPr>
          <w:rFonts w:ascii="宋体" w:hAnsi="宋体" w:cs="宋体" w:eastAsia="宋体" w:hint="default"/>
        </w:rPr>
        <w:t> </w:t>
      </w:r>
    </w:p>
    <w:p>
      <w:pPr>
        <w:spacing w:after="0" w:line="316" w:lineRule="auto"/>
        <w:jc w:val="both"/>
        <w:rPr>
          <w:rFonts w:ascii="宋体" w:hAnsi="宋体" w:cs="宋体" w:eastAsia="宋体" w:hint="default"/>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513" w:right="1133"/>
        <w:jc w:val="left"/>
      </w:pPr>
      <w:r>
        <w:rPr>
          <w:rFonts w:ascii="宋体" w:hAnsi="宋体" w:cs="宋体" w:eastAsia="宋体" w:hint="default"/>
        </w:rPr>
        <w:t>2</w:t>
      </w:r>
      <w:r>
        <w:rPr/>
        <w:t>、使用寿命有限的无形资产的使用寿命估计情况：</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852"/>
        <w:gridCol w:w="2191"/>
        <w:gridCol w:w="3265"/>
      </w:tblGrid>
      <w:tr>
        <w:trPr>
          <w:trHeight w:val="341"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预计使用寿命</w:t>
            </w:r>
            <w:r>
              <w:rPr>
                <w:rFonts w:ascii="宋体" w:hAnsi="宋体" w:cs="宋体" w:eastAsia="宋体" w:hint="default"/>
                <w:sz w:val="21"/>
                <w:szCs w:val="21"/>
              </w:rPr>
            </w:r>
          </w:p>
        </w:tc>
        <w:tc>
          <w:tcPr>
            <w:tcW w:w="326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b/>
                <w:bCs/>
                <w:sz w:val="21"/>
                <w:szCs w:val="21"/>
              </w:rPr>
              <w:t>依据</w:t>
            </w:r>
            <w:r>
              <w:rPr>
                <w:rFonts w:ascii="宋体" w:hAnsi="宋体" w:cs="宋体" w:eastAsia="宋体" w:hint="default"/>
                <w:sz w:val="21"/>
                <w:szCs w:val="21"/>
              </w:rPr>
            </w:r>
          </w:p>
        </w:tc>
      </w:tr>
      <w:tr>
        <w:trPr>
          <w:trHeight w:val="343"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宋体" w:hAnsi="宋体" w:cs="宋体" w:eastAsia="宋体" w:hint="default"/>
                <w:sz w:val="21"/>
                <w:szCs w:val="21"/>
              </w:rPr>
              <w:t>年</w:t>
            </w:r>
          </w:p>
        </w:tc>
        <w:tc>
          <w:tcPr>
            <w:tcW w:w="32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产权年限</w:t>
            </w:r>
          </w:p>
        </w:tc>
      </w:tr>
      <w:tr>
        <w:trPr>
          <w:trHeight w:val="341"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专利</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16</w:t>
            </w:r>
            <w:r>
              <w:rPr>
                <w:rFonts w:ascii="宋体" w:hAnsi="宋体" w:cs="宋体" w:eastAsia="宋体" w:hint="default"/>
                <w:sz w:val="21"/>
                <w:szCs w:val="21"/>
              </w:rPr>
              <w:t>年</w:t>
            </w:r>
          </w:p>
        </w:tc>
        <w:tc>
          <w:tcPr>
            <w:tcW w:w="326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合同规定与法律规定孰低的原则</w:t>
            </w:r>
          </w:p>
        </w:tc>
      </w:tr>
      <w:tr>
        <w:trPr>
          <w:trHeight w:val="343"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合同能源管理项目</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合同规定年限</w:t>
            </w:r>
          </w:p>
        </w:tc>
        <w:tc>
          <w:tcPr>
            <w:tcW w:w="32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合同规定</w:t>
            </w:r>
          </w:p>
        </w:tc>
      </w:tr>
      <w:tr>
        <w:trPr>
          <w:trHeight w:val="341"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著作权</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5-10</w:t>
            </w:r>
            <w:r>
              <w:rPr>
                <w:rFonts w:ascii="宋体" w:hAnsi="宋体" w:cs="宋体" w:eastAsia="宋体" w:hint="default"/>
                <w:sz w:val="21"/>
                <w:szCs w:val="21"/>
              </w:rPr>
              <w:t>年</w:t>
            </w:r>
          </w:p>
        </w:tc>
        <w:tc>
          <w:tcPr>
            <w:tcW w:w="326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合同规定与法律规定孰低的原则</w:t>
            </w:r>
          </w:p>
        </w:tc>
      </w:tr>
      <w:tr>
        <w:trPr>
          <w:trHeight w:val="343"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电脑软件</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w:t>
            </w:r>
          </w:p>
        </w:tc>
        <w:tc>
          <w:tcPr>
            <w:tcW w:w="32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合同规定与法律规定孰低的原则</w:t>
            </w:r>
          </w:p>
        </w:tc>
      </w:tr>
      <w:tr>
        <w:trPr>
          <w:trHeight w:val="343"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其他特许权</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年</w:t>
            </w:r>
          </w:p>
        </w:tc>
        <w:tc>
          <w:tcPr>
            <w:tcW w:w="326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合同规定与法律规定孰低的原则</w:t>
            </w:r>
          </w:p>
        </w:tc>
      </w:tr>
    </w:tbl>
    <w:p>
      <w:pPr>
        <w:pStyle w:val="BodyText"/>
        <w:spacing w:line="316" w:lineRule="auto" w:before="8"/>
        <w:ind w:left="513" w:right="1133"/>
        <w:jc w:val="left"/>
      </w:pPr>
      <w:r>
        <w:rPr/>
        <w:t>每年度终了，对使用寿命有限的无形资产的使用寿命及摊销方法进行复核。</w:t>
      </w:r>
      <w:r>
        <w:rPr>
          <w:rFonts w:ascii="宋体" w:hAnsi="宋体" w:cs="宋体" w:eastAsia="宋体" w:hint="default"/>
        </w:rPr>
        <w:t> </w:t>
      </w:r>
      <w:r>
        <w:rPr/>
        <w:t>经复核，本年年末无形资产的使用寿命及摊销方法与以前估计未有不同。</w:t>
      </w:r>
    </w:p>
    <w:p>
      <w:pPr>
        <w:spacing w:line="240" w:lineRule="auto" w:before="11"/>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13" w:right="2113"/>
        <w:jc w:val="left"/>
        <w:rPr>
          <w:rFonts w:ascii="宋体" w:hAnsi="宋体" w:cs="宋体" w:eastAsia="宋体" w:hint="default"/>
        </w:rPr>
      </w:pPr>
      <w:r>
        <w:rPr>
          <w:rFonts w:ascii="宋体" w:hAnsi="宋体" w:cs="宋体" w:eastAsia="宋体" w:hint="default"/>
        </w:rPr>
        <w:t>1</w:t>
      </w:r>
      <w:r>
        <w:rPr/>
        <w:t>、划分研究阶段和开发阶段的具体标准</w:t>
      </w:r>
      <w:r>
        <w:rPr>
          <w:rFonts w:ascii="宋体" w:hAnsi="宋体" w:cs="宋体" w:eastAsia="宋体" w:hint="default"/>
        </w:rPr>
        <w:t> </w:t>
      </w:r>
      <w:r>
        <w:rPr/>
        <w:t>公司内部研究开发项目的支出分为研究阶段支出和开发阶段支出。</w:t>
      </w:r>
      <w:r>
        <w:rPr>
          <w:rFonts w:ascii="宋体" w:hAnsi="宋体" w:cs="宋体" w:eastAsia="宋体" w:hint="default"/>
        </w:rPr>
        <w:t> </w:t>
      </w:r>
      <w:r>
        <w:rPr/>
        <w:t>研究阶段：为获取并理解新的科学或技术知识等而进行的独创性的有计划调查、研究活动的阶段。</w:t>
      </w:r>
      <w:r>
        <w:rPr>
          <w:rFonts w:ascii="宋体" w:hAnsi="宋体" w:cs="宋体" w:eastAsia="宋体" w:hint="default"/>
        </w:rPr>
        <w:t> </w:t>
      </w:r>
    </w:p>
    <w:p>
      <w:pPr>
        <w:pStyle w:val="BodyText"/>
        <w:spacing w:line="316" w:lineRule="auto" w:before="19"/>
        <w:ind w:right="1129" w:firstLine="360"/>
        <w:jc w:val="left"/>
        <w:rPr>
          <w:rFonts w:ascii="宋体" w:hAnsi="宋体" w:cs="宋体" w:eastAsia="宋体" w:hint="default"/>
        </w:rPr>
      </w:pPr>
      <w:r>
        <w:rPr>
          <w:spacing w:val="-2"/>
        </w:rPr>
        <w:t>开发阶段：在进行商业性生产或使用前，将研究成果或其他知识应用于某项计划或设计，以生产出新的或具有实质性改</w:t>
      </w:r>
      <w:r>
        <w:rPr/>
        <w:t> 进的材料、装置、产品等活动的阶段。</w:t>
      </w:r>
      <w:r>
        <w:rPr>
          <w:rFonts w:ascii="宋体" w:hAnsi="宋体" w:cs="宋体" w:eastAsia="宋体" w:hint="default"/>
        </w:rPr>
        <w:t> </w:t>
      </w:r>
    </w:p>
    <w:p>
      <w:pPr>
        <w:pStyle w:val="BodyText"/>
        <w:spacing w:line="319" w:lineRule="auto" w:before="19"/>
        <w:ind w:left="513" w:right="2113"/>
        <w:jc w:val="left"/>
        <w:rPr>
          <w:rFonts w:ascii="宋体" w:hAnsi="宋体" w:cs="宋体" w:eastAsia="宋体" w:hint="default"/>
        </w:rPr>
      </w:pPr>
      <w:r>
        <w:rPr>
          <w:rFonts w:ascii="宋体" w:hAnsi="宋体" w:cs="宋体" w:eastAsia="宋体" w:hint="default"/>
        </w:rPr>
        <w:t>2</w:t>
      </w:r>
      <w:r>
        <w:rPr/>
        <w:t>、开发阶段支出资本化的具体条件</w:t>
      </w:r>
      <w:r>
        <w:rPr>
          <w:rFonts w:ascii="宋体" w:hAnsi="宋体" w:cs="宋体" w:eastAsia="宋体" w:hint="default"/>
        </w:rPr>
        <w:t> </w:t>
      </w:r>
      <w:r>
        <w:rPr/>
        <w:t>内部研究开发项目开发阶段的支出，同时满足下列条件时确认为无形资产：</w:t>
      </w:r>
      <w:r>
        <w:rPr>
          <w:rFonts w:ascii="宋体" w:hAnsi="宋体" w:cs="宋体" w:eastAsia="宋体" w:hint="default"/>
        </w:rPr>
        <w:t> (1)</w:t>
      </w:r>
      <w:r>
        <w:rPr/>
        <w:t>完成该无形资产以使其能够使用或出售在技术上具有可行性；</w:t>
      </w:r>
      <w:r>
        <w:rPr>
          <w:rFonts w:ascii="宋体" w:hAnsi="宋体" w:cs="宋体" w:eastAsia="宋体" w:hint="default"/>
        </w:rPr>
        <w:t> (2)</w:t>
      </w:r>
      <w:r>
        <w:rPr/>
        <w:t>具有完成该无形资产并使用或出售的意图；</w:t>
      </w:r>
      <w:r>
        <w:rPr>
          <w:rFonts w:ascii="宋体" w:hAnsi="宋体" w:cs="宋体" w:eastAsia="宋体" w:hint="default"/>
        </w:rPr>
        <w:t> </w:t>
      </w:r>
    </w:p>
    <w:p>
      <w:pPr>
        <w:pStyle w:val="BodyText"/>
        <w:spacing w:line="316" w:lineRule="auto" w:before="17"/>
        <w:ind w:right="1124" w:firstLine="360"/>
        <w:jc w:val="left"/>
        <w:rPr>
          <w:rFonts w:ascii="宋体" w:hAnsi="宋体" w:cs="宋体" w:eastAsia="宋体" w:hint="default"/>
        </w:rPr>
      </w:pPr>
      <w:r>
        <w:rPr>
          <w:rFonts w:ascii="宋体" w:hAnsi="宋体" w:cs="宋体" w:eastAsia="宋体" w:hint="default"/>
        </w:rPr>
        <w:t>(3)</w:t>
      </w:r>
      <w:r>
        <w:rPr/>
        <w:t>无形资产产生经济利益的方式，包括能够证明运用该无形资产生产的产品存在市场或无形资产自身存在市场，无形 资产将在内部使用的，能够证明其有用性；</w:t>
      </w:r>
      <w:r>
        <w:rPr>
          <w:rFonts w:ascii="宋体" w:hAnsi="宋体" w:cs="宋体" w:eastAsia="宋体" w:hint="default"/>
        </w:rPr>
        <w:t> </w:t>
      </w:r>
    </w:p>
    <w:p>
      <w:pPr>
        <w:pStyle w:val="BodyText"/>
        <w:spacing w:line="316" w:lineRule="auto" w:before="19"/>
        <w:ind w:left="513" w:right="1753"/>
        <w:jc w:val="left"/>
      </w:pPr>
      <w:r>
        <w:rPr>
          <w:rFonts w:ascii="宋体" w:hAnsi="宋体" w:cs="宋体" w:eastAsia="宋体" w:hint="default"/>
        </w:rPr>
        <w:t>(4)</w:t>
      </w:r>
      <w:r>
        <w:rPr/>
        <w:t>有足够的技术、财务资源和其他资源支持，以完成该无形资产的开发，并有能力使用或出售该无形资产；</w:t>
      </w:r>
      <w:r>
        <w:rPr>
          <w:rFonts w:ascii="宋体" w:hAnsi="宋体" w:cs="宋体" w:eastAsia="宋体" w:hint="default"/>
        </w:rPr>
        <w:t> (5)</w:t>
      </w:r>
      <w:r>
        <w:rPr/>
        <w:t>归属于该无形资产开发阶段的支出能够可靠地计量。</w:t>
      </w:r>
      <w:r>
        <w:rPr>
          <w:rFonts w:ascii="宋体" w:hAnsi="宋体" w:cs="宋体" w:eastAsia="宋体" w:hint="default"/>
        </w:rPr>
        <w:t> </w:t>
      </w:r>
      <w:r>
        <w:rPr/>
        <w:t>开发阶段的支出，若不满足上列条件的，于发生时计入当期损益。研究阶段的支出，在发生时计入当期损益。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6"/>
          <w:szCs w:val="16"/>
        </w:rPr>
      </w:pPr>
    </w:p>
    <w:p>
      <w:pPr>
        <w:pStyle w:val="Heading3"/>
        <w:spacing w:line="240" w:lineRule="auto"/>
        <w:ind w:right="1133"/>
        <w:jc w:val="left"/>
        <w:rPr>
          <w:b w:val="0"/>
          <w:bCs w:val="0"/>
        </w:rPr>
      </w:pPr>
      <w:r>
        <w:rPr>
          <w:rFonts w:ascii="Times New Roman" w:hAnsi="Times New Roman" w:cs="Times New Roman" w:eastAsia="Times New Roman" w:hint="default"/>
        </w:rPr>
        <w:t>20</w:t>
      </w:r>
      <w:r>
        <w:rPr/>
        <w:t>、长期资产减值</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29" w:firstLine="360"/>
        <w:jc w:val="both"/>
        <w:rPr>
          <w:rFonts w:ascii="宋体" w:hAnsi="宋体" w:cs="宋体" w:eastAsia="宋体" w:hint="default"/>
        </w:rPr>
      </w:pPr>
      <w:r>
        <w:rPr>
          <w:spacing w:val="-2"/>
        </w:rPr>
        <w:t>对于固定资产、在建工程、使用寿命有限的无形资产、以成本模式计量的投资性房地产及对子公司、合营企业、联营企</w:t>
      </w:r>
      <w:r>
        <w:rPr/>
        <w:t> </w:t>
      </w:r>
      <w:r>
        <w:rPr>
          <w:spacing w:val="-2"/>
        </w:rPr>
        <w:t>业的长期股权投资等非流动非金融资产，本公司于资产负债表日判断是否存在减值迹象。如存在减值迹象的，则估计其可收</w:t>
      </w:r>
      <w:r>
        <w:rPr>
          <w:spacing w:val="-62"/>
        </w:rPr>
        <w:t> </w:t>
      </w:r>
      <w:r>
        <w:rPr>
          <w:spacing w:val="-62"/>
        </w:rPr>
      </w:r>
      <w:r>
        <w:rPr>
          <w:spacing w:val="-2"/>
        </w:rPr>
        <w:t>回金额，进行减值测试。商誉、使用寿命不确定的无形资产和尚未达到可使用状态的无形资产，无论是否存在减值迹象，每</w:t>
      </w:r>
      <w:r>
        <w:rPr>
          <w:spacing w:val="-67"/>
        </w:rPr>
        <w:t> </w:t>
      </w:r>
      <w:r>
        <w:rPr>
          <w:spacing w:val="-67"/>
        </w:rPr>
      </w:r>
      <w:r>
        <w:rPr/>
        <w:t>年均进行减值测试。</w:t>
      </w:r>
      <w:r>
        <w:rPr>
          <w:rFonts w:ascii="宋体" w:hAnsi="宋体" w:cs="宋体" w:eastAsia="宋体" w:hint="default"/>
        </w:rPr>
        <w:t> </w:t>
      </w:r>
    </w:p>
    <w:p>
      <w:pPr>
        <w:pStyle w:val="BodyText"/>
        <w:spacing w:line="316" w:lineRule="auto" w:before="19"/>
        <w:ind w:right="1034" w:firstLine="360"/>
        <w:jc w:val="left"/>
        <w:rPr>
          <w:rFonts w:ascii="宋体" w:hAnsi="宋体" w:cs="宋体" w:eastAsia="宋体" w:hint="default"/>
        </w:rPr>
      </w:pPr>
      <w:r>
        <w:rPr>
          <w:spacing w:val="-2"/>
        </w:rPr>
        <w:t>减值测试结果表明资产的可收回金额低于其账面价值的，按其差额计提减值准备并计入减值损失。可收回金额为资产的</w:t>
      </w:r>
      <w:r>
        <w:rPr/>
        <w:t> </w:t>
      </w:r>
      <w:r>
        <w:rPr>
          <w:spacing w:val="-2"/>
        </w:rPr>
        <w:t>公允价值减去处置费用后的净额与资产预计未来现金流量的现值两者之间的较高者。资产的公允价值根据公平交易中销售协</w:t>
      </w:r>
      <w:r>
        <w:rPr>
          <w:spacing w:val="-64"/>
        </w:rPr>
        <w:t> </w:t>
      </w:r>
      <w:r>
        <w:rPr>
          <w:spacing w:val="-64"/>
        </w:rPr>
      </w:r>
      <w:r>
        <w:rPr>
          <w:spacing w:val="-2"/>
        </w:rPr>
        <w:t>议价格确定；不存在销售协议但存在资产活跃市场的，公允价值按照该资产的买方出价确定；不存在销售协议和资产活跃市</w:t>
      </w:r>
      <w:r>
        <w:rPr>
          <w:spacing w:val="-63"/>
        </w:rPr>
        <w:t> </w:t>
      </w:r>
      <w:r>
        <w:rPr>
          <w:spacing w:val="-63"/>
        </w:rPr>
      </w:r>
      <w:r>
        <w:rPr>
          <w:spacing w:val="-2"/>
        </w:rPr>
        <w:t>场的，则以可获取的最佳信息为基础估计资产的公允价值。处置费用包括与资产处置有关的法律费用、相关税费、搬运费以</w:t>
      </w:r>
      <w:r>
        <w:rPr>
          <w:spacing w:val="-64"/>
        </w:rPr>
        <w:t> </w:t>
      </w:r>
      <w:r>
        <w:rPr>
          <w:spacing w:val="-64"/>
        </w:rPr>
      </w:r>
      <w:r>
        <w:rPr>
          <w:spacing w:val="-2"/>
        </w:rPr>
        <w:t>及为使资产达到可销售状态所发生的直接费用。资产预计未来现金流量的现值，按照资产在持续使用过程中和最终处置时所</w:t>
      </w:r>
      <w:r>
        <w:rPr>
          <w:spacing w:val="-64"/>
        </w:rPr>
        <w:t> </w:t>
      </w:r>
      <w:r>
        <w:rPr>
          <w:spacing w:val="-64"/>
        </w:rPr>
      </w:r>
      <w:r>
        <w:rPr>
          <w:spacing w:val="-4"/>
        </w:rPr>
        <w:t>产生的预计未来现金流量，选择恰当的折现率对其进行折现后的金额加以确定。资产减值准备按单项资产为基础计算并确认，</w:t>
      </w:r>
      <w:r>
        <w:rPr>
          <w:spacing w:val="-44"/>
        </w:rPr>
        <w:t> </w:t>
      </w:r>
      <w:r>
        <w:rPr>
          <w:spacing w:val="-44"/>
        </w:rPr>
      </w:r>
      <w:r>
        <w:rPr>
          <w:spacing w:val="-2"/>
        </w:rPr>
        <w:t>如果难以对单项资产的可收回金额进行估计的，以该资产所属的资产组确定资产组的可收回金额。资产组是能够独立产生现</w:t>
      </w:r>
      <w:r>
        <w:rPr>
          <w:spacing w:val="-64"/>
        </w:rPr>
        <w:t> </w:t>
      </w:r>
      <w:r>
        <w:rPr>
          <w:spacing w:val="-64"/>
        </w:rPr>
      </w:r>
      <w:r>
        <w:rPr/>
        <w:t>金流入的最小资产组合。</w:t>
      </w:r>
      <w:r>
        <w:rPr>
          <w:rFonts w:ascii="宋体" w:hAnsi="宋体" w:cs="宋体" w:eastAsia="宋体" w:hint="default"/>
        </w:rPr>
        <w:t> </w:t>
      </w:r>
    </w:p>
    <w:p>
      <w:pPr>
        <w:spacing w:after="0" w:line="316" w:lineRule="auto"/>
        <w:jc w:val="left"/>
        <w:rPr>
          <w:rFonts w:ascii="宋体" w:hAnsi="宋体" w:cs="宋体" w:eastAsia="宋体" w:hint="default"/>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31" w:firstLine="360"/>
        <w:jc w:val="both"/>
        <w:rPr>
          <w:rFonts w:ascii="宋体" w:hAnsi="宋体" w:cs="宋体" w:eastAsia="宋体" w:hint="default"/>
        </w:rPr>
      </w:pPr>
      <w:r>
        <w:rPr>
          <w:spacing w:val="-2"/>
        </w:rPr>
        <w:t>在财务报表中单独列示的商誉，在进行减值测试时，将商誉的账面价值分摊至预期从企业合并的协同效应中受益的资产</w:t>
      </w:r>
      <w:r>
        <w:rPr/>
        <w:t> </w:t>
      </w:r>
      <w:r>
        <w:rPr>
          <w:spacing w:val="-2"/>
        </w:rPr>
        <w:t>组或资产组组合。测试结果表明包含分摊的商誉的资产组或资产组组合的可收回金额低于其账面价值的，确认相应的减值损</w:t>
      </w:r>
      <w:r>
        <w:rPr>
          <w:spacing w:val="-64"/>
        </w:rPr>
        <w:t> </w:t>
      </w:r>
      <w:r>
        <w:rPr>
          <w:spacing w:val="-64"/>
        </w:rPr>
      </w:r>
      <w:r>
        <w:rPr>
          <w:spacing w:val="-2"/>
        </w:rPr>
        <w:t>失。减值损失金额先抵减分摊至该资产组或资产组组合的商誉的账面价值，再根据资产组或资产组组合中除商誉以外的其他</w:t>
      </w:r>
      <w:r>
        <w:rPr>
          <w:spacing w:val="-64"/>
        </w:rPr>
        <w:t> </w:t>
      </w:r>
      <w:r>
        <w:rPr>
          <w:spacing w:val="-64"/>
        </w:rPr>
      </w:r>
      <w:r>
        <w:rPr/>
        <w:t>各项资产的账面价值所占比重，按比例抵减其他各项资产的账面价值。</w:t>
      </w:r>
      <w:r>
        <w:rPr>
          <w:rFonts w:ascii="宋体" w:hAnsi="宋体" w:cs="宋体" w:eastAsia="宋体" w:hint="default"/>
        </w:rPr>
        <w:t> </w:t>
      </w:r>
    </w:p>
    <w:p>
      <w:pPr>
        <w:pStyle w:val="BodyText"/>
        <w:spacing w:line="240" w:lineRule="auto" w:before="19"/>
        <w:ind w:left="513" w:right="1133"/>
        <w:jc w:val="left"/>
      </w:pPr>
      <w:r>
        <w:rPr/>
        <w:t>上述资产减值损失一经确认，以后期间不予转回价值得以恢复的部分。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3"/>
        <w:spacing w:line="240" w:lineRule="auto"/>
        <w:ind w:right="1133"/>
        <w:jc w:val="left"/>
        <w:rPr>
          <w:b w:val="0"/>
          <w:bCs w:val="0"/>
        </w:rPr>
      </w:pPr>
      <w:r>
        <w:rPr>
          <w:rFonts w:ascii="Times New Roman" w:hAnsi="Times New Roman" w:cs="Times New Roman" w:eastAsia="Times New Roman" w:hint="default"/>
        </w:rPr>
        <w:t>21</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8" w:firstLine="360"/>
        <w:jc w:val="both"/>
        <w:rPr>
          <w:rFonts w:ascii="宋体" w:hAnsi="宋体" w:cs="宋体" w:eastAsia="宋体" w:hint="default"/>
        </w:rPr>
      </w:pPr>
      <w:r>
        <w:rPr>
          <w:spacing w:val="-2"/>
        </w:rPr>
        <w:t>长期待摊费用是指公司已经发生但应由本期和以后各期分担的分摊期限在一年以上</w:t>
      </w:r>
      <w:r>
        <w:rPr>
          <w:rFonts w:ascii="宋体" w:hAnsi="宋体" w:cs="宋体" w:eastAsia="宋体" w:hint="default"/>
          <w:spacing w:val="-2"/>
        </w:rPr>
        <w:t>(</w:t>
      </w:r>
      <w:r>
        <w:rPr>
          <w:spacing w:val="-2"/>
        </w:rPr>
        <w:t>不含一年</w:t>
      </w:r>
      <w:r>
        <w:rPr>
          <w:rFonts w:ascii="宋体" w:hAnsi="宋体" w:cs="宋体" w:eastAsia="宋体" w:hint="default"/>
          <w:spacing w:val="-2"/>
        </w:rPr>
        <w:t>)</w:t>
      </w:r>
      <w:r>
        <w:rPr>
          <w:spacing w:val="-2"/>
        </w:rPr>
        <w:t>的各项费用，包括以经营</w:t>
      </w:r>
      <w:r>
        <w:rPr/>
        <w:t> 租赁方式租入的固定资产改良支出等。</w:t>
      </w:r>
      <w:r>
        <w:rPr>
          <w:rFonts w:ascii="宋体" w:hAnsi="宋体" w:cs="宋体" w:eastAsia="宋体" w:hint="default"/>
        </w:rPr>
        <w:t> </w:t>
      </w:r>
    </w:p>
    <w:p>
      <w:pPr>
        <w:pStyle w:val="BodyText"/>
        <w:spacing w:line="316" w:lineRule="auto" w:before="19"/>
        <w:ind w:right="1132" w:firstLine="360"/>
        <w:jc w:val="both"/>
      </w:pPr>
      <w:r>
        <w:rPr>
          <w:spacing w:val="-2"/>
        </w:rPr>
        <w:t>长期待摊费用按实际发生额入账，在受益期或规定的期限内分期平均摊销。如果长期待摊的费用项目不能使以后会计期</w:t>
      </w:r>
      <w:r>
        <w:rPr/>
        <w:t> 间受益则将尚未摊销的该项目的摊余价值全部转入当期损益。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1133"/>
        <w:jc w:val="left"/>
        <w:rPr>
          <w:b w:val="0"/>
          <w:bCs w:val="0"/>
        </w:rPr>
      </w:pPr>
      <w:r>
        <w:rPr>
          <w:rFonts w:ascii="Times New Roman" w:hAnsi="Times New Roman" w:cs="Times New Roman" w:eastAsia="Times New Roman" w:hint="default"/>
        </w:rPr>
        <w:t>22</w:t>
      </w:r>
      <w:r>
        <w:rPr/>
        <w:t>、职工薪酬</w:t>
      </w:r>
      <w:r>
        <w:rPr>
          <w:b w:val="0"/>
          <w:bCs w:val="0"/>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316" w:lineRule="auto"/>
        <w:ind w:left="513" w:right="1129"/>
        <w:jc w:val="left"/>
      </w:pPr>
      <w:r>
        <w:rPr/>
        <w:t>本公司在职工为本公司提供服务的会计期间，将实际发生的短期薪酬确认为负债，并计入当期损益或相关资产成本。</w:t>
      </w:r>
      <w:r>
        <w:rPr>
          <w:rFonts w:ascii="宋体" w:hAnsi="宋体" w:cs="宋体" w:eastAsia="宋体" w:hint="default"/>
        </w:rPr>
        <w:t> </w:t>
      </w:r>
      <w:r>
        <w:rPr>
          <w:spacing w:val="-2"/>
        </w:rPr>
        <w:t>本公司为职工缴纳的社会保险费和住房公积金，以及按规定提取的工会经费和职工教育经费，在职工为本公司提供服务</w:t>
      </w:r>
    </w:p>
    <w:p>
      <w:pPr>
        <w:pStyle w:val="BodyText"/>
        <w:spacing w:line="319" w:lineRule="auto" w:before="19"/>
        <w:ind w:left="513" w:right="1133" w:hanging="361"/>
        <w:jc w:val="left"/>
      </w:pPr>
      <w:r>
        <w:rPr/>
        <w:t>的会计期间，根据规定的计提基础和计提比例计算确定相应的职工薪酬金额。</w:t>
      </w:r>
      <w:r>
        <w:rPr>
          <w:rFonts w:ascii="宋体" w:hAnsi="宋体" w:cs="宋体" w:eastAsia="宋体" w:hint="default"/>
        </w:rPr>
        <w:t> </w:t>
      </w:r>
      <w:r>
        <w:rPr/>
        <w:t>职工福利费为非货币性福利的，如能够可靠计量的，按照公允价值计量。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7"/>
        <w:ind w:right="1133"/>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13" w:right="2654"/>
        <w:jc w:val="left"/>
        <w:rPr>
          <w:rFonts w:ascii="宋体" w:hAnsi="宋体" w:cs="宋体" w:eastAsia="宋体" w:hint="default"/>
        </w:rPr>
      </w:pPr>
      <w:r>
        <w:rPr/>
        <w:t>离职后福利计划按照承担的风险和义务情况，可以分为设定提存计划和设定受益计划。</w:t>
      </w:r>
      <w:r>
        <w:rPr>
          <w:rFonts w:ascii="宋体" w:hAnsi="宋体" w:cs="宋体" w:eastAsia="宋体" w:hint="default"/>
        </w:rPr>
        <w:t> (1)</w:t>
      </w:r>
      <w:r>
        <w:rPr/>
        <w:t>设定提存计划</w:t>
      </w:r>
      <w:r>
        <w:rPr>
          <w:rFonts w:ascii="宋体" w:hAnsi="宋体" w:cs="宋体" w:eastAsia="宋体" w:hint="default"/>
        </w:rPr>
        <w:t> </w:t>
      </w:r>
    </w:p>
    <w:p>
      <w:pPr>
        <w:pStyle w:val="BodyText"/>
        <w:spacing w:line="316" w:lineRule="auto" w:before="19"/>
        <w:ind w:right="1132" w:firstLine="360"/>
        <w:jc w:val="both"/>
        <w:rPr>
          <w:rFonts w:ascii="宋体" w:hAnsi="宋体" w:cs="宋体" w:eastAsia="宋体" w:hint="default"/>
        </w:rPr>
      </w:pPr>
      <w:r>
        <w:rPr>
          <w:spacing w:val="-2"/>
        </w:rPr>
        <w:t>公司根据在资产负债表日为换取职工在会计期间提供的服务而向单独主体缴存的提存金，确认为负债，并按照受益对象</w:t>
      </w:r>
      <w:r>
        <w:rPr/>
        <w:t> 计人当期损益或相关资产成本。</w:t>
      </w:r>
      <w:r>
        <w:rPr>
          <w:rFonts w:ascii="宋体" w:hAnsi="宋体" w:cs="宋体" w:eastAsia="宋体" w:hint="default"/>
        </w:rPr>
        <w:t> </w:t>
      </w:r>
    </w:p>
    <w:p>
      <w:pPr>
        <w:pStyle w:val="BodyText"/>
        <w:spacing w:line="319" w:lineRule="auto" w:before="19"/>
        <w:ind w:left="513" w:right="2654"/>
        <w:jc w:val="left"/>
        <w:rPr>
          <w:rFonts w:ascii="宋体" w:hAnsi="宋体" w:cs="宋体" w:eastAsia="宋体" w:hint="default"/>
        </w:rPr>
      </w:pPr>
      <w:r>
        <w:rPr>
          <w:rFonts w:ascii="宋体" w:hAnsi="宋体" w:cs="宋体" w:eastAsia="宋体" w:hint="default"/>
        </w:rPr>
        <w:t>(2)</w:t>
      </w:r>
      <w:r>
        <w:rPr/>
        <w:t>设定受益计划</w:t>
      </w:r>
      <w:r>
        <w:rPr>
          <w:rFonts w:ascii="宋体" w:hAnsi="宋体" w:cs="宋体" w:eastAsia="宋体" w:hint="default"/>
        </w:rPr>
        <w:t> </w:t>
      </w:r>
      <w:r>
        <w:rPr/>
        <w:t>设定受益计划，是指除设定提存计划以外的离职后福利计划。会计处理包括下列步骤：</w:t>
      </w:r>
      <w:r>
        <w:rPr>
          <w:rFonts w:ascii="宋体" w:hAnsi="宋体" w:cs="宋体" w:eastAsia="宋体" w:hint="default"/>
        </w:rPr>
        <w:t> </w:t>
      </w:r>
    </w:p>
    <w:p>
      <w:pPr>
        <w:pStyle w:val="BodyText"/>
        <w:spacing w:line="316" w:lineRule="auto" w:before="17"/>
        <w:ind w:right="1130" w:firstLine="360"/>
        <w:jc w:val="both"/>
        <w:rPr>
          <w:rFonts w:ascii="宋体" w:hAnsi="宋体" w:cs="宋体" w:eastAsia="宋体" w:hint="default"/>
        </w:rPr>
      </w:pPr>
      <w:r>
        <w:rPr>
          <w:rFonts w:ascii="宋体" w:hAnsi="宋体" w:cs="宋体" w:eastAsia="宋体" w:hint="default"/>
          <w:spacing w:val="-2"/>
        </w:rPr>
        <w:t>1)</w:t>
      </w:r>
      <w:r>
        <w:rPr>
          <w:spacing w:val="-2"/>
        </w:rPr>
        <w:t>根据预期累计福利单位法，采用无偏且相互一致的精算假设对有关人口统计变量和财务变量等作出估计，计量设定受</w:t>
      </w:r>
      <w:r>
        <w:rPr/>
        <w:t> </w:t>
      </w:r>
      <w:r>
        <w:rPr>
          <w:spacing w:val="-2"/>
        </w:rPr>
        <w:t>益计划所产生的义务，并确定相关义务的所属期间；公司对所有设定受益计划义务予以折现，包括预期在职工提供服务的年</w:t>
      </w:r>
      <w:r>
        <w:rPr>
          <w:spacing w:val="-63"/>
        </w:rPr>
        <w:t> </w:t>
      </w:r>
      <w:r>
        <w:rPr>
          <w:spacing w:val="-63"/>
        </w:rPr>
      </w:r>
      <w:r>
        <w:rPr>
          <w:spacing w:val="-2"/>
        </w:rPr>
        <w:t>度报告期间结束后的十二个月内支付的义务。折现时所采用的折现率根据资产负债表日与设定受益计划义务期限和币种相匹</w:t>
      </w:r>
      <w:r>
        <w:rPr>
          <w:spacing w:val="-64"/>
        </w:rPr>
        <w:t> </w:t>
      </w:r>
      <w:r>
        <w:rPr>
          <w:spacing w:val="-64"/>
        </w:rPr>
      </w:r>
      <w:r>
        <w:rPr/>
        <w:t>配的国债或活跃市场上的高质量公司债券的市场收益率确定；</w:t>
      </w:r>
      <w:r>
        <w:rPr>
          <w:rFonts w:ascii="宋体" w:hAnsi="宋体" w:cs="宋体" w:eastAsia="宋体" w:hint="default"/>
        </w:rPr>
        <w:t> </w:t>
      </w:r>
    </w:p>
    <w:p>
      <w:pPr>
        <w:pStyle w:val="BodyText"/>
        <w:spacing w:line="316" w:lineRule="auto" w:before="19"/>
        <w:ind w:right="1132" w:firstLine="360"/>
        <w:jc w:val="both"/>
        <w:rPr>
          <w:rFonts w:ascii="宋体" w:hAnsi="宋体" w:cs="宋体" w:eastAsia="宋体" w:hint="default"/>
        </w:rPr>
      </w:pPr>
      <w:r>
        <w:rPr>
          <w:rFonts w:ascii="宋体" w:hAnsi="宋体" w:cs="宋体" w:eastAsia="宋体" w:hint="default"/>
          <w:spacing w:val="-2"/>
        </w:rPr>
        <w:t>2)</w:t>
      </w:r>
      <w:r>
        <w:rPr>
          <w:spacing w:val="-2"/>
        </w:rPr>
        <w:t>设定受益计划存在资产的，将设定受益计划义务现值减去设定受益计划资产公允价值所形成的赤字或盈余确认为一项</w:t>
      </w:r>
      <w:r>
        <w:rPr/>
        <w:t> </w:t>
      </w:r>
      <w:r>
        <w:rPr>
          <w:spacing w:val="-2"/>
        </w:rPr>
        <w:t>设定受益计划净负债或净资产。设定受益计划存在盈余的，以设定受益计划的盈余和资产上限两项的孰低者计量设定受益计</w:t>
      </w:r>
      <w:r>
        <w:rPr>
          <w:spacing w:val="-64"/>
        </w:rPr>
        <w:t> </w:t>
      </w:r>
      <w:r>
        <w:rPr>
          <w:spacing w:val="-64"/>
        </w:rPr>
      </w:r>
      <w:r>
        <w:rPr/>
        <w:t>划净资产。资产上限是指公司可从设定受益计划退款或减少未来对设定受益计划缴存资金而获得的经济利益的现值；</w:t>
      </w:r>
      <w:r>
        <w:rPr>
          <w:rFonts w:ascii="宋体" w:hAnsi="宋体" w:cs="宋体" w:eastAsia="宋体" w:hint="default"/>
        </w:rPr>
        <w:t> </w:t>
      </w:r>
    </w:p>
    <w:p>
      <w:pPr>
        <w:pStyle w:val="BodyText"/>
        <w:spacing w:line="319" w:lineRule="auto" w:before="19"/>
        <w:ind w:right="1034" w:firstLine="360"/>
        <w:jc w:val="left"/>
        <w:rPr>
          <w:rFonts w:ascii="宋体" w:hAnsi="宋体" w:cs="宋体" w:eastAsia="宋体" w:hint="default"/>
        </w:rPr>
      </w:pPr>
      <w:r>
        <w:rPr>
          <w:rFonts w:ascii="宋体" w:hAnsi="宋体" w:cs="宋体" w:eastAsia="宋体" w:hint="default"/>
          <w:spacing w:val="-2"/>
        </w:rPr>
        <w:t>3)</w:t>
      </w:r>
      <w:r>
        <w:rPr>
          <w:spacing w:val="-2"/>
        </w:rPr>
        <w:t>期末，将设定受益计划产生的职工薪酬成本确认为服务成本、设定受益计划净负债或净资产的利息净额以及重新计量</w:t>
      </w:r>
      <w:r>
        <w:rPr/>
        <w:t> </w:t>
      </w:r>
      <w:r>
        <w:rPr>
          <w:spacing w:val="-2"/>
        </w:rPr>
        <w:t>设定受益计划净负债或净资产所产生的变动，其中服务成本和设定受益计划净负债或净资产的利息净额计入当期损益或相关</w:t>
      </w:r>
      <w:r>
        <w:rPr>
          <w:spacing w:val="-64"/>
        </w:rPr>
        <w:t> </w:t>
      </w:r>
      <w:r>
        <w:rPr>
          <w:spacing w:val="-64"/>
        </w:rPr>
      </w:r>
      <w:r>
        <w:rPr>
          <w:spacing w:val="-4"/>
        </w:rPr>
        <w:t>资产成本，重新计量设定受益计划净负债或净资产所产生的变动计入其他综合收益，并且在后续会计期间不允许转回至损益，</w:t>
      </w:r>
      <w:r>
        <w:rPr>
          <w:spacing w:val="-44"/>
        </w:rPr>
        <w:t> </w:t>
      </w:r>
      <w:r>
        <w:rPr>
          <w:spacing w:val="-44"/>
        </w:rPr>
      </w:r>
      <w:r>
        <w:rPr/>
        <w:t>但可以在权益范围内转移这些在其他综合收益确认的金额；</w:t>
      </w:r>
      <w:r>
        <w:rPr>
          <w:rFonts w:ascii="宋体" w:hAnsi="宋体" w:cs="宋体" w:eastAsia="宋体" w:hint="default"/>
        </w:rPr>
        <w:t> </w:t>
      </w:r>
    </w:p>
    <w:p>
      <w:pPr>
        <w:pStyle w:val="BodyText"/>
        <w:spacing w:line="240" w:lineRule="auto" w:before="17"/>
        <w:ind w:left="513" w:right="1133"/>
        <w:jc w:val="left"/>
        <w:rPr>
          <w:rFonts w:ascii="宋体" w:hAnsi="宋体" w:cs="宋体" w:eastAsia="宋体" w:hint="default"/>
        </w:rPr>
      </w:pPr>
      <w:r>
        <w:rPr>
          <w:rFonts w:ascii="宋体" w:hAnsi="宋体" w:cs="宋体" w:eastAsia="宋体" w:hint="default"/>
        </w:rPr>
        <w:t>4)</w:t>
      </w:r>
      <w:r>
        <w:rPr/>
        <w:t>在设定受益计划结算时，确认一项结算利得或损失。</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left="513" w:right="1123"/>
        <w:jc w:val="left"/>
      </w:pPr>
      <w:r>
        <w:rPr>
          <w:rFonts w:ascii="宋体" w:hAnsi="宋体" w:cs="宋体" w:eastAsia="宋体" w:hint="default"/>
        </w:rPr>
        <w:t>3</w:t>
      </w:r>
      <w:r>
        <w:rPr/>
        <w:t>、辞退福利的会计处理方法</w:t>
      </w:r>
      <w:r>
        <w:rPr>
          <w:rFonts w:ascii="宋体" w:hAnsi="宋体" w:cs="宋体" w:eastAsia="宋体" w:hint="default"/>
        </w:rPr>
        <w:t> </w:t>
      </w:r>
      <w:r>
        <w:rPr/>
        <w:t>公司向职工提供的辞退福利，在下列两者孰早日确认辞退福利产生的职工薪酬负债，并计入当期损益：</w:t>
      </w:r>
      <w:r>
        <w:rPr>
          <w:rFonts w:ascii="宋体" w:hAnsi="宋体" w:cs="宋体" w:eastAsia="宋体" w:hint="default"/>
        </w:rPr>
        <w:t>(1)</w:t>
      </w:r>
      <w:r>
        <w:rPr/>
        <w:t>公司不能单</w:t>
      </w:r>
    </w:p>
    <w:p>
      <w:pPr>
        <w:pStyle w:val="BodyText"/>
        <w:spacing w:line="316" w:lineRule="auto" w:before="19"/>
        <w:ind w:right="1124"/>
        <w:jc w:val="left"/>
        <w:rPr>
          <w:rFonts w:ascii="宋体" w:hAnsi="宋体" w:cs="宋体" w:eastAsia="宋体" w:hint="default"/>
        </w:rPr>
      </w:pPr>
      <w:r>
        <w:rPr/>
        <w:t>方面撤回因解除劳动关系计划或裁减建议所提供的辞退福利时；</w:t>
      </w:r>
      <w:r>
        <w:rPr>
          <w:rFonts w:ascii="宋体" w:hAnsi="宋体" w:cs="宋体" w:eastAsia="宋体" w:hint="default"/>
        </w:rPr>
        <w:t>(2)</w:t>
      </w:r>
      <w:r>
        <w:rPr/>
        <w:t>公司确认与涉及支付辞退福利的重组相关的成本或费用 时。</w:t>
      </w:r>
      <w:r>
        <w:rPr>
          <w:rFonts w:ascii="宋体" w:hAnsi="宋体" w:cs="宋体" w:eastAsia="宋体" w:hint="default"/>
        </w:rPr>
        <w:t> </w:t>
      </w:r>
    </w:p>
    <w:p>
      <w:pPr>
        <w:pStyle w:val="BodyText"/>
        <w:spacing w:line="316" w:lineRule="auto" w:before="19"/>
        <w:ind w:right="1129" w:firstLine="360"/>
        <w:jc w:val="left"/>
        <w:rPr>
          <w:rFonts w:ascii="宋体" w:hAnsi="宋体" w:cs="宋体" w:eastAsia="宋体" w:hint="default"/>
        </w:rPr>
      </w:pPr>
      <w:r>
        <w:rPr/>
        <w:t>在公司不能单方面撤回解除劳动关系计划或裁减建议时和确认与涉及支付辞退福利的重组相关的成本费用时两者孰早 </w:t>
      </w:r>
      <w:r>
        <w:rPr>
          <w:spacing w:val="-2"/>
        </w:rPr>
        <w:t>日，确认因解除与职工的劳动关系给予补偿而产生的负债，同时计入当期损益。公司按照辞退计划条款的规定，合理预计并</w:t>
      </w:r>
      <w:r>
        <w:rPr>
          <w:spacing w:val="-65"/>
        </w:rPr>
        <w:t> </w:t>
      </w:r>
      <w:r>
        <w:rPr>
          <w:spacing w:val="-65"/>
        </w:rPr>
      </w:r>
      <w:r>
        <w:rPr>
          <w:spacing w:val="-2"/>
        </w:rPr>
        <w:t>确认辞退福利产生的应付职工薪酬。辞退福利预期在其确认的年度报告期结束后十二个月内完全支付的，适用短期薪酬的相</w:t>
      </w:r>
      <w:r>
        <w:rPr>
          <w:spacing w:val="-64"/>
        </w:rPr>
        <w:t> </w:t>
      </w:r>
      <w:r>
        <w:rPr>
          <w:spacing w:val="-64"/>
        </w:rPr>
      </w:r>
      <w:r>
        <w:rPr/>
        <w:t>关规定；辞退福利预期在年度报告期结束后十二个月内不能完全支付的，适用其他长期职工福利的有关规定。</w:t>
      </w:r>
      <w:r>
        <w:rPr>
          <w:rFonts w:ascii="宋体" w:hAnsi="宋体" w:cs="宋体" w:eastAsia="宋体" w:hint="default"/>
        </w:rPr>
        <w:t> </w:t>
      </w:r>
    </w:p>
    <w:p>
      <w:pPr>
        <w:pStyle w:val="BodyText"/>
        <w:spacing w:line="316" w:lineRule="auto" w:before="19"/>
        <w:ind w:left="513" w:right="1129"/>
        <w:jc w:val="left"/>
      </w:pPr>
      <w:r>
        <w:rPr>
          <w:rFonts w:ascii="宋体" w:hAnsi="宋体" w:cs="宋体" w:eastAsia="宋体" w:hint="default"/>
        </w:rPr>
        <w:t>4</w:t>
      </w:r>
      <w:r>
        <w:rPr/>
        <w:t>、其他长期职工福利的会计处理方法</w:t>
      </w:r>
      <w:r>
        <w:rPr>
          <w:rFonts w:ascii="宋体" w:hAnsi="宋体" w:cs="宋体" w:eastAsia="宋体" w:hint="default"/>
        </w:rPr>
        <w:t> </w:t>
      </w:r>
      <w:r>
        <w:rPr>
          <w:spacing w:val="-2"/>
        </w:rPr>
        <w:t>公司向职工提供的其他长期职工福利，符合设定提存计划条件的，按照设定提存计划进行会计处理；除此之外的其他长</w:t>
      </w:r>
    </w:p>
    <w:p>
      <w:pPr>
        <w:pStyle w:val="BodyText"/>
        <w:spacing w:line="319" w:lineRule="auto" w:before="19"/>
        <w:ind w:right="1129"/>
        <w:jc w:val="left"/>
        <w:rPr>
          <w:rFonts w:ascii="宋体" w:hAnsi="宋体" w:cs="宋体" w:eastAsia="宋体" w:hint="default"/>
        </w:rPr>
      </w:pPr>
      <w:r>
        <w:rPr>
          <w:spacing w:val="-2"/>
        </w:rPr>
        <w:t>期福利，按照设定受益计划进行会计处理，但是重新计量其他长期职工福利净负债或净资产所产生的变动计入当期损益或相</w:t>
      </w:r>
      <w:r>
        <w:rPr>
          <w:spacing w:val="-64"/>
        </w:rPr>
        <w:t> </w:t>
      </w:r>
      <w:r>
        <w:rPr>
          <w:spacing w:val="-64"/>
        </w:rPr>
      </w:r>
      <w:r>
        <w:rPr/>
        <w:t>关资产成本。</w:t>
      </w:r>
      <w:r>
        <w:rPr>
          <w:rFonts w:ascii="宋体" w:hAnsi="宋体" w:cs="宋体" w:eastAsia="宋体" w:hint="default"/>
        </w:rPr>
        <w:t> </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7"/>
        <w:ind w:right="1133"/>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98" w:firstLine="360"/>
        <w:jc w:val="both"/>
      </w:pPr>
      <w:r>
        <w:rPr/>
        <w:t>公司向职工提供的辞退福利，在下列两者孰早日确认辞退福利产生的职工薪酬负债，并计入当期损益：</w:t>
      </w:r>
      <w:r>
        <w:rPr>
          <w:rFonts w:ascii="Times New Roman" w:hAnsi="Times New Roman" w:cs="Times New Roman" w:eastAsia="Times New Roman" w:hint="default"/>
        </w:rPr>
        <w:t>(1)</w:t>
      </w:r>
      <w:r>
        <w:rPr/>
        <w:t>公司不能单 方面撤回因解除劳动关系计划或裁减建议所提供的辞退福利时；</w:t>
      </w:r>
      <w:r>
        <w:rPr>
          <w:rFonts w:ascii="Times New Roman" w:hAnsi="Times New Roman" w:cs="Times New Roman" w:eastAsia="Times New Roman" w:hint="default"/>
        </w:rPr>
        <w:t>(2)</w:t>
      </w:r>
      <w:r>
        <w:rPr/>
        <w:t>公司确认与涉及支付辞退福利的重组相关的成本或费用 时。</w:t>
      </w:r>
    </w:p>
    <w:p>
      <w:pPr>
        <w:pStyle w:val="BodyText"/>
        <w:spacing w:line="319" w:lineRule="auto" w:before="31"/>
        <w:ind w:right="1129" w:firstLine="360"/>
        <w:jc w:val="left"/>
      </w:pPr>
      <w:r>
        <w:rPr/>
        <w:t>在公司不能单方面撤回解除劳动关系计划或裁减建议时和确认与涉及支付辞退福利的重组相关的成本费用时两者孰早 </w:t>
      </w:r>
      <w:r>
        <w:rPr>
          <w:spacing w:val="-2"/>
        </w:rPr>
        <w:t>日，确认因解除与职工的劳动关系给予补偿而产生的负债，同时计入当期损益。公司按照辞退计划条款的规定，合理预计并</w:t>
      </w:r>
      <w:r>
        <w:rPr>
          <w:spacing w:val="-65"/>
        </w:rPr>
        <w:t> </w:t>
      </w:r>
      <w:r>
        <w:rPr>
          <w:spacing w:val="-65"/>
        </w:rPr>
      </w:r>
      <w:r>
        <w:rPr>
          <w:spacing w:val="-2"/>
        </w:rPr>
        <w:t>确认辞退福利产生的应付职工薪酬。辞退福利预期在其确认的年度报告期结束后十二个月内完全支付的，适用短期薪酬的相</w:t>
      </w:r>
      <w:r>
        <w:rPr>
          <w:spacing w:val="-64"/>
        </w:rPr>
        <w:t> </w:t>
      </w:r>
      <w:r>
        <w:rPr>
          <w:spacing w:val="-64"/>
        </w:rPr>
      </w:r>
      <w:r>
        <w:rPr/>
        <w:t>关规定；辞退福利预期在年度报告期结束后十二个月内不能完全支付的，适用其他长期职工福利的有关规定。</w:t>
      </w:r>
    </w:p>
    <w:p>
      <w:pPr>
        <w:spacing w:line="240" w:lineRule="auto" w:before="9"/>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29" w:firstLine="360"/>
        <w:jc w:val="both"/>
      </w:pPr>
      <w:r>
        <w:rPr>
          <w:spacing w:val="-2"/>
        </w:rPr>
        <w:t>公司向职工提供的其他长期职工福利，符合设定提存计划条件的，按照设定提存计划进行会计处理；除此之外的其他长</w:t>
      </w:r>
      <w:r>
        <w:rPr/>
        <w:t> </w:t>
      </w:r>
      <w:r>
        <w:rPr>
          <w:spacing w:val="-2"/>
        </w:rPr>
        <w:t>期福利，按照设定受益计划进行会计处理，但是重新计量其他长期职工福利净负债或净资产所产生的变动计入当期损益或相</w:t>
      </w:r>
      <w:r>
        <w:rPr>
          <w:spacing w:val="-64"/>
        </w:rPr>
        <w:t> </w:t>
      </w:r>
      <w:r>
        <w:rPr>
          <w:spacing w:val="-64"/>
        </w:rPr>
      </w:r>
      <w:r>
        <w:rPr/>
        <w:t>关资产成本。</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23</w:t>
      </w:r>
      <w:r>
        <w:rPr/>
        <w:t>、预计负债</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left="513" w:right="1129"/>
        <w:jc w:val="left"/>
      </w:pPr>
      <w:r>
        <w:rPr>
          <w:rFonts w:ascii="宋体" w:hAnsi="宋体" w:cs="宋体" w:eastAsia="宋体" w:hint="default"/>
        </w:rPr>
        <w:t>1</w:t>
      </w:r>
      <w:r>
        <w:rPr/>
        <w:t>、预计负债的确认标准</w:t>
      </w:r>
      <w:r>
        <w:rPr>
          <w:rFonts w:ascii="宋体" w:hAnsi="宋体" w:cs="宋体" w:eastAsia="宋体" w:hint="default"/>
        </w:rPr>
        <w:t> </w:t>
      </w:r>
      <w:r>
        <w:rPr>
          <w:spacing w:val="-2"/>
        </w:rPr>
        <w:t>当与对外担保、未决诉讼或仲裁、产品质量保证、裁员计划、亏损合同、重组义务、固定资产弃置义务等或有事项相关</w:t>
      </w:r>
    </w:p>
    <w:p>
      <w:pPr>
        <w:pStyle w:val="BodyText"/>
        <w:spacing w:line="316" w:lineRule="auto" w:before="19"/>
        <w:ind w:left="513" w:right="6474" w:hanging="361"/>
        <w:jc w:val="left"/>
        <w:rPr>
          <w:rFonts w:ascii="宋体" w:hAnsi="宋体" w:cs="宋体" w:eastAsia="宋体" w:hint="default"/>
        </w:rPr>
      </w:pPr>
      <w:r>
        <w:rPr/>
        <w:t>的业务同时符合以下条件时，确认为负债：</w:t>
      </w:r>
      <w:r>
        <w:rPr>
          <w:rFonts w:ascii="宋体" w:hAnsi="宋体" w:cs="宋体" w:eastAsia="宋体" w:hint="default"/>
        </w:rPr>
        <w:t> (1)</w:t>
      </w:r>
      <w:r>
        <w:rPr/>
        <w:t>该义务是本公司承担的现时义务。</w:t>
      </w:r>
      <w:r>
        <w:rPr>
          <w:rFonts w:ascii="宋体" w:hAnsi="宋体" w:cs="宋体" w:eastAsia="宋体" w:hint="default"/>
        </w:rPr>
        <w:t> (2)</w:t>
      </w:r>
      <w:r>
        <w:rPr/>
        <w:t>该义务的履行很可能导致经济利益流出企业。</w:t>
      </w:r>
      <w:r>
        <w:rPr>
          <w:rFonts w:ascii="宋体" w:hAnsi="宋体" w:cs="宋体" w:eastAsia="宋体" w:hint="default"/>
        </w:rPr>
        <w:t> (3)</w:t>
      </w:r>
      <w:r>
        <w:rPr/>
        <w:t>该义务的金额能够可靠地计量。</w:t>
      </w:r>
      <w:r>
        <w:rPr>
          <w:rFonts w:ascii="宋体" w:hAnsi="宋体" w:cs="宋体" w:eastAsia="宋体" w:hint="default"/>
        </w:rPr>
        <w:t> 2</w:t>
      </w:r>
      <w:r>
        <w:rPr/>
        <w:t>、预计负债的计量方法</w:t>
      </w:r>
      <w:r>
        <w:rPr>
          <w:rFonts w:ascii="宋体" w:hAnsi="宋体" w:cs="宋体" w:eastAsia="宋体" w:hint="default"/>
        </w:rPr>
        <w:t> </w:t>
      </w:r>
    </w:p>
    <w:p>
      <w:pPr>
        <w:pStyle w:val="BodyText"/>
        <w:spacing w:line="316" w:lineRule="auto" w:before="19"/>
        <w:ind w:right="1129" w:firstLine="360"/>
        <w:jc w:val="left"/>
        <w:rPr>
          <w:rFonts w:ascii="宋体" w:hAnsi="宋体" w:cs="宋体" w:eastAsia="宋体" w:hint="default"/>
        </w:rPr>
      </w:pPr>
      <w:r>
        <w:rPr>
          <w:spacing w:val="-2"/>
        </w:rPr>
        <w:t>预计负债按照履行现时义务所需支出的最佳估计数进行初始计量。所需支出存在一个连续范围，且该范围内各种结果发</w:t>
      </w:r>
      <w:r>
        <w:rPr/>
        <w:t> 生的可能性相同的最佳估计数按该范围的中间值确定；在其他情况下，最佳估计数按如下方法确定：</w:t>
      </w:r>
      <w:r>
        <w:rPr>
          <w:rFonts w:ascii="宋体" w:hAnsi="宋体" w:cs="宋体" w:eastAsia="宋体" w:hint="default"/>
        </w:rPr>
        <w:t> </w:t>
      </w:r>
    </w:p>
    <w:p>
      <w:pPr>
        <w:pStyle w:val="BodyText"/>
        <w:spacing w:line="319" w:lineRule="auto" w:before="19"/>
        <w:ind w:left="513" w:right="1129"/>
        <w:jc w:val="left"/>
      </w:pPr>
      <w:r>
        <w:rPr>
          <w:rFonts w:ascii="宋体" w:hAnsi="宋体" w:cs="宋体" w:eastAsia="宋体" w:hint="default"/>
        </w:rPr>
        <w:t>(1)</w:t>
      </w:r>
      <w:r>
        <w:rPr/>
        <w:t>或有事项涉及单个项目时，最佳估计数按最可能发生金额确定。</w:t>
      </w:r>
      <w:r>
        <w:rPr>
          <w:rFonts w:ascii="宋体" w:hAnsi="宋体" w:cs="宋体" w:eastAsia="宋体" w:hint="default"/>
        </w:rPr>
        <w:t> (2)</w:t>
      </w:r>
      <w:r>
        <w:rPr/>
        <w:t>或有事项涉及多个项目时，最佳估计数按各种可能发生金额及其发生概率计算确定。</w:t>
      </w:r>
      <w:r>
        <w:rPr>
          <w:rFonts w:ascii="宋体" w:hAnsi="宋体" w:cs="宋体" w:eastAsia="宋体" w:hint="default"/>
        </w:rPr>
        <w:t> </w:t>
      </w:r>
      <w:r>
        <w:rPr>
          <w:spacing w:val="-2"/>
        </w:rPr>
        <w:t>公司清偿预计负债所需支出全部或部分预期由第三方或其他方补偿的，则补偿金额在基本确定能收到时，作为资产单独</w:t>
      </w:r>
    </w:p>
    <w:p>
      <w:pPr>
        <w:pStyle w:val="BodyText"/>
        <w:spacing w:line="240" w:lineRule="auto" w:before="17"/>
        <w:ind w:right="1133"/>
        <w:jc w:val="left"/>
        <w:rPr>
          <w:rFonts w:ascii="宋体" w:hAnsi="宋体" w:cs="宋体" w:eastAsia="宋体" w:hint="default"/>
        </w:rPr>
      </w:pPr>
      <w:r>
        <w:rPr/>
        <w:t>确认。确认的补偿金额不超过所确认预计负债的账面价值。</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29" w:firstLine="360"/>
        <w:jc w:val="left"/>
      </w:pPr>
      <w:r>
        <w:rPr>
          <w:spacing w:val="-2"/>
        </w:rPr>
        <w:t>公司资产负债表日对预计负债账面价值进行复核，有确凿证据表明该账面价值不能真实反映当前最佳估计数，按照当前</w:t>
      </w:r>
      <w:r>
        <w:rPr/>
        <w:t> 最佳估计数对该账面价值进行调整。</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24</w:t>
      </w:r>
      <w:r>
        <w:rPr/>
        <w:t>、股份支付</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34" w:firstLine="360"/>
        <w:jc w:val="left"/>
        <w:rPr>
          <w:rFonts w:ascii="宋体" w:hAnsi="宋体" w:cs="宋体" w:eastAsia="宋体" w:hint="default"/>
        </w:rPr>
      </w:pPr>
      <w:r>
        <w:rPr/>
        <w:t>本公司的股份支付是为了获取职工</w:t>
      </w:r>
      <w:r>
        <w:rPr>
          <w:rFonts w:ascii="宋体" w:hAnsi="宋体" w:cs="宋体" w:eastAsia="宋体" w:hint="default"/>
        </w:rPr>
        <w:t>(</w:t>
      </w:r>
      <w:r>
        <w:rPr/>
        <w:t>或其他方</w:t>
      </w:r>
      <w:r>
        <w:rPr>
          <w:rFonts w:ascii="宋体" w:hAnsi="宋体" w:cs="宋体" w:eastAsia="宋体" w:hint="default"/>
        </w:rPr>
        <w:t>)</w:t>
      </w:r>
      <w:r>
        <w:rPr/>
        <w:t>提供服务而授予权益工具或者承担以权益工具为基础确定的负债的交易。 本公司的股份支付分为以权益结算的股份支付和以现金结算的股份支付。</w:t>
      </w:r>
      <w:r>
        <w:rPr>
          <w:rFonts w:ascii="宋体" w:hAnsi="宋体" w:cs="宋体" w:eastAsia="宋体" w:hint="default"/>
        </w:rPr>
        <w:t> </w:t>
      </w:r>
    </w:p>
    <w:p>
      <w:pPr>
        <w:pStyle w:val="BodyText"/>
        <w:spacing w:line="316" w:lineRule="auto" w:before="19"/>
        <w:ind w:left="513" w:right="1129"/>
        <w:jc w:val="left"/>
      </w:pPr>
      <w:r>
        <w:rPr>
          <w:rFonts w:ascii="宋体" w:hAnsi="宋体" w:cs="宋体" w:eastAsia="宋体" w:hint="default"/>
        </w:rPr>
        <w:t>1</w:t>
      </w:r>
      <w:r>
        <w:rPr/>
        <w:t>、以权益结算的股份支付及权益工具</w:t>
      </w:r>
      <w:r>
        <w:rPr>
          <w:rFonts w:ascii="宋体" w:hAnsi="宋体" w:cs="宋体" w:eastAsia="宋体" w:hint="default"/>
        </w:rPr>
        <w:t> </w:t>
      </w:r>
      <w:r>
        <w:rPr>
          <w:spacing w:val="-2"/>
        </w:rPr>
        <w:t>以权益结算的股份支付换取职工提供服务的，以授予职工权益工具的公允价值计量。本公司以限制性股票进行股份支付</w:t>
      </w:r>
    </w:p>
    <w:p>
      <w:pPr>
        <w:pStyle w:val="BodyText"/>
        <w:spacing w:line="319" w:lineRule="auto" w:before="19"/>
        <w:ind w:right="1130"/>
        <w:jc w:val="both"/>
        <w:rPr>
          <w:rFonts w:ascii="宋体" w:hAnsi="宋体" w:cs="宋体" w:eastAsia="宋体" w:hint="default"/>
        </w:rPr>
      </w:pPr>
      <w:r>
        <w:rPr>
          <w:spacing w:val="-2"/>
        </w:rPr>
        <w:t>的，职工出资认购股票，股票在达到解锁条件并解锁前不得上市流通或转让；如果最终股权激励计划规定的解锁条件未能达</w:t>
      </w:r>
      <w:r>
        <w:rPr>
          <w:spacing w:val="-65"/>
        </w:rPr>
        <w:t> </w:t>
      </w:r>
      <w:r>
        <w:rPr>
          <w:spacing w:val="-65"/>
        </w:rPr>
      </w:r>
      <w:r>
        <w:rPr>
          <w:spacing w:val="-2"/>
        </w:rPr>
        <w:t>到，则本公司按照事先约定的价格回购股票。本公司取得职工认购限制性股票支付的款项时，按照取得的认股款确认股本和</w:t>
      </w:r>
      <w:r>
        <w:rPr>
          <w:spacing w:val="-63"/>
        </w:rPr>
        <w:t> </w:t>
      </w:r>
      <w:r>
        <w:rPr>
          <w:spacing w:val="-63"/>
        </w:rPr>
      </w:r>
      <w:r>
        <w:rPr>
          <w:spacing w:val="-2"/>
        </w:rPr>
        <w:t>资本公积</w:t>
      </w:r>
      <w:r>
        <w:rPr>
          <w:rFonts w:ascii="宋体" w:hAnsi="宋体" w:cs="宋体" w:eastAsia="宋体" w:hint="default"/>
          <w:spacing w:val="-2"/>
        </w:rPr>
        <w:t>(</w:t>
      </w:r>
      <w:r>
        <w:rPr>
          <w:spacing w:val="-2"/>
        </w:rPr>
        <w:t>股本溢价</w:t>
      </w:r>
      <w:r>
        <w:rPr>
          <w:rFonts w:ascii="宋体" w:hAnsi="宋体" w:cs="宋体" w:eastAsia="宋体" w:hint="default"/>
          <w:spacing w:val="-2"/>
        </w:rPr>
        <w:t>)</w:t>
      </w:r>
      <w:r>
        <w:rPr>
          <w:spacing w:val="-2"/>
        </w:rPr>
        <w:t>，同时就回购义务全额确认一项负债并确认库存股。在等待期内每个资产负债表日，本公司根据最新取</w:t>
      </w:r>
      <w:r>
        <w:rPr>
          <w:spacing w:val="-63"/>
        </w:rPr>
        <w:t> </w:t>
      </w:r>
      <w:r>
        <w:rPr>
          <w:spacing w:val="-63"/>
        </w:rPr>
      </w:r>
      <w:r>
        <w:rPr>
          <w:spacing w:val="-2"/>
        </w:rPr>
        <w:t>得的后续信息对可行权权益工具数量作出最佳估计，以此为基础，按照授予日的公允价值，将当期取得的服务计入相关成本</w:t>
      </w:r>
      <w:r>
        <w:rPr>
          <w:spacing w:val="-63"/>
        </w:rPr>
        <w:t> </w:t>
      </w:r>
      <w:r>
        <w:rPr>
          <w:spacing w:val="-63"/>
        </w:rPr>
      </w:r>
      <w:r>
        <w:rPr>
          <w:spacing w:val="-2"/>
        </w:rPr>
        <w:t>或费用，相应增加资本公积。在可行权日之后不再对已确认的相关成本或费用和所有者权益总额进行调整。但授予后立即可</w:t>
      </w:r>
      <w:r>
        <w:rPr>
          <w:spacing w:val="-65"/>
        </w:rPr>
        <w:t> </w:t>
      </w:r>
      <w:r>
        <w:rPr>
          <w:spacing w:val="-65"/>
        </w:rPr>
      </w:r>
      <w:r>
        <w:rPr/>
        <w:t>行权的，在授予日按照公允价值计入相关成本或费用，相应增加资本公积。</w:t>
      </w:r>
      <w:r>
        <w:rPr>
          <w:rFonts w:ascii="宋体" w:hAnsi="宋体" w:cs="宋体" w:eastAsia="宋体" w:hint="default"/>
        </w:rPr>
        <w:t> </w:t>
      </w:r>
    </w:p>
    <w:p>
      <w:pPr>
        <w:pStyle w:val="BodyText"/>
        <w:spacing w:line="316" w:lineRule="auto" w:before="17"/>
        <w:ind w:right="1129" w:firstLine="360"/>
        <w:jc w:val="left"/>
        <w:rPr>
          <w:rFonts w:ascii="宋体" w:hAnsi="宋体" w:cs="宋体" w:eastAsia="宋体" w:hint="default"/>
        </w:rPr>
      </w:pPr>
      <w:r>
        <w:rPr>
          <w:spacing w:val="-2"/>
        </w:rPr>
        <w:t>对于最终未能行权的股份支付，不确认成本或费用，除非行权条件是市场条件或非可行权条件，此时无论是否满足市场</w:t>
      </w:r>
      <w:r>
        <w:rPr/>
        <w:t> 条件或非可行权条件，只要满足所有可行权条件中的非市场条件，即视为可行权。</w:t>
      </w:r>
      <w:r>
        <w:rPr>
          <w:rFonts w:ascii="宋体" w:hAnsi="宋体" w:cs="宋体" w:eastAsia="宋体" w:hint="default"/>
        </w:rPr>
        <w:t> </w:t>
      </w:r>
    </w:p>
    <w:p>
      <w:pPr>
        <w:pStyle w:val="BodyText"/>
        <w:spacing w:line="316" w:lineRule="auto" w:before="19"/>
        <w:ind w:right="1129" w:firstLine="360"/>
        <w:jc w:val="left"/>
        <w:rPr>
          <w:rFonts w:ascii="宋体" w:hAnsi="宋体" w:cs="宋体" w:eastAsia="宋体" w:hint="default"/>
        </w:rPr>
      </w:pPr>
      <w:r>
        <w:rPr>
          <w:spacing w:val="-2"/>
        </w:rPr>
        <w:t>如果修改了以权益结算的股份支付的条款，至少按照未修改条款的情况确认取得的服务。此外，任何增加所授予权益工</w:t>
      </w:r>
      <w:r>
        <w:rPr/>
        <w:t> 具公允价值的修改，或在修改日对职工有利的变更，均确认取得服务的增加。</w:t>
      </w:r>
      <w:r>
        <w:rPr>
          <w:rFonts w:ascii="宋体" w:hAnsi="宋体" w:cs="宋体" w:eastAsia="宋体" w:hint="default"/>
        </w:rPr>
        <w:t> </w:t>
      </w:r>
    </w:p>
    <w:p>
      <w:pPr>
        <w:pStyle w:val="BodyText"/>
        <w:spacing w:line="319" w:lineRule="auto" w:before="19"/>
        <w:ind w:right="944" w:firstLine="360"/>
        <w:jc w:val="left"/>
        <w:rPr>
          <w:rFonts w:ascii="宋体" w:hAnsi="宋体" w:cs="宋体" w:eastAsia="宋体" w:hint="default"/>
        </w:rPr>
      </w:pPr>
      <w:r>
        <w:rPr/>
        <w:t>如果取消了以权益结算的股份支付，则于取消日作为加速行权处理，立即确认尚未确认的金额。职工或其他方能够选择 满足非可行权条件但在等待期内未满足的，作为取消以权益结算的股份支付处理。但是，如果授予新的权益工具，并在新权 </w:t>
      </w:r>
      <w:r>
        <w:rPr>
          <w:spacing w:val="-2"/>
        </w:rPr>
        <w:t>益工具授予日认定所授予的新权益工具是用于替代被取消的权益工具的，则以与处理原权益工具条款和条件修改相同的方式，</w:t>
      </w:r>
      <w:r>
        <w:rPr>
          <w:spacing w:val="-61"/>
        </w:rPr>
        <w:t> </w:t>
      </w:r>
      <w:r>
        <w:rPr>
          <w:spacing w:val="-61"/>
        </w:rPr>
      </w:r>
      <w:r>
        <w:rPr/>
        <w:t>对所授予的替代权益工具进行处理。</w:t>
      </w:r>
      <w:r>
        <w:rPr>
          <w:rFonts w:ascii="宋体" w:hAnsi="宋体" w:cs="宋体" w:eastAsia="宋体" w:hint="default"/>
        </w:rPr>
        <w:t> </w:t>
      </w:r>
    </w:p>
    <w:p>
      <w:pPr>
        <w:pStyle w:val="BodyText"/>
        <w:spacing w:line="316" w:lineRule="auto" w:before="17"/>
        <w:ind w:left="513" w:right="1129"/>
        <w:jc w:val="left"/>
      </w:pPr>
      <w:r>
        <w:rPr>
          <w:rFonts w:ascii="宋体" w:hAnsi="宋体" w:cs="宋体" w:eastAsia="宋体" w:hint="default"/>
        </w:rPr>
        <w:t>2</w:t>
      </w:r>
      <w:r>
        <w:rPr/>
        <w:t>、以现金结算的股份支付及权益工具</w:t>
      </w:r>
      <w:r>
        <w:rPr>
          <w:rFonts w:ascii="宋体" w:hAnsi="宋体" w:cs="宋体" w:eastAsia="宋体" w:hint="default"/>
        </w:rPr>
        <w:t> </w:t>
      </w:r>
      <w:r>
        <w:rPr>
          <w:spacing w:val="-2"/>
        </w:rPr>
        <w:t>以现金结算的股份支付，按照本公司承担的以股份或其他权益工具为基础计算确定的负债的公允价值计量。初始按照授</w:t>
      </w:r>
    </w:p>
    <w:p>
      <w:pPr>
        <w:pStyle w:val="BodyText"/>
        <w:spacing w:line="316" w:lineRule="auto" w:before="19"/>
        <w:ind w:right="1128"/>
        <w:jc w:val="both"/>
      </w:pPr>
      <w:r>
        <w:rPr>
          <w:spacing w:val="-2"/>
        </w:rPr>
        <w:t>予日的公允价值计量，并考虑授予权益工具的条款和条件，详见本附注“二十四、股份支付”。授予后立即可行权的，在授</w:t>
      </w:r>
      <w:r>
        <w:rPr>
          <w:spacing w:val="-70"/>
        </w:rPr>
        <w:t> </w:t>
      </w:r>
      <w:r>
        <w:rPr>
          <w:spacing w:val="-70"/>
        </w:rPr>
      </w:r>
      <w:r>
        <w:rPr>
          <w:spacing w:val="-2"/>
        </w:rPr>
        <w:t>予日以承担负债的公允价值计入成本或费用，相应增加负债；完成等待期内的服务或达到规定业绩条件才可行权的，在等待</w:t>
      </w:r>
      <w:r>
        <w:rPr>
          <w:spacing w:val="-63"/>
        </w:rPr>
        <w:t> </w:t>
      </w:r>
      <w:r>
        <w:rPr>
          <w:spacing w:val="-63"/>
        </w:rPr>
      </w:r>
      <w:r>
        <w:rPr>
          <w:spacing w:val="-5"/>
        </w:rPr>
        <w:t>期内以对可行权情况的最佳估计为基础，按照承担负债的公允价值，将当期取得的服务计入相关成本或费用，增加相应负债。</w:t>
      </w:r>
      <w:r>
        <w:rPr>
          <w:spacing w:val="-74"/>
        </w:rPr>
        <w:t> </w:t>
      </w:r>
      <w:r>
        <w:rPr>
          <w:spacing w:val="-74"/>
        </w:rPr>
      </w:r>
      <w:r>
        <w:rPr/>
        <w:t>在相关负债结算前的每个资产负债表日以及结算日，对负债的公允价值重新计量，其变动计入当期损益。</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25</w:t>
      </w:r>
      <w:r>
        <w:rPr/>
        <w:t>、收入</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否</w:t>
      </w:r>
    </w:p>
    <w:p>
      <w:pPr>
        <w:pStyle w:val="BodyText"/>
        <w:spacing w:line="316" w:lineRule="auto" w:before="25"/>
        <w:ind w:left="513" w:right="9134"/>
        <w:jc w:val="left"/>
        <w:rPr>
          <w:rFonts w:ascii="宋体" w:hAnsi="宋体" w:cs="宋体" w:eastAsia="宋体" w:hint="default"/>
        </w:rPr>
      </w:pPr>
      <w:r>
        <w:rPr>
          <w:rFonts w:ascii="宋体" w:hAnsi="宋体" w:cs="宋体" w:eastAsia="宋体" w:hint="default"/>
        </w:rPr>
        <w:t>1</w:t>
      </w:r>
      <w:r>
        <w:rPr/>
        <w:t>、一般原则</w:t>
      </w:r>
      <w:r>
        <w:rPr>
          <w:rFonts w:ascii="宋体" w:hAnsi="宋体" w:cs="宋体" w:eastAsia="宋体" w:hint="default"/>
        </w:rPr>
        <w:t> (1)</w:t>
      </w:r>
      <w:r>
        <w:rPr/>
        <w:t>销售商品</w:t>
      </w:r>
      <w:r>
        <w:rPr>
          <w:rFonts w:ascii="宋体" w:hAnsi="宋体" w:cs="宋体" w:eastAsia="宋体" w:hint="default"/>
        </w:rPr>
        <w:t> </w:t>
      </w:r>
    </w:p>
    <w:p>
      <w:pPr>
        <w:pStyle w:val="BodyText"/>
        <w:spacing w:line="316" w:lineRule="auto" w:before="19"/>
        <w:ind w:right="1034" w:firstLine="360"/>
        <w:jc w:val="left"/>
        <w:rPr>
          <w:rFonts w:ascii="宋体" w:hAnsi="宋体" w:cs="宋体" w:eastAsia="宋体" w:hint="default"/>
        </w:rPr>
      </w:pPr>
      <w:r>
        <w:rPr>
          <w:spacing w:val="-2"/>
        </w:rPr>
        <w:t>销售商品收入在同时满足下列条件时予以确认：</w:t>
      </w:r>
      <w:r>
        <w:rPr>
          <w:rFonts w:ascii="宋体" w:hAnsi="宋体" w:cs="宋体" w:eastAsia="宋体" w:hint="default"/>
          <w:spacing w:val="-2"/>
        </w:rPr>
        <w:t>1)</w:t>
      </w:r>
      <w:r>
        <w:rPr>
          <w:spacing w:val="-2"/>
        </w:rPr>
        <w:t>本公司已将商品所有权上的主要风险和报酬转移给购货方；</w:t>
      </w:r>
      <w:r>
        <w:rPr>
          <w:rFonts w:ascii="宋体" w:hAnsi="宋体" w:cs="宋体" w:eastAsia="宋体" w:hint="default"/>
          <w:spacing w:val="-2"/>
        </w:rPr>
        <w:t>2)</w:t>
      </w:r>
      <w:r>
        <w:rPr>
          <w:spacing w:val="-2"/>
        </w:rPr>
        <w:t>本公司</w:t>
      </w:r>
      <w:r>
        <w:rPr/>
        <w:t> 既没有保留通常与所有权相联系的继续管理权，也没有对已售出的商品实施有效控制；</w:t>
      </w:r>
      <w:r>
        <w:rPr>
          <w:rFonts w:ascii="宋体" w:hAnsi="宋体" w:cs="宋体" w:eastAsia="宋体" w:hint="default"/>
        </w:rPr>
        <w:t>3)</w:t>
      </w:r>
      <w:r>
        <w:rPr/>
        <w:t>收入的金额能够可靠地计量；</w:t>
      </w:r>
      <w:r>
        <w:rPr>
          <w:rFonts w:ascii="宋体" w:hAnsi="宋体" w:cs="宋体" w:eastAsia="宋体" w:hint="default"/>
        </w:rPr>
        <w:t>4)</w:t>
      </w:r>
      <w:r>
        <w:rPr>
          <w:rFonts w:ascii="宋体" w:hAnsi="宋体" w:cs="宋体" w:eastAsia="宋体" w:hint="default"/>
          <w:spacing w:val="1"/>
        </w:rPr>
        <w:t> </w:t>
      </w:r>
      <w:r>
        <w:rPr/>
        <w:t>相关的经济利益很可能流入本公司；</w:t>
      </w:r>
      <w:r>
        <w:rPr>
          <w:rFonts w:ascii="宋体" w:hAnsi="宋体" w:cs="宋体" w:eastAsia="宋体" w:hint="default"/>
        </w:rPr>
        <w:t>5)</w:t>
      </w:r>
      <w:r>
        <w:rPr/>
        <w:t>相关的、已发生或将发生的成本能够可靠地计量。</w:t>
      </w:r>
      <w:r>
        <w:rPr>
          <w:rFonts w:ascii="宋体" w:hAnsi="宋体" w:cs="宋体" w:eastAsia="宋体" w:hint="default"/>
        </w:rPr>
        <w:t> </w:t>
      </w:r>
    </w:p>
    <w:p>
      <w:pPr>
        <w:pStyle w:val="BodyText"/>
        <w:spacing w:line="316" w:lineRule="auto" w:before="19"/>
        <w:ind w:left="513" w:right="1034"/>
        <w:jc w:val="left"/>
      </w:pPr>
      <w:r>
        <w:rPr>
          <w:rFonts w:ascii="宋体" w:hAnsi="宋体" w:cs="宋体" w:eastAsia="宋体" w:hint="default"/>
        </w:rPr>
        <w:t>(2)</w:t>
      </w:r>
      <w:r>
        <w:rPr/>
        <w:t>提供劳务</w:t>
      </w:r>
      <w:r>
        <w:rPr>
          <w:rFonts w:ascii="宋体" w:hAnsi="宋体" w:cs="宋体" w:eastAsia="宋体" w:hint="default"/>
        </w:rPr>
        <w:t> </w:t>
      </w:r>
      <w:r>
        <w:rPr>
          <w:spacing w:val="-4"/>
        </w:rPr>
        <w:t>提供劳务交易的结果在资产负债表日能够可靠估计的，同时满足收入的金额能够可靠地计量、相关经济利益很可能流入、</w:t>
      </w:r>
    </w:p>
    <w:p>
      <w:pPr>
        <w:pStyle w:val="BodyText"/>
        <w:spacing w:line="319" w:lineRule="auto" w:before="19"/>
        <w:ind w:right="1034"/>
        <w:jc w:val="left"/>
      </w:pPr>
      <w:r>
        <w:rPr/>
        <w:t>交易的完工进度能够可靠地确定、交易中已发生和将发生的成本能够可靠地计量，采用完工百分比法确认提供劳务的收入。</w:t>
      </w:r>
      <w:r>
        <w:rPr>
          <w:spacing w:val="-86"/>
        </w:rPr>
        <w:t> </w:t>
      </w:r>
      <w:r>
        <w:rPr>
          <w:spacing w:val="-86"/>
        </w:rPr>
      </w:r>
      <w:r>
        <w:rPr>
          <w:spacing w:val="-2"/>
        </w:rPr>
        <w:t>提供劳务交易的结果在资产负债表日不能够可靠估计的，若已经发生的劳务成本预计能够得到补偿，按已经发生的劳务成本</w:t>
      </w:r>
      <w:r>
        <w:rPr>
          <w:spacing w:val="-64"/>
        </w:rPr>
        <w:t> </w:t>
      </w:r>
      <w:r>
        <w:rPr>
          <w:spacing w:val="-64"/>
        </w:rPr>
      </w:r>
      <w:r>
        <w:rPr>
          <w:spacing w:val="-2"/>
        </w:rPr>
        <w:t>金额确认提供劳务收入，并按相同金额结转劳务成本；若已经发生的劳务成本预计不能够得到补偿，将已经发生的劳务成本</w:t>
      </w:r>
    </w:p>
    <w:p>
      <w:pPr>
        <w:spacing w:after="0" w:line="319"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left="513" w:right="7824" w:hanging="361"/>
        <w:jc w:val="left"/>
        <w:rPr>
          <w:rFonts w:ascii="宋体" w:hAnsi="宋体" w:cs="宋体" w:eastAsia="宋体" w:hint="default"/>
        </w:rPr>
      </w:pPr>
      <w:r>
        <w:rPr/>
        <w:t>计入当期损益，不确认劳务收入。</w:t>
      </w:r>
      <w:r>
        <w:rPr>
          <w:rFonts w:ascii="宋体" w:hAnsi="宋体" w:cs="宋体" w:eastAsia="宋体" w:hint="default"/>
        </w:rPr>
        <w:t> (3)</w:t>
      </w:r>
      <w:r>
        <w:rPr>
          <w:rFonts w:ascii="宋体" w:hAnsi="宋体" w:cs="宋体" w:eastAsia="宋体" w:hint="default"/>
          <w:spacing w:val="-2"/>
        </w:rPr>
        <w:t> </w:t>
      </w:r>
      <w:r>
        <w:rPr/>
        <w:t>建造合同收入</w:t>
      </w:r>
      <w:r>
        <w:rPr>
          <w:rFonts w:ascii="宋体" w:hAnsi="宋体" w:cs="宋体" w:eastAsia="宋体" w:hint="default"/>
        </w:rPr>
        <w:t> </w:t>
      </w:r>
    </w:p>
    <w:p>
      <w:pPr>
        <w:pStyle w:val="BodyText"/>
        <w:spacing w:line="316" w:lineRule="auto" w:before="19"/>
        <w:ind w:right="1129" w:firstLine="360"/>
        <w:jc w:val="left"/>
        <w:rPr>
          <w:rFonts w:ascii="宋体" w:hAnsi="宋体" w:cs="宋体" w:eastAsia="宋体" w:hint="default"/>
        </w:rPr>
      </w:pPr>
      <w:r>
        <w:rPr>
          <w:spacing w:val="-2"/>
        </w:rPr>
        <w:t>在建造合同的结果能够可靠估计的情况下，于资产负债表日按照完工百分比法确认合同收入和合同费用。合同完工进度</w:t>
      </w:r>
      <w:r>
        <w:rPr/>
        <w:t> 按实际测定的完工进度确定。</w:t>
      </w:r>
      <w:r>
        <w:rPr>
          <w:rFonts w:ascii="宋体" w:hAnsi="宋体" w:cs="宋体" w:eastAsia="宋体" w:hint="default"/>
        </w:rPr>
        <w:t> </w:t>
      </w:r>
    </w:p>
    <w:p>
      <w:pPr>
        <w:pStyle w:val="BodyText"/>
        <w:spacing w:line="240" w:lineRule="auto" w:before="19"/>
        <w:ind w:left="513" w:right="944"/>
        <w:jc w:val="left"/>
      </w:pPr>
      <w:r>
        <w:rPr/>
        <w:t>建造合同的结果能够可靠估计是指同时满足</w:t>
      </w:r>
      <w:r>
        <w:rPr>
          <w:spacing w:val="-87"/>
        </w:rPr>
        <w:t>：</w:t>
      </w:r>
      <w:r>
        <w:rPr/>
        <w:t>①合同总收入能够可靠地计量</w:t>
      </w:r>
      <w:r>
        <w:rPr>
          <w:spacing w:val="-87"/>
        </w:rPr>
        <w:t>；</w:t>
      </w:r>
      <w:r>
        <w:rPr/>
        <w:t>②与合同相关的经济利益很可能流入企业；</w:t>
      </w:r>
    </w:p>
    <w:p>
      <w:pPr>
        <w:pStyle w:val="BodyText"/>
        <w:spacing w:line="316" w:lineRule="auto" w:before="76"/>
        <w:ind w:left="513" w:right="1129" w:hanging="361"/>
        <w:jc w:val="left"/>
      </w:pPr>
      <w:r>
        <w:rPr/>
        <w:t>③实际发生的合同成本能够清楚地区分和可靠地计量；④合同完工进度和为完成合同尚需发生的成本能够可靠地确定。</w:t>
      </w:r>
      <w:r>
        <w:rPr>
          <w:rFonts w:ascii="宋体" w:hAnsi="宋体" w:cs="宋体" w:eastAsia="宋体" w:hint="default"/>
        </w:rPr>
        <w:t> </w:t>
      </w:r>
      <w:r>
        <w:rPr>
          <w:spacing w:val="-2"/>
        </w:rPr>
        <w:t>如建造合同的结果不能可靠地估计，但合同成本能够收回的，合同收入根据能够收回的实际合同成本予以确认，合同成</w:t>
      </w:r>
    </w:p>
    <w:p>
      <w:pPr>
        <w:pStyle w:val="BodyText"/>
        <w:spacing w:line="316" w:lineRule="auto" w:before="19"/>
        <w:ind w:right="1131"/>
        <w:jc w:val="both"/>
        <w:rPr>
          <w:rFonts w:ascii="宋体" w:hAnsi="宋体" w:cs="宋体" w:eastAsia="宋体" w:hint="default"/>
        </w:rPr>
      </w:pPr>
      <w:r>
        <w:rPr>
          <w:spacing w:val="-2"/>
        </w:rPr>
        <w:t>本在其发生的当期确认为合同费用；合同成本不可能收回的，在发生时立即确认为合同费用，不确认合同收入。使建造合同</w:t>
      </w:r>
      <w:r>
        <w:rPr>
          <w:spacing w:val="-64"/>
        </w:rPr>
        <w:t> </w:t>
      </w:r>
      <w:r>
        <w:rPr>
          <w:spacing w:val="-64"/>
        </w:rPr>
      </w:r>
      <w:r>
        <w:rPr/>
        <w:t>的结果不能可靠估计的不确定因素不复存在的，按照完工百分比法确定与建造合同有关的收入和费用。</w:t>
      </w:r>
      <w:r>
        <w:rPr>
          <w:rFonts w:ascii="宋体" w:hAnsi="宋体" w:cs="宋体" w:eastAsia="宋体" w:hint="default"/>
        </w:rPr>
        <w:t> </w:t>
      </w:r>
    </w:p>
    <w:p>
      <w:pPr>
        <w:pStyle w:val="BodyText"/>
        <w:spacing w:line="316" w:lineRule="auto" w:before="19"/>
        <w:ind w:left="513" w:right="1129"/>
        <w:jc w:val="left"/>
      </w:pPr>
      <w:r>
        <w:rPr/>
        <w:t>合同预计总成本超过合同总收入的，将预计损失确认为当期费用。</w:t>
      </w:r>
      <w:r>
        <w:rPr>
          <w:rFonts w:ascii="宋体" w:hAnsi="宋体" w:cs="宋体" w:eastAsia="宋体" w:hint="default"/>
        </w:rPr>
        <w:t> </w:t>
      </w:r>
      <w:r>
        <w:rPr>
          <w:spacing w:val="-2"/>
        </w:rPr>
        <w:t>在建合同累计已发生的成本和累计已确认的毛利</w:t>
      </w:r>
      <w:r>
        <w:rPr>
          <w:rFonts w:ascii="宋体" w:hAnsi="宋体" w:cs="宋体" w:eastAsia="宋体" w:hint="default"/>
          <w:spacing w:val="-2"/>
        </w:rPr>
        <w:t>(</w:t>
      </w:r>
      <w:r>
        <w:rPr>
          <w:spacing w:val="-2"/>
        </w:rPr>
        <w:t>亏损</w:t>
      </w:r>
      <w:r>
        <w:rPr>
          <w:rFonts w:ascii="宋体" w:hAnsi="宋体" w:cs="宋体" w:eastAsia="宋体" w:hint="default"/>
          <w:spacing w:val="-2"/>
        </w:rPr>
        <w:t>)</w:t>
      </w:r>
      <w:r>
        <w:rPr>
          <w:spacing w:val="-2"/>
        </w:rPr>
        <w:t>与已结算的价款在资产负债表中以抵销后的净额列示。在建合同</w:t>
      </w:r>
    </w:p>
    <w:p>
      <w:pPr>
        <w:pStyle w:val="BodyText"/>
        <w:spacing w:line="316" w:lineRule="auto" w:before="19"/>
        <w:ind w:right="1132"/>
        <w:jc w:val="both"/>
        <w:rPr>
          <w:rFonts w:ascii="宋体" w:hAnsi="宋体" w:cs="宋体" w:eastAsia="宋体" w:hint="default"/>
        </w:rPr>
      </w:pPr>
      <w:r>
        <w:rPr>
          <w:spacing w:val="-2"/>
        </w:rPr>
        <w:t>累计已发生的成本和累计已确认的毛利</w:t>
      </w:r>
      <w:r>
        <w:rPr>
          <w:rFonts w:ascii="宋体" w:hAnsi="宋体" w:cs="宋体" w:eastAsia="宋体" w:hint="default"/>
          <w:spacing w:val="-2"/>
        </w:rPr>
        <w:t>(</w:t>
      </w:r>
      <w:r>
        <w:rPr>
          <w:spacing w:val="-2"/>
        </w:rPr>
        <w:t>亏损</w:t>
      </w:r>
      <w:r>
        <w:rPr>
          <w:rFonts w:ascii="宋体" w:hAnsi="宋体" w:cs="宋体" w:eastAsia="宋体" w:hint="default"/>
          <w:spacing w:val="-2"/>
        </w:rPr>
        <w:t>)</w:t>
      </w:r>
      <w:r>
        <w:rPr>
          <w:spacing w:val="-2"/>
        </w:rPr>
        <w:t>之和超过已结算价款的部分作为存货列示；在建合同已结算的价款超过累计已</w:t>
      </w:r>
      <w:r>
        <w:rPr>
          <w:spacing w:val="-62"/>
        </w:rPr>
        <w:t> </w:t>
      </w:r>
      <w:r>
        <w:rPr>
          <w:spacing w:val="-62"/>
        </w:rPr>
      </w:r>
      <w:r>
        <w:rPr/>
        <w:t>发生的成本与累计已确认的毛利</w:t>
      </w:r>
      <w:r>
        <w:rPr>
          <w:rFonts w:ascii="宋体" w:hAnsi="宋体" w:cs="宋体" w:eastAsia="宋体" w:hint="default"/>
        </w:rPr>
        <w:t>(</w:t>
      </w:r>
      <w:r>
        <w:rPr/>
        <w:t>亏损</w:t>
      </w:r>
      <w:r>
        <w:rPr>
          <w:rFonts w:ascii="宋体" w:hAnsi="宋体" w:cs="宋体" w:eastAsia="宋体" w:hint="default"/>
        </w:rPr>
        <w:t>)</w:t>
      </w:r>
      <w:r>
        <w:rPr/>
        <w:t>之和的部分作为预收款项列示。</w:t>
      </w:r>
      <w:r>
        <w:rPr>
          <w:rFonts w:ascii="宋体" w:hAnsi="宋体" w:cs="宋体" w:eastAsia="宋体" w:hint="default"/>
        </w:rPr>
        <w:t> </w:t>
      </w:r>
    </w:p>
    <w:p>
      <w:pPr>
        <w:pStyle w:val="BodyText"/>
        <w:spacing w:line="316" w:lineRule="auto" w:before="19"/>
        <w:ind w:left="513" w:right="1129"/>
        <w:jc w:val="left"/>
      </w:pPr>
      <w:r>
        <w:rPr>
          <w:rFonts w:ascii="宋体" w:hAnsi="宋体" w:cs="宋体" w:eastAsia="宋体" w:hint="default"/>
        </w:rPr>
        <w:t>(4)</w:t>
      </w:r>
      <w:r>
        <w:rPr/>
        <w:t>让渡资产使用权</w:t>
      </w:r>
      <w:r>
        <w:rPr>
          <w:rFonts w:ascii="宋体" w:hAnsi="宋体" w:cs="宋体" w:eastAsia="宋体" w:hint="default"/>
        </w:rPr>
        <w:t> </w:t>
      </w:r>
      <w:r>
        <w:rPr>
          <w:spacing w:val="-2"/>
        </w:rPr>
        <w:t>让渡资产使用权在同时满足相关的经济利益很可能流入、收入金额能够可靠计量时，确认让渡资产使用权的收入。利息</w:t>
      </w:r>
    </w:p>
    <w:p>
      <w:pPr>
        <w:pStyle w:val="BodyText"/>
        <w:spacing w:line="316" w:lineRule="auto" w:before="19"/>
        <w:ind w:right="1133"/>
        <w:jc w:val="both"/>
        <w:rPr>
          <w:rFonts w:ascii="宋体" w:hAnsi="宋体" w:cs="宋体" w:eastAsia="宋体" w:hint="default"/>
        </w:rPr>
      </w:pPr>
      <w:r>
        <w:rPr>
          <w:spacing w:val="-2"/>
        </w:rPr>
        <w:t>收入按照他人使用本公司货币资金的时间和实际利率计算确定；使用费收入按有关合同或协议约定的收费时间和方法计算确</w:t>
      </w:r>
      <w:r>
        <w:rPr>
          <w:spacing w:val="-64"/>
        </w:rPr>
        <w:t> </w:t>
      </w:r>
      <w:r>
        <w:rPr>
          <w:spacing w:val="-64"/>
        </w:rPr>
      </w:r>
      <w:r>
        <w:rPr/>
        <w:t>定。</w:t>
      </w:r>
      <w:r>
        <w:rPr>
          <w:rFonts w:ascii="宋体" w:hAnsi="宋体" w:cs="宋体" w:eastAsia="宋体" w:hint="default"/>
        </w:rPr>
        <w:t> </w:t>
      </w:r>
    </w:p>
    <w:p>
      <w:pPr>
        <w:pStyle w:val="BodyText"/>
        <w:spacing w:line="316" w:lineRule="auto" w:before="19"/>
        <w:ind w:left="513" w:right="6794"/>
        <w:jc w:val="left"/>
        <w:rPr>
          <w:rFonts w:ascii="宋体" w:hAnsi="宋体" w:cs="宋体" w:eastAsia="宋体" w:hint="default"/>
        </w:rPr>
      </w:pPr>
      <w:r>
        <w:rPr>
          <w:rFonts w:ascii="宋体" w:hAnsi="宋体" w:cs="宋体" w:eastAsia="宋体" w:hint="default"/>
        </w:rPr>
        <w:t>2</w:t>
      </w:r>
      <w:r>
        <w:rPr/>
        <w:t>、具体原则</w:t>
      </w:r>
      <w:r>
        <w:rPr>
          <w:rFonts w:ascii="宋体" w:hAnsi="宋体" w:cs="宋体" w:eastAsia="宋体" w:hint="default"/>
        </w:rPr>
        <w:t> (1)</w:t>
      </w:r>
      <w:r>
        <w:rPr/>
        <w:t>本公司国内销售收入确认的依据和方法：</w:t>
      </w:r>
      <w:r>
        <w:rPr>
          <w:rFonts w:ascii="宋体" w:hAnsi="宋体" w:cs="宋体" w:eastAsia="宋体" w:hint="default"/>
        </w:rPr>
        <w:t> </w:t>
      </w:r>
    </w:p>
    <w:p>
      <w:pPr>
        <w:pStyle w:val="BodyText"/>
        <w:spacing w:line="319" w:lineRule="auto" w:before="19"/>
        <w:ind w:left="513" w:right="1129"/>
        <w:jc w:val="left"/>
      </w:pPr>
      <w:r>
        <w:rPr/>
        <w:t>金融电子设备和</w:t>
      </w:r>
      <w:r>
        <w:rPr>
          <w:rFonts w:ascii="宋体" w:hAnsi="宋体" w:cs="宋体" w:eastAsia="宋体" w:hint="default"/>
        </w:rPr>
        <w:t>LED</w:t>
      </w:r>
      <w:r>
        <w:rPr/>
        <w:t>照明电子按照合同约定，以产品移交或安装调试验收合格的签收单作为收入确认标准；</w:t>
      </w:r>
      <w:r>
        <w:rPr>
          <w:rFonts w:ascii="宋体" w:hAnsi="宋体" w:cs="宋体" w:eastAsia="宋体" w:hint="default"/>
        </w:rPr>
        <w:t> EMC</w:t>
      </w:r>
      <w:r>
        <w:rPr/>
        <w:t>项目收入按照合同约定的收费方法和时间分期确认为收入；</w:t>
      </w:r>
      <w:r>
        <w:rPr>
          <w:rFonts w:ascii="宋体" w:hAnsi="宋体" w:cs="宋体" w:eastAsia="宋体" w:hint="default"/>
        </w:rPr>
        <w:t> </w:t>
      </w:r>
      <w:r>
        <w:rPr>
          <w:rFonts w:ascii="宋体" w:hAnsi="宋体" w:cs="宋体" w:eastAsia="宋体" w:hint="default"/>
          <w:spacing w:val="-2"/>
        </w:rPr>
        <w:t>BT</w:t>
      </w:r>
      <w:r>
        <w:rPr>
          <w:spacing w:val="-2"/>
        </w:rPr>
        <w:t>业务项目收入采用完工验收确认收入，即：于资产负债表日对当期完工验收的</w:t>
      </w:r>
      <w:r>
        <w:rPr>
          <w:rFonts w:ascii="宋体" w:hAnsi="宋体" w:cs="宋体" w:eastAsia="宋体" w:hint="default"/>
          <w:spacing w:val="-2"/>
        </w:rPr>
        <w:t>BT</w:t>
      </w:r>
      <w:r>
        <w:rPr>
          <w:spacing w:val="-2"/>
        </w:rPr>
        <w:t>业务项目确认收入；对当期未完工验</w:t>
      </w:r>
    </w:p>
    <w:p>
      <w:pPr>
        <w:pStyle w:val="BodyText"/>
        <w:spacing w:line="316" w:lineRule="auto" w:before="17"/>
        <w:ind w:left="513" w:right="1129" w:hanging="361"/>
        <w:jc w:val="left"/>
      </w:pPr>
      <w:r>
        <w:rPr/>
        <w:t>收的</w:t>
      </w:r>
      <w:r>
        <w:rPr>
          <w:rFonts w:ascii="宋体" w:hAnsi="宋体" w:cs="宋体" w:eastAsia="宋体" w:hint="default"/>
        </w:rPr>
        <w:t>BT</w:t>
      </w:r>
      <w:r>
        <w:rPr/>
        <w:t>业务项目不确收入，待项目完工验收后再确认收入；</w:t>
      </w:r>
      <w:r>
        <w:rPr>
          <w:rFonts w:ascii="宋体" w:hAnsi="宋体" w:cs="宋体" w:eastAsia="宋体" w:hint="default"/>
        </w:rPr>
        <w:t> </w:t>
      </w:r>
      <w:r>
        <w:rPr>
          <w:spacing w:val="-2"/>
        </w:rPr>
        <w:t>提供建造服务项目采用完工百分比确认合同收入和成本。完工百分比于资产负债日取得第三方监理确认的工程进度表予</w:t>
      </w:r>
    </w:p>
    <w:p>
      <w:pPr>
        <w:pStyle w:val="BodyText"/>
        <w:spacing w:line="240" w:lineRule="auto" w:before="19"/>
        <w:ind w:right="0"/>
        <w:jc w:val="both"/>
        <w:rPr>
          <w:rFonts w:ascii="宋体" w:hAnsi="宋体" w:cs="宋体" w:eastAsia="宋体" w:hint="default"/>
        </w:rPr>
      </w:pPr>
      <w:r>
        <w:rPr/>
        <w:t>以确认；</w:t>
      </w:r>
      <w:r>
        <w:rPr>
          <w:rFonts w:ascii="宋体" w:hAnsi="宋体" w:cs="宋体" w:eastAsia="宋体" w:hint="default"/>
        </w:rPr>
        <w:t> </w:t>
      </w:r>
    </w:p>
    <w:p>
      <w:pPr>
        <w:pStyle w:val="BodyText"/>
        <w:spacing w:line="316" w:lineRule="auto" w:before="76"/>
        <w:ind w:left="513" w:right="1883"/>
        <w:jc w:val="left"/>
        <w:rPr>
          <w:rFonts w:ascii="宋体" w:hAnsi="宋体" w:cs="宋体" w:eastAsia="宋体" w:hint="default"/>
        </w:rPr>
      </w:pPr>
      <w:r>
        <w:rPr>
          <w:rFonts w:ascii="宋体" w:hAnsi="宋体" w:cs="宋体" w:eastAsia="宋体" w:hint="default"/>
        </w:rPr>
        <w:t>IDC</w:t>
      </w:r>
      <w:r>
        <w:rPr/>
        <w:t>的租金收入按照合同约定每月每台</w:t>
      </w:r>
      <w:r>
        <w:rPr>
          <w:rFonts w:ascii="宋体" w:hAnsi="宋体" w:cs="宋体" w:eastAsia="宋体" w:hint="default"/>
        </w:rPr>
        <w:t>IDC</w:t>
      </w:r>
      <w:r>
        <w:rPr/>
        <w:t>设备的租金乘以出租的台数确认租金收入；</w:t>
      </w:r>
      <w:r>
        <w:rPr>
          <w:rFonts w:ascii="宋体" w:hAnsi="宋体" w:cs="宋体" w:eastAsia="宋体" w:hint="default"/>
        </w:rPr>
        <w:t> IDC</w:t>
      </w:r>
      <w:r>
        <w:rPr/>
        <w:t>的流量分成收入根据合同约定的分成方法，每月按中国电信提供的流量结算清单进行分成并确认收入。</w:t>
      </w:r>
      <w:r>
        <w:rPr>
          <w:rFonts w:ascii="宋体" w:hAnsi="宋体" w:cs="宋体" w:eastAsia="宋体" w:hint="default"/>
        </w:rPr>
        <w:t> (2)</w:t>
      </w:r>
      <w:r>
        <w:rPr/>
        <w:t>公司出口货物收入确认的依据和方法：</w:t>
      </w:r>
      <w:r>
        <w:rPr>
          <w:rFonts w:ascii="宋体" w:hAnsi="宋体" w:cs="宋体" w:eastAsia="宋体" w:hint="default"/>
        </w:rPr>
        <w:t> </w:t>
      </w:r>
      <w:r>
        <w:rPr/>
        <w:t>按照合同约定以货物发出离岸为界，按报关单作为收入确认标准。</w:t>
      </w:r>
      <w:r>
        <w:rPr>
          <w:rFonts w:ascii="宋体" w:hAnsi="宋体" w:cs="宋体" w:eastAsia="宋体" w:hint="default"/>
        </w:rPr>
        <w:t> </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left="513" w:right="1033"/>
        <w:jc w:val="left"/>
      </w:pPr>
      <w:r>
        <w:rPr>
          <w:rFonts w:ascii="宋体" w:hAnsi="宋体" w:cs="宋体" w:eastAsia="宋体" w:hint="default"/>
        </w:rPr>
        <w:t>1</w:t>
      </w:r>
      <w:r>
        <w:rPr/>
        <w:t>、与资产相关的政府补助判断依据及会计处理方法</w:t>
      </w:r>
      <w:r>
        <w:rPr>
          <w:rFonts w:ascii="宋体" w:hAnsi="宋体" w:cs="宋体" w:eastAsia="宋体" w:hint="default"/>
        </w:rPr>
        <w:t> </w:t>
      </w:r>
      <w:r>
        <w:rPr/>
        <w:t>公司取得的、用于购建或以其他方式形成长期资产的政府补助划分为与资产相关的政府补助。与资产相关的政府补助，</w:t>
      </w:r>
    </w:p>
    <w:p>
      <w:pPr>
        <w:pStyle w:val="BodyText"/>
        <w:spacing w:line="316" w:lineRule="auto" w:before="19"/>
        <w:ind w:right="1130"/>
        <w:jc w:val="both"/>
        <w:rPr>
          <w:rFonts w:ascii="宋体" w:hAnsi="宋体" w:cs="宋体" w:eastAsia="宋体" w:hint="default"/>
        </w:rPr>
      </w:pPr>
      <w:r>
        <w:rPr>
          <w:spacing w:val="-2"/>
        </w:rPr>
        <w:t>冲减相关资产的账面价值或确认为递延收益。与资产相关补助确认为递延收益的，在相关资产使用寿命内按照合理、系统的</w:t>
      </w:r>
      <w:r>
        <w:rPr>
          <w:spacing w:val="-63"/>
        </w:rPr>
        <w:t> </w:t>
      </w:r>
      <w:r>
        <w:rPr>
          <w:spacing w:val="-63"/>
        </w:rPr>
      </w:r>
      <w:r>
        <w:rPr>
          <w:spacing w:val="-2"/>
        </w:rPr>
        <w:t>方法分期计入损益。按照名义金额计量的政府补助，直接计入当期损益。相关资产在使用寿命结束前被出售、转让、报废或</w:t>
      </w:r>
      <w:r>
        <w:rPr>
          <w:spacing w:val="-67"/>
        </w:rPr>
        <w:t> </w:t>
      </w:r>
      <w:r>
        <w:rPr>
          <w:spacing w:val="-67"/>
        </w:rPr>
      </w:r>
      <w:r>
        <w:rPr/>
        <w:t>发生毁损的，将尚未分配的相关递延收益余额转入资产处置当期的损益。</w:t>
      </w:r>
      <w:r>
        <w:rPr>
          <w:rFonts w:ascii="宋体" w:hAnsi="宋体" w:cs="宋体" w:eastAsia="宋体" w:hint="default"/>
        </w:rPr>
        <w:t> </w:t>
      </w:r>
    </w:p>
    <w:p>
      <w:pPr>
        <w:pStyle w:val="BodyText"/>
        <w:spacing w:line="316" w:lineRule="auto" w:before="19"/>
        <w:ind w:left="513" w:right="1129"/>
        <w:jc w:val="left"/>
      </w:pPr>
      <w:r>
        <w:rPr>
          <w:rFonts w:ascii="宋体" w:hAnsi="宋体" w:cs="宋体" w:eastAsia="宋体" w:hint="default"/>
        </w:rPr>
        <w:t>2</w:t>
      </w:r>
      <w:r>
        <w:rPr/>
        <w:t>、与收益相关的政府补助判断依据及会计处理方法</w:t>
      </w:r>
      <w:r>
        <w:rPr>
          <w:rFonts w:ascii="宋体" w:hAnsi="宋体" w:cs="宋体" w:eastAsia="宋体" w:hint="default"/>
        </w:rPr>
        <w:t> </w:t>
      </w:r>
      <w:r>
        <w:rPr>
          <w:spacing w:val="-2"/>
        </w:rPr>
        <w:t>除与资产相关的政府补助之外的政府补助划分为与收益相关的政府补助。对于同时包含与资产相关部分和与收益相关部</w:t>
      </w:r>
    </w:p>
    <w:p>
      <w:pPr>
        <w:pStyle w:val="BodyText"/>
        <w:spacing w:line="316" w:lineRule="auto" w:before="19"/>
        <w:ind w:right="1131"/>
        <w:jc w:val="both"/>
        <w:rPr>
          <w:rFonts w:ascii="宋体" w:hAnsi="宋体" w:cs="宋体" w:eastAsia="宋体" w:hint="default"/>
        </w:rPr>
      </w:pPr>
      <w:r>
        <w:rPr>
          <w:spacing w:val="-2"/>
        </w:rPr>
        <w:t>分的政府补助，难以区分与资产相关或与收益相关的，整体归类为与收益相关的政府补助。与收益相关的政府补助，用于补</w:t>
      </w:r>
      <w:r>
        <w:rPr>
          <w:spacing w:val="-64"/>
        </w:rPr>
        <w:t> </w:t>
      </w:r>
      <w:r>
        <w:rPr>
          <w:spacing w:val="-64"/>
        </w:rPr>
      </w:r>
      <w:r>
        <w:rPr>
          <w:spacing w:val="-5"/>
        </w:rPr>
        <w:t>偿以后期间的相关成本费用或损失的，确认为递延收益，在确认相关成本费用或损失的期间，计入当期损益或冲减相关成本；</w:t>
      </w:r>
      <w:r>
        <w:rPr>
          <w:spacing w:val="-79"/>
        </w:rPr>
        <w:t> </w:t>
      </w:r>
      <w:r>
        <w:rPr>
          <w:spacing w:val="-79"/>
        </w:rPr>
      </w:r>
      <w:r>
        <w:rPr/>
        <w:t>用于补偿已发生的相关成本费用或损失的，直接计入当期损益或冲减相关成本。</w:t>
      </w:r>
      <w:r>
        <w:rPr>
          <w:rFonts w:ascii="宋体" w:hAnsi="宋体" w:cs="宋体" w:eastAsia="宋体" w:hint="default"/>
        </w:rPr>
        <w:t> </w:t>
      </w:r>
    </w:p>
    <w:p>
      <w:pPr>
        <w:pStyle w:val="BodyText"/>
        <w:spacing w:line="316" w:lineRule="auto" w:before="19"/>
        <w:ind w:right="1124" w:firstLine="360"/>
        <w:jc w:val="left"/>
        <w:rPr>
          <w:rFonts w:ascii="宋体" w:hAnsi="宋体" w:cs="宋体" w:eastAsia="宋体" w:hint="default"/>
        </w:rPr>
      </w:pPr>
      <w:r>
        <w:rPr>
          <w:rFonts w:ascii="宋体" w:hAnsi="宋体" w:cs="宋体" w:eastAsia="宋体" w:hint="default"/>
        </w:rPr>
        <w:t>3</w:t>
      </w:r>
      <w:r>
        <w:rPr/>
        <w:t>、与公司日常经营活动相关的政府补助，按照经济业务实质，计入其他收益或冲减相关成本费用。与公司日常活动无 关的政府补助，计入营业外收支。</w:t>
      </w:r>
      <w:r>
        <w:rPr>
          <w:rFonts w:ascii="宋体" w:hAnsi="宋体" w:cs="宋体" w:eastAsia="宋体" w:hint="default"/>
        </w:rPr>
        <w:t> </w:t>
      </w:r>
    </w:p>
    <w:p>
      <w:pPr>
        <w:spacing w:after="0" w:line="316" w:lineRule="auto"/>
        <w:jc w:val="left"/>
        <w:rPr>
          <w:rFonts w:ascii="宋体" w:hAnsi="宋体" w:cs="宋体" w:eastAsia="宋体" w:hint="default"/>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left="513" w:right="1123"/>
        <w:jc w:val="left"/>
      </w:pPr>
      <w:r>
        <w:rPr>
          <w:rFonts w:ascii="宋体" w:hAnsi="宋体" w:cs="宋体" w:eastAsia="宋体" w:hint="default"/>
        </w:rPr>
        <w:t>4</w:t>
      </w:r>
      <w:r>
        <w:rPr/>
        <w:t>、政策性优惠贷款贴息的会计处理方法</w:t>
      </w:r>
      <w:r>
        <w:rPr>
          <w:rFonts w:ascii="宋体" w:hAnsi="宋体" w:cs="宋体" w:eastAsia="宋体" w:hint="default"/>
        </w:rPr>
        <w:t> (1)</w:t>
      </w:r>
      <w:r>
        <w:rPr/>
        <w:t>财政将贴息资金拨付给贷款银行，由贷款银行以政策性优惠利率向公司提供贷款的，以实际收到的借款金额作为借</w:t>
      </w:r>
    </w:p>
    <w:p>
      <w:pPr>
        <w:pStyle w:val="BodyText"/>
        <w:spacing w:line="316" w:lineRule="auto" w:before="19"/>
        <w:ind w:left="513" w:right="4543" w:hanging="361"/>
        <w:jc w:val="left"/>
      </w:pPr>
      <w:r>
        <w:rPr/>
        <w:t>款的入账价值，按照借款本金和该政策性优惠利率计算相关借款费用。</w:t>
      </w:r>
      <w:r>
        <w:rPr>
          <w:rFonts w:ascii="宋体" w:hAnsi="宋体" w:cs="宋体" w:eastAsia="宋体" w:hint="default"/>
        </w:rPr>
        <w:t> (2)</w:t>
      </w:r>
      <w:r>
        <w:rPr/>
        <w:t>财政将贴息资金直接拨付给公司的，将对应的贴息冲减相关借款费用。</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1129"/>
        <w:jc w:val="left"/>
      </w:pPr>
      <w:r>
        <w:rPr>
          <w:rFonts w:ascii="宋体" w:hAnsi="宋体" w:cs="宋体" w:eastAsia="宋体" w:hint="default"/>
        </w:rPr>
        <w:t>1</w:t>
      </w:r>
      <w:r>
        <w:rPr/>
        <w:t>、暂时性差异</w:t>
      </w:r>
      <w:r>
        <w:rPr>
          <w:rFonts w:ascii="宋体" w:hAnsi="宋体" w:cs="宋体" w:eastAsia="宋体" w:hint="default"/>
        </w:rPr>
        <w:t> </w:t>
      </w:r>
      <w:r>
        <w:rPr>
          <w:spacing w:val="-2"/>
        </w:rPr>
        <w:t>暂时性差异包括资产与负债的账面价值与计税基础之间的差额，以及未作为资产和负债确认，但按照税法规定可以确定</w:t>
      </w:r>
    </w:p>
    <w:p>
      <w:pPr>
        <w:pStyle w:val="BodyText"/>
        <w:spacing w:line="319" w:lineRule="auto" w:before="19"/>
        <w:ind w:left="513" w:right="1034" w:hanging="361"/>
        <w:jc w:val="left"/>
      </w:pPr>
      <w:r>
        <w:rPr/>
        <w:t>其计税基础的项目的账面价值与计税基础之间的差额。暂时性差异分为应纳税暂时性差异和可抵扣暂时性差异。</w:t>
      </w:r>
      <w:r>
        <w:rPr>
          <w:rFonts w:ascii="宋体" w:hAnsi="宋体" w:cs="宋体" w:eastAsia="宋体" w:hint="default"/>
        </w:rPr>
        <w:t> 2</w:t>
      </w:r>
      <w:r>
        <w:rPr/>
        <w:t>、递延所得税资产的确认依据</w:t>
      </w:r>
      <w:r>
        <w:rPr>
          <w:rFonts w:ascii="宋体" w:hAnsi="宋体" w:cs="宋体" w:eastAsia="宋体" w:hint="default"/>
        </w:rPr>
        <w:t> </w:t>
      </w:r>
      <w:r>
        <w:rPr>
          <w:spacing w:val="-4"/>
        </w:rPr>
        <w:t>对于可抵扣暂时性差异、能够结转以后年度的可抵扣亏损和税款抵减，本公司以很可能取得用来抵扣可抵扣暂时性差异、</w:t>
      </w:r>
    </w:p>
    <w:p>
      <w:pPr>
        <w:pStyle w:val="BodyText"/>
        <w:spacing w:line="316" w:lineRule="auto" w:before="17"/>
        <w:ind w:left="513" w:right="1129" w:hanging="361"/>
        <w:jc w:val="left"/>
        <w:rPr>
          <w:rFonts w:ascii="宋体" w:hAnsi="宋体" w:cs="宋体" w:eastAsia="宋体" w:hint="default"/>
        </w:rPr>
      </w:pPr>
      <w:r>
        <w:rPr/>
        <w:t>可抵扣亏损和税款抵减的未来应纳税所得额为限，确认由此产生的递延所得税资产。</w:t>
      </w:r>
      <w:r>
        <w:rPr>
          <w:rFonts w:ascii="宋体" w:hAnsi="宋体" w:cs="宋体" w:eastAsia="宋体" w:hint="default"/>
        </w:rPr>
        <w:t> </w:t>
      </w:r>
      <w:r>
        <w:rPr>
          <w:spacing w:val="-2"/>
        </w:rPr>
        <w:t>同时具有下列特征的交易中因资产或负债的初始确认所产生的递延所得税资产不予确认：</w:t>
      </w:r>
      <w:r>
        <w:rPr>
          <w:rFonts w:ascii="宋体" w:hAnsi="宋体" w:cs="宋体" w:eastAsia="宋体" w:hint="default"/>
          <w:spacing w:val="-2"/>
        </w:rPr>
        <w:t>(1)</w:t>
      </w:r>
      <w:r>
        <w:rPr>
          <w:spacing w:val="-2"/>
        </w:rPr>
        <w:t>该交易不是企业合并；</w:t>
      </w:r>
      <w:r>
        <w:rPr>
          <w:rFonts w:ascii="宋体" w:hAnsi="宋体" w:cs="宋体" w:eastAsia="宋体" w:hint="default"/>
          <w:spacing w:val="-2"/>
        </w:rPr>
        <w:t>(2)</w:t>
      </w:r>
    </w:p>
    <w:p>
      <w:pPr>
        <w:pStyle w:val="BodyText"/>
        <w:spacing w:line="316" w:lineRule="auto" w:before="19"/>
        <w:ind w:left="513" w:right="1129" w:hanging="361"/>
        <w:jc w:val="left"/>
      </w:pPr>
      <w:r>
        <w:rPr/>
        <w:t>交易发生时既不影响会计利润也不影响应纳税所得额</w:t>
      </w:r>
      <w:r>
        <w:rPr>
          <w:rFonts w:ascii="宋体" w:hAnsi="宋体" w:cs="宋体" w:eastAsia="宋体" w:hint="default"/>
        </w:rPr>
        <w:t>(</w:t>
      </w:r>
      <w:r>
        <w:rPr/>
        <w:t>或可抵扣亏损</w:t>
      </w:r>
      <w:r>
        <w:rPr>
          <w:rFonts w:ascii="宋体" w:hAnsi="宋体" w:cs="宋体" w:eastAsia="宋体" w:hint="default"/>
        </w:rPr>
        <w:t>)</w:t>
      </w:r>
      <w:r>
        <w:rPr/>
        <w:t>。</w:t>
      </w:r>
      <w:r>
        <w:rPr>
          <w:spacing w:val="-87"/>
        </w:rPr>
        <w:t> </w:t>
      </w:r>
      <w:r>
        <w:rPr>
          <w:rFonts w:ascii="宋体" w:hAnsi="宋体" w:cs="宋体" w:eastAsia="宋体" w:hint="default"/>
          <w:spacing w:val="-87"/>
        </w:rPr>
      </w:r>
      <w:r>
        <w:rPr>
          <w:spacing w:val="-2"/>
        </w:rPr>
        <w:t>公司对于与子公司、联营企业及合营企业投资相关的可抵扣暂时性差异，同时满足下列条件的，确认相应的递延所得税</w:t>
      </w:r>
    </w:p>
    <w:p>
      <w:pPr>
        <w:pStyle w:val="BodyText"/>
        <w:spacing w:line="316" w:lineRule="auto" w:before="19"/>
        <w:ind w:left="513" w:right="1133" w:hanging="361"/>
        <w:jc w:val="left"/>
        <w:rPr>
          <w:rFonts w:ascii="宋体" w:hAnsi="宋体" w:cs="宋体" w:eastAsia="宋体" w:hint="default"/>
        </w:rPr>
      </w:pPr>
      <w:r>
        <w:rPr/>
        <w:t>资产：</w:t>
      </w:r>
      <w:r>
        <w:rPr>
          <w:rFonts w:ascii="宋体" w:hAnsi="宋体" w:cs="宋体" w:eastAsia="宋体" w:hint="default"/>
        </w:rPr>
        <w:t>(1)</w:t>
      </w:r>
      <w:r>
        <w:rPr/>
        <w:t>暂时性差异在可预见的未来很可能转回；</w:t>
      </w:r>
      <w:r>
        <w:rPr>
          <w:rFonts w:ascii="宋体" w:hAnsi="宋体" w:cs="宋体" w:eastAsia="宋体" w:hint="default"/>
        </w:rPr>
        <w:t>(2)</w:t>
      </w:r>
      <w:r>
        <w:rPr/>
        <w:t>未来很可能获得用来抵扣可抵扣暂时性差异的应纳税所得额。</w:t>
      </w:r>
      <w:r>
        <w:rPr>
          <w:rFonts w:ascii="宋体" w:hAnsi="宋体" w:cs="宋体" w:eastAsia="宋体" w:hint="default"/>
        </w:rPr>
        <w:t> 3</w:t>
      </w:r>
      <w:r>
        <w:rPr/>
        <w:t>、递延所得税负债的确认依据</w:t>
      </w:r>
      <w:r>
        <w:rPr>
          <w:rFonts w:ascii="宋体" w:hAnsi="宋体" w:cs="宋体" w:eastAsia="宋体" w:hint="default"/>
        </w:rPr>
        <w:t> </w:t>
      </w:r>
    </w:p>
    <w:p>
      <w:pPr>
        <w:pStyle w:val="BodyText"/>
        <w:spacing w:line="316" w:lineRule="auto" w:before="19"/>
        <w:ind w:left="513" w:right="1129"/>
        <w:jc w:val="left"/>
      </w:pPr>
      <w:r>
        <w:rPr/>
        <w:t>对于各种应纳税暂时性差异均据以确认递延所得税负债。</w:t>
      </w:r>
      <w:r>
        <w:rPr>
          <w:rFonts w:ascii="宋体" w:hAnsi="宋体" w:cs="宋体" w:eastAsia="宋体" w:hint="default"/>
        </w:rPr>
        <w:t> </w:t>
      </w:r>
      <w:r>
        <w:rPr>
          <w:spacing w:val="-2"/>
        </w:rPr>
        <w:t>但公司对在以下交易中产生的应纳税暂时性差异不确认递延所得税负债：</w:t>
      </w:r>
      <w:r>
        <w:rPr>
          <w:rFonts w:ascii="宋体" w:hAnsi="宋体" w:cs="宋体" w:eastAsia="宋体" w:hint="default"/>
          <w:spacing w:val="-2"/>
        </w:rPr>
        <w:t>(1)</w:t>
      </w:r>
      <w:r>
        <w:rPr>
          <w:spacing w:val="-2"/>
        </w:rPr>
        <w:t>商誉的初始确认；</w:t>
      </w:r>
      <w:r>
        <w:rPr>
          <w:rFonts w:ascii="宋体" w:hAnsi="宋体" w:cs="宋体" w:eastAsia="宋体" w:hint="default"/>
          <w:spacing w:val="-2"/>
        </w:rPr>
        <w:t>(2)</w:t>
      </w:r>
      <w:r>
        <w:rPr>
          <w:spacing w:val="-2"/>
        </w:rPr>
        <w:t>同时具有以下特征的</w:t>
      </w:r>
    </w:p>
    <w:p>
      <w:pPr>
        <w:pStyle w:val="BodyText"/>
        <w:spacing w:line="319" w:lineRule="auto" w:before="19"/>
        <w:ind w:right="1138"/>
        <w:jc w:val="both"/>
        <w:rPr>
          <w:rFonts w:ascii="宋体" w:hAnsi="宋体" w:cs="宋体" w:eastAsia="宋体" w:hint="default"/>
        </w:rPr>
      </w:pPr>
      <w:r>
        <w:rPr/>
        <w:t>交易中产生的资产或负债的初始确认：该交易不是企业合并；并且交易发生时既不影响会计利润也不影响应纳税所得额</w:t>
      </w:r>
      <w:r>
        <w:rPr>
          <w:rFonts w:ascii="宋体" w:hAnsi="宋体" w:cs="宋体" w:eastAsia="宋体" w:hint="default"/>
        </w:rPr>
        <w:t>(</w:t>
      </w:r>
      <w:r>
        <w:rPr/>
        <w:t>或 可抵扣亏损</w:t>
      </w:r>
      <w:r>
        <w:rPr>
          <w:rFonts w:ascii="宋体" w:hAnsi="宋体" w:cs="宋体" w:eastAsia="宋体" w:hint="default"/>
        </w:rPr>
        <w:t>)</w:t>
      </w:r>
      <w:r>
        <w:rPr/>
        <w:t>。</w:t>
      </w:r>
      <w:r>
        <w:rPr>
          <w:rFonts w:ascii="宋体" w:hAnsi="宋体" w:cs="宋体" w:eastAsia="宋体" w:hint="default"/>
        </w:rPr>
        <w:t> </w:t>
      </w:r>
    </w:p>
    <w:p>
      <w:pPr>
        <w:pStyle w:val="BodyText"/>
        <w:spacing w:line="316" w:lineRule="auto" w:before="17"/>
        <w:ind w:right="1129" w:firstLine="360"/>
        <w:jc w:val="left"/>
        <w:rPr>
          <w:rFonts w:ascii="宋体" w:hAnsi="宋体" w:cs="宋体" w:eastAsia="宋体" w:hint="default"/>
        </w:rPr>
      </w:pPr>
      <w:r>
        <w:rPr>
          <w:spacing w:val="-2"/>
        </w:rPr>
        <w:t>对于与子公司、联营企业及合营企业投资相关的应纳税暂时性差异，应当确认相应的递延所得税负债。但同时满足下列</w:t>
      </w:r>
      <w:r>
        <w:rPr/>
        <w:t> 条件的除外：</w:t>
      </w:r>
      <w:r>
        <w:rPr>
          <w:rFonts w:ascii="宋体" w:hAnsi="宋体" w:cs="宋体" w:eastAsia="宋体" w:hint="default"/>
        </w:rPr>
        <w:t>(1)</w:t>
      </w:r>
      <w:r>
        <w:rPr/>
        <w:t>投资企业能够控制暂时性差异转回的时间；</w:t>
      </w:r>
      <w:r>
        <w:rPr>
          <w:rFonts w:ascii="宋体" w:hAnsi="宋体" w:cs="宋体" w:eastAsia="宋体" w:hint="default"/>
        </w:rPr>
        <w:t>(2)</w:t>
      </w:r>
      <w:r>
        <w:rPr/>
        <w:t>该暂时性差异在可预见的未来很可能不会转回。</w:t>
      </w:r>
      <w:r>
        <w:rPr>
          <w:rFonts w:ascii="宋体" w:hAnsi="宋体" w:cs="宋体" w:eastAsia="宋体" w:hint="default"/>
        </w:rPr>
        <w:t> </w:t>
      </w:r>
    </w:p>
    <w:p>
      <w:pPr>
        <w:pStyle w:val="BodyText"/>
        <w:spacing w:line="316" w:lineRule="auto" w:before="19"/>
        <w:ind w:left="513" w:right="1129"/>
        <w:jc w:val="left"/>
      </w:pPr>
      <w:r>
        <w:rPr>
          <w:rFonts w:ascii="宋体" w:hAnsi="宋体" w:cs="宋体" w:eastAsia="宋体" w:hint="default"/>
        </w:rPr>
        <w:t>4</w:t>
      </w:r>
      <w:r>
        <w:rPr/>
        <w:t>、递延所得税资产的减值</w:t>
      </w:r>
      <w:r>
        <w:rPr>
          <w:rFonts w:ascii="宋体" w:hAnsi="宋体" w:cs="宋体" w:eastAsia="宋体" w:hint="default"/>
        </w:rPr>
        <w:t> </w:t>
      </w:r>
      <w:r>
        <w:rPr>
          <w:spacing w:val="-2"/>
        </w:rPr>
        <w:t>在资产负债表日应当对递延所得税资产的账面价值进行复核。如果未来期间很可能无法取得足够的应纳税所得额用以抵</w:t>
      </w:r>
    </w:p>
    <w:p>
      <w:pPr>
        <w:pStyle w:val="BodyText"/>
        <w:spacing w:line="316" w:lineRule="auto" w:before="19"/>
        <w:ind w:right="1130"/>
        <w:jc w:val="both"/>
        <w:rPr>
          <w:rFonts w:ascii="宋体" w:hAnsi="宋体" w:cs="宋体" w:eastAsia="宋体" w:hint="default"/>
        </w:rPr>
      </w:pPr>
      <w:r>
        <w:rPr>
          <w:spacing w:val="-2"/>
        </w:rPr>
        <w:t>扣递延所得税资产的利益，则减记递延所得税资产的账面价值。除原确认时计入所有者权益的递延所得税资产部分，其减记</w:t>
      </w:r>
      <w:r>
        <w:rPr>
          <w:spacing w:val="-63"/>
        </w:rPr>
        <w:t> </w:t>
      </w:r>
      <w:r>
        <w:rPr>
          <w:spacing w:val="-63"/>
        </w:rPr>
      </w:r>
      <w:r>
        <w:rPr>
          <w:spacing w:val="-2"/>
        </w:rPr>
        <w:t>金额也应计入所有者权益外，其他的情况应计入当期的所得税费用。在很可能取得足够的应纳税所得额时，减记的递延所得</w:t>
      </w:r>
      <w:r>
        <w:rPr>
          <w:spacing w:val="-63"/>
        </w:rPr>
        <w:t> </w:t>
      </w:r>
      <w:r>
        <w:rPr>
          <w:spacing w:val="-63"/>
        </w:rPr>
      </w:r>
      <w:r>
        <w:rPr/>
        <w:t>税资产账面价值可以恢复。</w:t>
      </w:r>
      <w:r>
        <w:rPr>
          <w:rFonts w:ascii="宋体" w:hAnsi="宋体" w:cs="宋体" w:eastAsia="宋体" w:hint="default"/>
        </w:rPr>
        <w:t> </w:t>
      </w:r>
    </w:p>
    <w:p>
      <w:pPr>
        <w:pStyle w:val="BodyText"/>
        <w:spacing w:line="316" w:lineRule="auto" w:before="19"/>
        <w:ind w:left="513" w:right="6794"/>
        <w:jc w:val="left"/>
        <w:rPr>
          <w:rFonts w:ascii="宋体" w:hAnsi="宋体" w:cs="宋体" w:eastAsia="宋体" w:hint="default"/>
        </w:rPr>
      </w:pPr>
      <w:r>
        <w:rPr>
          <w:rFonts w:ascii="宋体" w:hAnsi="宋体" w:cs="宋体" w:eastAsia="宋体" w:hint="default"/>
        </w:rPr>
        <w:t>5</w:t>
      </w:r>
      <w:r>
        <w:rPr/>
        <w:t>、所得税费用</w:t>
      </w:r>
      <w:r>
        <w:rPr>
          <w:rFonts w:ascii="宋体" w:hAnsi="宋体" w:cs="宋体" w:eastAsia="宋体" w:hint="default"/>
        </w:rPr>
        <w:t> </w:t>
      </w:r>
      <w:r>
        <w:rPr/>
        <w:t>所得税费用包括当期所得税和递延所得税。</w:t>
      </w:r>
      <w:r>
        <w:rPr>
          <w:rFonts w:ascii="宋体" w:hAnsi="宋体" w:cs="宋体" w:eastAsia="宋体" w:hint="default"/>
        </w:rPr>
        <w:t> </w:t>
      </w:r>
    </w:p>
    <w:p>
      <w:pPr>
        <w:pStyle w:val="BodyText"/>
        <w:spacing w:line="319" w:lineRule="auto" w:before="19"/>
        <w:ind w:right="1214" w:firstLine="360"/>
        <w:jc w:val="left"/>
      </w:pPr>
      <w:r>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spacing w:line="240" w:lineRule="auto" w:before="9"/>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28</w:t>
      </w:r>
      <w:r>
        <w:rPr/>
        <w:t>、租赁</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13" w:right="1033"/>
        <w:jc w:val="left"/>
      </w:pPr>
      <w:r>
        <w:rPr/>
        <w:t>（</w:t>
      </w:r>
      <w:r>
        <w:rPr>
          <w:rFonts w:ascii="宋体" w:hAnsi="宋体" w:cs="宋体" w:eastAsia="宋体" w:hint="default"/>
        </w:rPr>
        <w:t>1</w:t>
      </w:r>
      <w:r>
        <w:rPr/>
        <w:t>）经营租赁的会计处理方法</w:t>
      </w:r>
      <w:r>
        <w:rPr>
          <w:rFonts w:ascii="宋体" w:hAnsi="宋体" w:cs="宋体" w:eastAsia="宋体" w:hint="default"/>
        </w:rPr>
        <w:t> </w:t>
      </w:r>
      <w:r>
        <w:rPr/>
        <w:t>公司为承租人时，在租赁期内各个期间按照直线法将租金计入相关资产成本或确认为当期损益，发生的初始直接费用，</w:t>
      </w:r>
    </w:p>
    <w:p>
      <w:pPr>
        <w:pStyle w:val="BodyText"/>
        <w:spacing w:line="316" w:lineRule="auto" w:before="19"/>
        <w:ind w:left="513" w:right="1129" w:hanging="361"/>
        <w:jc w:val="left"/>
      </w:pPr>
      <w:r>
        <w:rPr/>
        <w:t>直接计入当期损益。或有租金在实际发生时计入当期损益。</w:t>
      </w:r>
      <w:r>
        <w:rPr>
          <w:rFonts w:ascii="宋体" w:hAnsi="宋体" w:cs="宋体" w:eastAsia="宋体" w:hint="default"/>
        </w:rPr>
        <w:t> </w:t>
      </w:r>
      <w:r>
        <w:rPr>
          <w:spacing w:val="-2"/>
        </w:rPr>
        <w:t>公司为出租人时，在租赁期内各个期间按照直线法将租金确认为当期损益，发生的初始直接费用，除金额较大的予以资</w:t>
      </w:r>
    </w:p>
    <w:p>
      <w:pPr>
        <w:pStyle w:val="BodyText"/>
        <w:spacing w:line="240" w:lineRule="auto" w:before="19"/>
        <w:ind w:right="1133"/>
        <w:jc w:val="left"/>
        <w:rPr>
          <w:rFonts w:ascii="宋体" w:hAnsi="宋体" w:cs="宋体" w:eastAsia="宋体" w:hint="default"/>
        </w:rPr>
      </w:pPr>
      <w:r>
        <w:rPr/>
        <w:t>本化并分期计入损益外，均直接计入当期损益。或有租金在实际发生时计入当期损益。</w:t>
      </w:r>
      <w:r>
        <w:rPr>
          <w:rFonts w:ascii="宋体" w:hAnsi="宋体" w:cs="宋体" w:eastAsia="宋体" w:hint="default"/>
        </w:rPr>
        <w:t> </w:t>
      </w:r>
    </w:p>
    <w:p>
      <w:pPr>
        <w:pStyle w:val="BodyText"/>
        <w:spacing w:line="319" w:lineRule="auto" w:before="76"/>
        <w:ind w:left="513" w:right="1129"/>
        <w:jc w:val="left"/>
      </w:pPr>
      <w:r>
        <w:rPr/>
        <w:t>（</w:t>
      </w:r>
      <w:r>
        <w:rPr>
          <w:rFonts w:ascii="宋体" w:hAnsi="宋体" w:cs="宋体" w:eastAsia="宋体" w:hint="default"/>
        </w:rPr>
        <w:t>2</w:t>
      </w:r>
      <w:r>
        <w:rPr/>
        <w:t>）融资租赁的会计处理方法</w:t>
      </w:r>
      <w:r>
        <w:rPr>
          <w:rFonts w:ascii="宋体" w:hAnsi="宋体" w:cs="宋体" w:eastAsia="宋体" w:hint="default"/>
        </w:rPr>
        <w:t> </w:t>
      </w:r>
      <w:r>
        <w:rPr>
          <w:spacing w:val="-2"/>
        </w:rPr>
        <w:t>公司为承租人时，在租赁期开始日，公司以租赁开始日租赁资产公允价值与最低租赁付款额现值中两者较低者作为租入</w:t>
      </w:r>
    </w:p>
    <w:p>
      <w:pPr>
        <w:pStyle w:val="BodyText"/>
        <w:spacing w:line="316" w:lineRule="auto" w:before="17"/>
        <w:ind w:right="1131"/>
        <w:jc w:val="both"/>
        <w:rPr>
          <w:rFonts w:ascii="宋体" w:hAnsi="宋体" w:cs="宋体" w:eastAsia="宋体" w:hint="default"/>
        </w:rPr>
      </w:pPr>
      <w:r>
        <w:rPr>
          <w:spacing w:val="-2"/>
        </w:rPr>
        <w:t>资产的入账价值，将最低租赁付款额作为长期应付款的入账价值，其差额为未确认融资费用，发生的初始直接费用，计入租</w:t>
      </w:r>
      <w:r>
        <w:rPr>
          <w:spacing w:val="-64"/>
        </w:rPr>
        <w:t> </w:t>
      </w:r>
      <w:r>
        <w:rPr>
          <w:spacing w:val="-64"/>
        </w:rPr>
      </w:r>
      <w:r>
        <w:rPr/>
        <w:t>赁资产价值。在租赁期各个期间，采用实际利率法计算确认当期的融资费用。</w:t>
      </w:r>
      <w:r>
        <w:rPr>
          <w:rFonts w:ascii="宋体" w:hAnsi="宋体" w:cs="宋体" w:eastAsia="宋体" w:hint="default"/>
        </w:rPr>
        <w:t> </w:t>
      </w:r>
    </w:p>
    <w:p>
      <w:pPr>
        <w:spacing w:after="0" w:line="316" w:lineRule="auto"/>
        <w:jc w:val="both"/>
        <w:rPr>
          <w:rFonts w:ascii="宋体" w:hAnsi="宋体" w:cs="宋体" w:eastAsia="宋体" w:hint="default"/>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32" w:firstLine="360"/>
        <w:jc w:val="both"/>
      </w:pPr>
      <w:r>
        <w:rPr>
          <w:spacing w:val="-2"/>
        </w:rPr>
        <w:t>公司为出租人时，在租赁期开始日，公司以租赁开始日最低租赁收款额与初始直接费用之和作为应收融资租赁款的入账</w:t>
      </w:r>
      <w:r>
        <w:rPr/>
        <w:t> </w:t>
      </w:r>
      <w:r>
        <w:rPr>
          <w:spacing w:val="-2"/>
        </w:rPr>
        <w:t>价值，同时记录未担保余值；将最低租赁收款额、初始直接费用及未担保余值之和与其现值之和的差额确认为未实现融资收</w:t>
      </w:r>
      <w:r>
        <w:rPr>
          <w:spacing w:val="-65"/>
        </w:rPr>
        <w:t> </w:t>
      </w:r>
      <w:r>
        <w:rPr>
          <w:spacing w:val="-65"/>
        </w:rPr>
      </w:r>
      <w:r>
        <w:rPr/>
        <w:t>益。在租赁期各个期间，采用实际利率法计算确认当期的融资收入。</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29</w:t>
      </w:r>
      <w:r>
        <w:rPr/>
        <w:t>、 分部报告</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firstLine="360"/>
        <w:jc w:val="both"/>
        <w:rPr>
          <w:rFonts w:ascii="宋体" w:hAnsi="宋体" w:cs="宋体" w:eastAsia="宋体" w:hint="default"/>
        </w:rPr>
      </w:pPr>
      <w:r>
        <w:rPr>
          <w:spacing w:val="-2"/>
        </w:rPr>
        <w:t>公司以内部组织结构、管理要求、内部报告制度等为依据确定经营分部。公司的经营分部是指同时满足下列条件的组成</w:t>
      </w:r>
      <w:r>
        <w:rPr/>
        <w:t> 部分：</w:t>
      </w:r>
      <w:r>
        <w:rPr>
          <w:rFonts w:ascii="宋体" w:hAnsi="宋体" w:cs="宋体" w:eastAsia="宋体" w:hint="default"/>
        </w:rPr>
        <w:t> </w:t>
      </w:r>
    </w:p>
    <w:p>
      <w:pPr>
        <w:pStyle w:val="BodyText"/>
        <w:spacing w:line="240" w:lineRule="auto" w:before="19"/>
        <w:ind w:left="513" w:right="1133"/>
        <w:jc w:val="left"/>
        <w:rPr>
          <w:rFonts w:ascii="宋体" w:hAnsi="宋体" w:cs="宋体" w:eastAsia="宋体" w:hint="default"/>
        </w:rPr>
      </w:pPr>
      <w:r>
        <w:rPr>
          <w:rFonts w:ascii="宋体" w:hAnsi="宋体" w:cs="宋体" w:eastAsia="宋体" w:hint="default"/>
        </w:rPr>
        <w:t>1</w:t>
      </w:r>
      <w:r>
        <w:rPr/>
        <w:t>、该组成部分能够在日常活动中产生收入、发生费用；</w:t>
      </w:r>
      <w:r>
        <w:rPr>
          <w:rFonts w:ascii="宋体" w:hAnsi="宋体" w:cs="宋体" w:eastAsia="宋体" w:hint="default"/>
        </w:rPr>
        <w:t> </w:t>
      </w:r>
    </w:p>
    <w:p>
      <w:pPr>
        <w:pStyle w:val="BodyText"/>
        <w:spacing w:line="240" w:lineRule="auto" w:before="76"/>
        <w:ind w:left="513" w:right="1133"/>
        <w:jc w:val="left"/>
        <w:rPr>
          <w:rFonts w:ascii="宋体" w:hAnsi="宋体" w:cs="宋体" w:eastAsia="宋体" w:hint="default"/>
        </w:rPr>
      </w:pPr>
      <w:r>
        <w:rPr>
          <w:rFonts w:ascii="宋体" w:hAnsi="宋体" w:cs="宋体" w:eastAsia="宋体" w:hint="default"/>
        </w:rPr>
        <w:t>2</w:t>
      </w:r>
      <w:r>
        <w:rPr/>
        <w:t>、管理层能够定期评价该组成部分的经营成果，以决定向其配置资源、评价其业绩；</w:t>
      </w:r>
      <w:r>
        <w:rPr>
          <w:rFonts w:ascii="宋体" w:hAnsi="宋体" w:cs="宋体" w:eastAsia="宋体" w:hint="default"/>
        </w:rPr>
        <w:t> </w:t>
      </w:r>
    </w:p>
    <w:p>
      <w:pPr>
        <w:pStyle w:val="BodyText"/>
        <w:spacing w:line="240" w:lineRule="auto" w:before="76"/>
        <w:ind w:left="513" w:right="1133"/>
        <w:jc w:val="left"/>
      </w:pPr>
      <w:r>
        <w:rPr>
          <w:rFonts w:ascii="宋体" w:hAnsi="宋体" w:cs="宋体" w:eastAsia="宋体" w:hint="default"/>
        </w:rPr>
        <w:t>3</w:t>
      </w:r>
      <w:r>
        <w:rPr/>
        <w:t>、能够通过分析取得该组成部分的财务状况、经营成果和现金流量等有关会计信息。</w:t>
      </w:r>
    </w:p>
    <w:p>
      <w:pPr>
        <w:spacing w:line="240" w:lineRule="auto" w:before="0"/>
        <w:rPr>
          <w:rFonts w:ascii="宋体" w:hAnsi="宋体" w:cs="宋体" w:eastAsia="宋体" w:hint="default"/>
          <w:sz w:val="18"/>
          <w:szCs w:val="18"/>
        </w:rPr>
      </w:pPr>
    </w:p>
    <w:p>
      <w:pPr>
        <w:pStyle w:val="Heading3"/>
        <w:spacing w:line="240" w:lineRule="auto" w:before="121"/>
        <w:ind w:right="1133"/>
        <w:jc w:val="left"/>
        <w:rPr>
          <w:b w:val="0"/>
          <w:bCs w:val="0"/>
        </w:rPr>
      </w:pPr>
      <w:r>
        <w:rPr>
          <w:rFonts w:ascii="Times New Roman" w:hAnsi="Times New Roman" w:cs="Times New Roman" w:eastAsia="Times New Roman" w:hint="default"/>
        </w:rPr>
        <w:t>30</w:t>
      </w:r>
      <w:r>
        <w:rPr/>
        <w:t>、其他重要的会计政策和会计估计</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13" w:right="1129"/>
        <w:jc w:val="left"/>
      </w:pPr>
      <w:r>
        <w:rPr/>
        <w:t>终止经营</w:t>
      </w:r>
      <w:r>
        <w:rPr>
          <w:rFonts w:ascii="宋体" w:hAnsi="宋体" w:cs="宋体" w:eastAsia="宋体" w:hint="default"/>
        </w:rPr>
        <w:t> </w:t>
      </w:r>
      <w:r>
        <w:rPr>
          <w:spacing w:val="-2"/>
        </w:rPr>
        <w:t>终止经营是满足下列条件之一的已被本公司处置或被本公司划归为持有待售的、在经营和编制财务报表时能够单独区分</w:t>
      </w:r>
    </w:p>
    <w:p>
      <w:pPr>
        <w:pStyle w:val="BodyText"/>
        <w:spacing w:line="240" w:lineRule="auto" w:before="19"/>
        <w:ind w:right="1133"/>
        <w:jc w:val="left"/>
        <w:rPr>
          <w:rFonts w:ascii="宋体" w:hAnsi="宋体" w:cs="宋体" w:eastAsia="宋体" w:hint="default"/>
        </w:rPr>
      </w:pPr>
      <w:r>
        <w:rPr/>
        <w:t>的组成部分：</w:t>
      </w:r>
      <w:r>
        <w:rPr>
          <w:rFonts w:ascii="宋体" w:hAnsi="宋体" w:cs="宋体" w:eastAsia="宋体" w:hint="default"/>
        </w:rPr>
        <w:t> </w:t>
      </w:r>
    </w:p>
    <w:p>
      <w:pPr>
        <w:pStyle w:val="BodyText"/>
        <w:spacing w:line="316" w:lineRule="auto" w:before="76"/>
        <w:ind w:left="513" w:right="1133"/>
        <w:jc w:val="left"/>
      </w:pPr>
      <w:r>
        <w:rPr>
          <w:rFonts w:ascii="宋体" w:hAnsi="宋体" w:cs="宋体" w:eastAsia="宋体" w:hint="default"/>
        </w:rPr>
        <w:t>(1)</w:t>
      </w:r>
      <w:r>
        <w:rPr/>
        <w:t>该组成部分代表一项独立的主要业务或一个主要经营地区；</w:t>
      </w:r>
      <w:r>
        <w:rPr>
          <w:rFonts w:ascii="宋体" w:hAnsi="宋体" w:cs="宋体" w:eastAsia="宋体" w:hint="default"/>
        </w:rPr>
        <w:t> (2)</w:t>
      </w:r>
      <w:r>
        <w:rPr/>
        <w:t>该组成部分是拟对一项独立的主要业务或一个主要经营地区进行处置计划的一部分；</w:t>
      </w:r>
      <w:r>
        <w:rPr>
          <w:rFonts w:ascii="宋体" w:hAnsi="宋体" w:cs="宋体" w:eastAsia="宋体" w:hint="default"/>
        </w:rPr>
        <w:t> (3)</w:t>
      </w:r>
      <w:r>
        <w:rPr/>
        <w:t>该组成部分是仅仅为了再出售而取得的子公司。</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31</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）重要会计政策变更</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BodyText"/>
        <w:spacing w:line="240" w:lineRule="auto"/>
        <w:ind w:left="0" w:right="1138"/>
        <w:jc w:val="right"/>
      </w:pPr>
      <w:r>
        <w:rPr/>
        <w:pict>
          <v:shape style="position:absolute;margin-left:56.400002pt;margin-top:-163.39827pt;width:479.3pt;height:290.350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3"/>
                    <w:gridCol w:w="3188"/>
                    <w:gridCol w:w="3190"/>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5396"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300" w:lineRule="auto"/>
                          <w:ind w:left="24" w:right="20"/>
                          <w:jc w:val="both"/>
                          <w:rPr>
                            <w:rFonts w:ascii="宋体" w:hAnsi="宋体" w:cs="宋体" w:eastAsia="宋体" w:hint="default"/>
                            <w:sz w:val="18"/>
                            <w:szCs w:val="18"/>
                          </w:rPr>
                        </w:pPr>
                        <w:r>
                          <w:rPr>
                            <w:rFonts w:ascii="宋体" w:hAnsi="宋体" w:cs="宋体" w:eastAsia="宋体" w:hint="default"/>
                            <w:sz w:val="18"/>
                            <w:szCs w:val="18"/>
                          </w:rPr>
                          <w:t>本公司根据《财政部关于修订印发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年度一般企业财务报表格式的通知》</w:t>
                        </w:r>
                        <w:r>
                          <w:rPr>
                            <w:rFonts w:ascii="Times New Roman" w:hAnsi="Times New Roman" w:cs="Times New Roman" w:eastAsia="Times New Roman" w:hint="default"/>
                            <w:sz w:val="18"/>
                            <w:szCs w:val="18"/>
                          </w:rPr>
                          <w:t>(</w:t>
                        </w:r>
                        <w:r>
                          <w:rPr>
                            <w:rFonts w:ascii="宋体" w:hAnsi="宋体" w:cs="宋体" w:eastAsia="宋体" w:hint="default"/>
                            <w:sz w:val="18"/>
                            <w:szCs w:val="18"/>
                          </w:rPr>
                          <w:t>财 会〔</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15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和企业会计准则的要 求编制</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1-12</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月财务报表，此项会</w:t>
                        </w:r>
                        <w:r>
                          <w:rPr>
                            <w:rFonts w:ascii="宋体" w:hAnsi="宋体" w:cs="宋体" w:eastAsia="宋体" w:hint="default"/>
                            <w:sz w:val="18"/>
                            <w:szCs w:val="18"/>
                          </w:rPr>
                          <w:t> 计政策变更采用追溯调整法。</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4" w:lineRule="auto"/>
                          <w:ind w:left="23" w:right="19"/>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日召开第四届董 事会第三十次会议、第四届监事会第二 十五次会议，审议通过了《关于公司会 </w:t>
                        </w:r>
                        <w:r>
                          <w:rPr>
                            <w:rFonts w:ascii="宋体" w:hAnsi="宋体" w:cs="宋体" w:eastAsia="宋体" w:hint="default"/>
                            <w:spacing w:val="-7"/>
                            <w:sz w:val="18"/>
                            <w:szCs w:val="18"/>
                          </w:rPr>
                          <w:t>计政策变更的议案》，本次会计政策变更</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无需提交股东大会审议，公司独立董事 发表了独立意见。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本次调整受影响的报表项目：</w:t>
                        </w:r>
                        <w:r>
                          <w:rPr>
                            <w:rFonts w:ascii="Times New Roman" w:hAnsi="Times New Roman" w:cs="Times New Roman" w:eastAsia="Times New Roman" w:hint="default"/>
                            <w:sz w:val="18"/>
                            <w:szCs w:val="18"/>
                          </w:rPr>
                          <w:t>1</w:t>
                        </w:r>
                        <w:r>
                          <w:rPr>
                            <w:rFonts w:ascii="宋体" w:hAnsi="宋体" w:cs="宋体" w:eastAsia="宋体" w:hint="default"/>
                            <w:sz w:val="18"/>
                            <w:szCs w:val="18"/>
                          </w:rPr>
                          <w:t>、原</w:t>
                        </w:r>
                        <w:r>
                          <w:rPr>
                            <w:rFonts w:ascii="Times New Roman" w:hAnsi="Times New Roman" w:cs="Times New Roman" w:eastAsia="Times New Roman" w:hint="default"/>
                            <w:sz w:val="18"/>
                            <w:szCs w:val="18"/>
                          </w:rPr>
                          <w:t>“</w:t>
                        </w:r>
                        <w:r>
                          <w:rPr>
                            <w:rFonts w:ascii="宋体" w:hAnsi="宋体" w:cs="宋体" w:eastAsia="宋体" w:hint="default"/>
                            <w:sz w:val="18"/>
                            <w:szCs w:val="18"/>
                          </w:rPr>
                          <w:t>应 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项目合并计入新增 </w:t>
                        </w:r>
                        <w:r>
                          <w:rPr>
                            <w:rFonts w:ascii="宋体" w:hAnsi="宋体" w:cs="宋体" w:eastAsia="宋体" w:hint="default"/>
                            <w:spacing w:val="-4"/>
                            <w:sz w:val="18"/>
                            <w:szCs w:val="18"/>
                          </w:rPr>
                          <w:t>的</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应收票据及应收账款</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项目；</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、原</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w:t>
                        </w:r>
                        <w:r>
                          <w:rPr>
                            <w:rFonts w:ascii="宋体" w:hAnsi="宋体" w:cs="宋体" w:eastAsia="宋体" w:hint="default"/>
                            <w:spacing w:val="-88"/>
                            <w:sz w:val="18"/>
                            <w:szCs w:val="18"/>
                          </w:rPr>
                          <w:t> </w:t>
                        </w:r>
                        <w:r>
                          <w:rPr>
                            <w:rFonts w:ascii="宋体" w:hAnsi="宋体" w:cs="宋体" w:eastAsia="宋体" w:hint="default"/>
                            <w:sz w:val="18"/>
                            <w:szCs w:val="18"/>
                          </w:rPr>
                          <w:t>收利息</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应收股利</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项 </w:t>
                        </w:r>
                        <w:r>
                          <w:rPr>
                            <w:rFonts w:ascii="宋体" w:hAnsi="宋体" w:cs="宋体" w:eastAsia="宋体" w:hint="default"/>
                            <w:spacing w:val="-4"/>
                            <w:sz w:val="18"/>
                            <w:szCs w:val="18"/>
                          </w:rPr>
                          <w:t>目合并计入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其他应收款</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项目；</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、原</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固</w:t>
                        </w:r>
                        <w:r>
                          <w:rPr>
                            <w:rFonts w:ascii="宋体" w:hAnsi="宋体" w:cs="宋体" w:eastAsia="宋体" w:hint="default"/>
                            <w:spacing w:val="-88"/>
                            <w:sz w:val="18"/>
                            <w:szCs w:val="18"/>
                          </w:rPr>
                          <w:t> </w:t>
                        </w:r>
                        <w:r>
                          <w:rPr>
                            <w:rFonts w:ascii="宋体" w:hAnsi="宋体" w:cs="宋体" w:eastAsia="宋体" w:hint="default"/>
                            <w:sz w:val="18"/>
                            <w:szCs w:val="18"/>
                          </w:rPr>
                          <w:t>定资产清理</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项目合并计入 </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工程物资</w:t>
                        </w:r>
                        <w:r>
                          <w:rPr>
                            <w:rFonts w:ascii="Times New Roman" w:hAnsi="Times New Roman" w:cs="Times New Roman" w:eastAsia="Times New Roman" w:hint="default"/>
                            <w:sz w:val="18"/>
                            <w:szCs w:val="18"/>
                          </w:rPr>
                          <w:t>”</w:t>
                        </w:r>
                        <w:r>
                          <w:rPr>
                            <w:rFonts w:ascii="宋体" w:hAnsi="宋体" w:cs="宋体" w:eastAsia="宋体" w:hint="default"/>
                            <w:sz w:val="18"/>
                            <w:szCs w:val="18"/>
                          </w:rPr>
                          <w:t>项目归 并至</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r>
                          <w:rPr>
                            <w:rFonts w:ascii="Times New Roman" w:hAnsi="Times New Roman" w:cs="Times New Roman" w:eastAsia="Times New Roman" w:hint="default"/>
                            <w:sz w:val="18"/>
                            <w:szCs w:val="18"/>
                          </w:rPr>
                          <w:t>5</w:t>
                        </w:r>
                        <w:r>
                          <w:rPr>
                            <w:rFonts w:ascii="宋体" w:hAnsi="宋体" w:cs="宋体" w:eastAsia="宋体" w:hint="default"/>
                            <w:sz w:val="18"/>
                            <w:szCs w:val="18"/>
                          </w:rPr>
                          <w:t>、原</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项目合并计入新增的</w:t>
                        </w:r>
                        <w:r>
                          <w:rPr>
                            <w:rFonts w:ascii="Times New Roman" w:hAnsi="Times New Roman" w:cs="Times New Roman" w:eastAsia="Times New Roman" w:hint="default"/>
                            <w:sz w:val="18"/>
                            <w:szCs w:val="18"/>
                          </w:rPr>
                          <w:t>“</w:t>
                        </w:r>
                        <w:r>
                          <w:rPr>
                            <w:rFonts w:ascii="宋体" w:hAnsi="宋体" w:cs="宋体" w:eastAsia="宋体" w:hint="default"/>
                            <w:sz w:val="18"/>
                            <w:szCs w:val="18"/>
                          </w:rPr>
                          <w:t>应付 </w:t>
                        </w:r>
                        <w:r>
                          <w:rPr>
                            <w:rFonts w:ascii="宋体" w:hAnsi="宋体" w:cs="宋体" w:eastAsia="宋体" w:hint="default"/>
                            <w:spacing w:val="-9"/>
                            <w:w w:val="100"/>
                            <w:sz w:val="18"/>
                            <w:szCs w:val="18"/>
                          </w:rPr>
                          <w:t>票据及应付账款</w:t>
                        </w:r>
                        <w:r>
                          <w:rPr>
                            <w:rFonts w:ascii="Times New Roman" w:hAnsi="Times New Roman" w:cs="Times New Roman" w:eastAsia="Times New Roman" w:hint="default"/>
                            <w:spacing w:val="-9"/>
                            <w:w w:val="100"/>
                            <w:sz w:val="18"/>
                            <w:szCs w:val="18"/>
                          </w:rPr>
                          <w:t>”</w:t>
                        </w:r>
                        <w:r>
                          <w:rPr>
                            <w:rFonts w:ascii="宋体" w:hAnsi="宋体" w:cs="宋体" w:eastAsia="宋体" w:hint="default"/>
                            <w:spacing w:val="-9"/>
                            <w:w w:val="100"/>
                            <w:sz w:val="18"/>
                            <w:szCs w:val="18"/>
                          </w:rPr>
                          <w:t>项目；</w:t>
                        </w:r>
                        <w:r>
                          <w:rPr>
                            <w:rFonts w:ascii="Times New Roman" w:hAnsi="Times New Roman" w:cs="Times New Roman" w:eastAsia="Times New Roman" w:hint="default"/>
                            <w:spacing w:val="-9"/>
                            <w:w w:val="100"/>
                            <w:sz w:val="18"/>
                            <w:szCs w:val="18"/>
                          </w:rPr>
                          <w:t>6</w:t>
                        </w:r>
                        <w:r>
                          <w:rPr>
                            <w:rFonts w:ascii="宋体" w:hAnsi="宋体" w:cs="宋体" w:eastAsia="宋体" w:hint="default"/>
                            <w:spacing w:val="-9"/>
                            <w:w w:val="100"/>
                            <w:sz w:val="18"/>
                            <w:szCs w:val="18"/>
                          </w:rPr>
                          <w:t>、原</w:t>
                        </w:r>
                        <w:r>
                          <w:rPr>
                            <w:rFonts w:ascii="Times New Roman" w:hAnsi="Times New Roman" w:cs="Times New Roman" w:eastAsia="Times New Roman" w:hint="default"/>
                            <w:spacing w:val="-9"/>
                            <w:w w:val="100"/>
                            <w:sz w:val="18"/>
                            <w:szCs w:val="18"/>
                          </w:rPr>
                          <w:t>“</w:t>
                        </w:r>
                        <w:r>
                          <w:rPr>
                            <w:rFonts w:ascii="宋体" w:hAnsi="宋体" w:cs="宋体" w:eastAsia="宋体" w:hint="default"/>
                            <w:spacing w:val="-9"/>
                            <w:w w:val="100"/>
                            <w:sz w:val="18"/>
                            <w:szCs w:val="18"/>
                          </w:rPr>
                          <w:t>应付利息</w:t>
                        </w:r>
                        <w:r>
                          <w:rPr>
                            <w:rFonts w:ascii="Times New Roman" w:hAnsi="Times New Roman" w:cs="Times New Roman" w:eastAsia="Times New Roman" w:hint="default"/>
                            <w:spacing w:val="-9"/>
                            <w:w w:val="100"/>
                            <w:sz w:val="18"/>
                            <w:szCs w:val="18"/>
                          </w:rPr>
                          <w:t>”</w:t>
                        </w:r>
                        <w:r>
                          <w:rPr>
                            <w:rFonts w:ascii="Times New Roman" w:hAnsi="Times New Roman" w:cs="Times New Roman" w:eastAsia="Times New Roman" w:hint="default"/>
                            <w:spacing w:val="-33"/>
                            <w:w w:val="100"/>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应付股利</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项目合并计 入</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专项应付款</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项目归并至</w:t>
                        </w:r>
                        <w:r>
                          <w:rPr>
                            <w:rFonts w:ascii="Times New Roman" w:hAnsi="Times New Roman" w:cs="Times New Roman" w:eastAsia="Times New Roman" w:hint="default"/>
                            <w:sz w:val="18"/>
                            <w:szCs w:val="18"/>
                          </w:rPr>
                          <w:t>“</w:t>
                        </w:r>
                        <w:r>
                          <w:rPr>
                            <w:rFonts w:ascii="宋体" w:hAnsi="宋体" w:cs="宋体" w:eastAsia="宋体" w:hint="default"/>
                            <w:sz w:val="18"/>
                            <w:szCs w:val="18"/>
                          </w:rPr>
                          <w:t>长期应付款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r>
                          <w:rPr>
                            <w:rFonts w:ascii="Times New Roman" w:hAnsi="Times New Roman" w:cs="Times New Roman" w:eastAsia="Times New Roman" w:hint="default"/>
                            <w:sz w:val="18"/>
                            <w:szCs w:val="18"/>
                          </w:rPr>
                          <w:t>8</w:t>
                        </w:r>
                        <w:r>
                          <w:rPr>
                            <w:rFonts w:ascii="宋体" w:hAnsi="宋体" w:cs="宋体" w:eastAsia="宋体" w:hint="default"/>
                            <w:sz w:val="18"/>
                            <w:szCs w:val="18"/>
                          </w:rPr>
                          <w:t>、新增 </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研发费用</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项目，原计入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管理费用</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项目</w:t>
                        </w:r>
                        <w:r>
                          <w:rPr>
                            <w:rFonts w:ascii="宋体" w:hAnsi="宋体" w:cs="宋体" w:eastAsia="宋体" w:hint="default"/>
                            <w:spacing w:val="-80"/>
                            <w:sz w:val="18"/>
                            <w:szCs w:val="18"/>
                          </w:rPr>
                          <w:t> </w:t>
                        </w:r>
                        <w:r>
                          <w:rPr>
                            <w:rFonts w:ascii="宋体" w:hAnsi="宋体" w:cs="宋体" w:eastAsia="宋体" w:hint="default"/>
                            <w:sz w:val="18"/>
                            <w:szCs w:val="18"/>
                          </w:rPr>
                          <w:t>的研发费用单独列示为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项目 </w:t>
                        </w:r>
                        <w:r>
                          <w:rPr>
                            <w:rFonts w:ascii="Times New Roman" w:hAnsi="Times New Roman" w:cs="Times New Roman" w:eastAsia="Times New Roman" w:hint="default"/>
                            <w:sz w:val="18"/>
                            <w:szCs w:val="18"/>
                          </w:rPr>
                          <w:t>9</w:t>
                        </w:r>
                        <w:r>
                          <w:rPr>
                            <w:rFonts w:ascii="宋体" w:hAnsi="宋体" w:cs="宋体" w:eastAsia="宋体" w:hint="default"/>
                            <w:sz w:val="18"/>
                            <w:szCs w:val="18"/>
                          </w:rPr>
                          <w:t>、在</w:t>
                        </w:r>
                        <w:r>
                          <w:rPr>
                            <w:rFonts w:ascii="Times New Roman" w:hAnsi="Times New Roman" w:cs="Times New Roman" w:eastAsia="Times New Roman" w:hint="default"/>
                            <w:sz w:val="18"/>
                            <w:szCs w:val="18"/>
                          </w:rPr>
                          <w:t>“</w:t>
                        </w:r>
                        <w:r>
                          <w:rPr>
                            <w:rFonts w:ascii="宋体" w:hAnsi="宋体" w:cs="宋体" w:eastAsia="宋体" w:hint="default"/>
                            <w:sz w:val="18"/>
                            <w:szCs w:val="18"/>
                          </w:rPr>
                          <w:t>财务费用</w:t>
                        </w:r>
                        <w:r>
                          <w:rPr>
                            <w:rFonts w:ascii="Times New Roman" w:hAnsi="Times New Roman" w:cs="Times New Roman" w:eastAsia="Times New Roman" w:hint="default"/>
                            <w:sz w:val="18"/>
                            <w:szCs w:val="18"/>
                          </w:rPr>
                          <w:t>”</w:t>
                        </w:r>
                        <w:r>
                          <w:rPr>
                            <w:rFonts w:ascii="宋体" w:hAnsi="宋体" w:cs="宋体" w:eastAsia="宋体" w:hint="default"/>
                            <w:sz w:val="18"/>
                            <w:szCs w:val="18"/>
                          </w:rPr>
                          <w:t>项目下列示</w:t>
                        </w:r>
                        <w:r>
                          <w:rPr>
                            <w:rFonts w:ascii="Times New Roman" w:hAnsi="Times New Roman" w:cs="Times New Roman" w:eastAsia="Times New Roman" w:hint="default"/>
                            <w:sz w:val="18"/>
                            <w:szCs w:val="18"/>
                          </w:rPr>
                          <w:t>“</w:t>
                        </w:r>
                        <w:r>
                          <w:rPr>
                            <w:rFonts w:ascii="宋体" w:hAnsi="宋体" w:cs="宋体" w:eastAsia="宋体" w:hint="default"/>
                            <w:sz w:val="18"/>
                            <w:szCs w:val="18"/>
                          </w:rPr>
                          <w:t>利息费用</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明细项目。</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240" w:lineRule="auto" w:before="44"/>
        <w:ind w:left="0" w:right="1143"/>
        <w:jc w:val="right"/>
      </w:pPr>
      <w:r>
        <w:rPr/>
        <w:t>；</w:t>
      </w:r>
    </w:p>
    <w:p>
      <w:pPr>
        <w:spacing w:after="0" w:line="240" w:lineRule="auto"/>
        <w:jc w:val="righ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spacing w:before="36"/>
        <w:ind w:left="573" w:right="113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年度财务报表受重要影响的报表项目和金额</w:t>
      </w:r>
    </w:p>
    <w:p>
      <w:pPr>
        <w:spacing w:line="240" w:lineRule="auto" w:before="8"/>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516"/>
        <w:gridCol w:w="2807"/>
        <w:gridCol w:w="2107"/>
        <w:gridCol w:w="2069"/>
      </w:tblGrid>
      <w:tr>
        <w:trPr>
          <w:trHeight w:val="322" w:hRule="exact"/>
        </w:trPr>
        <w:tc>
          <w:tcPr>
            <w:tcW w:w="53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54" w:right="0"/>
              <w:jc w:val="left"/>
              <w:rPr>
                <w:rFonts w:ascii="宋体" w:hAnsi="宋体" w:cs="宋体" w:eastAsia="宋体" w:hint="default"/>
                <w:sz w:val="18"/>
                <w:szCs w:val="18"/>
              </w:rPr>
            </w:pPr>
            <w:r>
              <w:rPr>
                <w:rFonts w:ascii="宋体" w:hAnsi="宋体" w:cs="宋体" w:eastAsia="宋体" w:hint="default"/>
                <w:sz w:val="18"/>
                <w:szCs w:val="18"/>
              </w:rPr>
              <w:t>原列报报表项目及金额</w:t>
            </w:r>
          </w:p>
        </w:tc>
        <w:tc>
          <w:tcPr>
            <w:tcW w:w="4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85" w:right="0"/>
              <w:jc w:val="left"/>
              <w:rPr>
                <w:rFonts w:ascii="宋体" w:hAnsi="宋体" w:cs="宋体" w:eastAsia="宋体" w:hint="default"/>
                <w:sz w:val="18"/>
                <w:szCs w:val="18"/>
              </w:rPr>
            </w:pPr>
            <w:r>
              <w:rPr>
                <w:rFonts w:ascii="宋体" w:hAnsi="宋体" w:cs="宋体" w:eastAsia="宋体" w:hint="default"/>
                <w:sz w:val="18"/>
                <w:szCs w:val="18"/>
              </w:rPr>
              <w:t>新列报报表项目及金额</w:t>
            </w:r>
          </w:p>
        </w:tc>
      </w:tr>
      <w:tr>
        <w:trPr>
          <w:trHeight w:val="322"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149,592,783.02</w:t>
            </w:r>
          </w:p>
        </w:tc>
        <w:tc>
          <w:tcPr>
            <w:tcW w:w="210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06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699" w:right="0"/>
              <w:jc w:val="left"/>
              <w:rPr>
                <w:rFonts w:ascii="Times New Roman" w:hAnsi="Times New Roman" w:cs="Times New Roman" w:eastAsia="Times New Roman" w:hint="default"/>
                <w:sz w:val="18"/>
                <w:szCs w:val="18"/>
              </w:rPr>
            </w:pPr>
            <w:r>
              <w:rPr>
                <w:rFonts w:ascii="Times New Roman"/>
                <w:sz w:val="18"/>
              </w:rPr>
              <w:t>1,297,826,635.23</w:t>
            </w:r>
          </w:p>
        </w:tc>
      </w:tr>
      <w:tr>
        <w:trPr>
          <w:trHeight w:val="324"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1,148,233,852.21</w:t>
            </w:r>
          </w:p>
        </w:tc>
        <w:tc>
          <w:tcPr>
            <w:tcW w:w="2107" w:type="dxa"/>
            <w:vMerge/>
            <w:tcBorders>
              <w:left w:val="single" w:sz="4" w:space="0" w:color="000000"/>
              <w:bottom w:val="single" w:sz="4" w:space="0" w:color="000000"/>
              <w:right w:val="single" w:sz="4" w:space="0" w:color="000000"/>
            </w:tcBorders>
          </w:tcPr>
          <w:p>
            <w:pPr/>
          </w:p>
        </w:tc>
        <w:tc>
          <w:tcPr>
            <w:tcW w:w="2069" w:type="dxa"/>
            <w:vMerge/>
            <w:tcBorders>
              <w:left w:val="single" w:sz="4" w:space="0" w:color="000000"/>
              <w:bottom w:val="single" w:sz="4" w:space="0" w:color="000000"/>
              <w:right w:val="single" w:sz="4" w:space="0" w:color="000000"/>
            </w:tcBorders>
          </w:tcPr>
          <w:p>
            <w:pPr/>
          </w:p>
        </w:tc>
      </w:tr>
      <w:tr>
        <w:trPr>
          <w:trHeight w:val="322"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807" w:type="dxa"/>
            <w:tcBorders>
              <w:top w:val="single" w:sz="4" w:space="0" w:color="000000"/>
              <w:left w:val="single" w:sz="4" w:space="0" w:color="000000"/>
              <w:bottom w:val="single" w:sz="4" w:space="0" w:color="000000"/>
              <w:right w:val="single" w:sz="4" w:space="0" w:color="000000"/>
            </w:tcBorders>
          </w:tcPr>
          <w:p>
            <w:pPr/>
          </w:p>
        </w:tc>
        <w:tc>
          <w:tcPr>
            <w:tcW w:w="2107"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0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833" w:right="0"/>
              <w:jc w:val="left"/>
              <w:rPr>
                <w:rFonts w:ascii="Times New Roman" w:hAnsi="Times New Roman" w:cs="Times New Roman" w:eastAsia="Times New Roman" w:hint="default"/>
                <w:sz w:val="18"/>
                <w:szCs w:val="18"/>
              </w:rPr>
            </w:pPr>
            <w:r>
              <w:rPr>
                <w:rFonts w:ascii="Times New Roman"/>
                <w:sz w:val="18"/>
              </w:rPr>
              <w:t>157,761,683.50</w:t>
            </w:r>
          </w:p>
        </w:tc>
      </w:tr>
      <w:tr>
        <w:trPr>
          <w:trHeight w:val="322"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807" w:type="dxa"/>
            <w:tcBorders>
              <w:top w:val="single" w:sz="4" w:space="0" w:color="000000"/>
              <w:left w:val="single" w:sz="4" w:space="0" w:color="000000"/>
              <w:bottom w:val="single" w:sz="4" w:space="0" w:color="000000"/>
              <w:right w:val="single" w:sz="4" w:space="0" w:color="000000"/>
            </w:tcBorders>
          </w:tcPr>
          <w:p>
            <w:pPr/>
          </w:p>
        </w:tc>
        <w:tc>
          <w:tcPr>
            <w:tcW w:w="2107" w:type="dxa"/>
            <w:vMerge/>
            <w:tcBorders>
              <w:left w:val="single" w:sz="4" w:space="0" w:color="000000"/>
              <w:right w:val="single" w:sz="4" w:space="0" w:color="000000"/>
            </w:tcBorders>
          </w:tcPr>
          <w:p>
            <w:pPr/>
          </w:p>
        </w:tc>
        <w:tc>
          <w:tcPr>
            <w:tcW w:w="2069" w:type="dxa"/>
            <w:vMerge/>
            <w:tcBorders>
              <w:left w:val="single" w:sz="4" w:space="0" w:color="000000"/>
              <w:right w:val="single" w:sz="4" w:space="0" w:color="000000"/>
            </w:tcBorders>
          </w:tcPr>
          <w:p>
            <w:pPr/>
          </w:p>
        </w:tc>
      </w:tr>
      <w:tr>
        <w:trPr>
          <w:trHeight w:val="322"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157,761,683.50</w:t>
            </w:r>
          </w:p>
        </w:tc>
        <w:tc>
          <w:tcPr>
            <w:tcW w:w="2107" w:type="dxa"/>
            <w:vMerge/>
            <w:tcBorders>
              <w:left w:val="single" w:sz="4" w:space="0" w:color="000000"/>
              <w:bottom w:val="single" w:sz="4" w:space="0" w:color="000000"/>
              <w:right w:val="single" w:sz="4" w:space="0" w:color="000000"/>
            </w:tcBorders>
          </w:tcPr>
          <w:p>
            <w:pPr/>
          </w:p>
        </w:tc>
        <w:tc>
          <w:tcPr>
            <w:tcW w:w="2069" w:type="dxa"/>
            <w:vMerge/>
            <w:tcBorders>
              <w:left w:val="single" w:sz="4" w:space="0" w:color="000000"/>
              <w:bottom w:val="single" w:sz="4" w:space="0" w:color="000000"/>
              <w:right w:val="single" w:sz="4" w:space="0" w:color="000000"/>
            </w:tcBorders>
          </w:tcPr>
          <w:p>
            <w:pPr/>
          </w:p>
        </w:tc>
      </w:tr>
      <w:tr>
        <w:trPr>
          <w:trHeight w:val="322"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851,226,705.92</w:t>
            </w:r>
          </w:p>
        </w:tc>
        <w:tc>
          <w:tcPr>
            <w:tcW w:w="210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069" w:type="dxa"/>
            <w:vMerge w:val="restart"/>
            <w:tcBorders>
              <w:top w:val="single" w:sz="4" w:space="0" w:color="000000"/>
              <w:left w:val="single" w:sz="4" w:space="0" w:color="000000"/>
              <w:right w:val="single" w:sz="4" w:space="0" w:color="000000"/>
            </w:tcBorders>
          </w:tcPr>
          <w:p>
            <w:pPr>
              <w:pStyle w:val="TableParagraph"/>
              <w:spacing w:line="240" w:lineRule="auto" w:before="55"/>
              <w:ind w:left="833" w:right="0"/>
              <w:jc w:val="left"/>
              <w:rPr>
                <w:rFonts w:ascii="Times New Roman" w:hAnsi="Times New Roman" w:cs="Times New Roman" w:eastAsia="Times New Roman" w:hint="default"/>
                <w:sz w:val="18"/>
                <w:szCs w:val="18"/>
              </w:rPr>
            </w:pPr>
            <w:r>
              <w:rPr>
                <w:rFonts w:ascii="Times New Roman"/>
                <w:sz w:val="18"/>
              </w:rPr>
              <w:t>851,226,705.92</w:t>
            </w:r>
          </w:p>
        </w:tc>
      </w:tr>
      <w:tr>
        <w:trPr>
          <w:trHeight w:val="322"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807" w:type="dxa"/>
            <w:tcBorders>
              <w:top w:val="single" w:sz="4" w:space="0" w:color="000000"/>
              <w:left w:val="single" w:sz="4" w:space="0" w:color="000000"/>
              <w:bottom w:val="single" w:sz="4" w:space="0" w:color="000000"/>
              <w:right w:val="single" w:sz="4" w:space="0" w:color="000000"/>
            </w:tcBorders>
          </w:tcPr>
          <w:p>
            <w:pPr/>
          </w:p>
        </w:tc>
        <w:tc>
          <w:tcPr>
            <w:tcW w:w="2107" w:type="dxa"/>
            <w:vMerge/>
            <w:tcBorders>
              <w:left w:val="single" w:sz="4" w:space="0" w:color="000000"/>
              <w:bottom w:val="single" w:sz="4" w:space="0" w:color="000000"/>
              <w:right w:val="single" w:sz="4" w:space="0" w:color="000000"/>
            </w:tcBorders>
          </w:tcPr>
          <w:p>
            <w:pPr/>
          </w:p>
        </w:tc>
        <w:tc>
          <w:tcPr>
            <w:tcW w:w="2069" w:type="dxa"/>
            <w:vMerge/>
            <w:tcBorders>
              <w:left w:val="single" w:sz="4" w:space="0" w:color="000000"/>
              <w:bottom w:val="single" w:sz="4" w:space="0" w:color="000000"/>
              <w:right w:val="single" w:sz="4" w:space="0" w:color="000000"/>
            </w:tcBorders>
          </w:tcPr>
          <w:p>
            <w:pPr/>
          </w:p>
        </w:tc>
      </w:tr>
      <w:tr>
        <w:trPr>
          <w:trHeight w:val="324"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619,163,657.50</w:t>
            </w:r>
          </w:p>
        </w:tc>
        <w:tc>
          <w:tcPr>
            <w:tcW w:w="210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06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833" w:right="0"/>
              <w:jc w:val="left"/>
              <w:rPr>
                <w:rFonts w:ascii="Times New Roman" w:hAnsi="Times New Roman" w:cs="Times New Roman" w:eastAsia="Times New Roman" w:hint="default"/>
                <w:sz w:val="18"/>
                <w:szCs w:val="18"/>
              </w:rPr>
            </w:pPr>
            <w:r>
              <w:rPr>
                <w:rFonts w:ascii="Times New Roman"/>
                <w:sz w:val="18"/>
              </w:rPr>
              <w:t>619,163,657.50</w:t>
            </w:r>
          </w:p>
        </w:tc>
      </w:tr>
      <w:tr>
        <w:trPr>
          <w:trHeight w:val="322"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807" w:type="dxa"/>
            <w:tcBorders>
              <w:top w:val="single" w:sz="4" w:space="0" w:color="000000"/>
              <w:left w:val="single" w:sz="4" w:space="0" w:color="000000"/>
              <w:bottom w:val="single" w:sz="4" w:space="0" w:color="000000"/>
              <w:right w:val="single" w:sz="4" w:space="0" w:color="000000"/>
            </w:tcBorders>
          </w:tcPr>
          <w:p>
            <w:pPr/>
          </w:p>
        </w:tc>
        <w:tc>
          <w:tcPr>
            <w:tcW w:w="2107" w:type="dxa"/>
            <w:vMerge/>
            <w:tcBorders>
              <w:left w:val="single" w:sz="4" w:space="0" w:color="000000"/>
              <w:bottom w:val="single" w:sz="4" w:space="0" w:color="000000"/>
              <w:right w:val="single" w:sz="4" w:space="0" w:color="000000"/>
            </w:tcBorders>
          </w:tcPr>
          <w:p>
            <w:pPr/>
          </w:p>
        </w:tc>
        <w:tc>
          <w:tcPr>
            <w:tcW w:w="2069" w:type="dxa"/>
            <w:vMerge/>
            <w:tcBorders>
              <w:left w:val="single" w:sz="4" w:space="0" w:color="000000"/>
              <w:bottom w:val="single" w:sz="4" w:space="0" w:color="000000"/>
              <w:right w:val="single" w:sz="4" w:space="0" w:color="000000"/>
            </w:tcBorders>
          </w:tcPr>
          <w:p>
            <w:pPr/>
          </w:p>
        </w:tc>
      </w:tr>
      <w:tr>
        <w:trPr>
          <w:trHeight w:val="322"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169,907,364.06</w:t>
            </w:r>
          </w:p>
        </w:tc>
        <w:tc>
          <w:tcPr>
            <w:tcW w:w="210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06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833" w:right="0"/>
              <w:jc w:val="left"/>
              <w:rPr>
                <w:rFonts w:ascii="Times New Roman" w:hAnsi="Times New Roman" w:cs="Times New Roman" w:eastAsia="Times New Roman" w:hint="default"/>
                <w:sz w:val="18"/>
                <w:szCs w:val="18"/>
              </w:rPr>
            </w:pPr>
            <w:r>
              <w:rPr>
                <w:rFonts w:ascii="Times New Roman"/>
                <w:sz w:val="18"/>
              </w:rPr>
              <w:t>684,911,679.75</w:t>
            </w:r>
          </w:p>
        </w:tc>
      </w:tr>
      <w:tr>
        <w:trPr>
          <w:trHeight w:val="322"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515,004,315.69</w:t>
            </w:r>
          </w:p>
        </w:tc>
        <w:tc>
          <w:tcPr>
            <w:tcW w:w="2107" w:type="dxa"/>
            <w:vMerge/>
            <w:tcBorders>
              <w:left w:val="single" w:sz="4" w:space="0" w:color="000000"/>
              <w:bottom w:val="single" w:sz="4" w:space="0" w:color="000000"/>
              <w:right w:val="single" w:sz="4" w:space="0" w:color="000000"/>
            </w:tcBorders>
          </w:tcPr>
          <w:p>
            <w:pPr/>
          </w:p>
        </w:tc>
        <w:tc>
          <w:tcPr>
            <w:tcW w:w="2069" w:type="dxa"/>
            <w:vMerge/>
            <w:tcBorders>
              <w:left w:val="single" w:sz="4" w:space="0" w:color="000000"/>
              <w:bottom w:val="single" w:sz="4" w:space="0" w:color="000000"/>
              <w:right w:val="single" w:sz="4" w:space="0" w:color="000000"/>
            </w:tcBorders>
          </w:tcPr>
          <w:p>
            <w:pPr/>
          </w:p>
        </w:tc>
      </w:tr>
      <w:tr>
        <w:trPr>
          <w:trHeight w:val="322"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11,705,361.97</w:t>
            </w:r>
          </w:p>
        </w:tc>
        <w:tc>
          <w:tcPr>
            <w:tcW w:w="2107"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924" w:right="0"/>
              <w:jc w:val="left"/>
              <w:rPr>
                <w:rFonts w:ascii="Times New Roman" w:hAnsi="Times New Roman" w:cs="Times New Roman" w:eastAsia="Times New Roman" w:hint="default"/>
                <w:sz w:val="18"/>
                <w:szCs w:val="18"/>
              </w:rPr>
            </w:pPr>
            <w:r>
              <w:rPr>
                <w:rFonts w:ascii="Times New Roman"/>
                <w:sz w:val="18"/>
              </w:rPr>
              <w:t>23,579,236.01</w:t>
            </w:r>
          </w:p>
        </w:tc>
      </w:tr>
      <w:tr>
        <w:trPr>
          <w:trHeight w:val="322"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807" w:type="dxa"/>
            <w:tcBorders>
              <w:top w:val="single" w:sz="4" w:space="0" w:color="000000"/>
              <w:left w:val="single" w:sz="4" w:space="0" w:color="000000"/>
              <w:bottom w:val="single" w:sz="4" w:space="0" w:color="000000"/>
              <w:right w:val="single" w:sz="4" w:space="0" w:color="000000"/>
            </w:tcBorders>
          </w:tcPr>
          <w:p>
            <w:pPr/>
          </w:p>
        </w:tc>
        <w:tc>
          <w:tcPr>
            <w:tcW w:w="2107" w:type="dxa"/>
            <w:vMerge/>
            <w:tcBorders>
              <w:left w:val="single" w:sz="4" w:space="0" w:color="000000"/>
              <w:right w:val="single" w:sz="4" w:space="0" w:color="000000"/>
            </w:tcBorders>
          </w:tcPr>
          <w:p>
            <w:pPr/>
          </w:p>
        </w:tc>
        <w:tc>
          <w:tcPr>
            <w:tcW w:w="2069" w:type="dxa"/>
            <w:vMerge/>
            <w:tcBorders>
              <w:left w:val="single" w:sz="4" w:space="0" w:color="000000"/>
              <w:right w:val="single" w:sz="4" w:space="0" w:color="000000"/>
            </w:tcBorders>
          </w:tcPr>
          <w:p>
            <w:pPr/>
          </w:p>
        </w:tc>
      </w:tr>
      <w:tr>
        <w:trPr>
          <w:trHeight w:val="324"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11,873,874.04</w:t>
            </w:r>
          </w:p>
        </w:tc>
        <w:tc>
          <w:tcPr>
            <w:tcW w:w="2107" w:type="dxa"/>
            <w:vMerge/>
            <w:tcBorders>
              <w:left w:val="single" w:sz="4" w:space="0" w:color="000000"/>
              <w:bottom w:val="single" w:sz="4" w:space="0" w:color="000000"/>
              <w:right w:val="single" w:sz="4" w:space="0" w:color="000000"/>
            </w:tcBorders>
          </w:tcPr>
          <w:p>
            <w:pPr/>
          </w:p>
        </w:tc>
        <w:tc>
          <w:tcPr>
            <w:tcW w:w="2069" w:type="dxa"/>
            <w:vMerge/>
            <w:tcBorders>
              <w:left w:val="single" w:sz="4" w:space="0" w:color="000000"/>
              <w:bottom w:val="single" w:sz="4" w:space="0" w:color="000000"/>
              <w:right w:val="single" w:sz="4" w:space="0" w:color="000000"/>
            </w:tcBorders>
          </w:tcPr>
          <w:p>
            <w:pPr/>
          </w:p>
        </w:tc>
      </w:tr>
      <w:tr>
        <w:trPr>
          <w:trHeight w:val="322"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807" w:type="dxa"/>
            <w:tcBorders>
              <w:top w:val="single" w:sz="4" w:space="0" w:color="000000"/>
              <w:left w:val="single" w:sz="4" w:space="0" w:color="000000"/>
              <w:bottom w:val="single" w:sz="4" w:space="0" w:color="000000"/>
              <w:right w:val="single" w:sz="4" w:space="0" w:color="000000"/>
            </w:tcBorders>
          </w:tcPr>
          <w:p>
            <w:pPr/>
          </w:p>
        </w:tc>
        <w:tc>
          <w:tcPr>
            <w:tcW w:w="210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06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924" w:right="0"/>
              <w:jc w:val="left"/>
              <w:rPr>
                <w:rFonts w:ascii="Times New Roman" w:hAnsi="Times New Roman" w:cs="Times New Roman" w:eastAsia="Times New Roman" w:hint="default"/>
                <w:sz w:val="18"/>
                <w:szCs w:val="18"/>
              </w:rPr>
            </w:pPr>
            <w:r>
              <w:rPr>
                <w:rFonts w:ascii="Times New Roman"/>
                <w:sz w:val="18"/>
              </w:rPr>
              <w:t>85,928,008.10</w:t>
            </w:r>
          </w:p>
        </w:tc>
      </w:tr>
      <w:tr>
        <w:trPr>
          <w:trHeight w:val="322"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85,928,008.10</w:t>
            </w:r>
          </w:p>
        </w:tc>
        <w:tc>
          <w:tcPr>
            <w:tcW w:w="2107" w:type="dxa"/>
            <w:vMerge/>
            <w:tcBorders>
              <w:left w:val="single" w:sz="4" w:space="0" w:color="000000"/>
              <w:bottom w:val="single" w:sz="4" w:space="0" w:color="000000"/>
              <w:right w:val="single" w:sz="4" w:space="0" w:color="000000"/>
            </w:tcBorders>
          </w:tcPr>
          <w:p>
            <w:pPr/>
          </w:p>
        </w:tc>
        <w:tc>
          <w:tcPr>
            <w:tcW w:w="2069" w:type="dxa"/>
            <w:vMerge/>
            <w:tcBorders>
              <w:left w:val="single" w:sz="4" w:space="0" w:color="000000"/>
              <w:bottom w:val="single" w:sz="4" w:space="0" w:color="000000"/>
              <w:right w:val="single" w:sz="4" w:space="0" w:color="000000"/>
            </w:tcBorders>
          </w:tcPr>
          <w:p>
            <w:pPr/>
          </w:p>
        </w:tc>
      </w:tr>
      <w:tr>
        <w:trPr>
          <w:trHeight w:val="322" w:hRule="exact"/>
        </w:trPr>
        <w:tc>
          <w:tcPr>
            <w:tcW w:w="25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80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567" w:right="0"/>
              <w:jc w:val="left"/>
              <w:rPr>
                <w:rFonts w:ascii="Times New Roman" w:hAnsi="Times New Roman" w:cs="Times New Roman" w:eastAsia="Times New Roman" w:hint="default"/>
                <w:sz w:val="18"/>
                <w:szCs w:val="18"/>
              </w:rPr>
            </w:pPr>
            <w:r>
              <w:rPr>
                <w:rFonts w:ascii="Times New Roman"/>
                <w:sz w:val="18"/>
              </w:rPr>
              <w:t>157,691,239.90</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83,136,548.93</w:t>
            </w:r>
          </w:p>
        </w:tc>
      </w:tr>
      <w:tr>
        <w:trPr>
          <w:trHeight w:val="322" w:hRule="exact"/>
        </w:trPr>
        <w:tc>
          <w:tcPr>
            <w:tcW w:w="2516" w:type="dxa"/>
            <w:vMerge/>
            <w:tcBorders>
              <w:left w:val="single" w:sz="4" w:space="0" w:color="000000"/>
              <w:bottom w:val="single" w:sz="4" w:space="0" w:color="000000"/>
              <w:right w:val="single" w:sz="4" w:space="0" w:color="000000"/>
            </w:tcBorders>
          </w:tcPr>
          <w:p>
            <w:pPr/>
          </w:p>
        </w:tc>
        <w:tc>
          <w:tcPr>
            <w:tcW w:w="2807" w:type="dxa"/>
            <w:vMerge/>
            <w:tcBorders>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74,554,690.97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spacing w:line="487" w:lineRule="auto" w:before="0"/>
        <w:ind w:left="152" w:right="896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六、税项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3"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49"/>
              <w:ind w:left="17" w:right="94"/>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394"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28</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9"/>
        <w:ind w:right="1133"/>
        <w:jc w:val="left"/>
      </w:pPr>
      <w:r>
        <w:rPr/>
        <w:t>存在不同企业所得税税率纳税主体的，披露情况说明</w:t>
      </w:r>
    </w:p>
    <w:p>
      <w:pPr>
        <w:spacing w:after="0" w:line="240" w:lineRule="auto"/>
        <w:jc w:val="lef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深圳市证通电子股份有限公司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证通国际投资有限公司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深圳市证通普润电子有限公司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深圳市证通数码科技有限公司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深圳市证通金信科技有限公司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深圳市证通佳明光电有限公司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定州市中标节能技术服务有限公司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长沙证通云计算有限公司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四川蜀信易电子商务有限公司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广州证通网络科技有限公司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广州云硕科技发展有限公司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广东宏达通信有限公司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深圳市证通云计算有限公司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SZZT South Africa PTY</w:t>
            </w:r>
            <w:r>
              <w:rPr>
                <w:rFonts w:ascii="Times New Roman"/>
                <w:spacing w:val="-27"/>
                <w:sz w:val="18"/>
              </w:rPr>
              <w:t> </w:t>
            </w:r>
            <w:r>
              <w:rPr>
                <w:rFonts w:ascii="Times New Roman"/>
                <w:spacing w:val="-7"/>
                <w:sz w:val="18"/>
              </w:rPr>
              <w:t>LTD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贵州证通光电有限公司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rFonts w:ascii="Times New Roman" w:hAnsi="Times New Roman" w:cs="Times New Roman" w:eastAsia="Times New Roman" w:hint="default"/>
        </w:rPr>
        <w:t>1</w:t>
      </w:r>
      <w:r>
        <w:rPr/>
        <w:t>、本公司的税收优惠及批文</w:t>
      </w:r>
    </w:p>
    <w:p>
      <w:pPr>
        <w:pStyle w:val="BodyText"/>
        <w:spacing w:line="300" w:lineRule="auto" w:before="63"/>
        <w:ind w:right="1130" w:firstLine="360"/>
        <w:jc w:val="both"/>
      </w:pPr>
      <w:r>
        <w:rPr>
          <w:rFonts w:ascii="Times New Roman" w:hAnsi="Times New Roman" w:cs="Times New Roman" w:eastAsia="Times New Roman" w:hint="default"/>
          <w:spacing w:val="-2"/>
        </w:rPr>
        <w:t>2017</w:t>
      </w:r>
      <w:r>
        <w:rPr>
          <w:spacing w:val="-2"/>
        </w:rPr>
        <w:t>年本公司取得获得深圳市科技创新委员会、深圳市财政委员会、国家税务局深圳市税务局、深圳市地方税务局联合</w:t>
      </w:r>
      <w:r>
        <w:rPr/>
        <w:t> 颁发的《高新技术企业证书》，证书编号：</w:t>
      </w:r>
      <w:r>
        <w:rPr>
          <w:rFonts w:ascii="Times New Roman" w:hAnsi="Times New Roman" w:cs="Times New Roman" w:eastAsia="Times New Roman" w:hint="default"/>
        </w:rPr>
        <w:t>GR201744201237</w:t>
      </w:r>
      <w:r>
        <w:rPr/>
        <w:t>，该高新技术企业资格有效期为三年。根据《中华人民共和国 企业所得税法》的规定，本公司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2018</w:t>
      </w:r>
      <w:r>
        <w:rPr/>
        <w:t>年和</w:t>
      </w:r>
      <w:r>
        <w:rPr>
          <w:rFonts w:ascii="Times New Roman" w:hAnsi="Times New Roman" w:cs="Times New Roman" w:eastAsia="Times New Roman" w:hint="default"/>
        </w:rPr>
        <w:t>2019</w:t>
      </w:r>
      <w:r>
        <w:rPr/>
        <w:t>年按照</w:t>
      </w:r>
      <w:r>
        <w:rPr>
          <w:rFonts w:ascii="Times New Roman" w:hAnsi="Times New Roman" w:cs="Times New Roman" w:eastAsia="Times New Roman" w:hint="default"/>
        </w:rPr>
        <w:t>15.00%</w:t>
      </w:r>
      <w:r>
        <w:rPr/>
        <w:t>的税率缴纳企业所得税。</w:t>
      </w:r>
    </w:p>
    <w:p>
      <w:pPr>
        <w:pStyle w:val="BodyText"/>
        <w:spacing w:line="240" w:lineRule="auto" w:before="13"/>
        <w:ind w:left="513" w:right="1133"/>
        <w:jc w:val="left"/>
      </w:pPr>
      <w:r>
        <w:rPr>
          <w:rFonts w:ascii="Times New Roman" w:hAnsi="Times New Roman" w:cs="Times New Roman" w:eastAsia="Times New Roman" w:hint="default"/>
        </w:rPr>
        <w:t>2</w:t>
      </w:r>
      <w:r>
        <w:rPr/>
        <w:t>、本公司子公司深圳市证通金信科技有限公司的税收优惠及批文</w:t>
      </w:r>
    </w:p>
    <w:p>
      <w:pPr>
        <w:pStyle w:val="BodyText"/>
        <w:spacing w:line="300" w:lineRule="auto" w:before="63"/>
        <w:ind w:right="1129" w:firstLine="360"/>
        <w:jc w:val="left"/>
      </w:pPr>
      <w:r>
        <w:rPr>
          <w:rFonts w:ascii="Times New Roman" w:hAnsi="Times New Roman" w:cs="Times New Roman" w:eastAsia="Times New Roman" w:hint="default"/>
          <w:spacing w:val="-2"/>
        </w:rPr>
        <w:t>2017</w:t>
      </w:r>
      <w:r>
        <w:rPr>
          <w:spacing w:val="-2"/>
        </w:rPr>
        <w:t>年本公司子公司深圳市证通金信科技有限公司取得获得深圳市科技创新委员会、深圳市财政委员会、国家税务局深</w:t>
      </w:r>
      <w:r>
        <w:rPr/>
        <w:t> 圳市税务局、深圳市地方税务局联合颁发的《高新技术企业证书》，证书编号：</w:t>
      </w:r>
      <w:r>
        <w:rPr>
          <w:rFonts w:ascii="Times New Roman" w:hAnsi="Times New Roman" w:cs="Times New Roman" w:eastAsia="Times New Roman" w:hint="default"/>
        </w:rPr>
        <w:t>GR201744200412</w:t>
      </w:r>
      <w:r>
        <w:rPr/>
        <w:t>，该高新技术企业资格有 效期为三年。根据《中华人民共和国企业所得税法》的规定，本公司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2018</w:t>
      </w:r>
      <w:r>
        <w:rPr/>
        <w:t>年和</w:t>
      </w:r>
      <w:r>
        <w:rPr>
          <w:rFonts w:ascii="Times New Roman" w:hAnsi="Times New Roman" w:cs="Times New Roman" w:eastAsia="Times New Roman" w:hint="default"/>
        </w:rPr>
        <w:t>2019</w:t>
      </w:r>
      <w:r>
        <w:rPr/>
        <w:t>年按照</w:t>
      </w:r>
      <w:r>
        <w:rPr>
          <w:rFonts w:ascii="Times New Roman" w:hAnsi="Times New Roman" w:cs="Times New Roman" w:eastAsia="Times New Roman" w:hint="default"/>
        </w:rPr>
        <w:t>15.00%</w:t>
      </w:r>
      <w:r>
        <w:rPr/>
        <w:t>的税率缴纳企业 所得税。</w:t>
      </w:r>
    </w:p>
    <w:p>
      <w:pPr>
        <w:pStyle w:val="BodyText"/>
        <w:spacing w:line="240" w:lineRule="auto" w:before="31"/>
        <w:ind w:left="513" w:right="1133"/>
        <w:jc w:val="left"/>
      </w:pPr>
      <w:r>
        <w:rPr>
          <w:rFonts w:ascii="Times New Roman" w:hAnsi="Times New Roman" w:cs="Times New Roman" w:eastAsia="Times New Roman" w:hint="default"/>
        </w:rPr>
        <w:t>3</w:t>
      </w:r>
      <w:r>
        <w:rPr/>
        <w:t>、本公司子公司深圳市证通佳明光电有限公司的税收优惠及批文</w:t>
      </w:r>
    </w:p>
    <w:p>
      <w:pPr>
        <w:pStyle w:val="BodyText"/>
        <w:spacing w:line="300" w:lineRule="auto" w:before="63"/>
        <w:ind w:right="1131" w:firstLine="360"/>
        <w:jc w:val="both"/>
      </w:pPr>
      <w:r>
        <w:rPr>
          <w:rFonts w:ascii="Times New Roman" w:hAnsi="Times New Roman" w:cs="Times New Roman" w:eastAsia="Times New Roman" w:hint="default"/>
          <w:spacing w:val="-2"/>
        </w:rPr>
        <w:t>2018</w:t>
      </w:r>
      <w:r>
        <w:rPr>
          <w:spacing w:val="-2"/>
        </w:rPr>
        <w:t>年本公司子公司深圳市证通佳明光电有限公司取得获得深圳市科技创新委员会、深圳市财政委员会、国家税务局深</w:t>
      </w:r>
      <w:r>
        <w:rPr/>
        <w:t> </w:t>
      </w:r>
      <w:r>
        <w:rPr>
          <w:spacing w:val="-3"/>
        </w:rPr>
        <w:t>圳市税务局联合颁发的《高新技术企业证书》，证书编号：</w:t>
      </w:r>
      <w:r>
        <w:rPr>
          <w:rFonts w:ascii="Times New Roman" w:hAnsi="Times New Roman" w:cs="Times New Roman" w:eastAsia="Times New Roman" w:hint="default"/>
          <w:spacing w:val="-3"/>
        </w:rPr>
        <w:t>GR201844203357</w:t>
      </w:r>
      <w:r>
        <w:rPr>
          <w:spacing w:val="-3"/>
        </w:rPr>
        <w:t>，该高新技术企业资格有效期为三年。根据《中</w:t>
      </w:r>
      <w:r>
        <w:rPr>
          <w:spacing w:val="-66"/>
        </w:rPr>
        <w:t> </w:t>
      </w:r>
      <w:r>
        <w:rPr>
          <w:spacing w:val="-66"/>
        </w:rPr>
      </w:r>
      <w:r>
        <w:rPr/>
        <w:t>华人民共和国企业所得税法》的规定，本公司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2019</w:t>
      </w:r>
      <w:r>
        <w:rPr/>
        <w:t>年和</w:t>
      </w:r>
      <w:r>
        <w:rPr>
          <w:rFonts w:ascii="Times New Roman" w:hAnsi="Times New Roman" w:cs="Times New Roman" w:eastAsia="Times New Roman" w:hint="default"/>
        </w:rPr>
        <w:t>2020</w:t>
      </w:r>
      <w:r>
        <w:rPr/>
        <w:t>年按照</w:t>
      </w:r>
      <w:r>
        <w:rPr>
          <w:rFonts w:ascii="Times New Roman" w:hAnsi="Times New Roman" w:cs="Times New Roman" w:eastAsia="Times New Roman" w:hint="default"/>
        </w:rPr>
        <w:t>15.00%</w:t>
      </w:r>
      <w:r>
        <w:rPr/>
        <w:t>的税率缴纳企业所得税。</w:t>
      </w:r>
    </w:p>
    <w:p>
      <w:pPr>
        <w:pStyle w:val="BodyText"/>
        <w:spacing w:line="240" w:lineRule="auto" w:before="13"/>
        <w:ind w:left="513" w:right="1133"/>
        <w:jc w:val="left"/>
      </w:pPr>
      <w:r>
        <w:rPr>
          <w:rFonts w:ascii="Times New Roman" w:hAnsi="Times New Roman" w:cs="Times New Roman" w:eastAsia="Times New Roman" w:hint="default"/>
        </w:rPr>
        <w:t>4</w:t>
      </w:r>
      <w:r>
        <w:rPr/>
        <w:t>、本公司子公司广州云硕科技发展有限公司的税收优惠及批文</w:t>
      </w:r>
    </w:p>
    <w:p>
      <w:pPr>
        <w:pStyle w:val="BodyText"/>
        <w:spacing w:line="300" w:lineRule="auto" w:before="63"/>
        <w:ind w:right="1132" w:firstLine="360"/>
        <w:jc w:val="both"/>
      </w:pPr>
      <w:r>
        <w:rPr>
          <w:rFonts w:ascii="Times New Roman" w:hAnsi="Times New Roman" w:cs="Times New Roman" w:eastAsia="Times New Roman" w:hint="default"/>
          <w:spacing w:val="-2"/>
        </w:rPr>
        <w:t>2016</w:t>
      </w:r>
      <w:r>
        <w:rPr>
          <w:spacing w:val="-2"/>
        </w:rPr>
        <w:t>年本公司子公司广州云硕科技发展有限公司取得广东省科学技术厅、广东省财政厅、广东省国家税务局、广东省地</w:t>
      </w:r>
      <w:r>
        <w:rPr/>
        <w:t> 方税务局联合颁发的《高新技术企业证书》，证书编号：</w:t>
      </w:r>
      <w:r>
        <w:rPr>
          <w:rFonts w:ascii="Times New Roman" w:hAnsi="Times New Roman" w:cs="Times New Roman" w:eastAsia="Times New Roman" w:hint="default"/>
        </w:rPr>
        <w:t>GR201644003578</w:t>
      </w:r>
      <w:r>
        <w:rPr/>
        <w:t>，该高新技术企业资格有效期为三年。根据《中 华人民共和国企业所得税法》的规定，本公司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2017</w:t>
      </w:r>
      <w:r>
        <w:rPr/>
        <w:t>年和</w:t>
      </w:r>
      <w:r>
        <w:rPr>
          <w:rFonts w:ascii="Times New Roman" w:hAnsi="Times New Roman" w:cs="Times New Roman" w:eastAsia="Times New Roman" w:hint="default"/>
        </w:rPr>
        <w:t>2018</w:t>
      </w:r>
      <w:r>
        <w:rPr/>
        <w:t>年按照</w:t>
      </w:r>
      <w:r>
        <w:rPr>
          <w:rFonts w:ascii="Times New Roman" w:hAnsi="Times New Roman" w:cs="Times New Roman" w:eastAsia="Times New Roman" w:hint="default"/>
        </w:rPr>
        <w:t>15.00%</w:t>
      </w:r>
      <w:r>
        <w:rPr/>
        <w:t>的税率缴纳企业所得税。</w:t>
      </w:r>
    </w:p>
    <w:p>
      <w:pPr>
        <w:pStyle w:val="BodyText"/>
        <w:spacing w:line="240" w:lineRule="auto" w:before="13"/>
        <w:ind w:left="513" w:right="1133"/>
        <w:jc w:val="left"/>
      </w:pPr>
      <w:r>
        <w:rPr>
          <w:rFonts w:ascii="Times New Roman" w:hAnsi="Times New Roman" w:cs="Times New Roman" w:eastAsia="Times New Roman" w:hint="default"/>
        </w:rPr>
        <w:t>5</w:t>
      </w:r>
      <w:r>
        <w:rPr/>
        <w:t>、本公司子公司长沙证通云计算有限公司的税收优惠及批文</w:t>
      </w:r>
    </w:p>
    <w:p>
      <w:pPr>
        <w:pStyle w:val="BodyText"/>
        <w:spacing w:line="300" w:lineRule="auto" w:before="63"/>
        <w:ind w:right="1132" w:firstLine="360"/>
        <w:jc w:val="both"/>
      </w:pPr>
      <w:r>
        <w:rPr>
          <w:rFonts w:ascii="Times New Roman" w:hAnsi="Times New Roman" w:cs="Times New Roman" w:eastAsia="Times New Roman" w:hint="default"/>
          <w:spacing w:val="-2"/>
        </w:rPr>
        <w:t>2018</w:t>
      </w:r>
      <w:r>
        <w:rPr>
          <w:spacing w:val="-2"/>
        </w:rPr>
        <w:t>年本公司子公司长沙证通云计算有限公司取得湖南省科学技术厅、湖南省财政厅、国家税务总局湖南省税务局联合</w:t>
      </w:r>
      <w:r>
        <w:rPr/>
        <w:t> 颁发的《高新技术企业证书》，证书编号：</w:t>
      </w:r>
      <w:r>
        <w:rPr>
          <w:rFonts w:ascii="Times New Roman" w:hAnsi="Times New Roman" w:cs="Times New Roman" w:eastAsia="Times New Roman" w:hint="default"/>
        </w:rPr>
        <w:t>GR201843001660</w:t>
      </w:r>
      <w:r>
        <w:rPr/>
        <w:t>，该高新技术企业资格有效期为三年。根据《中华人民共和国 企业所得税法》的规定，本公司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2019</w:t>
      </w:r>
      <w:r>
        <w:rPr/>
        <w:t>年和</w:t>
      </w:r>
      <w:r>
        <w:rPr>
          <w:rFonts w:ascii="Times New Roman" w:hAnsi="Times New Roman" w:cs="Times New Roman" w:eastAsia="Times New Roman" w:hint="default"/>
        </w:rPr>
        <w:t>2020</w:t>
      </w:r>
      <w:r>
        <w:rPr/>
        <w:t>年按照</w:t>
      </w:r>
      <w:r>
        <w:rPr>
          <w:rFonts w:ascii="Times New Roman" w:hAnsi="Times New Roman" w:cs="Times New Roman" w:eastAsia="Times New Roman" w:hint="default"/>
        </w:rPr>
        <w:t>15.00%</w:t>
      </w:r>
      <w:r>
        <w:rPr/>
        <w:t>的税率缴纳企业所得税。</w:t>
      </w:r>
    </w:p>
    <w:p>
      <w:pPr>
        <w:spacing w:after="0" w:line="300"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321" w:lineRule="auto"/>
        <w:ind w:left="513" w:right="3178"/>
        <w:jc w:val="left"/>
        <w:rPr>
          <w:rFonts w:ascii="Times New Roman" w:hAnsi="Times New Roman" w:cs="Times New Roman" w:eastAsia="Times New Roman" w:hint="default"/>
        </w:rPr>
      </w:pPr>
      <w:r>
        <w:rPr>
          <w:rFonts w:ascii="Times New Roman" w:hAnsi="Times New Roman" w:cs="Times New Roman" w:eastAsia="Times New Roman" w:hint="default"/>
        </w:rPr>
        <w:t>(1)</w:t>
      </w:r>
      <w:r>
        <w:rPr/>
        <w:t>证通国际投资有限公司</w:t>
      </w:r>
      <w:r>
        <w:rPr>
          <w:w w:val="99"/>
        </w:rPr>
        <w:t> </w:t>
      </w:r>
      <w:r>
        <w:rPr/>
        <w:t>证通国际投资有限公司注册地在香港地区，根据香港税收法规，所得税税率以</w:t>
      </w:r>
      <w:r>
        <w:rPr>
          <w:rFonts w:ascii="Times New Roman" w:hAnsi="Times New Roman" w:cs="Times New Roman" w:eastAsia="Times New Roman" w:hint="default"/>
        </w:rPr>
        <w:t>16.50%</w:t>
      </w:r>
      <w:r>
        <w:rPr/>
        <w:t>计算。</w:t>
      </w:r>
      <w:r>
        <w:rPr>
          <w:w w:val="99"/>
        </w:rPr>
        <w:t> </w:t>
      </w:r>
      <w:r>
        <w:rPr>
          <w:rFonts w:ascii="Times New Roman" w:hAnsi="Times New Roman" w:cs="Times New Roman" w:eastAsia="Times New Roman" w:hint="default"/>
        </w:rPr>
        <w:t>(2)SZZT South Africa PTY</w:t>
      </w:r>
      <w:r>
        <w:rPr>
          <w:rFonts w:ascii="Times New Roman" w:hAnsi="Times New Roman" w:cs="Times New Roman" w:eastAsia="Times New Roman" w:hint="default"/>
          <w:spacing w:val="-11"/>
        </w:rPr>
        <w:t> </w:t>
      </w:r>
      <w:r>
        <w:rPr>
          <w:rFonts w:ascii="Times New Roman" w:hAnsi="Times New Roman" w:cs="Times New Roman" w:eastAsia="Times New Roman" w:hint="default"/>
        </w:rPr>
        <w:t>LTD</w:t>
      </w:r>
    </w:p>
    <w:p>
      <w:pPr>
        <w:pStyle w:val="BodyText"/>
        <w:spacing w:line="244" w:lineRule="exact"/>
        <w:ind w:left="513" w:right="1133"/>
        <w:jc w:val="left"/>
      </w:pPr>
      <w:r>
        <w:rPr>
          <w:rFonts w:ascii="Times New Roman" w:hAnsi="Times New Roman" w:cs="Times New Roman" w:eastAsia="Times New Roman" w:hint="default"/>
        </w:rPr>
        <w:t>SZZT South Africa PTY</w:t>
      </w:r>
      <w:r>
        <w:rPr>
          <w:rFonts w:ascii="Times New Roman" w:hAnsi="Times New Roman" w:cs="Times New Roman" w:eastAsia="Times New Roman" w:hint="default"/>
          <w:spacing w:val="-9"/>
        </w:rPr>
        <w:t> </w:t>
      </w:r>
      <w:r>
        <w:rPr>
          <w:rFonts w:ascii="Times New Roman" w:hAnsi="Times New Roman" w:cs="Times New Roman" w:eastAsia="Times New Roman" w:hint="default"/>
        </w:rPr>
        <w:t>LTD</w:t>
      </w:r>
      <w:r>
        <w:rPr/>
        <w:t>注册地在南非，根据南非税收法规，所得税税率以</w:t>
      </w:r>
      <w:r>
        <w:rPr>
          <w:rFonts w:ascii="Times New Roman" w:hAnsi="Times New Roman" w:cs="Times New Roman" w:eastAsia="Times New Roman" w:hint="default"/>
        </w:rPr>
        <w:t>28.00%</w:t>
      </w:r>
      <w:r>
        <w:rPr/>
        <w:t>计算。</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64,495.23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289,584.77</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229,576,294.13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408,731,324.01</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168,056,691.82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11,926,378.01</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397,697,481.18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420,947,286.79</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其中：存放在境外的款项总额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4,384,897.56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32,367,897.78</w:t>
            </w:r>
          </w:p>
        </w:tc>
      </w:tr>
    </w:tbl>
    <w:p>
      <w:pPr>
        <w:pStyle w:val="BodyText"/>
        <w:spacing w:line="240" w:lineRule="auto" w:before="49"/>
        <w:ind w:right="1133"/>
        <w:jc w:val="left"/>
      </w:pPr>
      <w:r>
        <w:rPr/>
        <w:t>其他说明</w:t>
      </w:r>
    </w:p>
    <w:p>
      <w:pPr>
        <w:pStyle w:val="BodyText"/>
        <w:spacing w:line="309" w:lineRule="auto" w:before="117"/>
        <w:ind w:right="1129" w:firstLine="360"/>
        <w:jc w:val="left"/>
      </w:pPr>
      <w:r>
        <w:rPr>
          <w:rFonts w:ascii="Times New Roman" w:hAnsi="Times New Roman" w:cs="Times New Roman" w:eastAsia="Times New Roman" w:hint="default"/>
        </w:rPr>
        <w:t>(1)</w:t>
      </w:r>
      <w:r>
        <w:rPr/>
        <w:t>本公司子公司定州市中标节能技术服务有限公司与晋州市月光照明电器厂就工程材料款结算发生纠纷，晋州市月光</w:t>
      </w:r>
      <w:r>
        <w:rPr>
          <w:w w:val="99"/>
        </w:rPr>
        <w:t> </w:t>
      </w:r>
      <w:r>
        <w:rPr>
          <w:spacing w:val="-2"/>
          <w:w w:val="99"/>
        </w:rPr>
        <w:t>照明电器厂向河北省石家庄市中级人民法院提起诉讼，因此法院冻结本公司子公司定州市中标节能技术服务有限公司的货币</w:t>
      </w:r>
      <w:r>
        <w:rPr>
          <w:spacing w:val="-64"/>
          <w:w w:val="99"/>
        </w:rPr>
        <w:t> </w:t>
      </w:r>
      <w:r>
        <w:rPr>
          <w:spacing w:val="-64"/>
          <w:w w:val="99"/>
        </w:rPr>
      </w:r>
      <w:r>
        <w:rPr/>
        <w:t>资金共计</w:t>
      </w:r>
      <w:r>
        <w:rPr>
          <w:rFonts w:ascii="Times New Roman" w:hAnsi="Times New Roman" w:cs="Times New Roman" w:eastAsia="Times New Roman" w:hint="default"/>
        </w:rPr>
        <w:t>11,000,000.00</w:t>
      </w:r>
      <w:r>
        <w:rPr/>
        <w:t>元。</w:t>
      </w:r>
    </w:p>
    <w:p>
      <w:pPr>
        <w:pStyle w:val="BodyText"/>
        <w:spacing w:line="300" w:lineRule="auto" w:before="5"/>
        <w:ind w:right="1184" w:firstLine="360"/>
        <w:jc w:val="left"/>
      </w:pPr>
      <w:r>
        <w:rPr>
          <w:rFonts w:ascii="Times New Roman" w:hAnsi="Times New Roman" w:cs="Times New Roman" w:eastAsia="Times New Roman" w:hint="default"/>
        </w:rPr>
        <w:t>(2)</w:t>
      </w:r>
      <w:r>
        <w:rPr/>
        <w:t>期末其他货币资金中，银行承兑汇票保证金</w:t>
      </w:r>
      <w:r>
        <w:rPr>
          <w:rFonts w:ascii="Times New Roman" w:hAnsi="Times New Roman" w:cs="Times New Roman" w:eastAsia="Times New Roman" w:hint="default"/>
        </w:rPr>
        <w:t>167,483,039.13</w:t>
      </w:r>
      <w:r>
        <w:rPr/>
        <w:t>元</w:t>
      </w:r>
      <w:r>
        <w:rPr>
          <w:rFonts w:ascii="Times New Roman" w:hAnsi="Times New Roman" w:cs="Times New Roman" w:eastAsia="Times New Roman" w:hint="default"/>
        </w:rPr>
        <w:t>,</w:t>
      </w:r>
      <w:r>
        <w:rPr/>
        <w:t>保函保证金</w:t>
      </w:r>
      <w:r>
        <w:rPr>
          <w:rFonts w:ascii="Times New Roman" w:hAnsi="Times New Roman" w:cs="Times New Roman" w:eastAsia="Times New Roman" w:hint="default"/>
        </w:rPr>
        <w:t>372,665.00</w:t>
      </w:r>
      <w:r>
        <w:rPr/>
        <w:t>元；存放于股份回购证券账户中</w:t>
      </w:r>
      <w:r>
        <w:rPr>
          <w:w w:val="99"/>
        </w:rPr>
        <w:t> </w:t>
      </w:r>
      <w:r>
        <w:rPr/>
        <w:t>的金额</w:t>
      </w:r>
      <w:r>
        <w:rPr>
          <w:rFonts w:ascii="Times New Roman" w:hAnsi="Times New Roman" w:cs="Times New Roman" w:eastAsia="Times New Roman" w:hint="default"/>
        </w:rPr>
        <w:t>200,987.69</w:t>
      </w:r>
      <w:r>
        <w:rPr/>
        <w:t>元。</w:t>
      </w:r>
    </w:p>
    <w:p>
      <w:pPr>
        <w:spacing w:line="240" w:lineRule="auto" w:before="4"/>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、应收票据及应收账款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47,345,662.53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149,592,783.02</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1,322,015,249.45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1,148,233,852.21</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1,369,360,911.98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1,297,826,635.23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应收票据分类列示</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8,213,377.39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29,061,065.08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33,024,644.00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120,531,717.94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4,107,625.20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2,000,015.94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47,345,662.53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149,592,783.02</w:t>
            </w:r>
          </w:p>
        </w:tc>
      </w:tr>
    </w:tbl>
    <w:p>
      <w:pPr>
        <w:pStyle w:val="BodyText"/>
        <w:spacing w:line="240" w:lineRule="auto" w:before="49"/>
        <w:ind w:right="1133"/>
        <w:jc w:val="left"/>
      </w:pPr>
      <w:r>
        <w:rPr>
          <w:rFonts w:ascii="Times New Roman" w:hAnsi="Times New Roman" w:cs="Times New Roman" w:eastAsia="Times New Roman" w:hint="default"/>
        </w:rPr>
        <w:t>2)</w:t>
      </w:r>
      <w:r>
        <w:rPr/>
        <w:t>期末公司已质押的应收票据</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pStyle w:val="BodyText"/>
        <w:spacing w:line="240" w:lineRule="auto" w:before="49"/>
        <w:ind w:right="1133"/>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120,948,958.88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87,395,901.65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208,344,860.53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rFonts w:ascii="Times New Roman" w:hAnsi="Times New Roman" w:cs="Times New Roman" w:eastAsia="Times New Roman" w:hint="default"/>
        </w:rPr>
        <w:t>4)</w:t>
      </w:r>
      <w:r>
        <w:rPr/>
        <w:t>期末公司因出票人未履约而将其转应收账款的票据</w:t>
      </w:r>
    </w:p>
    <w:p>
      <w:pPr>
        <w:pStyle w:val="BodyText"/>
        <w:spacing w:line="240" w:lineRule="auto" w:before="103"/>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49"/>
        <w:ind w:right="1133"/>
        <w:jc w:val="left"/>
      </w:pPr>
      <w:r>
        <w:rPr/>
        <w:t>其他说明</w:t>
      </w:r>
    </w:p>
    <w:p>
      <w:pPr>
        <w:pStyle w:val="BodyText"/>
        <w:spacing w:line="319" w:lineRule="auto" w:before="115"/>
        <w:ind w:right="1130" w:firstLine="360"/>
        <w:jc w:val="both"/>
      </w:pPr>
      <w:r>
        <w:rPr>
          <w:spacing w:val="-2"/>
        </w:rPr>
        <w:t>银行承兑汇票的承兑人是商业银行，由于商业银行具有较高的信用，银行承兑汇票到期不获支付的可能性较低，故本公</w:t>
      </w:r>
      <w:r>
        <w:rPr/>
        <w:t> </w:t>
      </w:r>
      <w:r>
        <w:rPr>
          <w:spacing w:val="-2"/>
        </w:rPr>
        <w:t>司将已背书或贴现的银行承兑汇票予以终止确认。但如果该等票据到期不获支付，依据《票据法》之规定，公司仍将对持票</w:t>
      </w:r>
      <w:r>
        <w:rPr>
          <w:spacing w:val="-67"/>
        </w:rPr>
        <w:t> </w:t>
      </w:r>
      <w:r>
        <w:rPr>
          <w:spacing w:val="-67"/>
        </w:rPr>
      </w:r>
      <w:r>
        <w:rPr/>
        <w:t>人承担连带责任。</w:t>
      </w:r>
    </w:p>
    <w:p>
      <w:pPr>
        <w:pStyle w:val="BodyText"/>
        <w:spacing w:line="316" w:lineRule="auto" w:before="17"/>
        <w:ind w:right="1132" w:firstLine="360"/>
        <w:jc w:val="both"/>
      </w:pPr>
      <w:r>
        <w:rPr>
          <w:spacing w:val="-2"/>
        </w:rPr>
        <w:t>商业承兑汇票的承兑人是企业，由于出具商业承兑汇票的企业信用良好且资金实力雄厚，商业承兑汇票到期不获支付的</w:t>
      </w:r>
      <w:r>
        <w:rPr/>
        <w:t> </w:t>
      </w:r>
      <w:r>
        <w:rPr>
          <w:spacing w:val="-2"/>
        </w:rPr>
        <w:t>可能性较低，故本公司将已背书或贴现的商业承兑汇票予以终止确认。但如果该等票据到期不获支付，依据《票据法》之规</w:t>
      </w:r>
      <w:r>
        <w:rPr>
          <w:spacing w:val="-65"/>
        </w:rPr>
        <w:t> </w:t>
      </w:r>
      <w:r>
        <w:rPr>
          <w:spacing w:val="-65"/>
        </w:rPr>
      </w:r>
      <w:r>
        <w:rPr/>
        <w:t>定，公司仍将对持票人承担连带责任。</w:t>
      </w:r>
    </w:p>
    <w:p>
      <w:pPr>
        <w:pStyle w:val="BodyText"/>
        <w:spacing w:line="240" w:lineRule="auto" w:before="19"/>
        <w:ind w:left="513" w:right="1133"/>
        <w:jc w:val="left"/>
      </w:pPr>
      <w:r>
        <w:rPr/>
        <w:t>期末公司不存在因出票人未履约而将其转应收账款的票据。</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应收账款分类披露</w:t>
      </w:r>
    </w:p>
    <w:p>
      <w:pPr>
        <w:pStyle w:val="BodyText"/>
        <w:spacing w:line="240" w:lineRule="auto" w:before="103"/>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12" w:type="dxa"/>
            <w:vMerge/>
            <w:tcBorders>
              <w:left w:val="single" w:sz="4" w:space="0" w:color="000000"/>
              <w:bottom w:val="single" w:sz="5"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2" w:type="dxa"/>
            <w:vMerge w:val="restart"/>
            <w:tcBorders>
              <w:top w:val="single" w:sz="5" w:space="0" w:color="FFFFFF"/>
              <w:left w:val="single" w:sz="4" w:space="0" w:color="000000"/>
              <w:right w:val="single" w:sz="4" w:space="0" w:color="000000"/>
            </w:tcBorders>
            <w:shd w:val="clear" w:color="auto" w:fill="D2D2D2"/>
          </w:tcPr>
          <w:p>
            <w:pPr/>
          </w:p>
        </w:tc>
        <w:tc>
          <w:tcPr>
            <w:tcW w:w="774"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38,137,9</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95.62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38,137,9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95.62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1,529,63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7,105.21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97.57%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207,621,</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855.76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13.57%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1,322,015</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,249.45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1,292,6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42,922.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144,409,0</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70.71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11.17%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1,148,233,8</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52.21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8"/>
        <w:gridCol w:w="655"/>
        <w:gridCol w:w="761"/>
        <w:gridCol w:w="814"/>
        <w:gridCol w:w="934"/>
        <w:gridCol w:w="931"/>
      </w:tblGrid>
      <w:tr>
        <w:trPr>
          <w:trHeight w:val="1028"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1,567,77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5,100.83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245,759,</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851.38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15.68%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1,322,015</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,249.45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1,292,6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42,922.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144,409,0</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70.71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11.17%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1,148,233,8</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52.21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pStyle w:val="BodyText"/>
        <w:spacing w:line="240" w:lineRule="auto" w:before="49"/>
        <w:ind w:right="-20"/>
        <w:jc w:val="left"/>
      </w:pPr>
      <w:r>
        <w:rPr/>
        <w:t>期末单项金额重大并单项计提坏账准备的应收账款：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293" w:space="453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南京理工速必得科技股 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19,083,286.60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19,083,286.60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80"/>
              <w:jc w:val="left"/>
              <w:rPr>
                <w:rFonts w:ascii="宋体" w:hAnsi="宋体" w:cs="宋体" w:eastAsia="宋体" w:hint="default"/>
                <w:sz w:val="18"/>
                <w:szCs w:val="18"/>
              </w:rPr>
            </w:pPr>
            <w:r>
              <w:rPr>
                <w:rFonts w:ascii="宋体" w:hAnsi="宋体" w:cs="宋体" w:eastAsia="宋体" w:hint="default"/>
                <w:sz w:val="18"/>
                <w:szCs w:val="18"/>
              </w:rPr>
              <w:t>未根据法院的调解协议 付款，预计收不回。</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上海平达信息技术有限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已被吊销工商执照</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杭州度联信息技术有限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6,516,300.00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6,516,300.00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0"/>
              <w:jc w:val="left"/>
              <w:rPr>
                <w:rFonts w:ascii="宋体" w:hAnsi="宋体" w:cs="宋体" w:eastAsia="宋体" w:hint="default"/>
                <w:sz w:val="18"/>
                <w:szCs w:val="18"/>
              </w:rPr>
            </w:pPr>
            <w:r>
              <w:rPr>
                <w:rFonts w:ascii="宋体" w:hAnsi="宋体" w:cs="宋体" w:eastAsia="宋体" w:hint="default"/>
                <w:sz w:val="18"/>
                <w:szCs w:val="18"/>
              </w:rPr>
              <w:t>未根据法院判决书支付 款项，预计收不回</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浙江金大科技有限公司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3,088,409.02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3,088,409.02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预计收不回</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湖南众协环保新材料科 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公司已注销</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38,137,995.62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38,137,995.62</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49"/>
        <w:ind w:right="-20"/>
        <w:jc w:val="left"/>
      </w:pPr>
      <w:r>
        <w:rPr/>
        <w:t>组合中，按账龄分析法计提坏账准备的应收账款：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113" w:space="471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3"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878,409,858.19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43,920,492.91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878,409,858.19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43,920,492.91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376,017,909.04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37,601,790.90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137,457,151.83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27,491,430.37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66,892,004.12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33,446,002.07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28,490,212.58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22,792,170.06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42,369,969.45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42,369,969.45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1,529,637,105.21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207,621,855.76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13.57%</w:t>
            </w:r>
          </w:p>
        </w:tc>
      </w:tr>
    </w:tbl>
    <w:p>
      <w:pPr>
        <w:pStyle w:val="BodyText"/>
        <w:spacing w:line="357" w:lineRule="auto" w:before="49"/>
        <w:ind w:right="6434"/>
        <w:jc w:val="left"/>
      </w:pPr>
      <w:r>
        <w:rPr/>
        <w:t>确定该组合依据的说明： 组合中，采用余额百分比法计提坏账准备的应收账款：</w:t>
      </w:r>
    </w:p>
    <w:p>
      <w:pPr>
        <w:pStyle w:val="BodyText"/>
        <w:spacing w:line="348" w:lineRule="auto" w:before="29"/>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 </w:t>
      </w:r>
      <w:r>
        <w:rPr>
          <w:rFonts w:ascii="Times New Roman" w:hAnsi="Times New Roman" w:cs="Times New Roman" w:eastAsia="Times New Roman" w:hint="default"/>
        </w:rPr>
        <w:t>2)</w:t>
      </w:r>
      <w:r>
        <w:rPr/>
        <w:t>本期计提、收回或转回的坏账准备情况</w:t>
      </w:r>
    </w:p>
    <w:p>
      <w:pPr>
        <w:spacing w:after="0" w:line="348" w:lineRule="auto"/>
        <w:jc w:val="left"/>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5" w:footer="979" w:top="1060" w:bottom="1160" w:left="920" w:right="0"/>
        </w:sectPr>
      </w:pPr>
    </w:p>
    <w:p>
      <w:pPr>
        <w:pStyle w:val="BodyText"/>
        <w:spacing w:line="340" w:lineRule="auto" w:before="44"/>
        <w:ind w:left="212" w:right="-7" w:firstLine="360"/>
        <w:jc w:val="left"/>
      </w:pPr>
      <w:r>
        <w:rPr/>
        <w:t>本期计提坏账准备金额</w:t>
      </w:r>
      <w:r>
        <w:rPr>
          <w:spacing w:val="-48"/>
        </w:rPr>
        <w:t> </w:t>
      </w:r>
      <w:r>
        <w:rPr>
          <w:rFonts w:ascii="Times New Roman" w:hAnsi="Times New Roman" w:cs="Times New Roman" w:eastAsia="Times New Roman" w:hint="default"/>
        </w:rPr>
        <w:t>101,350,780.67</w:t>
      </w:r>
      <w:r>
        <w:rPr>
          <w:rFonts w:ascii="Times New Roman" w:hAnsi="Times New Roman" w:cs="Times New Roman" w:eastAsia="Times New Roman" w:hint="default"/>
          <w:spacing w:val="1"/>
        </w:rPr>
        <w:t> </w:t>
      </w:r>
      <w:r>
        <w:rPr/>
        <w:t>元；本期收回或转回坏账准备金额</w:t>
      </w:r>
      <w:r>
        <w:rPr>
          <w:spacing w:val="-48"/>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212" w:right="0"/>
        <w:jc w:val="left"/>
      </w:pPr>
      <w:r>
        <w:rPr/>
        <w:t>单位：</w:t>
      </w:r>
      <w:r>
        <w:rPr>
          <w:spacing w:val="1"/>
        </w:rPr>
        <w:t> </w:t>
      </w:r>
      <w:r>
        <w:rPr/>
        <w:t>元</w:t>
      </w:r>
    </w:p>
    <w:p>
      <w:pPr>
        <w:spacing w:after="0" w:line="240" w:lineRule="auto"/>
        <w:jc w:val="left"/>
        <w:sectPr>
          <w:type w:val="continuous"/>
          <w:pgSz w:w="11910" w:h="16840"/>
          <w:pgMar w:top="1060" w:bottom="1160" w:left="920" w:right="0"/>
          <w:cols w:num="2" w:equalWidth="0">
            <w:col w:w="7060" w:space="1770"/>
            <w:col w:w="2160"/>
          </w:cols>
        </w:sectPr>
      </w:pPr>
    </w:p>
    <w:p>
      <w:pPr>
        <w:spacing w:line="240" w:lineRule="auto" w:before="4"/>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0"/>
        <w:ind w:left="212" w:right="1168"/>
        <w:jc w:val="left"/>
      </w:pPr>
      <w:r>
        <w:rPr>
          <w:rFonts w:ascii="Times New Roman" w:hAnsi="Times New Roman" w:cs="Times New Roman" w:eastAsia="Times New Roman" w:hint="default"/>
        </w:rPr>
        <w:t>3)</w:t>
      </w:r>
      <w:r>
        <w:rPr/>
        <w:t>本期实际核销的应收账款情况</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left="212" w:right="1168"/>
        <w:jc w:val="left"/>
      </w:pPr>
      <w:r>
        <w:rPr/>
        <w:t>其中重要的应收账款核销情况：</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6"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left="212" w:right="1168"/>
        <w:jc w:val="left"/>
      </w:pPr>
      <w:r>
        <w:rPr/>
        <w:t>应收账款核销说明：</w:t>
      </w:r>
    </w:p>
    <w:p>
      <w:pPr>
        <w:pStyle w:val="BodyText"/>
        <w:spacing w:line="340" w:lineRule="auto" w:before="115"/>
        <w:ind w:left="573" w:right="1168" w:hanging="361"/>
        <w:jc w:val="left"/>
      </w:pPr>
      <w:r>
        <w:rPr>
          <w:rFonts w:ascii="Times New Roman" w:hAnsi="Times New Roman" w:cs="Times New Roman" w:eastAsia="Times New Roman" w:hint="default"/>
        </w:rPr>
        <w:t>4)</w:t>
      </w:r>
      <w:r>
        <w:rPr/>
        <w:t>按欠款方归集的期末余额前五名的应收账款情况</w:t>
      </w:r>
      <w:r>
        <w:rPr>
          <w:w w:val="99"/>
        </w:rPr>
        <w:t> </w:t>
      </w:r>
      <w:r>
        <w:rPr/>
        <w:t>本公司本期按欠款方归集的期末余额前五名应收账款汇总金额为</w:t>
      </w:r>
      <w:r>
        <w:rPr>
          <w:rFonts w:ascii="Times New Roman" w:hAnsi="Times New Roman" w:cs="Times New Roman" w:eastAsia="Times New Roman" w:hint="default"/>
        </w:rPr>
        <w:t>480,654,222.49</w:t>
      </w:r>
      <w:r>
        <w:rPr/>
        <w:t>元，占应收账款期末余额合计数的比例</w:t>
      </w:r>
    </w:p>
    <w:p>
      <w:pPr>
        <w:pStyle w:val="BodyText"/>
        <w:spacing w:line="228" w:lineRule="exact"/>
        <w:ind w:left="212" w:right="1168"/>
        <w:jc w:val="left"/>
      </w:pPr>
      <w:r>
        <w:rPr/>
        <w:t>为</w:t>
      </w:r>
      <w:r>
        <w:rPr>
          <w:rFonts w:ascii="Times New Roman" w:hAnsi="Times New Roman" w:cs="Times New Roman" w:eastAsia="Times New Roman" w:hint="default"/>
        </w:rPr>
        <w:t>30.66%</w:t>
      </w:r>
      <w:r>
        <w:rPr/>
        <w:t>，相应计提的坏账准备期末余额汇总金额为</w:t>
      </w:r>
      <w:r>
        <w:rPr>
          <w:rFonts w:ascii="Times New Roman" w:hAnsi="Times New Roman" w:cs="Times New Roman" w:eastAsia="Times New Roman" w:hint="default"/>
        </w:rPr>
        <w:t>52,124,150.07</w:t>
      </w:r>
      <w:r>
        <w:rPr/>
        <w:t>元。</w:t>
      </w:r>
    </w:p>
    <w:p>
      <w:pPr>
        <w:pStyle w:val="BodyText"/>
        <w:spacing w:line="240" w:lineRule="auto" w:before="103"/>
        <w:ind w:left="212" w:right="1168"/>
        <w:jc w:val="left"/>
      </w:pPr>
      <w:r>
        <w:rPr>
          <w:rFonts w:ascii="Times New Roman" w:hAnsi="Times New Roman" w:cs="Times New Roman" w:eastAsia="Times New Roman" w:hint="default"/>
        </w:rPr>
        <w:t>5)</w:t>
      </w:r>
      <w:r>
        <w:rPr/>
        <w:t>因金融资产转移而终止确认的应收账款</w:t>
      </w:r>
    </w:p>
    <w:p>
      <w:pPr>
        <w:pStyle w:val="BodyText"/>
        <w:spacing w:line="340" w:lineRule="auto" w:before="101"/>
        <w:ind w:left="212" w:right="6824"/>
        <w:jc w:val="left"/>
      </w:pPr>
      <w:r>
        <w:rPr>
          <w:rFonts w:ascii="Times New Roman" w:hAnsi="Times New Roman" w:cs="Times New Roman" w:eastAsia="Times New Roman" w:hint="default"/>
        </w:rPr>
        <w:t>6)</w:t>
      </w:r>
      <w:r>
        <w:rPr/>
        <w:t>转移应收账款且继续涉入形成的资产、负债金额</w:t>
      </w:r>
      <w:r>
        <w:rPr>
          <w:w w:val="99"/>
        </w:rPr>
        <w:t> </w:t>
      </w:r>
      <w:r>
        <w:rPr/>
        <w:t>其他说明：</w:t>
      </w:r>
    </w:p>
    <w:p>
      <w:pPr>
        <w:spacing w:line="240" w:lineRule="auto" w:before="6"/>
        <w:rPr>
          <w:rFonts w:ascii="宋体" w:hAnsi="宋体" w:cs="宋体" w:eastAsia="宋体" w:hint="default"/>
          <w:sz w:val="21"/>
          <w:szCs w:val="21"/>
        </w:rPr>
      </w:pPr>
    </w:p>
    <w:p>
      <w:pPr>
        <w:pStyle w:val="Heading3"/>
        <w:spacing w:line="240" w:lineRule="auto"/>
        <w:ind w:left="212" w:right="1168"/>
        <w:jc w:val="left"/>
        <w:rPr>
          <w:b w:val="0"/>
          <w:bCs w:val="0"/>
        </w:rPr>
      </w:pPr>
      <w:r>
        <w:rPr>
          <w:rFonts w:ascii="Times New Roman" w:hAnsi="Times New Roman" w:cs="Times New Roman" w:eastAsia="Times New Roman" w:hint="default"/>
        </w:rPr>
        <w:t>3</w:t>
      </w:r>
      <w:r>
        <w:rPr/>
        <w:t>、预付款项</w:t>
      </w:r>
      <w:r>
        <w:rPr>
          <w:b w:val="0"/>
          <w:bCs w:val="0"/>
        </w:rPr>
      </w:r>
    </w:p>
    <w:p>
      <w:pPr>
        <w:spacing w:line="240" w:lineRule="auto" w:before="10"/>
        <w:rPr>
          <w:rFonts w:ascii="宋体" w:hAnsi="宋体" w:cs="宋体" w:eastAsia="宋体" w:hint="default"/>
          <w:b/>
          <w:bCs/>
          <w:sz w:val="24"/>
          <w:szCs w:val="24"/>
        </w:rPr>
      </w:pPr>
    </w:p>
    <w:p>
      <w:pPr>
        <w:spacing w:before="0"/>
        <w:ind w:left="212" w:right="116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6" w:type="dxa"/>
        <w:tblLayout w:type="fixed"/>
        <w:tblCellMar>
          <w:top w:w="0" w:type="dxa"/>
          <w:left w:w="0" w:type="dxa"/>
          <w:bottom w:w="0" w:type="dxa"/>
          <w:right w:w="0" w:type="dxa"/>
        </w:tblCellMar>
        <w:tblLook w:val="01E0"/>
      </w:tblPr>
      <w:tblGrid>
        <w:gridCol w:w="1883"/>
        <w:gridCol w:w="1928"/>
        <w:gridCol w:w="1913"/>
        <w:gridCol w:w="1915"/>
        <w:gridCol w:w="1904"/>
      </w:tblGrid>
      <w:tr>
        <w:trPr>
          <w:trHeight w:val="206" w:hRule="exact"/>
        </w:trPr>
        <w:tc>
          <w:tcPr>
            <w:tcW w:w="18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8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1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3"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0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33,683,417.81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96.17%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99,342,610.64</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z w:val="18"/>
              </w:rPr>
              <w:t>98.80%</w:t>
            </w:r>
          </w:p>
        </w:tc>
      </w:tr>
      <w:tr>
        <w:trPr>
          <w:trHeight w:val="404" w:hRule="exact"/>
        </w:trPr>
        <w:tc>
          <w:tcPr>
            <w:tcW w:w="1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1,319,231.40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357,778.79</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0.36%</w:t>
            </w:r>
          </w:p>
        </w:tc>
      </w:tr>
      <w:tr>
        <w:trPr>
          <w:trHeight w:val="401" w:hRule="exact"/>
        </w:trPr>
        <w:tc>
          <w:tcPr>
            <w:tcW w:w="1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20,380.00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9,720.00</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0.01%</w:t>
            </w:r>
          </w:p>
        </w:tc>
      </w:tr>
      <w:tr>
        <w:trPr>
          <w:trHeight w:val="403" w:hRule="exact"/>
        </w:trPr>
        <w:tc>
          <w:tcPr>
            <w:tcW w:w="1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833,172.81</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0.83%</w:t>
            </w:r>
          </w:p>
        </w:tc>
      </w:tr>
      <w:tr>
        <w:trPr>
          <w:trHeight w:val="401" w:hRule="exact"/>
        </w:trPr>
        <w:tc>
          <w:tcPr>
            <w:tcW w:w="1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35,023,029.21</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100,543,282.24</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left="212" w:right="1168"/>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4"/>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4542"/>
        <w:gridCol w:w="2859"/>
        <w:gridCol w:w="2456"/>
      </w:tblGrid>
      <w:tr>
        <w:trPr>
          <w:trHeight w:val="322" w:hRule="exact"/>
        </w:trPr>
        <w:tc>
          <w:tcPr>
            <w:tcW w:w="4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08"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b/>
                <w:bCs/>
                <w:sz w:val="18"/>
                <w:szCs w:val="18"/>
              </w:rPr>
              <w:t>未结算原因</w:t>
            </w:r>
            <w:r>
              <w:rPr>
                <w:rFonts w:ascii="宋体" w:hAnsi="宋体" w:cs="宋体" w:eastAsia="宋体" w:hint="default"/>
                <w:sz w:val="18"/>
                <w:szCs w:val="18"/>
              </w:rPr>
            </w:r>
          </w:p>
        </w:tc>
      </w:tr>
      <w:tr>
        <w:trPr>
          <w:trHeight w:val="322" w:hRule="exact"/>
        </w:trPr>
        <w:tc>
          <w:tcPr>
            <w:tcW w:w="4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深圳市华富洋供应链有限公司</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1,319,231.40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尚未结清的材料</w:t>
            </w:r>
          </w:p>
        </w:tc>
      </w:tr>
      <w:tr>
        <w:trPr>
          <w:trHeight w:val="322" w:hRule="exact"/>
        </w:trPr>
        <w:tc>
          <w:tcPr>
            <w:tcW w:w="4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1,319,231.40</w:t>
            </w:r>
          </w:p>
        </w:tc>
        <w:tc>
          <w:tcPr>
            <w:tcW w:w="245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2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spacing w:val="-1"/>
        </w:rPr>
        <w:t>本公司本期按欠款方归集的期末余额前五名预收款项汇总金额为</w:t>
      </w:r>
      <w:r>
        <w:rPr>
          <w:rFonts w:ascii="Times New Roman" w:hAnsi="Times New Roman" w:cs="Times New Roman" w:eastAsia="Times New Roman" w:hint="default"/>
          <w:spacing w:val="-1"/>
        </w:rPr>
        <w:t>16,447,871.40</w:t>
      </w:r>
      <w:r>
        <w:rPr>
          <w:spacing w:val="-1"/>
        </w:rPr>
        <w:t>元，占预付款项期末余额合计数的比例为</w:t>
      </w:r>
    </w:p>
    <w:p>
      <w:pPr>
        <w:pStyle w:val="BodyText"/>
        <w:spacing w:line="240" w:lineRule="auto" w:before="63"/>
        <w:ind w:right="1133"/>
        <w:jc w:val="left"/>
      </w:pPr>
      <w:r>
        <w:rPr>
          <w:rFonts w:ascii="Times New Roman" w:hAnsi="Times New Roman" w:cs="Times New Roman" w:eastAsia="Times New Roman" w:hint="default"/>
        </w:rPr>
        <w:t>46.96%</w:t>
      </w:r>
      <w:r>
        <w:rPr/>
        <w:t>。</w:t>
      </w:r>
    </w:p>
    <w:p>
      <w:pPr>
        <w:pStyle w:val="BodyText"/>
        <w:spacing w:line="240" w:lineRule="auto" w:before="103"/>
        <w:ind w:right="1133"/>
        <w:jc w:val="left"/>
      </w:pPr>
      <w:r>
        <w:rPr/>
        <w:t>其他说明：</w:t>
      </w:r>
    </w:p>
    <w:p>
      <w:pPr>
        <w:pStyle w:val="BodyText"/>
        <w:spacing w:line="240" w:lineRule="auto" w:before="115"/>
        <w:ind w:left="513" w:right="1133"/>
        <w:jc w:val="left"/>
      </w:pPr>
      <w:r>
        <w:rPr/>
        <w:t>年末预付款项中无持本公司</w:t>
      </w:r>
      <w:r>
        <w:rPr>
          <w:rFonts w:ascii="Times New Roman" w:hAnsi="Times New Roman" w:cs="Times New Roman" w:eastAsia="Times New Roman" w:hint="default"/>
        </w:rPr>
        <w:t>5</w:t>
      </w:r>
      <w:r>
        <w:rPr/>
        <w:t>％以上</w:t>
      </w:r>
      <w:r>
        <w:rPr>
          <w:rFonts w:ascii="Times New Roman" w:hAnsi="Times New Roman" w:cs="Times New Roman" w:eastAsia="Times New Roman" w:hint="default"/>
        </w:rPr>
        <w:t>(</w:t>
      </w:r>
      <w:r>
        <w:rPr/>
        <w:t>含</w:t>
      </w:r>
      <w:r>
        <w:rPr>
          <w:rFonts w:ascii="Times New Roman" w:hAnsi="Times New Roman" w:cs="Times New Roman" w:eastAsia="Times New Roman" w:hint="default"/>
        </w:rPr>
        <w:t>5</w:t>
      </w:r>
      <w:r>
        <w:rPr/>
        <w:t>％</w:t>
      </w:r>
      <w:r>
        <w:rPr>
          <w:rFonts w:ascii="Times New Roman" w:hAnsi="Times New Roman" w:cs="Times New Roman" w:eastAsia="Times New Roman" w:hint="default"/>
        </w:rPr>
        <w:t>)</w:t>
      </w:r>
      <w:r>
        <w:rPr/>
        <w:t>表决权股份的股东单位欠款。</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、其他应收款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211,898,681.18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157,761,683.50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211,898,681.18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157,761,683.50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应收利息分类</w:t>
      </w:r>
    </w:p>
    <w:p>
      <w:pPr>
        <w:pStyle w:val="BodyText"/>
        <w:spacing w:line="240" w:lineRule="auto" w:before="103"/>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133"/>
        <w:jc w:val="left"/>
      </w:pPr>
      <w:r>
        <w:rPr>
          <w:rFonts w:ascii="Times New Roman" w:hAnsi="Times New Roman" w:cs="Times New Roman" w:eastAsia="Times New Roman" w:hint="default"/>
        </w:rPr>
        <w:t>2)</w:t>
      </w:r>
      <w:r>
        <w:rPr/>
        <w:t>重要逾期利息</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04"/>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3" w:right="39"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1"/>
        <w:ind w:right="1133"/>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应收股利</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133"/>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04"/>
      </w:tblGrid>
      <w:tr>
        <w:trPr>
          <w:trHeight w:val="716"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3" w:right="39"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9"/>
        <w:ind w:right="1133"/>
        <w:jc w:val="left"/>
      </w:pPr>
      <w:r>
        <w:rPr/>
        <w:t>其他说明：</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其他应收款分类披露</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402"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4,300,00</w:t>
            </w:r>
          </w:p>
          <w:p>
            <w:pPr>
              <w:pStyle w:val="TableParagraph"/>
              <w:spacing w:line="240" w:lineRule="auto" w:before="103"/>
              <w:ind w:left="422" w:right="0"/>
              <w:jc w:val="left"/>
              <w:rPr>
                <w:rFonts w:ascii="Times New Roman" w:hAnsi="Times New Roman" w:cs="Times New Roman" w:eastAsia="Times New Roman" w:hint="default"/>
                <w:sz w:val="18"/>
                <w:szCs w:val="18"/>
              </w:rPr>
            </w:pPr>
            <w:r>
              <w:rPr>
                <w:rFonts w:ascii="Times New Roman"/>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4,300,00</w:t>
            </w:r>
          </w:p>
          <w:p>
            <w:pPr>
              <w:pStyle w:val="TableParagraph"/>
              <w:spacing w:line="240" w:lineRule="auto" w:before="103"/>
              <w:ind w:left="415" w:right="0"/>
              <w:jc w:val="lef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233,544,</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074.50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98.19%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21,645,3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93.32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211,898,6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81.18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173,171</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,033.06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15,409,34</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9.56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8.90%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157,761,68</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3.50</w:t>
            </w:r>
          </w:p>
        </w:tc>
      </w:tr>
      <w:tr>
        <w:trPr>
          <w:trHeight w:val="163"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3"/>
              <w:ind w:left="84" w:right="0"/>
              <w:jc w:val="center"/>
              <w:rPr>
                <w:rFonts w:ascii="Times New Roman" w:hAnsi="Times New Roman" w:cs="Times New Roman" w:eastAsia="Times New Roman" w:hint="default"/>
                <w:sz w:val="18"/>
                <w:szCs w:val="18"/>
              </w:rPr>
            </w:pPr>
            <w:r>
              <w:rPr>
                <w:rFonts w:ascii="Times New Roman"/>
                <w:sz w:val="18"/>
              </w:rPr>
              <w:t>237,844,</w:t>
            </w:r>
          </w:p>
          <w:p>
            <w:pPr>
              <w:pStyle w:val="TableParagraph"/>
              <w:spacing w:line="240" w:lineRule="auto" w:before="102"/>
              <w:ind w:left="221" w:right="0"/>
              <w:jc w:val="center"/>
              <w:rPr>
                <w:rFonts w:ascii="Times New Roman" w:hAnsi="Times New Roman" w:cs="Times New Roman" w:eastAsia="Times New Roman" w:hint="default"/>
                <w:sz w:val="18"/>
                <w:szCs w:val="18"/>
              </w:rPr>
            </w:pPr>
            <w:r>
              <w:rPr>
                <w:rFonts w:ascii="Times New Roman"/>
                <w:sz w:val="18"/>
              </w:rPr>
              <w:t>074.50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25,945,3</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93.32</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10.91%</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211,898,6</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81.18</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173,171</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,033.06</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15,409,34</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9.56</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8.90%</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157,761,68</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3.50</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pStyle w:val="BodyText"/>
        <w:spacing w:line="240" w:lineRule="auto" w:before="49"/>
        <w:ind w:right="-20"/>
        <w:jc w:val="left"/>
      </w:pPr>
      <w:r>
        <w:rPr/>
        <w:t>期末单项金额重大并单项计提坏账准备的其他应收款：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473" w:space="435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深圳智拓联科技有限责 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0"/>
              <w:jc w:val="left"/>
              <w:rPr>
                <w:rFonts w:ascii="宋体" w:hAnsi="宋体" w:cs="宋体" w:eastAsia="宋体" w:hint="default"/>
                <w:sz w:val="18"/>
                <w:szCs w:val="18"/>
              </w:rPr>
            </w:pPr>
            <w:r>
              <w:rPr>
                <w:rFonts w:ascii="宋体" w:hAnsi="宋体" w:cs="宋体" w:eastAsia="宋体" w:hint="default"/>
                <w:sz w:val="18"/>
                <w:szCs w:val="18"/>
              </w:rPr>
              <w:t>公司的股权已被法院冻 结，预计无法收回</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深圳市深百世科技有限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4,300,000.00</w:t>
            </w:r>
          </w:p>
        </w:tc>
        <w:tc>
          <w:tcPr>
            <w:tcW w:w="191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4,300,000.00</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49"/>
        <w:ind w:right="-20"/>
        <w:jc w:val="left"/>
      </w:pPr>
      <w:r>
        <w:rPr/>
        <w:t>组合中，按账龄分析法计提坏账准备的其他应收款：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293" w:space="453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9"/>
        <w:gridCol w:w="2393"/>
        <w:gridCol w:w="2393"/>
        <w:gridCol w:w="2393"/>
      </w:tblGrid>
      <w:tr>
        <w:trPr>
          <w:trHeight w:val="206" w:hRule="exact"/>
        </w:trPr>
        <w:tc>
          <w:tcPr>
            <w:tcW w:w="2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9"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379"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141,982,484.86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7,099,124.25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81,644,008.29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8,164,400.83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965,261.10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193,052.22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4,881,870.09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2,440,935.05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1,612,845.93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1,290,276.74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2,457,604.23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2,457,604.23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233,544,074.50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21,645,393.32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9.27%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pStyle w:val="BodyText"/>
        <w:spacing w:line="357" w:lineRule="auto" w:before="49"/>
        <w:ind w:right="2235"/>
        <w:jc w:val="left"/>
      </w:pPr>
      <w:r>
        <w:rPr/>
        <w:t>确定该组合依据的说明： 相同账龄的其他应收款项具有类似信用风险特征。 组合中，采用余额百分比法计提坏账准备的其他应收款：</w:t>
      </w:r>
    </w:p>
    <w:p>
      <w:pPr>
        <w:pStyle w:val="BodyText"/>
        <w:spacing w:line="338" w:lineRule="auto" w:before="29"/>
        <w:ind w:right="259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3"/>
        <w:ind w:right="2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2235"/>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2"/>
        <w:ind w:right="-12" w:firstLine="360"/>
        <w:jc w:val="left"/>
      </w:pPr>
      <w:r>
        <w:rPr/>
        <w:t>本期计提坏账准备金额</w:t>
      </w:r>
      <w:r>
        <w:rPr>
          <w:spacing w:val="-47"/>
        </w:rPr>
        <w:t> </w:t>
      </w:r>
      <w:r>
        <w:rPr>
          <w:rFonts w:ascii="Times New Roman" w:hAnsi="Times New Roman" w:cs="Times New Roman" w:eastAsia="Times New Roman" w:hint="default"/>
        </w:rPr>
        <w:t>10,536,854.71</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5"/>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6908" w:space="1921"/>
            <w:col w:w="2101"/>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49"/>
        <w:ind w:right="1133"/>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1133"/>
        <w:jc w:val="left"/>
      </w:pPr>
      <w:r>
        <w:rPr/>
        <w:t>其中重要的其他应收款核销情况：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6"/>
      </w:tblGrid>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pStyle w:val="BodyText"/>
        <w:spacing w:line="240" w:lineRule="auto" w:before="49"/>
        <w:ind w:right="-18"/>
        <w:jc w:val="left"/>
      </w:pPr>
      <w:r>
        <w:rPr/>
        <w:t>其他应收款核销说明：</w:t>
      </w:r>
    </w:p>
    <w:p>
      <w:pPr>
        <w:pStyle w:val="BodyText"/>
        <w:spacing w:line="240" w:lineRule="auto" w:before="117"/>
        <w:ind w:right="-18"/>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825" w:space="6004"/>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7,429,921.91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7,429,221.43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171,451,847.77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114,551,897.73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52,011,589.32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44,260,528.00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应收暂付及其他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6,950,715.50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6,929,385.90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237,844,074.50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173,171,033.06</w:t>
            </w:r>
          </w:p>
        </w:tc>
      </w:tr>
    </w:tbl>
    <w:p>
      <w:pPr>
        <w:pStyle w:val="BodyText"/>
        <w:spacing w:line="240" w:lineRule="auto" w:before="49"/>
        <w:ind w:right="1133"/>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12.61%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8.41%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120,000,000.00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50.45%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9,500,000.00</w:t>
            </w:r>
          </w:p>
        </w:tc>
      </w:tr>
    </w:tbl>
    <w:p>
      <w:pPr>
        <w:pStyle w:val="BodyText"/>
        <w:spacing w:line="240" w:lineRule="auto" w:before="49"/>
        <w:ind w:right="1133"/>
        <w:jc w:val="left"/>
      </w:pPr>
      <w:r>
        <w:rPr>
          <w:rFonts w:ascii="Times New Roman" w:hAnsi="Times New Roman" w:cs="Times New Roman" w:eastAsia="Times New Roman" w:hint="default"/>
        </w:rPr>
        <w:t>6)</w:t>
      </w:r>
      <w:r>
        <w:rPr/>
        <w:t>涉及政府补助的应收款项</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06"/>
      </w:tblGrid>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84" w:right="41"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49"/>
        <w:ind w:right="1133"/>
        <w:jc w:val="left"/>
      </w:pPr>
      <w:r>
        <w:rPr>
          <w:rFonts w:ascii="Times New Roman" w:hAnsi="Times New Roman" w:cs="Times New Roman" w:eastAsia="Times New Roman" w:hint="default"/>
        </w:rPr>
        <w:t>7)</w:t>
      </w:r>
      <w:r>
        <w:rPr/>
        <w:t>因金融资产转移而终止确认的其他应收款</w:t>
      </w:r>
    </w:p>
    <w:p>
      <w:pPr>
        <w:pStyle w:val="BodyText"/>
        <w:spacing w:line="340" w:lineRule="auto" w:before="102"/>
        <w:ind w:right="6644"/>
        <w:jc w:val="left"/>
      </w:pPr>
      <w:r>
        <w:rPr>
          <w:rFonts w:ascii="Times New Roman" w:hAnsi="Times New Roman" w:cs="Times New Roman" w:eastAsia="Times New Roman" w:hint="default"/>
        </w:rPr>
        <w:t>8)</w:t>
      </w:r>
      <w:r>
        <w:rPr/>
        <w:t>转移其他应收款且继续涉入形成的资产、负债金额</w:t>
      </w:r>
      <w:r>
        <w:rPr>
          <w:w w:val="99"/>
        </w:rPr>
        <w:t> </w:t>
      </w:r>
      <w:r>
        <w:rPr/>
        <w:t>其他说明：</w:t>
      </w:r>
    </w:p>
    <w:p>
      <w:pPr>
        <w:pStyle w:val="BodyText"/>
        <w:spacing w:line="240" w:lineRule="auto" w:before="39"/>
        <w:ind w:left="513" w:right="1133"/>
        <w:jc w:val="left"/>
      </w:pPr>
      <w:r>
        <w:rPr/>
        <w:t>年末其他应收款中无持本公司</w:t>
      </w:r>
      <w:r>
        <w:rPr>
          <w:spacing w:val="-45"/>
        </w:rPr>
        <w:t> </w:t>
      </w:r>
      <w:r>
        <w:rPr>
          <w:rFonts w:ascii="Times New Roman" w:hAnsi="Times New Roman" w:cs="Times New Roman" w:eastAsia="Times New Roman" w:hint="default"/>
        </w:rPr>
        <w:t>5</w:t>
      </w:r>
      <w:r>
        <w:rPr/>
        <w:t>％以上</w:t>
      </w:r>
      <w:r>
        <w:rPr>
          <w:rFonts w:ascii="Times New Roman" w:hAnsi="Times New Roman" w:cs="Times New Roman" w:eastAsia="Times New Roman" w:hint="default"/>
        </w:rPr>
        <w:t>(</w:t>
      </w:r>
      <w:r>
        <w:rPr/>
        <w:t>含</w:t>
      </w:r>
      <w:r>
        <w:rPr>
          <w:spacing w:val="-46"/>
        </w:rPr>
        <w:t> </w:t>
      </w:r>
      <w:r>
        <w:rPr>
          <w:rFonts w:ascii="Times New Roman" w:hAnsi="Times New Roman" w:cs="Times New Roman" w:eastAsia="Times New Roman" w:hint="default"/>
        </w:rPr>
        <w:t>5</w:t>
      </w:r>
      <w:r>
        <w:rPr/>
        <w:t>％</w:t>
      </w:r>
      <w:r>
        <w:rPr>
          <w:rFonts w:ascii="Times New Roman" w:hAnsi="Times New Roman" w:cs="Times New Roman" w:eastAsia="Times New Roman" w:hint="default"/>
        </w:rPr>
        <w:t>)</w:t>
      </w:r>
      <w:r>
        <w:rPr/>
        <w:t>表决权股份的股东单位欠款。</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514"/>
        <w:jc w:val="left"/>
      </w:pPr>
      <w:r>
        <w:rPr/>
        <w:t>公司是否需要遵守房地产行业的披露要求 否</w:t>
      </w:r>
    </w:p>
    <w:p>
      <w:pPr>
        <w:spacing w:line="240" w:lineRule="auto" w:before="2"/>
        <w:rPr>
          <w:rFonts w:ascii="宋体" w:hAnsi="宋体" w:cs="宋体" w:eastAsia="宋体" w:hint="default"/>
          <w:sz w:val="20"/>
          <w:szCs w:val="20"/>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145,058,936.47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61,695,802.45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83,363,134.02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119,770,250.99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14,227,480.83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105,542,770.16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13,215,190.94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13,215,190.94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48,821,843.56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48,821,843.56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181,286,627.69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73,175,888.32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108,110,739.37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119,434,909.67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10,834,780.20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108,600,129.47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委托加工材料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2,533,768.16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303,267.15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2,230,501.01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36,037,054.22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36,037,054.22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459,106.10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459,106.10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686,683.04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686,683.04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10,491,717.60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10,491,717.60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14,218,847.88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14,218,847.88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353,045,346.96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135,174,957.92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217,870,389.04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338,969,589.36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25,062,261.03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313,907,328.33</w:t>
            </w:r>
          </w:p>
        </w:tc>
      </w:tr>
    </w:tbl>
    <w:p>
      <w:pPr>
        <w:pStyle w:val="BodyText"/>
        <w:spacing w:line="338" w:lineRule="auto" w:before="49"/>
        <w:ind w:right="2476"/>
        <w:jc w:val="left"/>
      </w:pPr>
      <w:r>
        <w:rPr/>
        <w:t>公司是否需遵守《深圳证券交易所行业信息披露指引第</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38" w:lineRule="auto" w:before="43"/>
        <w:ind w:right="2752"/>
        <w:jc w:val="left"/>
      </w:pPr>
      <w:r>
        <w:rPr/>
        <w:t>公司需遵守《深圳证券交易所行业信息披露指引第</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207"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14,227,480.83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50,308,318.26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2,840,469.65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61,695,802.45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10,834,780.20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63,395,389.97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1,053,808.84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73,175,888.32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委托加工材料</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303,267.15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303,267.15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25,062,261.03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114,006,975.38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3,894,278.49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135,174,957.92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）期末建造合同形成的已完工未结算资产情况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0"/>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6</w:t>
      </w:r>
      <w:r>
        <w:rPr/>
        <w:t>、一年内到期的非流动资产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一年内到期的长期应收款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124,089,020.60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96,635,064.72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124,089,020.60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96,635,064.72</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7</w:t>
      </w:r>
      <w:r>
        <w:rPr/>
        <w:t>、其他流动资产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369,500,000.00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93,903,230.10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91,555,121.78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10,197,645.57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2,176,639.68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157.07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票据贴现费用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7,360,318.13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3,936,809.60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185,961,404.20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467,168,728.13</w:t>
            </w:r>
          </w:p>
        </w:tc>
      </w:tr>
    </w:tbl>
    <w:p>
      <w:pPr>
        <w:pStyle w:val="BodyText"/>
        <w:spacing w:line="240" w:lineRule="auto" w:before="49"/>
        <w:ind w:right="1133"/>
        <w:jc w:val="left"/>
      </w:pPr>
      <w:r>
        <w:rPr/>
        <w:t>其他说明：</w:t>
      </w:r>
    </w:p>
    <w:p>
      <w:pPr>
        <w:pStyle w:val="BodyText"/>
        <w:spacing w:line="240" w:lineRule="auto" w:before="115"/>
        <w:ind w:left="513" w:right="1133"/>
        <w:jc w:val="left"/>
      </w:pPr>
      <w:r>
        <w:rPr/>
        <w:t>金信科技本年银行承兑汇票贴现费用</w:t>
      </w:r>
      <w:r>
        <w:rPr>
          <w:rFonts w:ascii="Times New Roman" w:hAnsi="Times New Roman" w:cs="Times New Roman" w:eastAsia="Times New Roman" w:hint="default"/>
        </w:rPr>
        <w:t>18,304,961.98</w:t>
      </w:r>
      <w:r>
        <w:rPr/>
        <w:t>元，按票据贴现期限摊销，剩余金额为</w:t>
      </w:r>
      <w:r>
        <w:rPr>
          <w:rFonts w:ascii="Times New Roman" w:hAnsi="Times New Roman" w:cs="Times New Roman" w:eastAsia="Times New Roman" w:hint="default"/>
        </w:rPr>
        <w:t>7,360,318.13</w:t>
      </w:r>
      <w:r>
        <w:rPr/>
        <w:t>元。</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8</w:t>
      </w:r>
      <w:r>
        <w:rPr/>
        <w:t>、可供出售金融资产</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）可供出售金融资产情况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1"/>
        <w:gridCol w:w="1195"/>
        <w:gridCol w:w="1198"/>
        <w:gridCol w:w="1196"/>
        <w:gridCol w:w="1248"/>
        <w:gridCol w:w="1369"/>
        <w:gridCol w:w="1366"/>
      </w:tblGrid>
      <w:tr>
        <w:trPr>
          <w:trHeight w:val="206"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8"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84,795,848.15</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84,795,848.15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94,784,169.23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94,784,169.23</w:t>
            </w:r>
          </w:p>
        </w:tc>
      </w:tr>
      <w:tr>
        <w:trPr>
          <w:trHeight w:val="403"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按成本计量的</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84,795,848.15</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84,795,848.15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94,784,169.23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94,784,169.23</w:t>
            </w:r>
          </w:p>
        </w:tc>
      </w:tr>
      <w:tr>
        <w:trPr>
          <w:trHeight w:val="401"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84,795,848.15</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84,795,848.15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94,784,169.23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94,784,169.23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925"/>
        <w:gridCol w:w="1916"/>
        <w:gridCol w:w="1913"/>
        <w:gridCol w:w="1916"/>
      </w:tblGrid>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3" w:type="dxa"/>
            <w:tcBorders>
              <w:top w:val="single" w:sz="4" w:space="0" w:color="000000"/>
              <w:left w:val="single" w:sz="13" w:space="0" w:color="D2D2D2"/>
              <w:bottom w:val="single" w:sz="4" w:space="0" w:color="000000"/>
              <w:right w:val="single" w:sz="13" w:space="0" w:color="D2D2D2"/>
            </w:tcBorders>
            <w:shd w:val="clear" w:color="auto" w:fill="E0FFFF"/>
          </w:tcPr>
          <w:p>
            <w:pPr/>
          </w:p>
        </w:tc>
        <w:tc>
          <w:tcPr>
            <w:tcW w:w="1916"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7"/>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 具的摊余成本</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84,795,848.15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84,795,848.15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1"/>
        <w:gridCol w:w="869"/>
        <w:gridCol w:w="871"/>
        <w:gridCol w:w="869"/>
        <w:gridCol w:w="871"/>
        <w:gridCol w:w="869"/>
        <w:gridCol w:w="872"/>
        <w:gridCol w:w="869"/>
        <w:gridCol w:w="871"/>
      </w:tblGrid>
      <w:tr>
        <w:trPr>
          <w:trHeight w:val="403" w:hRule="exact"/>
        </w:trPr>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6"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4"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7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江苏睿博 数据技术 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15,250,000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15.65%</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深圳市鹏 鼎创盈金 融信息服 务股份有 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2.68%</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08"/>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江苏中茂 节能环保 产业创业 投资基金 合伙企业 </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25,244,169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.23</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1,238,321.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24,005,848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.15</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6.49%</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深圳盛灿 科技股份 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8.33%</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1"/>
        <w:gridCol w:w="869"/>
        <w:gridCol w:w="871"/>
        <w:gridCol w:w="869"/>
        <w:gridCol w:w="871"/>
        <w:gridCol w:w="869"/>
        <w:gridCol w:w="872"/>
        <w:gridCol w:w="869"/>
        <w:gridCol w:w="871"/>
      </w:tblGrid>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杭州益趣 科技有限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4,290,000.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4,290,000.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8.82%</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8"/>
              <w:jc w:val="both"/>
              <w:rPr>
                <w:rFonts w:ascii="宋体" w:hAnsi="宋体" w:cs="宋体" w:eastAsia="宋体" w:hint="default"/>
                <w:sz w:val="18"/>
                <w:szCs w:val="18"/>
              </w:rPr>
            </w:pPr>
            <w:r>
              <w:rPr>
                <w:rFonts w:ascii="宋体" w:hAnsi="宋体" w:cs="宋体" w:eastAsia="宋体" w:hint="default"/>
                <w:sz w:val="18"/>
                <w:szCs w:val="18"/>
              </w:rPr>
              <w:t>湖北神狐 时代云科 技有限公 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18.75%</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94,784,169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41,250,000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51,238,321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84,795,848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.15</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spacing w:before="36"/>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）报告期内可供出售金融资产减值的变动情况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4"/>
        <w:gridCol w:w="1903"/>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13" w:space="0" w:color="D2D2D2"/>
            </w:tcBorders>
            <w:shd w:val="clear" w:color="auto" w:fill="E0FFFF"/>
          </w:tcPr>
          <w:p>
            <w:pPr/>
          </w:p>
        </w:tc>
        <w:tc>
          <w:tcPr>
            <w:tcW w:w="1903"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9" w:right="46" w:hanging="361"/>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46"/>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49"/>
        <w:ind w:right="1133"/>
        <w:jc w:val="left"/>
      </w:pPr>
      <w:r>
        <w:rPr/>
        <w:t>其他说明</w:t>
      </w:r>
    </w:p>
    <w:p>
      <w:pPr>
        <w:pStyle w:val="BodyText"/>
        <w:spacing w:line="300" w:lineRule="auto" w:before="117"/>
        <w:ind w:right="1139" w:firstLine="360"/>
        <w:jc w:val="left"/>
      </w:pPr>
      <w:r>
        <w:rPr>
          <w:rFonts w:ascii="Times New Roman" w:hAnsi="Times New Roman" w:cs="Times New Roman" w:eastAsia="Times New Roman" w:hint="default"/>
        </w:rPr>
        <w:t>2018</w:t>
      </w:r>
      <w:r>
        <w:rPr/>
        <w:t>年度公司向深圳盛灿科技股份有限公司</w:t>
      </w:r>
      <w:r>
        <w:rPr>
          <w:rFonts w:ascii="Times New Roman" w:hAnsi="Times New Roman" w:cs="Times New Roman" w:eastAsia="Times New Roman" w:hint="default"/>
        </w:rPr>
        <w:t>(</w:t>
      </w:r>
      <w:r>
        <w:rPr/>
        <w:t>以下简称盛灿科技</w:t>
      </w:r>
      <w:r>
        <w:rPr>
          <w:rFonts w:ascii="Times New Roman" w:hAnsi="Times New Roman" w:cs="Times New Roman" w:eastAsia="Times New Roman" w:hint="default"/>
        </w:rPr>
        <w:t>)</w:t>
      </w:r>
      <w:r>
        <w:rPr/>
        <w:t>以</w:t>
      </w:r>
      <w:r>
        <w:rPr>
          <w:rFonts w:ascii="Times New Roman" w:hAnsi="Times New Roman" w:cs="Times New Roman" w:eastAsia="Times New Roman" w:hint="default"/>
        </w:rPr>
        <w:t>20,002,921.23</w:t>
      </w:r>
      <w:r>
        <w:rPr/>
        <w:t>元进行增资，其中认缴新增加的注册资 本</w:t>
      </w:r>
      <w:r>
        <w:rPr>
          <w:rFonts w:ascii="Times New Roman" w:hAnsi="Times New Roman" w:cs="Times New Roman" w:eastAsia="Times New Roman" w:hint="default"/>
        </w:rPr>
        <w:t>1,309,949.00</w:t>
      </w:r>
      <w:r>
        <w:rPr/>
        <w:t>元，其余作为盛灿科技的资本公积，公司持有盛灿科技的股权比例由</w:t>
      </w:r>
      <w:r>
        <w:rPr>
          <w:rFonts w:ascii="Times New Roman" w:hAnsi="Times New Roman" w:cs="Times New Roman" w:eastAsia="Times New Roman" w:hint="default"/>
        </w:rPr>
        <w:t>8.3334%</w:t>
      </w:r>
      <w:r>
        <w:rPr/>
        <w:t>增加至</w:t>
      </w:r>
      <w:r>
        <w:rPr>
          <w:rFonts w:ascii="Times New Roman" w:hAnsi="Times New Roman" w:cs="Times New Roman" w:eastAsia="Times New Roman" w:hint="default"/>
        </w:rPr>
        <w:t>12.5834%</w:t>
      </w:r>
      <w:r>
        <w:rPr/>
        <w:t>。</w:t>
      </w:r>
    </w:p>
    <w:p>
      <w:pPr>
        <w:pStyle w:val="BodyText"/>
        <w:spacing w:line="300" w:lineRule="auto" w:before="13"/>
        <w:ind w:left="513" w:right="1183"/>
        <w:jc w:val="left"/>
      </w:pPr>
      <w:r>
        <w:rPr>
          <w:rFonts w:ascii="Times New Roman" w:hAnsi="Times New Roman" w:cs="Times New Roman" w:eastAsia="Times New Roman" w:hint="default"/>
        </w:rPr>
        <w:t>(1)</w:t>
      </w:r>
      <w:r>
        <w:rPr/>
        <w:t>公司派出公司副总裁、董事会秘书傅德亮出任盛灿科技的董事。</w:t>
      </w:r>
      <w:r>
        <w:rPr>
          <w:w w:val="99"/>
        </w:rPr>
        <w:t> </w:t>
      </w:r>
      <w:r>
        <w:rPr>
          <w:rFonts w:ascii="Times New Roman" w:hAnsi="Times New Roman" w:cs="Times New Roman" w:eastAsia="Times New Roman" w:hint="default"/>
        </w:rPr>
        <w:t>(2)</w:t>
      </w:r>
      <w:r>
        <w:rPr/>
        <w:t>公司对盛灿科技的增资，主要系为推动金融科技及智慧城市业务的资源整合，发挥产业协同效应，进一步完善公司</w:t>
      </w:r>
    </w:p>
    <w:p>
      <w:pPr>
        <w:pStyle w:val="BodyText"/>
        <w:spacing w:line="240" w:lineRule="auto" w:before="13"/>
        <w:ind w:right="1133"/>
        <w:jc w:val="left"/>
      </w:pPr>
      <w:r>
        <w:rPr/>
        <w:t>的业务布局。</w:t>
      </w:r>
    </w:p>
    <w:p>
      <w:pPr>
        <w:pStyle w:val="BodyText"/>
        <w:spacing w:line="300" w:lineRule="auto" w:before="76"/>
        <w:ind w:left="513" w:right="1034"/>
        <w:jc w:val="left"/>
      </w:pPr>
      <w:r>
        <w:rPr>
          <w:rFonts w:ascii="Times New Roman" w:hAnsi="Times New Roman" w:cs="Times New Roman" w:eastAsia="Times New Roman" w:hint="default"/>
          <w:spacing w:val="-3"/>
        </w:rPr>
        <w:t>(3)</w:t>
      </w:r>
      <w:r>
        <w:rPr>
          <w:spacing w:val="-3"/>
        </w:rPr>
        <w:t>盛灿科技的董事会由</w:t>
      </w:r>
      <w:r>
        <w:rPr>
          <w:rFonts w:ascii="Times New Roman" w:hAnsi="Times New Roman" w:cs="Times New Roman" w:eastAsia="Times New Roman" w:hint="default"/>
          <w:spacing w:val="-3"/>
        </w:rPr>
        <w:t>6</w:t>
      </w:r>
      <w:r>
        <w:rPr>
          <w:spacing w:val="-3"/>
        </w:rPr>
        <w:t>名董事组成，董事会作出决议必须经全体董事的过半数通过。董事会决议的表决被告一人一票。</w:t>
      </w:r>
      <w:r>
        <w:rPr>
          <w:spacing w:val="-40"/>
        </w:rPr>
        <w:t> </w:t>
      </w:r>
      <w:r>
        <w:rPr>
          <w:spacing w:val="-40"/>
        </w:rPr>
      </w:r>
      <w:r>
        <w:rPr>
          <w:spacing w:val="-2"/>
        </w:rPr>
        <w:t>因此，公司对盛灿科技的财务和经营政策有参与决策的权力，能够施加重大影响，将对盛灿科技的投资从可供出售金融</w:t>
      </w:r>
    </w:p>
    <w:p>
      <w:pPr>
        <w:pStyle w:val="BodyText"/>
        <w:spacing w:line="240" w:lineRule="auto" w:before="31"/>
        <w:ind w:right="1133"/>
        <w:jc w:val="left"/>
      </w:pPr>
      <w:r>
        <w:rPr/>
        <w:t>资产调至长期股权投资。</w:t>
      </w:r>
    </w:p>
    <w:p>
      <w:pPr>
        <w:spacing w:line="240" w:lineRule="auto" w:before="0"/>
        <w:rPr>
          <w:rFonts w:ascii="宋体" w:hAnsi="宋体" w:cs="宋体" w:eastAsia="宋体" w:hint="default"/>
          <w:sz w:val="18"/>
          <w:szCs w:val="18"/>
        </w:rPr>
      </w:pPr>
    </w:p>
    <w:p>
      <w:pPr>
        <w:pStyle w:val="Heading3"/>
        <w:spacing w:line="240" w:lineRule="auto" w:before="121"/>
        <w:ind w:right="1133"/>
        <w:jc w:val="left"/>
        <w:rPr>
          <w:b w:val="0"/>
          <w:bCs w:val="0"/>
        </w:rPr>
      </w:pPr>
      <w:r>
        <w:rPr>
          <w:rFonts w:ascii="Times New Roman" w:hAnsi="Times New Roman" w:cs="Times New Roman" w:eastAsia="Times New Roman" w:hint="default"/>
        </w:rPr>
        <w:t>9</w:t>
      </w:r>
      <w:r>
        <w:rPr/>
        <w:t>、长期应收款</w:t>
      </w:r>
      <w:r>
        <w:rPr>
          <w:b w:val="0"/>
          <w:bCs w:val="0"/>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）长期应收款情况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92"/>
        <w:gridCol w:w="1166"/>
        <w:gridCol w:w="1167"/>
        <w:gridCol w:w="1226"/>
        <w:gridCol w:w="1275"/>
        <w:gridCol w:w="1001"/>
        <w:gridCol w:w="1268"/>
        <w:gridCol w:w="1063"/>
      </w:tblGrid>
      <w:tr>
        <w:trPr>
          <w:trHeight w:val="206" w:hRule="exact"/>
        </w:trPr>
        <w:tc>
          <w:tcPr>
            <w:tcW w:w="1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356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4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192" w:hRule="exact"/>
        </w:trPr>
        <w:tc>
          <w:tcPr>
            <w:tcW w:w="13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560" w:type="dxa"/>
            <w:gridSpan w:val="3"/>
            <w:vMerge/>
            <w:tcBorders>
              <w:left w:val="single" w:sz="4" w:space="0" w:color="000000"/>
              <w:bottom w:val="single" w:sz="4" w:space="0" w:color="000000"/>
              <w:right w:val="single" w:sz="4" w:space="0" w:color="000000"/>
            </w:tcBorders>
            <w:shd w:val="clear" w:color="auto" w:fill="D2D2D2"/>
          </w:tcPr>
          <w:p>
            <w:pPr/>
          </w:p>
        </w:tc>
        <w:tc>
          <w:tcPr>
            <w:tcW w:w="3543" w:type="dxa"/>
            <w:gridSpan w:val="3"/>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r>
      <w:tr>
        <w:trPr>
          <w:trHeight w:val="202" w:hRule="exact"/>
        </w:trPr>
        <w:tc>
          <w:tcPr>
            <w:tcW w:w="1392" w:type="dxa"/>
            <w:vMerge/>
            <w:tcBorders>
              <w:left w:val="single" w:sz="4" w:space="0" w:color="000000"/>
              <w:bottom w:val="nil" w:sz="6" w:space="0" w:color="auto"/>
              <w:right w:val="single" w:sz="4" w:space="0" w:color="000000"/>
            </w:tcBorders>
            <w:shd w:val="clear" w:color="auto" w:fill="D2D2D2"/>
          </w:tcPr>
          <w:p>
            <w:pP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4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vMerge/>
            <w:tcBorders>
              <w:left w:val="single" w:sz="4" w:space="0" w:color="000000"/>
              <w:right w:val="single" w:sz="4" w:space="0" w:color="000000"/>
            </w:tcBorders>
            <w:shd w:val="clear" w:color="auto" w:fill="D2D2D2"/>
          </w:tcPr>
          <w:p>
            <w:pPr/>
          </w:p>
        </w:tc>
      </w:tr>
      <w:tr>
        <w:trPr>
          <w:trHeight w:val="204" w:hRule="exact"/>
        </w:trPr>
        <w:tc>
          <w:tcPr>
            <w:tcW w:w="1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226" w:type="dxa"/>
            <w:vMerge/>
            <w:tcBorders>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1268"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08"/>
              <w:jc w:val="left"/>
              <w:rPr>
                <w:rFonts w:ascii="宋体" w:hAnsi="宋体" w:cs="宋体" w:eastAsia="宋体" w:hint="default"/>
                <w:sz w:val="18"/>
                <w:szCs w:val="18"/>
              </w:rPr>
            </w:pPr>
            <w:r>
              <w:rPr>
                <w:rFonts w:ascii="宋体" w:hAnsi="宋体" w:cs="宋体" w:eastAsia="宋体" w:hint="default"/>
                <w:sz w:val="18"/>
                <w:szCs w:val="18"/>
              </w:rPr>
              <w:t>分期收款销售商 品</w:t>
            </w:r>
          </w:p>
        </w:tc>
        <w:tc>
          <w:tcPr>
            <w:tcW w:w="11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393,448,087.0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393,448,087.06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475,180,504.60</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475,180,504.60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2" w:right="108"/>
              <w:jc w:val="left"/>
              <w:rPr>
                <w:rFonts w:ascii="宋体" w:hAnsi="宋体" w:cs="宋体" w:eastAsia="宋体" w:hint="default"/>
                <w:sz w:val="18"/>
                <w:szCs w:val="18"/>
              </w:rPr>
            </w:pPr>
            <w:r>
              <w:rPr>
                <w:rFonts w:ascii="宋体" w:hAnsi="宋体" w:cs="宋体" w:eastAsia="宋体" w:hint="default"/>
                <w:sz w:val="18"/>
                <w:szCs w:val="18"/>
              </w:rPr>
              <w:t>售后回租的保证 金</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24,961,556.00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24,961,556.00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22,828,875.69</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4" w:right="0"/>
              <w:jc w:val="center"/>
              <w:rPr>
                <w:rFonts w:ascii="Times New Roman" w:hAnsi="Times New Roman" w:cs="Times New Roman" w:eastAsia="Times New Roman" w:hint="default"/>
                <w:sz w:val="18"/>
                <w:szCs w:val="18"/>
              </w:rPr>
            </w:pPr>
            <w:r>
              <w:rPr>
                <w:rFonts w:ascii="Times New Roman"/>
                <w:sz w:val="18"/>
              </w:rPr>
              <w:t>22,828,875.69</w:t>
            </w: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03"/>
        <w:gridCol w:w="1166"/>
        <w:gridCol w:w="1167"/>
        <w:gridCol w:w="1226"/>
        <w:gridCol w:w="1275"/>
        <w:gridCol w:w="1001"/>
        <w:gridCol w:w="1268"/>
        <w:gridCol w:w="1063"/>
      </w:tblGrid>
      <w:tr>
        <w:trPr>
          <w:trHeight w:val="716"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418,409,643.0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418,409,643.06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498,009,380.29</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498,009,380.29</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）转移长期应收款且继续涉入形成的资产、负债金额</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其他说明</w:t>
      </w:r>
    </w:p>
    <w:p>
      <w:pPr>
        <w:pStyle w:val="BodyText"/>
        <w:spacing w:line="240" w:lineRule="auto" w:before="115"/>
        <w:ind w:left="585" w:right="1133"/>
        <w:jc w:val="left"/>
      </w:pPr>
      <w:r>
        <w:rPr>
          <w:rFonts w:ascii="Times New Roman" w:hAnsi="Times New Roman" w:cs="Times New Roman" w:eastAsia="Times New Roman" w:hint="default"/>
        </w:rPr>
        <w:t>(1)2013</w:t>
      </w:r>
      <w:r>
        <w:rPr/>
        <w:t>年度</w:t>
      </w:r>
    </w:p>
    <w:p>
      <w:pPr>
        <w:pStyle w:val="BodyText"/>
        <w:spacing w:line="300" w:lineRule="auto" w:before="63"/>
        <w:ind w:right="1133" w:firstLine="360"/>
        <w:jc w:val="left"/>
      </w:pPr>
      <w:r>
        <w:rPr/>
        <w:t>本公司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21</w:t>
      </w:r>
      <w:r>
        <w:rPr/>
        <w:t>日与深圳新阳蓝光能源科技发展有限公司</w:t>
      </w:r>
      <w:r>
        <w:rPr>
          <w:rFonts w:ascii="Times New Roman" w:hAnsi="Times New Roman" w:cs="Times New Roman" w:eastAsia="Times New Roman" w:hint="default"/>
        </w:rPr>
        <w:t>(</w:t>
      </w:r>
      <w:r>
        <w:rPr/>
        <w:t>更名为：深圳新阳蓝光能源科技股份有限公司</w:t>
      </w:r>
      <w:r>
        <w:rPr>
          <w:rFonts w:ascii="Times New Roman" w:hAnsi="Times New Roman" w:cs="Times New Roman" w:eastAsia="Times New Roman" w:hint="default"/>
        </w:rPr>
        <w:t>)</w:t>
      </w:r>
      <w:r>
        <w:rPr/>
        <w:t>签订的 </w:t>
      </w:r>
      <w:r>
        <w:rPr>
          <w:rFonts w:ascii="Times New Roman" w:hAnsi="Times New Roman" w:cs="Times New Roman" w:eastAsia="Times New Roman" w:hint="default"/>
          <w:spacing w:val="-1"/>
        </w:rPr>
        <w:t>LED</w:t>
      </w:r>
      <w:r>
        <w:rPr>
          <w:spacing w:val="-1"/>
        </w:rPr>
        <w:t>路灯购销合同，合同约定价款为</w:t>
      </w:r>
      <w:r>
        <w:rPr>
          <w:rFonts w:ascii="Times New Roman" w:hAnsi="Times New Roman" w:cs="Times New Roman" w:eastAsia="Times New Roman" w:hint="default"/>
          <w:spacing w:val="-1"/>
        </w:rPr>
        <w:t>14,411,290.00</w:t>
      </w:r>
      <w:r>
        <w:rPr>
          <w:spacing w:val="-1"/>
        </w:rPr>
        <w:t>元，按照六年六期分期收款，</w:t>
      </w:r>
      <w:r>
        <w:rPr>
          <w:rFonts w:ascii="Times New Roman" w:hAnsi="Times New Roman" w:cs="Times New Roman" w:eastAsia="Times New Roman" w:hint="default"/>
          <w:spacing w:val="-1"/>
        </w:rPr>
        <w:t>2013</w:t>
      </w:r>
      <w:r>
        <w:rPr>
          <w:spacing w:val="-1"/>
        </w:rPr>
        <w:t>年确认收入，截止</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日该应</w:t>
      </w:r>
      <w:r>
        <w:rPr>
          <w:spacing w:val="-62"/>
        </w:rPr>
        <w:t> </w:t>
      </w:r>
      <w:r>
        <w:rPr>
          <w:spacing w:val="-62"/>
        </w:rPr>
      </w:r>
      <w:r>
        <w:rPr/>
        <w:t>收余额</w:t>
      </w:r>
      <w:r>
        <w:rPr>
          <w:rFonts w:ascii="Times New Roman" w:hAnsi="Times New Roman" w:cs="Times New Roman" w:eastAsia="Times New Roman" w:hint="default"/>
        </w:rPr>
        <w:t>8,595,043.40</w:t>
      </w:r>
      <w:r>
        <w:rPr/>
        <w:t>元。</w:t>
      </w:r>
    </w:p>
    <w:p>
      <w:pPr>
        <w:pStyle w:val="BodyText"/>
        <w:spacing w:line="300" w:lineRule="auto" w:before="13"/>
        <w:ind w:right="1179" w:firstLine="360"/>
        <w:jc w:val="left"/>
      </w:pPr>
      <w:r>
        <w:rPr/>
        <w:t>本公司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日与肇庆鸿信科技有限公司签订的</w:t>
      </w:r>
      <w:r>
        <w:rPr>
          <w:rFonts w:ascii="Times New Roman" w:hAnsi="Times New Roman" w:cs="Times New Roman" w:eastAsia="Times New Roman" w:hint="default"/>
        </w:rPr>
        <w:t>LED</w:t>
      </w:r>
      <w:r>
        <w:rPr/>
        <w:t>路灯购销合同，合同约定价款为</w:t>
      </w:r>
      <w:r>
        <w:rPr>
          <w:rFonts w:ascii="Times New Roman" w:hAnsi="Times New Roman" w:cs="Times New Roman" w:eastAsia="Times New Roman" w:hint="default"/>
        </w:rPr>
        <w:t>26,522,260.00</w:t>
      </w:r>
      <w:r>
        <w:rPr/>
        <w:t>元，按照六年 六期分期收款，</w:t>
      </w:r>
      <w:r>
        <w:rPr>
          <w:rFonts w:ascii="Times New Roman" w:hAnsi="Times New Roman" w:cs="Times New Roman" w:eastAsia="Times New Roman" w:hint="default"/>
        </w:rPr>
        <w:t>2013</w:t>
      </w:r>
      <w:r>
        <w:rPr/>
        <w:t>年确认收入，截止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日该应收余额</w:t>
      </w:r>
      <w:r>
        <w:rPr>
          <w:rFonts w:ascii="Times New Roman" w:hAnsi="Times New Roman" w:cs="Times New Roman" w:eastAsia="Times New Roman" w:hint="default"/>
        </w:rPr>
        <w:t>6,493,875.40</w:t>
      </w:r>
      <w:r>
        <w:rPr/>
        <w:t>元。</w:t>
      </w:r>
    </w:p>
    <w:p>
      <w:pPr>
        <w:pStyle w:val="BodyText"/>
        <w:spacing w:line="300" w:lineRule="auto" w:before="13"/>
        <w:ind w:right="1124" w:firstLine="360"/>
        <w:jc w:val="left"/>
      </w:pPr>
      <w:r>
        <w:rPr>
          <w:spacing w:val="-1"/>
        </w:rPr>
        <w:t>本公司</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20</w:t>
      </w:r>
      <w:r>
        <w:rPr>
          <w:spacing w:val="-1"/>
        </w:rPr>
        <w:t>日与神州创宇低碳技术投资</w:t>
      </w:r>
      <w:r>
        <w:rPr>
          <w:rFonts w:ascii="Times New Roman" w:hAnsi="Times New Roman" w:cs="Times New Roman" w:eastAsia="Times New Roman" w:hint="default"/>
          <w:spacing w:val="-1"/>
        </w:rPr>
        <w:t>(</w:t>
      </w:r>
      <w:r>
        <w:rPr>
          <w:spacing w:val="-1"/>
        </w:rPr>
        <w:t>北京</w:t>
      </w:r>
      <w:r>
        <w:rPr>
          <w:rFonts w:ascii="Times New Roman" w:hAnsi="Times New Roman" w:cs="Times New Roman" w:eastAsia="Times New Roman" w:hint="default"/>
          <w:spacing w:val="-1"/>
        </w:rPr>
        <w:t>)</w:t>
      </w:r>
      <w:r>
        <w:rPr>
          <w:spacing w:val="-1"/>
        </w:rPr>
        <w:t>有限公司签订的</w:t>
      </w:r>
      <w:r>
        <w:rPr>
          <w:rFonts w:ascii="Times New Roman" w:hAnsi="Times New Roman" w:cs="Times New Roman" w:eastAsia="Times New Roman" w:hint="default"/>
          <w:spacing w:val="-1"/>
        </w:rPr>
        <w:t>LED</w:t>
      </w:r>
      <w:r>
        <w:rPr>
          <w:spacing w:val="-1"/>
        </w:rPr>
        <w:t>路灯购销合同，合同约定价款为</w:t>
      </w:r>
      <w:r>
        <w:rPr>
          <w:rFonts w:ascii="Times New Roman" w:hAnsi="Times New Roman" w:cs="Times New Roman" w:eastAsia="Times New Roman" w:hint="default"/>
          <w:spacing w:val="-1"/>
        </w:rPr>
        <w:t>15,239,250.00</w:t>
      </w:r>
      <w:r>
        <w:rPr>
          <w:rFonts w:ascii="Times New Roman" w:hAnsi="Times New Roman" w:cs="Times New Roman" w:eastAsia="Times New Roman" w:hint="default"/>
        </w:rPr>
        <w:t> </w:t>
      </w:r>
      <w:r>
        <w:rPr/>
        <w:t>元，按照五年按季度分期收款，</w:t>
      </w:r>
      <w:r>
        <w:rPr>
          <w:rFonts w:ascii="Times New Roman" w:hAnsi="Times New Roman" w:cs="Times New Roman" w:eastAsia="Times New Roman" w:hint="default"/>
        </w:rPr>
        <w:t>2013</w:t>
      </w:r>
      <w:r>
        <w:rPr/>
        <w:t>年确认收入，截止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日该应收余额</w:t>
      </w:r>
      <w:r>
        <w:rPr>
          <w:rFonts w:ascii="Times New Roman" w:hAnsi="Times New Roman" w:cs="Times New Roman" w:eastAsia="Times New Roman" w:hint="default"/>
        </w:rPr>
        <w:t>4,399,250.00</w:t>
      </w:r>
      <w:r>
        <w:rPr/>
        <w:t>元。</w:t>
      </w:r>
    </w:p>
    <w:p>
      <w:pPr>
        <w:pStyle w:val="BodyText"/>
        <w:spacing w:line="240" w:lineRule="auto" w:before="13"/>
        <w:ind w:left="513" w:right="1133"/>
        <w:jc w:val="left"/>
      </w:pPr>
      <w:r>
        <w:rPr>
          <w:rFonts w:ascii="Times New Roman" w:hAnsi="Times New Roman" w:cs="Times New Roman" w:eastAsia="Times New Roman" w:hint="default"/>
        </w:rPr>
        <w:t>(2)2014</w:t>
      </w:r>
      <w:r>
        <w:rPr/>
        <w:t>年度</w:t>
      </w:r>
    </w:p>
    <w:p>
      <w:pPr>
        <w:pStyle w:val="BodyText"/>
        <w:spacing w:line="300" w:lineRule="auto" w:before="63"/>
        <w:ind w:right="944" w:firstLine="360"/>
        <w:jc w:val="left"/>
      </w:pPr>
      <w:r>
        <w:rPr/>
        <w:t>本公司子公司定州市中标节能技术服务有限公司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w:t>
      </w:r>
      <w:r>
        <w:rPr/>
        <w:t>日与定州住房和城乡建设局签订的节能照明工程建设合同， 合同金额为</w:t>
      </w:r>
      <w:r>
        <w:rPr>
          <w:rFonts w:ascii="Times New Roman" w:hAnsi="Times New Roman" w:cs="Times New Roman" w:eastAsia="Times New Roman" w:hint="default"/>
        </w:rPr>
        <w:t>240,000,000.00</w:t>
      </w:r>
      <w:r>
        <w:rPr/>
        <w:t>元，</w:t>
      </w:r>
      <w:r>
        <w:rPr>
          <w:rFonts w:ascii="Times New Roman" w:hAnsi="Times New Roman" w:cs="Times New Roman" w:eastAsia="Times New Roman" w:hint="default"/>
        </w:rPr>
        <w:t>2014</w:t>
      </w:r>
      <w:r>
        <w:rPr/>
        <w:t>年竣工验收确认应收</w:t>
      </w:r>
      <w:r>
        <w:rPr>
          <w:rFonts w:ascii="Times New Roman" w:hAnsi="Times New Roman" w:cs="Times New Roman" w:eastAsia="Times New Roman" w:hint="default"/>
        </w:rPr>
        <w:t>131,965,714.29</w:t>
      </w:r>
      <w:r>
        <w:rPr/>
        <w:t>元，在十二年内分期收款，</w:t>
      </w:r>
      <w:r>
        <w:rPr>
          <w:rFonts w:ascii="Times New Roman" w:hAnsi="Times New Roman" w:cs="Times New Roman" w:eastAsia="Times New Roman" w:hint="default"/>
        </w:rPr>
        <w:t>2014</w:t>
      </w:r>
      <w:r>
        <w:rPr/>
        <w:t>年确认本年已完工收 入，截止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日该应收余额</w:t>
      </w:r>
      <w:r>
        <w:rPr>
          <w:rFonts w:ascii="Times New Roman" w:hAnsi="Times New Roman" w:cs="Times New Roman" w:eastAsia="Times New Roman" w:hint="default"/>
        </w:rPr>
        <w:t>95,675,142.88</w:t>
      </w:r>
      <w:r>
        <w:rPr/>
        <w:t>元。</w:t>
      </w:r>
    </w:p>
    <w:p>
      <w:pPr>
        <w:pStyle w:val="BodyText"/>
        <w:spacing w:line="300" w:lineRule="auto" w:before="13"/>
        <w:ind w:left="513" w:right="1663"/>
        <w:jc w:val="left"/>
      </w:pPr>
      <w:r>
        <w:rPr>
          <w:rFonts w:ascii="Times New Roman" w:hAnsi="Times New Roman" w:cs="Times New Roman" w:eastAsia="Times New Roman" w:hint="default"/>
        </w:rPr>
        <w:t>2018</w:t>
      </w:r>
      <w:r>
        <w:rPr/>
        <w:t>年度验收确认应收</w:t>
      </w:r>
      <w:r>
        <w:rPr>
          <w:rFonts w:ascii="Times New Roman" w:hAnsi="Times New Roman" w:cs="Times New Roman" w:eastAsia="Times New Roman" w:hint="default"/>
        </w:rPr>
        <w:t>56,229,366.67</w:t>
      </w:r>
      <w:r>
        <w:rPr/>
        <w:t>元，在八年内分期收款。截止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日该应收余额</w:t>
      </w:r>
      <w:r>
        <w:rPr>
          <w:rFonts w:ascii="Times New Roman" w:hAnsi="Times New Roman" w:cs="Times New Roman" w:eastAsia="Times New Roman" w:hint="default"/>
        </w:rPr>
        <w:t>52,519,938.08</w:t>
      </w:r>
      <w:r>
        <w:rPr/>
        <w:t>元。 </w:t>
      </w:r>
      <w:r>
        <w:rPr>
          <w:rFonts w:ascii="Times New Roman" w:hAnsi="Times New Roman" w:cs="Times New Roman" w:eastAsia="Times New Roman" w:hint="default"/>
        </w:rPr>
        <w:t>(3)2016</w:t>
      </w:r>
      <w:r>
        <w:rPr/>
        <w:t>年度</w:t>
      </w:r>
    </w:p>
    <w:p>
      <w:pPr>
        <w:pStyle w:val="BodyText"/>
        <w:spacing w:line="300" w:lineRule="auto" w:before="13"/>
        <w:ind w:right="1179" w:firstLine="360"/>
        <w:jc w:val="left"/>
      </w:pPr>
      <w:r>
        <w:rPr/>
        <w:t>本公司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日与黄平县市政管理局签订的</w:t>
      </w:r>
      <w:r>
        <w:rPr>
          <w:rFonts w:ascii="Times New Roman" w:hAnsi="Times New Roman" w:cs="Times New Roman" w:eastAsia="Times New Roman" w:hint="default"/>
        </w:rPr>
        <w:t>LED</w:t>
      </w:r>
      <w:r>
        <w:rPr/>
        <w:t>路灯购销合同，合同约定价款为</w:t>
      </w:r>
      <w:r>
        <w:rPr>
          <w:rFonts w:ascii="Times New Roman" w:hAnsi="Times New Roman" w:cs="Times New Roman" w:eastAsia="Times New Roman" w:hint="default"/>
        </w:rPr>
        <w:t>309,241,892.92</w:t>
      </w:r>
      <w:r>
        <w:rPr/>
        <w:t>元，按照十年十期 分期收款，</w:t>
      </w:r>
      <w:r>
        <w:rPr>
          <w:rFonts w:ascii="Times New Roman" w:hAnsi="Times New Roman" w:cs="Times New Roman" w:eastAsia="Times New Roman" w:hint="default"/>
        </w:rPr>
        <w:t>2016</w:t>
      </w:r>
      <w:r>
        <w:rPr/>
        <w:t>年确认收入，截止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日该应收余额</w:t>
      </w:r>
      <w:r>
        <w:rPr>
          <w:rFonts w:ascii="Times New Roman" w:hAnsi="Times New Roman" w:cs="Times New Roman" w:eastAsia="Times New Roman" w:hint="default"/>
        </w:rPr>
        <w:t>290,943,337.62</w:t>
      </w:r>
      <w:r>
        <w:rPr/>
        <w:t>元。</w:t>
      </w:r>
    </w:p>
    <w:p>
      <w:pPr>
        <w:pStyle w:val="BodyText"/>
        <w:spacing w:line="300" w:lineRule="auto" w:before="13"/>
        <w:ind w:right="1183" w:firstLine="360"/>
        <w:jc w:val="both"/>
      </w:pPr>
      <w:r>
        <w:rPr/>
        <w:t>本公司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w:t>
      </w:r>
      <w:r>
        <w:rPr/>
        <w:t>日与河南省商丘市经济技术开发区签订的</w:t>
      </w:r>
      <w:r>
        <w:rPr>
          <w:rFonts w:ascii="Times New Roman" w:hAnsi="Times New Roman" w:cs="Times New Roman" w:eastAsia="Times New Roman" w:hint="default"/>
        </w:rPr>
        <w:t>LED</w:t>
      </w:r>
      <w:r>
        <w:rPr/>
        <w:t>路灯购销合同，一标段金额为：</w:t>
      </w:r>
      <w:r>
        <w:rPr>
          <w:rFonts w:ascii="Times New Roman" w:hAnsi="Times New Roman" w:cs="Times New Roman" w:eastAsia="Times New Roman" w:hint="default"/>
        </w:rPr>
        <w:t>6,078,568.02</w:t>
      </w:r>
      <w:r>
        <w:rPr/>
        <w:t>元，二标 段金额为：</w:t>
      </w:r>
      <w:r>
        <w:rPr>
          <w:rFonts w:ascii="Times New Roman" w:hAnsi="Times New Roman" w:cs="Times New Roman" w:eastAsia="Times New Roman" w:hint="default"/>
        </w:rPr>
        <w:t>6,070,419.64</w:t>
      </w:r>
      <w:r>
        <w:rPr/>
        <w:t>元，合同合计</w:t>
      </w:r>
      <w:r>
        <w:rPr>
          <w:rFonts w:ascii="Times New Roman" w:hAnsi="Times New Roman" w:cs="Times New Roman" w:eastAsia="Times New Roman" w:hint="default"/>
        </w:rPr>
        <w:t>12,148,987.66</w:t>
      </w:r>
      <w:r>
        <w:rPr/>
        <w:t>元，按照三年四期分期收款</w:t>
      </w:r>
      <w:r>
        <w:rPr>
          <w:rFonts w:ascii="Times New Roman" w:hAnsi="Times New Roman" w:cs="Times New Roman" w:eastAsia="Times New Roman" w:hint="default"/>
        </w:rPr>
        <w:t>,2016</w:t>
      </w:r>
      <w:r>
        <w:rPr/>
        <w:t>年确认收入，截止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日该应 收余额</w:t>
      </w:r>
      <w:r>
        <w:rPr>
          <w:rFonts w:ascii="Times New Roman" w:hAnsi="Times New Roman" w:cs="Times New Roman" w:eastAsia="Times New Roman" w:hint="default"/>
        </w:rPr>
        <w:t>6,898,987.66</w:t>
      </w:r>
      <w:r>
        <w:rPr/>
        <w:t>元。</w:t>
      </w:r>
    </w:p>
    <w:p>
      <w:pPr>
        <w:pStyle w:val="BodyText"/>
        <w:spacing w:line="240" w:lineRule="auto" w:before="13"/>
        <w:ind w:left="513" w:right="1133"/>
        <w:jc w:val="left"/>
      </w:pPr>
      <w:r>
        <w:rPr/>
        <w:t>本公司与湄潭县城镇管理局签订的</w:t>
      </w:r>
      <w:r>
        <w:rPr>
          <w:rFonts w:ascii="Times New Roman" w:hAnsi="Times New Roman" w:cs="Times New Roman" w:eastAsia="Times New Roman" w:hint="default"/>
        </w:rPr>
        <w:t>LED</w:t>
      </w:r>
      <w:r>
        <w:rPr/>
        <w:t>路灯购销合同</w:t>
      </w:r>
      <w:r>
        <w:rPr>
          <w:rFonts w:ascii="Times New Roman" w:hAnsi="Times New Roman" w:cs="Times New Roman" w:eastAsia="Times New Roman" w:hint="default"/>
        </w:rPr>
        <w:t>(</w:t>
      </w:r>
      <w:r>
        <w:rPr/>
        <w:t>湄潭县会展中心和游客按待中心灯饰亮化工程</w:t>
      </w:r>
      <w:r>
        <w:rPr>
          <w:rFonts w:ascii="Times New Roman" w:hAnsi="Times New Roman" w:cs="Times New Roman" w:eastAsia="Times New Roman" w:hint="default"/>
        </w:rPr>
        <w:t>)</w:t>
      </w:r>
      <w:r>
        <w:rPr/>
        <w:t>，合同金额为</w:t>
      </w:r>
    </w:p>
    <w:p>
      <w:pPr>
        <w:pStyle w:val="BodyText"/>
        <w:spacing w:line="300" w:lineRule="auto" w:before="63"/>
        <w:ind w:left="513" w:right="1163" w:hanging="361"/>
        <w:jc w:val="left"/>
      </w:pPr>
      <w:r>
        <w:rPr>
          <w:rFonts w:ascii="Times New Roman" w:hAnsi="Times New Roman" w:cs="Times New Roman" w:eastAsia="Times New Roman" w:hint="default"/>
        </w:rPr>
        <w:t>4,537,500.00</w:t>
      </w:r>
      <w:r>
        <w:rPr/>
        <w:t>元，按照二年三期分期收款，</w:t>
      </w:r>
      <w:r>
        <w:rPr>
          <w:rFonts w:ascii="Times New Roman" w:hAnsi="Times New Roman" w:cs="Times New Roman" w:eastAsia="Times New Roman" w:hint="default"/>
        </w:rPr>
        <w:t>2016</w:t>
      </w:r>
      <w:r>
        <w:rPr/>
        <w:t>年确认收入，截止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日该应收余额</w:t>
      </w:r>
      <w:r>
        <w:rPr>
          <w:rFonts w:ascii="Times New Roman" w:hAnsi="Times New Roman" w:cs="Times New Roman" w:eastAsia="Times New Roman" w:hint="default"/>
        </w:rPr>
        <w:t>3,545,946.36</w:t>
      </w:r>
      <w:r>
        <w:rPr/>
        <w:t>元。 本公司与湄潭县城镇管理局签订的</w:t>
      </w:r>
      <w:r>
        <w:rPr>
          <w:rFonts w:ascii="Times New Roman" w:hAnsi="Times New Roman" w:cs="Times New Roman" w:eastAsia="Times New Roman" w:hint="default"/>
        </w:rPr>
        <w:t>LED</w:t>
      </w:r>
      <w:r>
        <w:rPr/>
        <w:t>路灯购销合同</w:t>
      </w:r>
      <w:r>
        <w:rPr>
          <w:rFonts w:ascii="Times New Roman" w:hAnsi="Times New Roman" w:cs="Times New Roman" w:eastAsia="Times New Roman" w:hint="default"/>
        </w:rPr>
        <w:t>(</w:t>
      </w:r>
      <w:r>
        <w:rPr/>
        <w:t>湄潭县大林桥至会展中心、象山桥、老花江桥、及游客接待中心</w:t>
      </w:r>
    </w:p>
    <w:p>
      <w:pPr>
        <w:pStyle w:val="BodyText"/>
        <w:spacing w:line="300" w:lineRule="auto" w:before="13"/>
        <w:ind w:right="1204"/>
        <w:jc w:val="left"/>
      </w:pPr>
      <w:r>
        <w:rPr/>
        <w:t>长廊灯饰亮化工程</w:t>
      </w:r>
      <w:r>
        <w:rPr>
          <w:rFonts w:ascii="Times New Roman" w:hAnsi="Times New Roman" w:cs="Times New Roman" w:eastAsia="Times New Roman" w:hint="default"/>
        </w:rPr>
        <w:t>)</w:t>
      </w:r>
      <w:r>
        <w:rPr/>
        <w:t>，合同金额约为</w:t>
      </w:r>
      <w:r>
        <w:rPr>
          <w:rFonts w:ascii="Times New Roman" w:hAnsi="Times New Roman" w:cs="Times New Roman" w:eastAsia="Times New Roman" w:hint="default"/>
        </w:rPr>
        <w:t>1,389,295.50</w:t>
      </w:r>
      <w:r>
        <w:rPr/>
        <w:t>元，按照二年三期分期收款</w:t>
      </w:r>
      <w:r>
        <w:rPr>
          <w:rFonts w:ascii="Times New Roman" w:hAnsi="Times New Roman" w:cs="Times New Roman" w:eastAsia="Times New Roman" w:hint="default"/>
        </w:rPr>
        <w:t>,</w:t>
      </w:r>
      <w:r>
        <w:rPr>
          <w:rFonts w:ascii="Times New Roman" w:hAnsi="Times New Roman" w:cs="Times New Roman" w:eastAsia="Times New Roman" w:hint="default"/>
          <w:spacing w:val="-5"/>
        </w:rPr>
        <w:t> </w:t>
      </w:r>
      <w:r>
        <w:rPr>
          <w:rFonts w:ascii="Times New Roman" w:hAnsi="Times New Roman" w:cs="Times New Roman" w:eastAsia="Times New Roman" w:hint="default"/>
        </w:rPr>
        <w:t>2016</w:t>
      </w:r>
      <w:r>
        <w:rPr/>
        <w:t>年确认收入，截止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日该应收 余额</w:t>
      </w:r>
      <w:r>
        <w:rPr>
          <w:rFonts w:ascii="Times New Roman" w:hAnsi="Times New Roman" w:cs="Times New Roman" w:eastAsia="Times New Roman" w:hint="default"/>
        </w:rPr>
        <w:t>1,389,295.50</w:t>
      </w:r>
      <w:r>
        <w:rPr/>
        <w:t>元。</w:t>
      </w:r>
    </w:p>
    <w:p>
      <w:pPr>
        <w:pStyle w:val="BodyText"/>
        <w:spacing w:line="300" w:lineRule="auto" w:before="13"/>
        <w:ind w:right="1034" w:firstLine="360"/>
        <w:jc w:val="left"/>
      </w:pPr>
      <w:r>
        <w:rPr/>
        <w:t>本公司与湄潭县城镇管理局签订的</w:t>
      </w:r>
      <w:r>
        <w:rPr>
          <w:rFonts w:ascii="Times New Roman" w:hAnsi="Times New Roman" w:cs="Times New Roman" w:eastAsia="Times New Roman" w:hint="default"/>
        </w:rPr>
        <w:t>LED</w:t>
      </w:r>
      <w:r>
        <w:rPr/>
        <w:t>路灯购销合同</w:t>
      </w:r>
      <w:r>
        <w:rPr>
          <w:rFonts w:ascii="Times New Roman" w:hAnsi="Times New Roman" w:cs="Times New Roman" w:eastAsia="Times New Roman" w:hint="default"/>
        </w:rPr>
        <w:t>(</w:t>
      </w:r>
      <w:r>
        <w:rPr/>
        <w:t>湄潭县高速路东出口、湄江步道景观亮化工程</w:t>
      </w:r>
      <w:r>
        <w:rPr>
          <w:rFonts w:ascii="Times New Roman" w:hAnsi="Times New Roman" w:cs="Times New Roman" w:eastAsia="Times New Roman" w:hint="default"/>
        </w:rPr>
        <w:t>EPC</w:t>
      </w:r>
      <w:r>
        <w:rPr/>
        <w:t>总承包项目</w:t>
      </w:r>
      <w:r>
        <w:rPr>
          <w:rFonts w:ascii="Times New Roman" w:hAnsi="Times New Roman" w:cs="Times New Roman" w:eastAsia="Times New Roman" w:hint="default"/>
        </w:rPr>
        <w:t>)</w:t>
      </w:r>
      <w:r>
        <w:rPr/>
        <w:t>， 合同金额约为</w:t>
      </w:r>
      <w:r>
        <w:rPr>
          <w:rFonts w:ascii="Times New Roman" w:hAnsi="Times New Roman" w:cs="Times New Roman" w:eastAsia="Times New Roman" w:hint="default"/>
        </w:rPr>
        <w:t>16,000,000.00</w:t>
      </w:r>
      <w:r>
        <w:rPr/>
        <w:t>元，按照三年三期分期收款</w:t>
      </w:r>
      <w:r>
        <w:rPr>
          <w:rFonts w:ascii="Times New Roman" w:hAnsi="Times New Roman" w:cs="Times New Roman" w:eastAsia="Times New Roman" w:hint="default"/>
        </w:rPr>
        <w:t>,</w:t>
      </w:r>
      <w:r>
        <w:rPr>
          <w:rFonts w:ascii="Times New Roman" w:hAnsi="Times New Roman" w:cs="Times New Roman" w:eastAsia="Times New Roman" w:hint="default"/>
          <w:spacing w:val="-10"/>
        </w:rPr>
        <w:t> </w:t>
      </w:r>
      <w:r>
        <w:rPr>
          <w:rFonts w:ascii="Times New Roman" w:hAnsi="Times New Roman" w:cs="Times New Roman" w:eastAsia="Times New Roman" w:hint="default"/>
        </w:rPr>
        <w:t>2016</w:t>
      </w:r>
      <w:r>
        <w:rPr/>
        <w:t>年确认收入，截止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日该应收余额</w:t>
      </w:r>
      <w:r>
        <w:rPr>
          <w:rFonts w:ascii="Times New Roman" w:hAnsi="Times New Roman" w:cs="Times New Roman" w:eastAsia="Times New Roman" w:hint="default"/>
        </w:rPr>
        <w:t>16,000,000.00</w:t>
      </w:r>
      <w:r>
        <w:rPr/>
        <w:t>元。</w:t>
      </w:r>
    </w:p>
    <w:p>
      <w:pPr>
        <w:pStyle w:val="BodyText"/>
        <w:spacing w:line="300" w:lineRule="auto" w:before="13"/>
        <w:ind w:right="1239" w:firstLine="360"/>
        <w:jc w:val="left"/>
      </w:pPr>
      <w:r>
        <w:rPr/>
        <w:t>本公司与湄潭县城镇管理局签订的</w:t>
      </w:r>
      <w:r>
        <w:rPr>
          <w:rFonts w:ascii="Times New Roman" w:hAnsi="Times New Roman" w:cs="Times New Roman" w:eastAsia="Times New Roman" w:hint="default"/>
        </w:rPr>
        <w:t>LED</w:t>
      </w:r>
      <w:r>
        <w:rPr/>
        <w:t>路灯购销合同</w:t>
      </w:r>
      <w:r>
        <w:rPr>
          <w:rFonts w:ascii="Times New Roman" w:hAnsi="Times New Roman" w:cs="Times New Roman" w:eastAsia="Times New Roman" w:hint="default"/>
        </w:rPr>
        <w:t>(</w:t>
      </w:r>
      <w:r>
        <w:rPr/>
        <w:t>湄潭县城</w:t>
      </w:r>
      <w:r>
        <w:rPr>
          <w:rFonts w:ascii="Times New Roman" w:hAnsi="Times New Roman" w:cs="Times New Roman" w:eastAsia="Times New Roman" w:hint="default"/>
        </w:rPr>
        <w:t>2017</w:t>
      </w:r>
      <w:r>
        <w:rPr/>
        <w:t>年迎春氛围亮化工程</w:t>
      </w:r>
      <w:r>
        <w:rPr>
          <w:rFonts w:ascii="Times New Roman" w:hAnsi="Times New Roman" w:cs="Times New Roman" w:eastAsia="Times New Roman" w:hint="default"/>
        </w:rPr>
        <w:t>)</w:t>
      </w:r>
      <w:r>
        <w:rPr/>
        <w:t>，合同金额约为</w:t>
      </w:r>
      <w:r>
        <w:rPr>
          <w:rFonts w:ascii="Times New Roman" w:hAnsi="Times New Roman" w:cs="Times New Roman" w:eastAsia="Times New Roman" w:hint="default"/>
        </w:rPr>
        <w:t>1,990,000.00 </w:t>
      </w:r>
      <w:r>
        <w:rPr/>
        <w:t>元，按照二年三期分期收款</w:t>
      </w:r>
      <w:r>
        <w:rPr>
          <w:rFonts w:ascii="Times New Roman" w:hAnsi="Times New Roman" w:cs="Times New Roman" w:eastAsia="Times New Roman" w:hint="default"/>
        </w:rPr>
        <w:t>,</w:t>
      </w:r>
      <w:r>
        <w:rPr>
          <w:rFonts w:ascii="Times New Roman" w:hAnsi="Times New Roman" w:cs="Times New Roman" w:eastAsia="Times New Roman" w:hint="default"/>
          <w:spacing w:val="-9"/>
        </w:rPr>
        <w:t> </w:t>
      </w:r>
      <w:r>
        <w:rPr>
          <w:rFonts w:ascii="Times New Roman" w:hAnsi="Times New Roman" w:cs="Times New Roman" w:eastAsia="Times New Roman" w:hint="default"/>
        </w:rPr>
        <w:t>2016</w:t>
      </w:r>
      <w:r>
        <w:rPr/>
        <w:t>年确认收入，截止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日该应收余额</w:t>
      </w:r>
      <w:r>
        <w:rPr>
          <w:rFonts w:ascii="Times New Roman" w:hAnsi="Times New Roman" w:cs="Times New Roman" w:eastAsia="Times New Roman" w:hint="default"/>
        </w:rPr>
        <w:t>1,186,669.59</w:t>
      </w:r>
      <w:r>
        <w:rPr/>
        <w:t>元。</w:t>
      </w:r>
    </w:p>
    <w:p>
      <w:pPr>
        <w:pStyle w:val="BodyText"/>
        <w:spacing w:line="300" w:lineRule="auto" w:before="13"/>
        <w:ind w:right="1122" w:firstLine="360"/>
        <w:jc w:val="left"/>
      </w:pPr>
      <w:r>
        <w:rPr/>
        <w:t>本公司子公司深圳市证通佳明光电有限公司与贵州省季皇房地产开发有限公司签订的贵州</w:t>
      </w:r>
      <w:r>
        <w:rPr>
          <w:rFonts w:ascii="Times New Roman" w:hAnsi="Times New Roman" w:cs="Times New Roman" w:eastAsia="Times New Roman" w:hint="default"/>
        </w:rPr>
        <w:t>(</w:t>
      </w:r>
      <w:r>
        <w:rPr/>
        <w:t>季皇</w:t>
      </w:r>
      <w:r>
        <w:rPr>
          <w:rFonts w:ascii="Times New Roman" w:hAnsi="Times New Roman" w:cs="Times New Roman" w:eastAsia="Times New Roman" w:hint="default"/>
        </w:rPr>
        <w:t>)</w:t>
      </w:r>
      <w:r>
        <w:rPr/>
        <w:t>农产品交易中心路灯 </w:t>
      </w:r>
      <w:r>
        <w:rPr>
          <w:rFonts w:ascii="Times New Roman" w:hAnsi="Times New Roman" w:cs="Times New Roman" w:eastAsia="Times New Roman" w:hint="default"/>
          <w:spacing w:val="-1"/>
        </w:rPr>
        <w:t>LED</w:t>
      </w:r>
      <w:r>
        <w:rPr>
          <w:spacing w:val="-1"/>
        </w:rPr>
        <w:t>功能照明造型灯箱采购合同</w:t>
      </w:r>
      <w:r>
        <w:rPr>
          <w:rFonts w:ascii="Times New Roman" w:hAnsi="Times New Roman" w:cs="Times New Roman" w:eastAsia="Times New Roman" w:hint="default"/>
          <w:spacing w:val="-1"/>
        </w:rPr>
        <w:t>(</w:t>
      </w:r>
      <w:r>
        <w:rPr>
          <w:spacing w:val="-1"/>
        </w:rPr>
        <w:t>贵州季皇农产品交易中心灯饰亮化及智能化工程</w:t>
      </w:r>
      <w:r>
        <w:rPr>
          <w:rFonts w:ascii="Times New Roman" w:hAnsi="Times New Roman" w:cs="Times New Roman" w:eastAsia="Times New Roman" w:hint="default"/>
          <w:spacing w:val="-1"/>
        </w:rPr>
        <w:t>)</w:t>
      </w:r>
      <w:r>
        <w:rPr>
          <w:spacing w:val="-1"/>
        </w:rPr>
        <w:t>，合同含税金额约为</w:t>
      </w:r>
      <w:r>
        <w:rPr>
          <w:rFonts w:ascii="Times New Roman" w:hAnsi="Times New Roman" w:cs="Times New Roman" w:eastAsia="Times New Roman" w:hint="default"/>
          <w:spacing w:val="-1"/>
        </w:rPr>
        <w:t>4,237,698.74</w:t>
      </w:r>
      <w:r>
        <w:rPr>
          <w:spacing w:val="-1"/>
        </w:rPr>
        <w:t>元，按照</w:t>
      </w:r>
      <w:r>
        <w:rPr>
          <w:spacing w:val="-87"/>
        </w:rPr>
        <w:t> </w:t>
      </w:r>
      <w:r>
        <w:rPr>
          <w:spacing w:val="-87"/>
        </w:rPr>
      </w:r>
      <w:r>
        <w:rPr/>
        <w:t>三年三期分期收款，以实际结算确认收入</w:t>
      </w:r>
      <w:r>
        <w:rPr>
          <w:rFonts w:ascii="Times New Roman" w:hAnsi="Times New Roman" w:cs="Times New Roman" w:eastAsia="Times New Roman" w:hint="default"/>
        </w:rPr>
        <w:t>2,867,289.25</w:t>
      </w:r>
      <w:r>
        <w:rPr/>
        <w:t>元，截止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日应收余额</w:t>
      </w:r>
      <w:r>
        <w:rPr>
          <w:rFonts w:ascii="Times New Roman" w:hAnsi="Times New Roman" w:cs="Times New Roman" w:eastAsia="Times New Roman" w:hint="default"/>
        </w:rPr>
        <w:t>3,672,108.89</w:t>
      </w:r>
      <w:r>
        <w:rPr/>
        <w:t>元。</w:t>
      </w:r>
    </w:p>
    <w:p>
      <w:pPr>
        <w:pStyle w:val="BodyText"/>
        <w:spacing w:line="240" w:lineRule="auto" w:before="13"/>
        <w:ind w:left="513" w:right="1133"/>
        <w:jc w:val="left"/>
      </w:pPr>
      <w:r>
        <w:rPr>
          <w:rFonts w:ascii="Times New Roman" w:hAnsi="Times New Roman" w:cs="Times New Roman" w:eastAsia="Times New Roman" w:hint="default"/>
        </w:rPr>
        <w:t>(4)2017</w:t>
      </w:r>
      <w:r>
        <w:rPr/>
        <w:t>年度</w:t>
      </w:r>
    </w:p>
    <w:p>
      <w:pPr>
        <w:pStyle w:val="BodyText"/>
        <w:spacing w:line="300" w:lineRule="auto" w:before="63"/>
        <w:ind w:right="1129" w:firstLine="360"/>
        <w:jc w:val="left"/>
      </w:pPr>
      <w:r>
        <w:rPr>
          <w:spacing w:val="-1"/>
        </w:rPr>
        <w:t>本公司与丹寨县市政管理局签订丹寨县县城区建筑立面墙体灯安装协议书，工程审核报告金额为</w:t>
      </w:r>
      <w:r>
        <w:rPr>
          <w:rFonts w:ascii="Times New Roman" w:hAnsi="Times New Roman" w:cs="Times New Roman" w:eastAsia="Times New Roman" w:hint="default"/>
          <w:spacing w:val="-1"/>
        </w:rPr>
        <w:t>12,840,840.94</w:t>
      </w:r>
      <w:r>
        <w:rPr>
          <w:spacing w:val="-1"/>
        </w:rPr>
        <w:t>元，按项</w:t>
      </w:r>
      <w:r>
        <w:rPr/>
        <w:t> 目竣工验收合格当年年底支付项目工程回购款</w:t>
      </w:r>
      <w:r>
        <w:rPr>
          <w:rFonts w:ascii="Times New Roman" w:hAnsi="Times New Roman" w:cs="Times New Roman" w:eastAsia="Times New Roman" w:hint="default"/>
        </w:rPr>
        <w:t>50.00%</w:t>
      </w:r>
      <w:r>
        <w:rPr/>
        <w:t>；第三年年底支付</w:t>
      </w:r>
      <w:r>
        <w:rPr>
          <w:rFonts w:ascii="Times New Roman" w:hAnsi="Times New Roman" w:cs="Times New Roman" w:eastAsia="Times New Roman" w:hint="default"/>
        </w:rPr>
        <w:t>40.00%</w:t>
      </w:r>
      <w:r>
        <w:rPr/>
        <w:t>回购款，第五年年底全部付清的方式分期收 款</w:t>
      </w:r>
      <w:r>
        <w:rPr>
          <w:rFonts w:ascii="Times New Roman" w:hAnsi="Times New Roman" w:cs="Times New Roman" w:eastAsia="Times New Roman" w:hint="default"/>
        </w:rPr>
        <w:t>,</w:t>
      </w:r>
      <w:r>
        <w:rPr>
          <w:rFonts w:ascii="Times New Roman" w:hAnsi="Times New Roman" w:cs="Times New Roman" w:eastAsia="Times New Roman" w:hint="default"/>
          <w:spacing w:val="-4"/>
        </w:rPr>
        <w:t> </w:t>
      </w:r>
      <w:r>
        <w:rPr>
          <w:rFonts w:ascii="Times New Roman" w:hAnsi="Times New Roman" w:cs="Times New Roman" w:eastAsia="Times New Roman" w:hint="default"/>
        </w:rPr>
        <w:t>2017</w:t>
      </w:r>
      <w:r>
        <w:rPr/>
        <w:t>年确认收入，截止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日该应收余额</w:t>
      </w:r>
      <w:r>
        <w:rPr>
          <w:rFonts w:ascii="Times New Roman" w:hAnsi="Times New Roman" w:cs="Times New Roman" w:eastAsia="Times New Roman" w:hint="default"/>
        </w:rPr>
        <w:t>12,840,840.94</w:t>
      </w:r>
      <w:r>
        <w:rPr/>
        <w:t>元。</w:t>
      </w:r>
    </w:p>
    <w:p>
      <w:pPr>
        <w:pStyle w:val="BodyText"/>
        <w:spacing w:line="240" w:lineRule="auto" w:before="13"/>
        <w:ind w:left="513" w:right="1133"/>
        <w:jc w:val="left"/>
      </w:pPr>
      <w:r>
        <w:rPr/>
        <w:t>本公司与遵义市播州区石板镇人民政府签订遵义市播州区石板镇景观灯饰亮化工程协议，工程审核报告金额为</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1128"/>
        <w:jc w:val="left"/>
      </w:pPr>
      <w:r>
        <w:rPr>
          <w:rFonts w:ascii="Times New Roman" w:hAnsi="Times New Roman" w:cs="Times New Roman" w:eastAsia="Times New Roman" w:hint="default"/>
          <w:spacing w:val="-1"/>
        </w:rPr>
        <w:t>21,805,483.68</w:t>
      </w:r>
      <w:r>
        <w:rPr>
          <w:spacing w:val="-1"/>
        </w:rPr>
        <w:t>元，按项目竣工验收合格当年支付项目工程回购款</w:t>
      </w:r>
      <w:r>
        <w:rPr>
          <w:rFonts w:ascii="Times New Roman" w:hAnsi="Times New Roman" w:cs="Times New Roman" w:eastAsia="Times New Roman" w:hint="default"/>
          <w:spacing w:val="-1"/>
        </w:rPr>
        <w:t>20.00%</w:t>
      </w:r>
      <w:r>
        <w:rPr>
          <w:spacing w:val="-1"/>
        </w:rPr>
        <w:t>，以后均在各年度的第一季度以此计算支付工程回购</w:t>
      </w:r>
      <w:r>
        <w:rPr>
          <w:spacing w:val="-85"/>
        </w:rPr>
        <w:t> </w:t>
      </w:r>
      <w:r>
        <w:rPr>
          <w:spacing w:val="-85"/>
        </w:rPr>
      </w:r>
      <w:r>
        <w:rPr/>
        <w:t>款</w:t>
      </w:r>
      <w:r>
        <w:rPr>
          <w:rFonts w:ascii="Times New Roman" w:hAnsi="Times New Roman" w:cs="Times New Roman" w:eastAsia="Times New Roman" w:hint="default"/>
        </w:rPr>
        <w:t>20.00%</w:t>
      </w:r>
      <w:r>
        <w:rPr/>
        <w:t>，直至全部付清的方式分期收款</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rFonts w:ascii="Times New Roman" w:hAnsi="Times New Roman" w:cs="Times New Roman" w:eastAsia="Times New Roman" w:hint="default"/>
        </w:rPr>
        <w:t>2017</w:t>
      </w:r>
      <w:r>
        <w:rPr/>
        <w:t>年确认收入，截止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日该应收余额</w:t>
      </w:r>
      <w:r>
        <w:rPr>
          <w:rFonts w:ascii="Times New Roman" w:hAnsi="Times New Roman" w:cs="Times New Roman" w:eastAsia="Times New Roman" w:hint="default"/>
        </w:rPr>
        <w:t>21,805,483.68</w:t>
      </w:r>
      <w:r>
        <w:rPr/>
        <w:t>元。</w:t>
      </w:r>
    </w:p>
    <w:p>
      <w:pPr>
        <w:pStyle w:val="BodyText"/>
        <w:spacing w:line="309" w:lineRule="auto" w:before="13"/>
        <w:ind w:right="1132" w:firstLine="360"/>
        <w:jc w:val="both"/>
      </w:pPr>
      <w:r>
        <w:rPr>
          <w:spacing w:val="-2"/>
        </w:rPr>
        <w:t>本公司与施秉县城镇建设投资开发有限公司签订施秉县城区亮化一期工程项目投资合作框架协议，工程审核报告金额为</w:t>
      </w:r>
      <w:r>
        <w:rPr/>
        <w:t> </w:t>
      </w:r>
      <w:r>
        <w:rPr>
          <w:rFonts w:ascii="Times New Roman" w:hAnsi="Times New Roman" w:cs="Times New Roman" w:eastAsia="Times New Roman" w:hint="default"/>
        </w:rPr>
        <w:t>27,202,171.06</w:t>
      </w:r>
      <w:r>
        <w:rPr/>
        <w:t>元，工程结算方式按</w:t>
      </w:r>
      <w:r>
        <w:rPr>
          <w:rFonts w:ascii="Times New Roman" w:hAnsi="Times New Roman" w:cs="Times New Roman" w:eastAsia="Times New Roman" w:hint="default"/>
        </w:rPr>
        <w:t>30.00%</w:t>
      </w:r>
      <w:r>
        <w:rPr/>
        <w:t>、</w:t>
      </w:r>
      <w:r>
        <w:rPr>
          <w:rFonts w:ascii="Times New Roman" w:hAnsi="Times New Roman" w:cs="Times New Roman" w:eastAsia="Times New Roman" w:hint="default"/>
        </w:rPr>
        <w:t>20.00%</w:t>
      </w:r>
      <w:r>
        <w:rPr/>
        <w:t>、</w:t>
      </w:r>
      <w:r>
        <w:rPr>
          <w:rFonts w:ascii="Times New Roman" w:hAnsi="Times New Roman" w:cs="Times New Roman" w:eastAsia="Times New Roman" w:hint="default"/>
        </w:rPr>
        <w:t>20.00%</w:t>
      </w:r>
      <w:r>
        <w:rPr/>
        <w:t>、</w:t>
      </w:r>
      <w:r>
        <w:rPr>
          <w:rFonts w:ascii="Times New Roman" w:hAnsi="Times New Roman" w:cs="Times New Roman" w:eastAsia="Times New Roman" w:hint="default"/>
        </w:rPr>
        <w:t>20.00%</w:t>
      </w:r>
      <w:r>
        <w:rPr/>
        <w:t>、</w:t>
      </w:r>
      <w:r>
        <w:rPr>
          <w:rFonts w:ascii="Times New Roman" w:hAnsi="Times New Roman" w:cs="Times New Roman" w:eastAsia="Times New Roman" w:hint="default"/>
        </w:rPr>
        <w:t>10.00%</w:t>
      </w:r>
      <w:r>
        <w:rPr/>
        <w:t>比例五年支付完毕的方式分期收款</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rFonts w:ascii="Times New Roman" w:hAnsi="Times New Roman" w:cs="Times New Roman" w:eastAsia="Times New Roman" w:hint="default"/>
        </w:rPr>
        <w:t>2017</w:t>
      </w:r>
      <w:r>
        <w:rPr/>
        <w:t>年确</w:t>
      </w:r>
      <w:r>
        <w:rPr>
          <w:spacing w:val="-3"/>
        </w:rPr>
        <w:t> </w:t>
      </w:r>
      <w:r>
        <w:rPr/>
        <w:t>认收入，截止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日该应收余额</w:t>
      </w:r>
      <w:r>
        <w:rPr>
          <w:rFonts w:ascii="Times New Roman" w:hAnsi="Times New Roman" w:cs="Times New Roman" w:eastAsia="Times New Roman" w:hint="default"/>
        </w:rPr>
        <w:t>22,202,171.06</w:t>
      </w:r>
      <w:r>
        <w:rPr/>
        <w:t>元。</w:t>
      </w:r>
    </w:p>
    <w:p>
      <w:pPr>
        <w:pStyle w:val="BodyText"/>
        <w:spacing w:line="309" w:lineRule="auto" w:before="5"/>
        <w:ind w:right="1131" w:firstLine="360"/>
        <w:jc w:val="both"/>
      </w:pPr>
      <w:r>
        <w:rPr>
          <w:spacing w:val="-2"/>
        </w:rPr>
        <w:t>本公司与遵义市播州区新民镇人民政府签订遵义市播州区新民镇景观灯饰亮化工程建设框架协议书，工程审核报告金额</w:t>
      </w:r>
      <w:r>
        <w:rPr/>
        <w:t> </w:t>
      </w:r>
      <w:r>
        <w:rPr>
          <w:spacing w:val="-1"/>
        </w:rPr>
        <w:t>为</w:t>
      </w:r>
      <w:r>
        <w:rPr>
          <w:rFonts w:ascii="Times New Roman" w:hAnsi="Times New Roman" w:cs="Times New Roman" w:eastAsia="Times New Roman" w:hint="default"/>
          <w:spacing w:val="-1"/>
        </w:rPr>
        <w:t>34,640,368.00</w:t>
      </w:r>
      <w:r>
        <w:rPr>
          <w:spacing w:val="-1"/>
        </w:rPr>
        <w:t>元，按项目竣工验收合格当年支付项目工程回购款</w:t>
      </w:r>
      <w:r>
        <w:rPr>
          <w:rFonts w:ascii="Times New Roman" w:hAnsi="Times New Roman" w:cs="Times New Roman" w:eastAsia="Times New Roman" w:hint="default"/>
          <w:spacing w:val="-1"/>
        </w:rPr>
        <w:t>20.00%</w:t>
      </w:r>
      <w:r>
        <w:rPr>
          <w:spacing w:val="-1"/>
        </w:rPr>
        <w:t>，以后均在各年度的第一季度以此计算支付工程回</w:t>
      </w:r>
      <w:r>
        <w:rPr>
          <w:spacing w:val="-85"/>
        </w:rPr>
        <w:t> </w:t>
      </w:r>
      <w:r>
        <w:rPr>
          <w:spacing w:val="-85"/>
        </w:rPr>
      </w:r>
      <w:r>
        <w:rPr/>
        <w:t>购款</w:t>
      </w:r>
      <w:r>
        <w:rPr>
          <w:rFonts w:ascii="Times New Roman" w:hAnsi="Times New Roman" w:cs="Times New Roman" w:eastAsia="Times New Roman" w:hint="default"/>
        </w:rPr>
        <w:t>20.00%</w:t>
      </w:r>
      <w:r>
        <w:rPr/>
        <w:t>，直至全部付清的方式分期收款</w:t>
      </w:r>
      <w:r>
        <w:rPr>
          <w:rFonts w:ascii="Times New Roman" w:hAnsi="Times New Roman" w:cs="Times New Roman" w:eastAsia="Times New Roman" w:hint="default"/>
        </w:rPr>
        <w:t>,</w:t>
      </w:r>
      <w:r>
        <w:rPr>
          <w:rFonts w:ascii="Times New Roman" w:hAnsi="Times New Roman" w:cs="Times New Roman" w:eastAsia="Times New Roman" w:hint="default"/>
          <w:spacing w:val="-11"/>
        </w:rPr>
        <w:t> </w:t>
      </w:r>
      <w:r>
        <w:rPr>
          <w:rFonts w:ascii="Times New Roman" w:hAnsi="Times New Roman" w:cs="Times New Roman" w:eastAsia="Times New Roman" w:hint="default"/>
        </w:rPr>
        <w:t>2017</w:t>
      </w:r>
      <w:r>
        <w:rPr/>
        <w:t>年确认收入，截止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日该应收余额</w:t>
      </w:r>
      <w:r>
        <w:rPr>
          <w:rFonts w:ascii="Times New Roman" w:hAnsi="Times New Roman" w:cs="Times New Roman" w:eastAsia="Times New Roman" w:hint="default"/>
        </w:rPr>
        <w:t>34,640,368.00</w:t>
      </w:r>
      <w:r>
        <w:rPr/>
        <w:t>元。</w:t>
      </w:r>
    </w:p>
    <w:p>
      <w:pPr>
        <w:pStyle w:val="BodyText"/>
        <w:spacing w:line="309" w:lineRule="auto" w:before="5"/>
        <w:ind w:right="1164" w:firstLine="360"/>
        <w:jc w:val="left"/>
      </w:pPr>
      <w:r>
        <w:rPr/>
        <w:t>本公司与惠水城投集团城市建设投资发展有限公司签订惠水县城区景观灯饰亮化工程投资合作协议，合同金额约为 </w:t>
      </w:r>
      <w:r>
        <w:rPr>
          <w:rFonts w:ascii="Times New Roman" w:hAnsi="Times New Roman" w:cs="Times New Roman" w:eastAsia="Times New Roman" w:hint="default"/>
        </w:rPr>
        <w:t>37,760,000.00</w:t>
      </w:r>
      <w:r>
        <w:rPr/>
        <w:t>元，按每年支付工程总价的</w:t>
      </w:r>
      <w:r>
        <w:rPr>
          <w:rFonts w:ascii="Times New Roman" w:hAnsi="Times New Roman" w:cs="Times New Roman" w:eastAsia="Times New Roman" w:hint="default"/>
        </w:rPr>
        <w:t>20.00%</w:t>
      </w:r>
      <w:r>
        <w:rPr/>
        <w:t>，分五年付清的方式分期收款</w:t>
      </w:r>
      <w:r>
        <w:rPr>
          <w:rFonts w:ascii="Times New Roman" w:hAnsi="Times New Roman" w:cs="Times New Roman" w:eastAsia="Times New Roman" w:hint="default"/>
        </w:rPr>
        <w:t>,</w:t>
      </w:r>
      <w:r>
        <w:rPr>
          <w:rFonts w:ascii="Times New Roman" w:hAnsi="Times New Roman" w:cs="Times New Roman" w:eastAsia="Times New Roman" w:hint="default"/>
          <w:spacing w:val="-10"/>
        </w:rPr>
        <w:t> </w:t>
      </w:r>
      <w:r>
        <w:rPr>
          <w:rFonts w:ascii="Times New Roman" w:hAnsi="Times New Roman" w:cs="Times New Roman" w:eastAsia="Times New Roman" w:hint="default"/>
        </w:rPr>
        <w:t>2017</w:t>
      </w:r>
      <w:r>
        <w:rPr/>
        <w:t>年确认收入，截止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日该应 收余额</w:t>
      </w:r>
      <w:r>
        <w:rPr>
          <w:rFonts w:ascii="Times New Roman" w:hAnsi="Times New Roman" w:cs="Times New Roman" w:eastAsia="Times New Roman" w:hint="default"/>
        </w:rPr>
        <w:t>37,760,000.00</w:t>
      </w:r>
      <w:r>
        <w:rPr/>
        <w:t>元。</w:t>
      </w:r>
    </w:p>
    <w:p>
      <w:pPr>
        <w:pStyle w:val="BodyText"/>
        <w:spacing w:line="300" w:lineRule="auto" w:before="5"/>
        <w:ind w:right="1169" w:firstLine="360"/>
        <w:jc w:val="left"/>
      </w:pPr>
      <w:r>
        <w:rPr/>
        <w:t>本公司与义县市政管理处签订义县整城景观灯饰亮化工程项目投资合作框架协议，合同金额约为</w:t>
      </w:r>
      <w:r>
        <w:rPr>
          <w:rFonts w:ascii="Times New Roman" w:hAnsi="Times New Roman" w:cs="Times New Roman" w:eastAsia="Times New Roman" w:hint="default"/>
        </w:rPr>
        <w:t>6,667,500.00</w:t>
      </w:r>
      <w:r>
        <w:rPr/>
        <w:t>元，按项 目验收</w:t>
      </w:r>
      <w:r>
        <w:rPr>
          <w:rFonts w:ascii="Times New Roman" w:hAnsi="Times New Roman" w:cs="Times New Roman" w:eastAsia="Times New Roman" w:hint="default"/>
        </w:rPr>
        <w:t>60</w:t>
      </w:r>
      <w:r>
        <w:rPr/>
        <w:t>天内支付第一笔款，分</w:t>
      </w:r>
      <w:r>
        <w:rPr>
          <w:rFonts w:ascii="Times New Roman" w:hAnsi="Times New Roman" w:cs="Times New Roman" w:eastAsia="Times New Roman" w:hint="default"/>
        </w:rPr>
        <w:t>10</w:t>
      </w:r>
      <w:r>
        <w:rPr/>
        <w:t>年等额支付的方式分期收款</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rFonts w:ascii="Times New Roman" w:hAnsi="Times New Roman" w:cs="Times New Roman" w:eastAsia="Times New Roman" w:hint="default"/>
        </w:rPr>
        <w:t>2017</w:t>
      </w:r>
      <w:r>
        <w:rPr/>
        <w:t>年确认收入，截止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日该应收余额 </w:t>
      </w:r>
      <w:r>
        <w:rPr>
          <w:rFonts w:ascii="Times New Roman" w:hAnsi="Times New Roman" w:cs="Times New Roman" w:eastAsia="Times New Roman" w:hint="default"/>
        </w:rPr>
        <w:t>6,667,500.00</w:t>
      </w:r>
      <w:r>
        <w:rPr/>
        <w:t>元。</w:t>
      </w:r>
    </w:p>
    <w:p>
      <w:pPr>
        <w:pStyle w:val="BodyText"/>
        <w:spacing w:line="300" w:lineRule="auto" w:before="13"/>
        <w:ind w:right="1154" w:firstLine="360"/>
        <w:jc w:val="left"/>
      </w:pPr>
      <w:r>
        <w:rPr/>
        <w:t>本公司与铜川市耀州区诚基开发投资有限公司签订铜川市耀州区智慧城市建设项目</w:t>
      </w:r>
      <w:r>
        <w:rPr>
          <w:rFonts w:ascii="Times New Roman" w:hAnsi="Times New Roman" w:cs="Times New Roman" w:eastAsia="Times New Roman" w:hint="default"/>
        </w:rPr>
        <w:t>(</w:t>
      </w:r>
      <w:r>
        <w:rPr/>
        <w:t>第一期</w:t>
      </w:r>
      <w:r>
        <w:rPr>
          <w:rFonts w:ascii="Times New Roman" w:hAnsi="Times New Roman" w:cs="Times New Roman" w:eastAsia="Times New Roman" w:hint="default"/>
        </w:rPr>
        <w:t>)</w:t>
      </w:r>
      <w:r>
        <w:rPr/>
        <w:t>，工程审核报告金额为 </w:t>
      </w:r>
      <w:r>
        <w:rPr>
          <w:rFonts w:ascii="Times New Roman" w:hAnsi="Times New Roman" w:cs="Times New Roman" w:eastAsia="Times New Roman" w:hint="default"/>
        </w:rPr>
        <w:t>161,759,540.00</w:t>
      </w:r>
      <w:r>
        <w:rPr/>
        <w:t>元，按项目竣工验收合格当年支付项目工程回购款</w:t>
      </w:r>
      <w:r>
        <w:rPr>
          <w:rFonts w:ascii="Times New Roman" w:hAnsi="Times New Roman" w:cs="Times New Roman" w:eastAsia="Times New Roman" w:hint="default"/>
        </w:rPr>
        <w:t>20.00%</w:t>
      </w:r>
      <w:r>
        <w:rPr/>
        <w:t>，以后均在各年度的第一季度以此计算支付工程回 购款</w:t>
      </w:r>
      <w:r>
        <w:rPr>
          <w:rFonts w:ascii="Times New Roman" w:hAnsi="Times New Roman" w:cs="Times New Roman" w:eastAsia="Times New Roman" w:hint="default"/>
        </w:rPr>
        <w:t>20.00%</w:t>
      </w:r>
      <w:r>
        <w:rPr/>
        <w:t>，直至全部付清的方式分期收款</w:t>
      </w:r>
      <w:r>
        <w:rPr>
          <w:rFonts w:ascii="Times New Roman" w:hAnsi="Times New Roman" w:cs="Times New Roman" w:eastAsia="Times New Roman" w:hint="default"/>
        </w:rPr>
        <w:t>,</w:t>
      </w:r>
      <w:r>
        <w:rPr>
          <w:rFonts w:ascii="Times New Roman" w:hAnsi="Times New Roman" w:cs="Times New Roman" w:eastAsia="Times New Roman" w:hint="default"/>
          <w:spacing w:val="-9"/>
        </w:rPr>
        <w:t> </w:t>
      </w:r>
      <w:r>
        <w:rPr>
          <w:rFonts w:ascii="Times New Roman" w:hAnsi="Times New Roman" w:cs="Times New Roman" w:eastAsia="Times New Roman" w:hint="default"/>
        </w:rPr>
        <w:t>2017</w:t>
      </w:r>
      <w:r>
        <w:rPr/>
        <w:t>年确认收入，截止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日该应收余额</w:t>
      </w:r>
      <w:r>
        <w:rPr>
          <w:rFonts w:ascii="Times New Roman" w:hAnsi="Times New Roman" w:cs="Times New Roman" w:eastAsia="Times New Roman" w:hint="default"/>
        </w:rPr>
        <w:t>161,759,540.00</w:t>
      </w:r>
      <w:r>
        <w:rPr/>
        <w:t>元。</w:t>
      </w:r>
    </w:p>
    <w:p>
      <w:pPr>
        <w:pStyle w:val="BodyText"/>
        <w:spacing w:line="300" w:lineRule="auto" w:before="13"/>
        <w:ind w:right="1130" w:firstLine="360"/>
        <w:jc w:val="both"/>
      </w:pPr>
      <w:r>
        <w:rPr>
          <w:spacing w:val="-2"/>
          <w:w w:val="99"/>
        </w:rPr>
        <w:t>本公司子公司深圳市证通佳明光电有限公司与阿拉善盟高宇建工有限公司签订的</w:t>
      </w:r>
      <w:r>
        <w:rPr>
          <w:rFonts w:ascii="Times New Roman" w:hAnsi="Times New Roman" w:cs="Times New Roman" w:eastAsia="Times New Roman" w:hint="default"/>
          <w:spacing w:val="-2"/>
          <w:w w:val="99"/>
        </w:rPr>
        <w:t>LED</w:t>
      </w:r>
      <w:r>
        <w:rPr>
          <w:spacing w:val="-2"/>
          <w:w w:val="99"/>
        </w:rPr>
        <w:t>路灯销售合同，合同含税金额约为</w:t>
      </w:r>
      <w:r>
        <w:rPr/>
        <w:t> </w:t>
      </w:r>
      <w:r>
        <w:rPr>
          <w:rFonts w:ascii="Times New Roman" w:hAnsi="Times New Roman" w:cs="Times New Roman" w:eastAsia="Times New Roman" w:hint="default"/>
          <w:spacing w:val="-4"/>
        </w:rPr>
        <w:t>79,000,000.00</w:t>
      </w:r>
      <w:r>
        <w:rPr>
          <w:spacing w:val="-4"/>
        </w:rPr>
        <w:t>元，按照货物完成验收</w:t>
      </w:r>
      <w:r>
        <w:rPr>
          <w:rFonts w:ascii="Times New Roman" w:hAnsi="Times New Roman" w:cs="Times New Roman" w:eastAsia="Times New Roman" w:hint="default"/>
          <w:spacing w:val="-4"/>
        </w:rPr>
        <w:t>12</w:t>
      </w:r>
      <w:r>
        <w:rPr>
          <w:spacing w:val="-4"/>
        </w:rPr>
        <w:t>个月后支付</w:t>
      </w:r>
      <w:r>
        <w:rPr>
          <w:rFonts w:ascii="Times New Roman" w:hAnsi="Times New Roman" w:cs="Times New Roman" w:eastAsia="Times New Roman" w:hint="default"/>
          <w:spacing w:val="-4"/>
        </w:rPr>
        <w:t>25.00%</w:t>
      </w:r>
      <w:r>
        <w:rPr>
          <w:spacing w:val="-4"/>
        </w:rPr>
        <w:t>货款，货物完成验收</w:t>
      </w:r>
      <w:r>
        <w:rPr>
          <w:rFonts w:ascii="Times New Roman" w:hAnsi="Times New Roman" w:cs="Times New Roman" w:eastAsia="Times New Roman" w:hint="default"/>
          <w:spacing w:val="-4"/>
        </w:rPr>
        <w:t>24</w:t>
      </w:r>
      <w:r>
        <w:rPr>
          <w:spacing w:val="-4"/>
        </w:rPr>
        <w:t>个月后支付全部货款</w:t>
      </w:r>
      <w:r>
        <w:rPr>
          <w:rFonts w:ascii="Times New Roman" w:hAnsi="Times New Roman" w:cs="Times New Roman" w:eastAsia="Times New Roman" w:hint="default"/>
          <w:spacing w:val="-4"/>
        </w:rPr>
        <w:t>70.00%</w:t>
      </w:r>
      <w:r>
        <w:rPr>
          <w:spacing w:val="-4"/>
        </w:rPr>
        <w:t>；预留合同</w:t>
      </w:r>
      <w:r>
        <w:rPr>
          <w:spacing w:val="-10"/>
        </w:rPr>
        <w:t> </w:t>
      </w:r>
      <w:r>
        <w:rPr>
          <w:rFonts w:ascii="Times New Roman" w:hAnsi="Times New Roman" w:cs="Times New Roman" w:eastAsia="Times New Roman" w:hint="default"/>
        </w:rPr>
        <w:t>5.00%</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作为质保金，质保金在二年质保期满后全部付清，截止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日应收余额</w:t>
      </w:r>
      <w:r>
        <w:rPr>
          <w:rFonts w:ascii="Times New Roman" w:hAnsi="Times New Roman" w:cs="Times New Roman" w:eastAsia="Times New Roman" w:hint="default"/>
        </w:rPr>
        <w:t>61,249,800.00</w:t>
      </w:r>
      <w:r>
        <w:rPr/>
        <w:t>元。</w:t>
      </w:r>
    </w:p>
    <w:p>
      <w:pPr>
        <w:spacing w:line="240" w:lineRule="auto" w:before="5"/>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10</w:t>
      </w:r>
      <w:r>
        <w:rPr/>
        <w:t>、长期股权投资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02"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深圳市通 新源物业 管理有限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24,661,07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0.83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-289,535.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24,371,53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5.56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深圳盛灿 科技股份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50,002,92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1.23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338,023.7</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50,340,94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4.94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广州水晶 智联科技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-9,457.07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2,240,542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41"/>
              <w:jc w:val="left"/>
              <w:rPr>
                <w:rFonts w:ascii="宋体" w:hAnsi="宋体" w:cs="宋体" w:eastAsia="宋体" w:hint="default"/>
                <w:sz w:val="18"/>
                <w:szCs w:val="18"/>
              </w:rPr>
            </w:pPr>
            <w:r>
              <w:rPr>
                <w:rFonts w:ascii="宋体" w:hAnsi="宋体" w:cs="宋体" w:eastAsia="宋体" w:hint="default"/>
                <w:sz w:val="18"/>
                <w:szCs w:val="18"/>
              </w:rPr>
              <w:t>深圳市前 海友胜资</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-2,358.31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2,997,641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.69</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675"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2" w:right="41"/>
              <w:jc w:val="left"/>
              <w:rPr>
                <w:rFonts w:ascii="宋体" w:hAnsi="宋体" w:cs="宋体" w:eastAsia="宋体" w:hint="default"/>
                <w:sz w:val="18"/>
                <w:szCs w:val="18"/>
              </w:rPr>
            </w:pPr>
            <w:r>
              <w:rPr>
                <w:rFonts w:ascii="宋体" w:hAnsi="宋体" w:cs="宋体" w:eastAsia="宋体" w:hint="default"/>
                <w:sz w:val="18"/>
                <w:szCs w:val="18"/>
              </w:rPr>
              <w:t>本管理有 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24,661,07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0.83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55,252,92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1.23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36,673.06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79,950,66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5.12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24,661,07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0.83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55,252,92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1.23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36,673.06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79,950,66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5.12</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pStyle w:val="BodyText"/>
        <w:spacing w:line="240" w:lineRule="auto" w:before="115"/>
        <w:ind w:left="513" w:right="1133"/>
        <w:jc w:val="left"/>
      </w:pPr>
      <w:r>
        <w:rPr/>
        <w:t>（</w:t>
      </w:r>
      <w:r>
        <w:rPr>
          <w:rFonts w:ascii="Times New Roman" w:hAnsi="Times New Roman" w:cs="Times New Roman" w:eastAsia="Times New Roman" w:hint="default"/>
        </w:rPr>
        <w:t>1</w:t>
      </w:r>
      <w:r>
        <w:rPr/>
        <w:t>）公司现持深圳市通新源物业管理有限公司</w:t>
      </w:r>
      <w:r>
        <w:rPr>
          <w:rFonts w:ascii="Times New Roman" w:hAnsi="Times New Roman" w:cs="Times New Roman" w:eastAsia="Times New Roman" w:hint="default"/>
        </w:rPr>
        <w:t>32.29%</w:t>
      </w:r>
      <w:r>
        <w:rPr/>
        <w:t>的股权。</w:t>
      </w:r>
    </w:p>
    <w:p>
      <w:pPr>
        <w:pStyle w:val="BodyText"/>
        <w:spacing w:line="309" w:lineRule="auto" w:before="63"/>
        <w:ind w:right="1130" w:firstLine="360"/>
        <w:jc w:val="both"/>
      </w:pPr>
      <w:r>
        <w:rPr>
          <w:spacing w:val="-1"/>
        </w:rPr>
        <w:t>（</w:t>
      </w:r>
      <w:r>
        <w:rPr>
          <w:rFonts w:ascii="Times New Roman" w:hAnsi="Times New Roman" w:cs="Times New Roman" w:eastAsia="Times New Roman" w:hint="default"/>
          <w:spacing w:val="-1"/>
        </w:rPr>
        <w:t>2</w:t>
      </w:r>
      <w:r>
        <w:rPr>
          <w:spacing w:val="-1"/>
        </w:rPr>
        <w:t>）公司现持广州水晶智联科技有限公司</w:t>
      </w:r>
      <w:r>
        <w:rPr>
          <w:rFonts w:ascii="Times New Roman" w:hAnsi="Times New Roman" w:cs="Times New Roman" w:eastAsia="Times New Roman" w:hint="default"/>
          <w:spacing w:val="-1"/>
        </w:rPr>
        <w:t>15.00%</w:t>
      </w:r>
      <w:r>
        <w:rPr>
          <w:spacing w:val="-1"/>
        </w:rPr>
        <w:t>的股权，向其派出一名董事，对广州水晶智联科技有限公司的财务和</w:t>
      </w:r>
      <w:r>
        <w:rPr/>
        <w:t> </w:t>
      </w:r>
      <w:r>
        <w:rPr>
          <w:spacing w:val="-2"/>
        </w:rPr>
        <w:t>经营政策有参与决策的权力，能够对被投资单位施加重大影响，故不再将广州水晶智联科技有限公司纳入合并范围，而是采</w:t>
      </w:r>
      <w:r>
        <w:rPr>
          <w:spacing w:val="-63"/>
        </w:rPr>
        <w:t> </w:t>
      </w:r>
      <w:r>
        <w:rPr>
          <w:spacing w:val="-63"/>
        </w:rPr>
      </w:r>
      <w:r>
        <w:rPr/>
        <w:t>用权益法核算。</w:t>
      </w:r>
    </w:p>
    <w:p>
      <w:pPr>
        <w:pStyle w:val="BodyText"/>
        <w:spacing w:line="300" w:lineRule="auto" w:before="24"/>
        <w:ind w:right="1134" w:firstLine="360"/>
        <w:jc w:val="both"/>
      </w:pPr>
      <w:r>
        <w:rPr>
          <w:spacing w:val="-1"/>
        </w:rPr>
        <w:t>（</w:t>
      </w:r>
      <w:r>
        <w:rPr>
          <w:rFonts w:ascii="Times New Roman" w:hAnsi="Times New Roman" w:cs="Times New Roman" w:eastAsia="Times New Roman" w:hint="default"/>
          <w:spacing w:val="-1"/>
        </w:rPr>
        <w:t>3</w:t>
      </w:r>
      <w:r>
        <w:rPr>
          <w:spacing w:val="-1"/>
        </w:rPr>
        <w:t>）公司现持盛灿科技</w:t>
      </w:r>
      <w:r>
        <w:rPr>
          <w:rFonts w:ascii="Times New Roman" w:hAnsi="Times New Roman" w:cs="Times New Roman" w:eastAsia="Times New Roman" w:hint="default"/>
          <w:spacing w:val="-1"/>
        </w:rPr>
        <w:t>12.5834%</w:t>
      </w:r>
      <w:r>
        <w:rPr>
          <w:spacing w:val="-1"/>
        </w:rPr>
        <w:t>的股权，向其派出一名董事，对盛灿科技的财务和经营政策有参与决策的权力，能够</w:t>
      </w:r>
      <w:r>
        <w:rPr/>
        <w:t> 对被投资单位施加重大影响，故对盛灿科技采用权益法核算。</w:t>
      </w:r>
    </w:p>
    <w:p>
      <w:pPr>
        <w:pStyle w:val="BodyText"/>
        <w:spacing w:line="240" w:lineRule="auto" w:before="31"/>
        <w:ind w:left="513" w:right="1133"/>
        <w:jc w:val="left"/>
      </w:pPr>
      <w:r>
        <w:rPr/>
        <w:t>（</w:t>
      </w:r>
      <w:r>
        <w:rPr>
          <w:rFonts w:ascii="Times New Roman" w:hAnsi="Times New Roman" w:cs="Times New Roman" w:eastAsia="Times New Roman" w:hint="default"/>
        </w:rPr>
        <w:t>4</w:t>
      </w:r>
      <w:r>
        <w:rPr/>
        <w:t>）公司现持深圳市前海友胜资本管理有限公司</w:t>
      </w:r>
      <w:r>
        <w:rPr>
          <w:rFonts w:ascii="Times New Roman" w:hAnsi="Times New Roman" w:cs="Times New Roman" w:eastAsia="Times New Roman" w:hint="default"/>
        </w:rPr>
        <w:t>30.00%</w:t>
      </w:r>
      <w:r>
        <w:rPr/>
        <w:t>的股权。</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11</w:t>
      </w:r>
      <w:r>
        <w:rPr/>
        <w:t>、投资性房地产</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55,602,277.60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55,602,277.60</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43"/>
                <w:sz w:val="18"/>
                <w:szCs w:val="18"/>
              </w:rPr>
              <w:t> </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7"/>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55,602,277.60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55,602,277.60</w:t>
            </w:r>
          </w:p>
        </w:tc>
      </w:tr>
      <w:tr>
        <w:trPr>
          <w:trHeight w:val="715"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11,610,358.84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11,610,358.84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1,367,404.95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1,367,404.95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1,367,404.95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1,367,404.95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12,977,763.79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12,977,763.79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42,624,513.81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42,624,513.81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43,991,918.76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43,991,918.76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12</w:t>
      </w:r>
      <w:r>
        <w:rPr/>
        <w:t>、固定资产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3"/>
        <w:gridCol w:w="3198"/>
        <w:gridCol w:w="3188"/>
      </w:tblGrid>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left="1900" w:right="0"/>
              <w:jc w:val="left"/>
              <w:rPr>
                <w:rFonts w:ascii="Times New Roman" w:hAnsi="Times New Roman" w:cs="Times New Roman" w:eastAsia="Times New Roman" w:hint="default"/>
                <w:sz w:val="18"/>
                <w:szCs w:val="18"/>
              </w:rPr>
            </w:pPr>
            <w:r>
              <w:rPr>
                <w:rFonts w:ascii="Times New Roman"/>
                <w:sz w:val="18"/>
              </w:rPr>
              <w:t>1,339,127,830.85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30" w:right="0"/>
              <w:jc w:val="left"/>
              <w:rPr>
                <w:rFonts w:ascii="Times New Roman" w:hAnsi="Times New Roman" w:cs="Times New Roman" w:eastAsia="Times New Roman" w:hint="default"/>
                <w:sz w:val="18"/>
                <w:szCs w:val="18"/>
              </w:rPr>
            </w:pPr>
            <w:r>
              <w:rPr>
                <w:rFonts w:ascii="Times New Roman"/>
                <w:sz w:val="18"/>
              </w:rPr>
              <w:t>851,226,705.92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3188"/>
        <w:gridCol w:w="3188"/>
      </w:tblGrid>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6" w:right="0"/>
              <w:jc w:val="left"/>
              <w:rPr>
                <w:rFonts w:ascii="Times New Roman" w:hAnsi="Times New Roman" w:cs="Times New Roman" w:eastAsia="Times New Roman" w:hint="default"/>
                <w:sz w:val="18"/>
                <w:szCs w:val="18"/>
              </w:rPr>
            </w:pPr>
            <w:r>
              <w:rPr>
                <w:rFonts w:ascii="Times New Roman"/>
                <w:sz w:val="18"/>
              </w:rPr>
              <w:t>1,339,127,830.85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851,226,705.92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pict>
          <v:group style="position:absolute;margin-left:116.779999pt;margin-top:39.531708pt;width:58.1pt;height:20.65pt;mso-position-horizontal-relative:page;mso-position-vertical-relative:paragraph;z-index:-1202896" coordorigin="2336,791" coordsize="1162,413">
            <v:group style="position:absolute;left:2346;top:801;width:2;height:392" coordorigin="2346,801" coordsize="2,392">
              <v:shape style="position:absolute;left:2346;top:801;width:2;height:392" coordorigin="2346,801" coordsize="0,392" path="m2346,801l2346,1193e" filled="false" stroked="true" strokeweight="1.08pt" strokecolor="#ffffff">
                <v:path arrowok="t"/>
              </v:shape>
            </v:group>
            <v:group style="position:absolute;left:2357;top:801;width:1140;height:392" coordorigin="2357,801" coordsize="1140,392">
              <v:shape style="position:absolute;left:2357;top:801;width:1140;height:392" coordorigin="2357,801" coordsize="1140,392" path="m2357,1193l3497,1193,3497,801,2357,801,2357,1193xe" filled="true" fillcolor="#ffffff" stroked="false">
                <v:path arrowok="t"/>
                <v:fill type="solid"/>
              </v:shape>
            </v:group>
            <w10:wrap type="none"/>
          </v:group>
        </w:pict>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6"/>
        <w:gridCol w:w="1198"/>
        <w:gridCol w:w="1196"/>
        <w:gridCol w:w="1195"/>
        <w:gridCol w:w="1198"/>
        <w:gridCol w:w="1195"/>
        <w:gridCol w:w="1196"/>
        <w:gridCol w:w="1198"/>
      </w:tblGrid>
      <w:tr>
        <w:trPr>
          <w:trHeight w:val="401" w:hRule="exact"/>
        </w:trPr>
        <w:tc>
          <w:tcPr>
            <w:tcW w:w="1196"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机械设备</w:t>
            </w:r>
          </w:p>
        </w:tc>
        <w:tc>
          <w:tcPr>
            <w:tcW w:w="11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1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模具</w:t>
            </w:r>
          </w:p>
        </w:tc>
        <w:tc>
          <w:tcPr>
            <w:tcW w:w="11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198" w:type="dxa"/>
            <w:tcBorders>
              <w:top w:val="single" w:sz="4" w:space="0" w:color="000000"/>
              <w:left w:val="single" w:sz="10" w:space="0" w:color="E0FFFF"/>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
              <w:jc w:val="center"/>
              <w:rPr>
                <w:rFonts w:ascii="宋体" w:hAnsi="宋体" w:cs="宋体" w:eastAsia="宋体" w:hint="default"/>
                <w:sz w:val="18"/>
                <w:szCs w:val="18"/>
              </w:rPr>
            </w:pPr>
            <w:r>
              <w:rPr>
                <w:rFonts w:ascii="宋体" w:hAnsi="宋体" w:cs="宋体" w:eastAsia="宋体" w:hint="default"/>
                <w:spacing w:val="-6"/>
                <w:sz w:val="18"/>
                <w:szCs w:val="18"/>
              </w:rPr>
              <w:t>一、账面原值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center"/>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457,258,744.42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138,163,237.52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381,582,417.96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25,680,495.55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7,883,552.71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51,695,667.88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1,062,264,116.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04</w:t>
            </w:r>
          </w:p>
        </w:tc>
      </w:tr>
      <w:tr>
        <w:trPr>
          <w:trHeight w:val="716"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24"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357,135,629.59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4,189,909.29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221,747,079.60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3,967,018.18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205,534.10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16,488,810.15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603,733,980.91</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）购置</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3,936,125.23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56,319,297.58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3,967,018.18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205,534.10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5,705,689.39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70,133,664.48</w:t>
            </w: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）在建</w:t>
            </w:r>
            <w:r>
              <w:rPr>
                <w:rFonts w:ascii="宋体" w:hAnsi="宋体" w:cs="宋体" w:eastAsia="宋体" w:hint="default"/>
                <w:sz w:val="18"/>
                <w:szCs w:val="18"/>
              </w:rPr>
              <w:t> 工程转入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353,199,504.36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4,189,909.29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165,427,782.02</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10,783,120.76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533,600,316.43</w:t>
            </w: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）企业</w:t>
            </w:r>
            <w:r>
              <w:rPr>
                <w:rFonts w:ascii="宋体" w:hAnsi="宋体" w:cs="宋体" w:eastAsia="宋体" w:hint="default"/>
                <w:sz w:val="18"/>
                <w:szCs w:val="18"/>
              </w:rPr>
              <w:t> 合并增加</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4,701,009.85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1,876,800.00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517,621.28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228,510.27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7,323,941.40</w:t>
            </w: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1,282,141.93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1,876,800.00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517,621.28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228,510.27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3,905,073.48</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）其他减少</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3,418,867.92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3,418,867.92</w:t>
            </w: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8"/>
              <w:jc w:val="center"/>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814,394,374.01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137,652,136.96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601,452,697.56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29,647,513.73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7,571,465.53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67,955,967.76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1,658,674,155.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55</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7"/>
              <w:jc w:val="center"/>
              <w:rPr>
                <w:rFonts w:ascii="宋体" w:hAnsi="宋体" w:cs="宋体" w:eastAsia="宋体" w:hint="default"/>
                <w:sz w:val="18"/>
                <w:szCs w:val="18"/>
              </w:rPr>
            </w:pPr>
            <w:r>
              <w:rPr>
                <w:rFonts w:ascii="宋体" w:hAnsi="宋体" w:cs="宋体" w:eastAsia="宋体" w:hint="default"/>
                <w:sz w:val="18"/>
                <w:szCs w:val="18"/>
              </w:rPr>
              <w:t>二、累计折旧</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8"/>
              <w:jc w:val="center"/>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50,162,553.34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42,346,087.06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68,910,908.66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16,548,432.07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5,577,552.13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27,491,876.86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211,037,410.12</w:t>
            </w: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27,120,942.22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15,802,077.23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55,251,785.20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2,903,599.22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404,130.38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8,437,494.91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109,920,029.16</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）计提</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27,120,942.22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15,802,077.23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55,251,785.20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2,903,599.22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404,130.38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8,437,494.91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109,920,029.16</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721,719.57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371,450.00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172,265.89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145,679.12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1,411,114.58</w:t>
            </w: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721,719.57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371,450.00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172,265.89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145,679.12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1,411,114.58</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8"/>
              <w:jc w:val="center"/>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77,283,495.56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57,426,444.72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123,791,243.86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19,452,031.29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5,809,416.62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35,783,692.65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319,546,324.70</w:t>
            </w:r>
          </w:p>
        </w:tc>
      </w:tr>
      <w:tr>
        <w:trPr>
          <w:trHeight w:val="40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7"/>
              <w:jc w:val="center"/>
              <w:rPr>
                <w:rFonts w:ascii="宋体" w:hAnsi="宋体" w:cs="宋体" w:eastAsia="宋体" w:hint="default"/>
                <w:sz w:val="18"/>
                <w:szCs w:val="18"/>
              </w:rPr>
            </w:pPr>
            <w:r>
              <w:rPr>
                <w:rFonts w:ascii="宋体" w:hAnsi="宋体" w:cs="宋体" w:eastAsia="宋体" w:hint="default"/>
                <w:sz w:val="18"/>
                <w:szCs w:val="18"/>
              </w:rPr>
              <w:t>三、减值准备</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96"/>
        <w:gridCol w:w="1198"/>
        <w:gridCol w:w="1196"/>
        <w:gridCol w:w="1195"/>
        <w:gridCol w:w="1198"/>
        <w:gridCol w:w="1195"/>
        <w:gridCol w:w="1196"/>
        <w:gridCol w:w="1198"/>
      </w:tblGrid>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8"/>
              <w:jc w:val="center"/>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）计提</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8"/>
              <w:jc w:val="center"/>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7"/>
              <w:jc w:val="center"/>
              <w:rPr>
                <w:rFonts w:ascii="宋体" w:hAnsi="宋体" w:cs="宋体" w:eastAsia="宋体" w:hint="default"/>
                <w:sz w:val="18"/>
                <w:szCs w:val="18"/>
              </w:rPr>
            </w:pPr>
            <w:r>
              <w:rPr>
                <w:rFonts w:ascii="宋体" w:hAnsi="宋体" w:cs="宋体" w:eastAsia="宋体" w:hint="default"/>
                <w:sz w:val="18"/>
                <w:szCs w:val="18"/>
              </w:rPr>
              <w:t>四、账面价值</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737,110,878.45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80,225,692.24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477,661,453.70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10,195,482.44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1,762,048.91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32,172,275.11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1,339,127,830.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85</w:t>
            </w: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407,096,191.08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95,817,150.46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312,671,509.30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9,132,063.48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2,306,000.58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24,203,791.02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851,226,705.92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4"/>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新疆房产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单元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号房</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665,959.49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665,959.49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513" w:right="1133"/>
        <w:jc w:val="left"/>
      </w:pPr>
      <w:r>
        <w:rPr/>
        <w:t>（</w:t>
      </w:r>
      <w:r>
        <w:rPr>
          <w:rFonts w:ascii="Times New Roman" w:hAnsi="Times New Roman" w:cs="Times New Roman" w:eastAsia="Times New Roman" w:hint="default"/>
        </w:rPr>
        <w:t>1</w:t>
      </w:r>
      <w:r>
        <w:rPr/>
        <w:t>）年末用于抵押的固定资产价值为</w:t>
      </w:r>
      <w:r>
        <w:rPr>
          <w:rFonts w:ascii="Times New Roman" w:hAnsi="Times New Roman" w:cs="Times New Roman" w:eastAsia="Times New Roman" w:hint="default"/>
        </w:rPr>
        <w:t>110,782,488.68</w:t>
      </w:r>
      <w:r>
        <w:rPr/>
        <w:t>元。</w:t>
      </w:r>
    </w:p>
    <w:p>
      <w:pPr>
        <w:pStyle w:val="BodyText"/>
        <w:spacing w:line="300" w:lineRule="auto" w:before="63"/>
        <w:ind w:right="1124" w:firstLine="360"/>
        <w:jc w:val="left"/>
      </w:pPr>
      <w:r>
        <w:rPr/>
        <w:t>（</w:t>
      </w:r>
      <w:r>
        <w:rPr>
          <w:rFonts w:ascii="Times New Roman" w:hAnsi="Times New Roman" w:cs="Times New Roman" w:eastAsia="Times New Roman" w:hint="default"/>
        </w:rPr>
        <w:t>2</w:t>
      </w:r>
      <w:r>
        <w:rPr/>
        <w:t>）本期已提足折旧仍继续使用的固定资产原值</w:t>
      </w:r>
      <w:r>
        <w:rPr>
          <w:rFonts w:ascii="Times New Roman" w:hAnsi="Times New Roman" w:cs="Times New Roman" w:eastAsia="Times New Roman" w:hint="default"/>
        </w:rPr>
        <w:t>60,860,585.44</w:t>
      </w:r>
      <w:r>
        <w:rPr/>
        <w:t>元。本年计提的折旧额</w:t>
      </w:r>
      <w:r>
        <w:rPr>
          <w:rFonts w:ascii="Times New Roman" w:hAnsi="Times New Roman" w:cs="Times New Roman" w:eastAsia="Times New Roman" w:hint="default"/>
        </w:rPr>
        <w:t>109,920,029.16</w:t>
      </w:r>
      <w:r>
        <w:rPr/>
        <w:t>元，本年由在建工 程转入的固定资产</w:t>
      </w:r>
      <w:r>
        <w:rPr>
          <w:rFonts w:ascii="Times New Roman" w:hAnsi="Times New Roman" w:cs="Times New Roman" w:eastAsia="Times New Roman" w:hint="default"/>
        </w:rPr>
        <w:t>533,600,316.43</w:t>
      </w:r>
      <w:r>
        <w:rPr/>
        <w:t>元。</w:t>
      </w:r>
    </w:p>
    <w:p>
      <w:pPr>
        <w:spacing w:line="240" w:lineRule="auto" w:before="4"/>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6</w:t>
      </w:r>
      <w:r>
        <w:rPr/>
        <w:t>）固定资产清理</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13</w:t>
      </w:r>
      <w:r>
        <w:rPr/>
        <w:t>、在建工程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72"/>
        <w:gridCol w:w="3827"/>
        <w:gridCol w:w="3860"/>
      </w:tblGrid>
      <w:tr>
        <w:trPr>
          <w:trHeight w:val="401" w:hRule="exact"/>
        </w:trPr>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370,019,094.58</w:t>
            </w:r>
          </w:p>
        </w:tc>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619,163,657.50</w:t>
            </w:r>
          </w:p>
        </w:tc>
      </w:tr>
      <w:tr>
        <w:trPr>
          <w:trHeight w:val="401" w:hRule="exact"/>
        </w:trPr>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370,019,094.58</w:t>
            </w:r>
          </w:p>
        </w:tc>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619,163,657.50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万台惠农 通农村电子商务 专用终端产能建 设项目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9,002,026.66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9,002,026.66</w:t>
            </w:r>
          </w:p>
        </w:tc>
      </w:tr>
      <w:tr>
        <w:trPr>
          <w:trHeight w:val="196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万台符合 中国人民银行 </w:t>
            </w:r>
            <w:r>
              <w:rPr>
                <w:rFonts w:ascii="Times New Roman" w:hAnsi="Times New Roman" w:cs="Times New Roman" w:eastAsia="Times New Roman" w:hint="default"/>
                <w:sz w:val="18"/>
                <w:szCs w:val="18"/>
              </w:rPr>
              <w:t>PBOC2.0 </w:t>
            </w:r>
            <w:r>
              <w:rPr>
                <w:rFonts w:ascii="宋体" w:hAnsi="宋体" w:cs="宋体" w:eastAsia="宋体" w:hint="default"/>
                <w:sz w:val="18"/>
                <w:szCs w:val="18"/>
              </w:rPr>
              <w:t>新标准</w:t>
            </w:r>
            <w:r>
              <w:rPr>
                <w:rFonts w:ascii="宋体" w:hAnsi="宋体" w:cs="宋体" w:eastAsia="宋体" w:hint="default"/>
                <w:w w:val="99"/>
                <w:sz w:val="18"/>
                <w:szCs w:val="18"/>
              </w:rPr>
              <w:t> </w:t>
            </w:r>
            <w:r>
              <w:rPr>
                <w:rFonts w:ascii="宋体" w:hAnsi="宋体" w:cs="宋体" w:eastAsia="宋体" w:hint="default"/>
                <w:sz w:val="18"/>
                <w:szCs w:val="18"/>
              </w:rPr>
              <w:t>的金融</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卡</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终端产能建设项 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346,376.75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346,376.75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626,661.22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626,661.22</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证通电子大数据 云计算产业园 </w:t>
            </w:r>
            <w:r>
              <w:rPr>
                <w:rFonts w:ascii="Times New Roman" w:hAnsi="Times New Roman" w:cs="Times New Roman" w:eastAsia="Times New Roman" w:hint="default"/>
                <w:sz w:val="18"/>
                <w:szCs w:val="18"/>
              </w:rPr>
              <w:t>(</w:t>
            </w:r>
            <w:r>
              <w:rPr>
                <w:rFonts w:ascii="宋体" w:hAnsi="宋体" w:cs="宋体" w:eastAsia="宋体" w:hint="default"/>
                <w:sz w:val="18"/>
                <w:szCs w:val="18"/>
              </w:rPr>
              <w:t>光明云谷</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1,358,620.69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1,358,620.69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170,921,793.98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170,921,793.98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证通产业园二期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1,127,461.67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1,127,461.67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3,856,927.45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3,856,927.45</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研发中心扩建项 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28,901,259.03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28,901,259.03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29,498,836.71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29,498,836.71</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证通云项目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21,096,840.18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21,096,840.18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2,935,960.98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2,935,960.98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自助钣金产能规</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2,202,703.78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2,202,703.78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36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划建设项目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基于国密标准的 金融数据安全集 群加密服务平台 研发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1,338,315.39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1,338,315.39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预付工程款项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2,525,011.20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2,525,011.20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307,596.46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307,596.46</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长沙云谷数据中 心项目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53,860,355.93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53,860,355.93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262,083,482.01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262,083,482.01</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长沙软件研发中 心项目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86,617,860.93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86,617,860.93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10,670,084.01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10,670,084.01</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定州市城市节能 照明项目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项 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35,223,824.73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35,223,824.73</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阜新市新邱区</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EMC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323,582.26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323,582.26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IDC </w:t>
            </w:r>
            <w:r>
              <w:rPr>
                <w:rFonts w:ascii="宋体" w:hAnsi="宋体" w:cs="宋体" w:eastAsia="宋体" w:hint="default"/>
                <w:sz w:val="18"/>
                <w:szCs w:val="18"/>
              </w:rPr>
              <w:t>工程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172,948,410.84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172,948,410.84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87,724,397.02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87,724,397.02</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1"/>
              <w:jc w:val="left"/>
              <w:rPr>
                <w:rFonts w:ascii="宋体" w:hAnsi="宋体" w:cs="宋体" w:eastAsia="宋体" w:hint="default"/>
                <w:sz w:val="18"/>
                <w:szCs w:val="18"/>
              </w:rPr>
            </w:pPr>
            <w:r>
              <w:rPr>
                <w:rFonts w:ascii="宋体" w:hAnsi="宋体" w:cs="宋体" w:eastAsia="宋体" w:hint="default"/>
                <w:sz w:val="18"/>
                <w:szCs w:val="18"/>
              </w:rPr>
              <w:t>广州南沙</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IDC </w:t>
            </w:r>
            <w:r>
              <w:rPr>
                <w:rFonts w:ascii="宋体" w:hAnsi="宋体" w:cs="宋体" w:eastAsia="宋体" w:hint="default"/>
                <w:sz w:val="18"/>
                <w:szCs w:val="18"/>
              </w:rPr>
              <w:t>工 程</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1,447,945.50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1,447,945.50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深圳共济动环系 统监控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1,236,897.36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1,236,897.36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823,104.25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823,104.25</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致远</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OA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办公系 统</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176,415.09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176,415.09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370,019,094.58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370,019,094.58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619,163,657.50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619,163,657.50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52"/>
        <w:gridCol w:w="718"/>
        <w:gridCol w:w="737"/>
        <w:gridCol w:w="737"/>
        <w:gridCol w:w="734"/>
        <w:gridCol w:w="737"/>
        <w:gridCol w:w="737"/>
        <w:gridCol w:w="734"/>
        <w:gridCol w:w="737"/>
        <w:gridCol w:w="737"/>
        <w:gridCol w:w="735"/>
        <w:gridCol w:w="737"/>
        <w:gridCol w:w="737"/>
      </w:tblGrid>
      <w:tr>
        <w:trPr>
          <w:trHeight w:val="1337"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3" w:right="89"/>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93"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3" w:right="89"/>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20"/>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96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5"/>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台惠农通 农村电子 商务专用 终端产能 建设项目</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10,665,4</w:t>
            </w:r>
          </w:p>
          <w:p>
            <w:pPr>
              <w:pStyle w:val="TableParagraph"/>
              <w:spacing w:line="240" w:lineRule="auto" w:before="105"/>
              <w:ind w:left="280" w:right="0"/>
              <w:jc w:val="left"/>
              <w:rPr>
                <w:rFonts w:ascii="Times New Roman" w:hAnsi="Times New Roman" w:cs="Times New Roman" w:eastAsia="Times New Roman" w:hint="default"/>
                <w:sz w:val="18"/>
                <w:szCs w:val="18"/>
              </w:rPr>
            </w:pPr>
            <w:r>
              <w:rPr>
                <w:rFonts w:ascii="Times New Roman"/>
                <w:sz w:val="18"/>
              </w:rPr>
              <w:t>47.41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9,002,02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6.66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1,858,74</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3.37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10,860,7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70.03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98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 台符合中 国人民银</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12,332,6</w:t>
            </w:r>
          </w:p>
          <w:p>
            <w:pPr>
              <w:pStyle w:val="TableParagraph"/>
              <w:spacing w:line="240" w:lineRule="auto" w:before="105"/>
              <w:ind w:left="280" w:right="0"/>
              <w:jc w:val="left"/>
              <w:rPr>
                <w:rFonts w:ascii="Times New Roman" w:hAnsi="Times New Roman" w:cs="Times New Roman" w:eastAsia="Times New Roman" w:hint="default"/>
                <w:sz w:val="18"/>
                <w:szCs w:val="18"/>
              </w:rPr>
            </w:pPr>
            <w:r>
              <w:rPr>
                <w:rFonts w:ascii="Times New Roman"/>
                <w:sz w:val="18"/>
              </w:rPr>
              <w:t>61.88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626,661.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280,284.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346,376.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16"/>
              <w:jc w:val="right"/>
              <w:rPr>
                <w:rFonts w:ascii="Times New Roman" w:hAnsi="Times New Roman" w:cs="Times New Roman" w:eastAsia="Times New Roman" w:hint="default"/>
                <w:sz w:val="18"/>
                <w:szCs w:val="18"/>
              </w:rPr>
            </w:pPr>
            <w:r>
              <w:rPr>
                <w:rFonts w:ascii="Times New Roman"/>
                <w:sz w:val="18"/>
              </w:rPr>
              <w:t>90.24%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24" w:right="0"/>
              <w:jc w:val="left"/>
              <w:rPr>
                <w:rFonts w:ascii="Times New Roman" w:hAnsi="Times New Roman" w:cs="Times New Roman" w:eastAsia="Times New Roman" w:hint="default"/>
                <w:sz w:val="18"/>
                <w:szCs w:val="18"/>
              </w:rPr>
            </w:pPr>
            <w:r>
              <w:rPr>
                <w:rFonts w:ascii="Times New Roman"/>
                <w:sz w:val="18"/>
              </w:rPr>
              <w:t>90.24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52"/>
        <w:gridCol w:w="718"/>
        <w:gridCol w:w="737"/>
        <w:gridCol w:w="737"/>
        <w:gridCol w:w="734"/>
        <w:gridCol w:w="737"/>
        <w:gridCol w:w="737"/>
        <w:gridCol w:w="734"/>
        <w:gridCol w:w="737"/>
        <w:gridCol w:w="737"/>
        <w:gridCol w:w="735"/>
        <w:gridCol w:w="737"/>
        <w:gridCol w:w="737"/>
      </w:tblGrid>
      <w:tr>
        <w:trPr>
          <w:trHeight w:val="223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行</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PBOC2.0</w:t>
            </w:r>
          </w:p>
          <w:p>
            <w:pPr>
              <w:pStyle w:val="TableParagraph"/>
              <w:spacing w:line="309" w:lineRule="auto" w:before="63"/>
              <w:ind w:left="24" w:right="19"/>
              <w:jc w:val="left"/>
              <w:rPr>
                <w:rFonts w:ascii="宋体" w:hAnsi="宋体" w:cs="宋体" w:eastAsia="宋体" w:hint="default"/>
                <w:sz w:val="18"/>
                <w:szCs w:val="18"/>
              </w:rPr>
            </w:pPr>
            <w:r>
              <w:rPr>
                <w:rFonts w:ascii="宋体" w:hAnsi="宋体" w:cs="宋体" w:eastAsia="宋体" w:hint="default"/>
                <w:sz w:val="18"/>
                <w:szCs w:val="18"/>
              </w:rPr>
              <w:t>新标准的 金融</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卡 </w:t>
            </w:r>
            <w:r>
              <w:rPr>
                <w:rFonts w:ascii="Times New Roman" w:hAnsi="Times New Roman" w:cs="Times New Roman" w:eastAsia="Times New Roman" w:hint="default"/>
                <w:sz w:val="18"/>
                <w:szCs w:val="18"/>
              </w:rPr>
              <w:t>POS </w:t>
            </w:r>
            <w:r>
              <w:rPr>
                <w:rFonts w:ascii="宋体" w:hAnsi="宋体" w:cs="宋体" w:eastAsia="宋体" w:hint="default"/>
                <w:sz w:val="18"/>
                <w:szCs w:val="18"/>
              </w:rPr>
              <w:t>终端 产能建设 项目</w:t>
            </w:r>
          </w:p>
        </w:tc>
        <w:tc>
          <w:tcPr>
            <w:tcW w:w="71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36"/>
              <w:jc w:val="both"/>
              <w:rPr>
                <w:rFonts w:ascii="宋体" w:hAnsi="宋体" w:cs="宋体" w:eastAsia="宋体" w:hint="default"/>
                <w:sz w:val="18"/>
                <w:szCs w:val="18"/>
              </w:rPr>
            </w:pPr>
            <w:r>
              <w:rPr>
                <w:rFonts w:ascii="宋体" w:hAnsi="宋体" w:cs="宋体" w:eastAsia="宋体" w:hint="default"/>
                <w:sz w:val="18"/>
                <w:szCs w:val="18"/>
              </w:rPr>
              <w:t>证通电子 大数据云 计算产业 园</w:t>
            </w:r>
            <w:r>
              <w:rPr>
                <w:rFonts w:ascii="Times New Roman" w:hAnsi="Times New Roman" w:cs="Times New Roman" w:eastAsia="Times New Roman" w:hint="default"/>
                <w:sz w:val="18"/>
                <w:szCs w:val="18"/>
              </w:rPr>
              <w:t>(</w:t>
            </w:r>
            <w:r>
              <w:rPr>
                <w:rFonts w:ascii="宋体" w:hAnsi="宋体" w:cs="宋体" w:eastAsia="宋体" w:hint="default"/>
                <w:sz w:val="18"/>
                <w:szCs w:val="18"/>
              </w:rPr>
              <w:t>光明云 谷</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4" w:right="0"/>
              <w:jc w:val="center"/>
              <w:rPr>
                <w:rFonts w:ascii="Times New Roman" w:hAnsi="Times New Roman" w:cs="Times New Roman" w:eastAsia="Times New Roman" w:hint="default"/>
                <w:sz w:val="18"/>
                <w:szCs w:val="18"/>
              </w:rPr>
            </w:pPr>
            <w:r>
              <w:rPr>
                <w:rFonts w:ascii="Times New Roman"/>
                <w:sz w:val="18"/>
              </w:rPr>
              <w:t>257,127,</w:t>
            </w:r>
          </w:p>
          <w:p>
            <w:pPr>
              <w:pStyle w:val="TableParagraph"/>
              <w:spacing w:line="240" w:lineRule="auto" w:before="105"/>
              <w:ind w:left="170" w:right="0"/>
              <w:jc w:val="center"/>
              <w:rPr>
                <w:rFonts w:ascii="Times New Roman" w:hAnsi="Times New Roman" w:cs="Times New Roman" w:eastAsia="Times New Roman" w:hint="default"/>
                <w:sz w:val="18"/>
                <w:szCs w:val="18"/>
              </w:rPr>
            </w:pPr>
            <w:r>
              <w:rPr>
                <w:rFonts w:ascii="Times New Roman"/>
                <w:sz w:val="18"/>
              </w:rPr>
              <w:t>400.00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8" w:right="0"/>
              <w:jc w:val="center"/>
              <w:rPr>
                <w:rFonts w:ascii="Times New Roman" w:hAnsi="Times New Roman" w:cs="Times New Roman" w:eastAsia="Times New Roman" w:hint="default"/>
                <w:sz w:val="18"/>
                <w:szCs w:val="18"/>
              </w:rPr>
            </w:pPr>
            <w:r>
              <w:rPr>
                <w:rFonts w:ascii="Times New Roman"/>
                <w:sz w:val="18"/>
              </w:rPr>
              <w:t>170,921,</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793.98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62,875,4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47.30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51" w:right="0"/>
              <w:jc w:val="center"/>
              <w:rPr>
                <w:rFonts w:ascii="Times New Roman" w:hAnsi="Times New Roman" w:cs="Times New Roman" w:eastAsia="Times New Roman" w:hint="default"/>
                <w:sz w:val="18"/>
                <w:szCs w:val="18"/>
              </w:rPr>
            </w:pPr>
            <w:r>
              <w:rPr>
                <w:rFonts w:ascii="Times New Roman"/>
                <w:sz w:val="18"/>
              </w:rPr>
              <w:t>232,438,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620.59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1,358,62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0.69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90.93%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90.93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证通产业 园二期</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32,765,8</w:t>
            </w:r>
          </w:p>
          <w:p>
            <w:pPr>
              <w:pStyle w:val="TableParagraph"/>
              <w:spacing w:line="240" w:lineRule="auto" w:before="105"/>
              <w:ind w:left="280" w:right="0"/>
              <w:jc w:val="left"/>
              <w:rPr>
                <w:rFonts w:ascii="Times New Roman" w:hAnsi="Times New Roman" w:cs="Times New Roman" w:eastAsia="Times New Roman" w:hint="default"/>
                <w:sz w:val="18"/>
                <w:szCs w:val="18"/>
              </w:rPr>
            </w:pPr>
            <w:r>
              <w:rPr>
                <w:rFonts w:ascii="Times New Roman"/>
                <w:sz w:val="18"/>
              </w:rPr>
              <w:t>36.00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3,856,92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7.45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6,990,37</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1.00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9,719,83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6.78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1,127,46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1.67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96.56%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96.56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研发中心 扩建项目</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75,160,0</w:t>
            </w:r>
          </w:p>
          <w:p>
            <w:pPr>
              <w:pStyle w:val="TableParagraph"/>
              <w:spacing w:line="240" w:lineRule="auto" w:before="105"/>
              <w:ind w:left="280"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29,498,8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36.71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351,785.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949,363.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28,901,2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59.03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99.71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证通云项 目</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47,312,5</w:t>
            </w:r>
          </w:p>
          <w:p>
            <w:pPr>
              <w:pStyle w:val="TableParagraph"/>
              <w:spacing w:line="240" w:lineRule="auto" w:before="105"/>
              <w:ind w:left="280"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2,935,96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18,160,8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79.20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21,096,8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40.18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44.59%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44.59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02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自助钣金 产能规划 建设项目</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280"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2,202,70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3.78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1,003,97</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2.31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3,206,67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6.09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96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基于国密 标准的金 融数据安 全集群加 密服务平 台研发</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1,338,31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5.39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1,338,31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5.39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预付工程 款项</w:t>
            </w:r>
          </w:p>
        </w:tc>
        <w:tc>
          <w:tcPr>
            <w:tcW w:w="71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307,596.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2,463,35</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7.22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245,942.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2,525,01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1.20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02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长沙云谷 数据中心 项目</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414,382,</w:t>
            </w:r>
          </w:p>
          <w:p>
            <w:pPr>
              <w:pStyle w:val="TableParagraph"/>
              <w:spacing w:line="240" w:lineRule="auto" w:before="105"/>
              <w:ind w:left="170" w:right="0"/>
              <w:jc w:val="center"/>
              <w:rPr>
                <w:rFonts w:ascii="Times New Roman" w:hAnsi="Times New Roman" w:cs="Times New Roman" w:eastAsia="Times New Roman" w:hint="default"/>
                <w:sz w:val="18"/>
                <w:szCs w:val="18"/>
              </w:rPr>
            </w:pPr>
            <w:r>
              <w:rPr>
                <w:rFonts w:ascii="Times New Roman"/>
                <w:sz w:val="18"/>
              </w:rPr>
              <w:t>200.00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254,895,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966.02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72,865,0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59.41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273,900,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669.50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53,860,3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55.93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78.80%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78.80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853,766.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2.88%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02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长沙软件 研发中心 项目</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86,955,8</w:t>
            </w:r>
          </w:p>
          <w:p>
            <w:pPr>
              <w:pStyle w:val="TableParagraph"/>
              <w:spacing w:line="240" w:lineRule="auto" w:before="105"/>
              <w:ind w:left="280"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17,857,6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68,760,2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60.93</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86,617,8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60.93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101.14%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101.14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339"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定州市城 市节能照 明项目</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108,034,</w:t>
            </w:r>
          </w:p>
          <w:p>
            <w:pPr>
              <w:pStyle w:val="TableParagraph"/>
              <w:spacing w:line="240" w:lineRule="auto" w:before="105"/>
              <w:ind w:left="170" w:right="0"/>
              <w:jc w:val="center"/>
              <w:rPr>
                <w:rFonts w:ascii="Times New Roman" w:hAnsi="Times New Roman" w:cs="Times New Roman" w:eastAsia="Times New Roman" w:hint="default"/>
                <w:sz w:val="18"/>
                <w:szCs w:val="18"/>
              </w:rPr>
            </w:pPr>
            <w:r>
              <w:rPr>
                <w:rFonts w:ascii="Times New Roman"/>
                <w:sz w:val="18"/>
              </w:rPr>
              <w:t>285.71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35,223,8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24.73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10,643,9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30.53</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45,867,7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55.26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阜新市新 邱区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EMC</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8,400,00</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323,582.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1,632,82</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6.73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1,956,40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8.99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52"/>
        <w:gridCol w:w="718"/>
        <w:gridCol w:w="737"/>
        <w:gridCol w:w="737"/>
        <w:gridCol w:w="734"/>
        <w:gridCol w:w="737"/>
        <w:gridCol w:w="737"/>
        <w:gridCol w:w="734"/>
        <w:gridCol w:w="737"/>
        <w:gridCol w:w="737"/>
        <w:gridCol w:w="735"/>
        <w:gridCol w:w="737"/>
        <w:gridCol w:w="737"/>
      </w:tblGrid>
      <w:tr>
        <w:trPr>
          <w:trHeight w:val="36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1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东莞</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IDC</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工程</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171,286,</w:t>
            </w:r>
          </w:p>
          <w:p>
            <w:pPr>
              <w:pStyle w:val="TableParagraph"/>
              <w:spacing w:line="240" w:lineRule="auto" w:before="105"/>
              <w:ind w:left="170" w:right="0"/>
              <w:jc w:val="center"/>
              <w:rPr>
                <w:rFonts w:ascii="Times New Roman" w:hAnsi="Times New Roman" w:cs="Times New Roman" w:eastAsia="Times New Roman" w:hint="default"/>
                <w:sz w:val="18"/>
                <w:szCs w:val="18"/>
              </w:rPr>
            </w:pPr>
            <w:r>
              <w:rPr>
                <w:rFonts w:ascii="Times New Roman"/>
                <w:sz w:val="18"/>
              </w:rPr>
              <w:t>780.48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87,724,3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97.02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85,224,0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13.82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172,948,</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410.84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62.53%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62.53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18,246,8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24.58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10,965,7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61.71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4.35%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广州南沙</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工程</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590,000,</w:t>
            </w:r>
          </w:p>
          <w:p>
            <w:pPr>
              <w:pStyle w:val="TableParagraph"/>
              <w:spacing w:line="240" w:lineRule="auto" w:before="105"/>
              <w:ind w:left="170"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1,447,94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5.50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243,873.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1,691,81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9.33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深圳共济 动环系统 监控</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1,465,53</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2.00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823,104.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512,579.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98,786.8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1,236,89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7.36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84.00%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84.00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致远</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OA</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办公系统</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212,500.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176,415.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31,132.0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207,547.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1,867,60</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0,943.48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619,163,</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657.50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333,618,</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233.15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536,895,</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040.81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45,867,7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55.26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370,019,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094.58</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18,246,8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24.58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11,819,5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28.31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4</w:t>
      </w:r>
      <w:r>
        <w:rPr/>
        <w:t>）工程物资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0"/>
        <w:gridCol w:w="1330"/>
        <w:gridCol w:w="1327"/>
        <w:gridCol w:w="1198"/>
        <w:gridCol w:w="1195"/>
        <w:gridCol w:w="1196"/>
        <w:gridCol w:w="1195"/>
      </w:tblGrid>
      <w:tr>
        <w:trPr>
          <w:trHeight w:val="403" w:hRule="exact"/>
        </w:trPr>
        <w:tc>
          <w:tcPr>
            <w:tcW w:w="21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130" w:type="dxa"/>
            <w:vMerge/>
            <w:tcBorders>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14</w:t>
      </w:r>
      <w:r>
        <w:rPr/>
        <w:t>、无形资产</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73"/>
        <w:gridCol w:w="1208"/>
        <w:gridCol w:w="1196"/>
        <w:gridCol w:w="1195"/>
        <w:gridCol w:w="1198"/>
        <w:gridCol w:w="1195"/>
        <w:gridCol w:w="1196"/>
        <w:gridCol w:w="1198"/>
      </w:tblGrid>
      <w:tr>
        <w:trPr>
          <w:trHeight w:val="161" w:hRule="exact"/>
        </w:trPr>
        <w:tc>
          <w:tcPr>
            <w:tcW w:w="11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vMerge w:val="restart"/>
            <w:tcBorders>
              <w:top w:val="single" w:sz="4" w:space="0" w:color="000000"/>
              <w:left w:val="single" w:sz="10" w:space="0" w:color="D2D2D2"/>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其他特许权</w:t>
            </w:r>
          </w:p>
        </w:tc>
        <w:tc>
          <w:tcPr>
            <w:tcW w:w="1195"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电脑软件</w:t>
            </w:r>
          </w:p>
        </w:tc>
        <w:tc>
          <w:tcPr>
            <w:tcW w:w="1196" w:type="dxa"/>
            <w:vMerge w:val="restart"/>
            <w:tcBorders>
              <w:top w:val="single" w:sz="4" w:space="0" w:color="000000"/>
              <w:left w:val="single" w:sz="4" w:space="0" w:color="000000"/>
              <w:right w:val="single" w:sz="4" w:space="0" w:color="000000"/>
            </w:tcBorders>
            <w:shd w:val="clear" w:color="auto" w:fill="E0FFFF"/>
          </w:tcPr>
          <w:p>
            <w:pPr>
              <w:pStyle w:val="TableParagraph"/>
              <w:spacing w:line="300" w:lineRule="auto" w:before="49"/>
              <w:ind w:left="503" w:right="20" w:hanging="480"/>
              <w:jc w:val="left"/>
              <w:rPr>
                <w:rFonts w:ascii="宋体" w:hAnsi="宋体" w:cs="宋体" w:eastAsia="宋体" w:hint="default"/>
                <w:sz w:val="18"/>
                <w:szCs w:val="18"/>
              </w:rPr>
            </w:pPr>
            <w:r>
              <w:rPr>
                <w:rFonts w:ascii="Times New Roman" w:hAnsi="Times New Roman" w:cs="Times New Roman" w:eastAsia="Times New Roman" w:hint="default"/>
                <w:sz w:val="18"/>
                <w:szCs w:val="18"/>
              </w:rPr>
              <w:t>EMC</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项目收益 权</w:t>
            </w:r>
          </w:p>
        </w:tc>
        <w:tc>
          <w:tcPr>
            <w:tcW w:w="1198" w:type="dxa"/>
            <w:vMerge w:val="restart"/>
            <w:tcBorders>
              <w:top w:val="single" w:sz="4" w:space="0" w:color="000000"/>
              <w:left w:val="single" w:sz="10" w:space="0" w:color="E0FFFF"/>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1" w:hRule="exact"/>
        </w:trPr>
        <w:tc>
          <w:tcPr>
            <w:tcW w:w="11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专利权</w:t>
            </w: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4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98" w:type="dxa"/>
            <w:vMerge/>
            <w:tcBorders>
              <w:left w:val="single" w:sz="10" w:space="0" w:color="D2D2D2"/>
              <w:right w:val="single" w:sz="4" w:space="0" w:color="000000"/>
            </w:tcBorders>
            <w:shd w:val="clear" w:color="auto" w:fill="E0FFFF"/>
          </w:tcPr>
          <w:p>
            <w:pPr/>
          </w:p>
        </w:tc>
        <w:tc>
          <w:tcPr>
            <w:tcW w:w="1195" w:type="dxa"/>
            <w:vMerge/>
            <w:tcBorders>
              <w:left w:val="single" w:sz="4" w:space="0" w:color="000000"/>
              <w:right w:val="single" w:sz="4" w:space="0" w:color="000000"/>
            </w:tcBorders>
            <w:shd w:val="clear" w:color="auto" w:fill="E0FFFF"/>
          </w:tcPr>
          <w:p>
            <w:pPr/>
          </w:p>
        </w:tc>
        <w:tc>
          <w:tcPr>
            <w:tcW w:w="1196" w:type="dxa"/>
            <w:vMerge/>
            <w:tcBorders>
              <w:left w:val="single" w:sz="4" w:space="0" w:color="000000"/>
              <w:right w:val="single" w:sz="4" w:space="0" w:color="000000"/>
            </w:tcBorders>
            <w:shd w:val="clear" w:color="auto" w:fill="E0FFFF"/>
          </w:tcPr>
          <w:p>
            <w:pPr/>
          </w:p>
        </w:tc>
        <w:tc>
          <w:tcPr>
            <w:tcW w:w="1198" w:type="dxa"/>
            <w:vMerge/>
            <w:tcBorders>
              <w:left w:val="single" w:sz="10" w:space="0" w:color="E0FFFF"/>
              <w:right w:val="single" w:sz="4" w:space="0" w:color="000000"/>
            </w:tcBorders>
            <w:shd w:val="clear" w:color="auto" w:fill="D2D2D2"/>
          </w:tcPr>
          <w:p>
            <w:pPr/>
          </w:p>
        </w:tc>
      </w:tr>
      <w:tr>
        <w:trPr>
          <w:trHeight w:val="161" w:hRule="exact"/>
        </w:trPr>
        <w:tc>
          <w:tcPr>
            <w:tcW w:w="11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10" w:space="0" w:color="D2D2D2"/>
              <w:bottom w:val="single" w:sz="4" w:space="0" w:color="000000"/>
              <w:right w:val="single" w:sz="4" w:space="0" w:color="000000"/>
            </w:tcBorders>
            <w:shd w:val="clear" w:color="auto" w:fill="E0FFFF"/>
          </w:tcPr>
          <w:p>
            <w:pPr/>
          </w:p>
        </w:tc>
        <w:tc>
          <w:tcPr>
            <w:tcW w:w="1195" w:type="dxa"/>
            <w:vMerge/>
            <w:tcBorders>
              <w:left w:val="single" w:sz="4" w:space="0" w:color="000000"/>
              <w:bottom w:val="single" w:sz="4" w:space="0" w:color="000000"/>
              <w:right w:val="single" w:sz="4" w:space="0" w:color="000000"/>
            </w:tcBorders>
            <w:shd w:val="clear" w:color="auto" w:fill="E0FFFF"/>
          </w:tcPr>
          <w:p>
            <w:pPr/>
          </w:p>
        </w:tc>
        <w:tc>
          <w:tcPr>
            <w:tcW w:w="1196" w:type="dxa"/>
            <w:vMerge/>
            <w:tcBorders>
              <w:left w:val="single" w:sz="4" w:space="0" w:color="000000"/>
              <w:bottom w:val="single" w:sz="4" w:space="0" w:color="000000"/>
              <w:right w:val="single" w:sz="4" w:space="0" w:color="000000"/>
            </w:tcBorders>
            <w:shd w:val="clear" w:color="auto" w:fill="E0FFFF"/>
          </w:tcPr>
          <w:p>
            <w:pPr/>
          </w:p>
        </w:tc>
        <w:tc>
          <w:tcPr>
            <w:tcW w:w="1198" w:type="dxa"/>
            <w:vMerge/>
            <w:tcBorders>
              <w:left w:val="single" w:sz="10" w:space="0" w:color="E0FFFF"/>
              <w:bottom w:val="single" w:sz="4" w:space="0" w:color="000000"/>
              <w:right w:val="single" w:sz="4" w:space="0" w:color="000000"/>
            </w:tcBorders>
            <w:shd w:val="clear" w:color="auto" w:fill="D2D2D2"/>
          </w:tcPr>
          <w:p>
            <w:pPr/>
          </w:p>
        </w:tc>
      </w:tr>
      <w:tr>
        <w:trPr>
          <w:trHeight w:val="40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7"/>
              <w:jc w:val="center"/>
              <w:rPr>
                <w:rFonts w:ascii="宋体" w:hAnsi="宋体" w:cs="宋体" w:eastAsia="宋体" w:hint="default"/>
                <w:sz w:val="18"/>
                <w:szCs w:val="18"/>
              </w:rPr>
            </w:pPr>
            <w:r>
              <w:rPr>
                <w:rFonts w:ascii="宋体" w:hAnsi="宋体" w:cs="宋体" w:eastAsia="宋体" w:hint="default"/>
                <w:sz w:val="18"/>
                <w:szCs w:val="18"/>
              </w:rPr>
              <w:t>一、账面原值</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 额</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z w:val="18"/>
              </w:rPr>
              <w:t>121,624,942.83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center"/>
              <w:rPr>
                <w:rFonts w:ascii="Times New Roman" w:hAnsi="Times New Roman" w:cs="Times New Roman" w:eastAsia="Times New Roman" w:hint="default"/>
                <w:sz w:val="18"/>
                <w:szCs w:val="18"/>
              </w:rPr>
            </w:pPr>
            <w:r>
              <w:rPr>
                <w:rFonts w:ascii="Times New Roman"/>
                <w:sz w:val="18"/>
              </w:rPr>
              <w:t>46,787,222.26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1,360,240.00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11,476,306.69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131,580,040.55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312,828,752.33</w:t>
            </w:r>
          </w:p>
        </w:tc>
      </w:tr>
      <w:tr>
        <w:trPr>
          <w:trHeight w:val="715"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center"/>
              <w:rPr>
                <w:rFonts w:ascii="Times New Roman" w:hAnsi="Times New Roman" w:cs="Times New Roman" w:eastAsia="Times New Roman" w:hint="default"/>
                <w:sz w:val="18"/>
                <w:szCs w:val="18"/>
              </w:rPr>
            </w:pPr>
            <w:r>
              <w:rPr>
                <w:rFonts w:ascii="Times New Roman"/>
                <w:sz w:val="18"/>
              </w:rPr>
              <w:t>15,003,377.38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441,025.64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5,005,125.04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3,862,677.68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24,312,205.74</w:t>
            </w: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2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）购</w:t>
            </w:r>
            <w:r>
              <w:rPr>
                <w:rFonts w:ascii="宋体" w:hAnsi="宋体" w:cs="宋体" w:eastAsia="宋体" w:hint="default"/>
                <w:spacing w:val="-15"/>
                <w:sz w:val="18"/>
                <w:szCs w:val="18"/>
              </w:rPr>
              <w:t> </w:t>
            </w:r>
            <w:r>
              <w:rPr>
                <w:rFonts w:ascii="宋体" w:hAnsi="宋体" w:cs="宋体" w:eastAsia="宋体" w:hint="default"/>
                <w:sz w:val="18"/>
                <w:szCs w:val="18"/>
              </w:rPr>
              <w:t>置</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1,687,819.68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1,906,268.69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4,035,114.01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196"/>
        <w:gridCol w:w="1198"/>
        <w:gridCol w:w="1196"/>
        <w:gridCol w:w="1195"/>
        <w:gridCol w:w="1198"/>
        <w:gridCol w:w="1195"/>
        <w:gridCol w:w="1196"/>
        <w:gridCol w:w="1198"/>
      </w:tblGrid>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3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）内</w:t>
            </w:r>
            <w:r>
              <w:rPr>
                <w:rFonts w:ascii="宋体" w:hAnsi="宋体" w:cs="宋体" w:eastAsia="宋体" w:hint="default"/>
                <w:spacing w:val="-15"/>
                <w:sz w:val="18"/>
                <w:szCs w:val="18"/>
              </w:rPr>
              <w:t> </w:t>
            </w:r>
            <w:r>
              <w:rPr>
                <w:rFonts w:ascii="宋体" w:hAnsi="宋体" w:cs="宋体" w:eastAsia="宋体" w:hint="default"/>
                <w:sz w:val="18"/>
                <w:szCs w:val="18"/>
              </w:rPr>
              <w:t>部研发</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3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）企</w:t>
            </w:r>
            <w:r>
              <w:rPr>
                <w:rFonts w:ascii="宋体" w:hAnsi="宋体" w:cs="宋体" w:eastAsia="宋体" w:hint="default"/>
                <w:spacing w:val="-15"/>
                <w:sz w:val="18"/>
                <w:szCs w:val="18"/>
              </w:rPr>
              <w:t> </w:t>
            </w:r>
            <w:r>
              <w:rPr>
                <w:rFonts w:ascii="宋体" w:hAnsi="宋体" w:cs="宋体" w:eastAsia="宋体" w:hint="default"/>
                <w:sz w:val="18"/>
                <w:szCs w:val="18"/>
              </w:rPr>
              <w:t>业合并增加</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）在建工程</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开发支出转入</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15,003,377.38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441,025.64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3,317,305.00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1,956,408.99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20,277,091.73</w:t>
            </w: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5,289,930.71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1,360,240.00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6,650,170.71</w:t>
            </w: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3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pacing w:val="-15"/>
                <w:sz w:val="18"/>
                <w:szCs w:val="18"/>
              </w:rPr>
              <w:t> </w:t>
            </w:r>
            <w:r>
              <w:rPr>
                <w:rFonts w:ascii="宋体" w:hAnsi="宋体" w:cs="宋体" w:eastAsia="宋体" w:hint="default"/>
                <w:sz w:val="18"/>
                <w:szCs w:val="18"/>
              </w:rPr>
              <w:t>置</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1,360,240.00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1,360,240.00</w:t>
            </w: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97" w:lineRule="auto" w:before="51"/>
              <w:ind w:left="24" w:right="19"/>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）处置子公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司转出</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5,289,930.71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5,289,930.71</w:t>
            </w: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2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 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121,624,942.83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56,500,668.93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441,025.64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16,481,431.73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135,442,718.23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330,490,787.36</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二、累计摊销</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2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 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11,424,158.30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3,449,226.87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816,143.84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5,755,159.18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41,405,860.37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62,850,548.56</w:t>
            </w:r>
          </w:p>
        </w:tc>
      </w:tr>
      <w:tr>
        <w:trPr>
          <w:trHeight w:val="716"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2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2,520,376.93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7,319,945.30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98,033.06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1,890,813.34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12,727,029.70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24,556,198.33</w:t>
            </w: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3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pacing w:val="-15"/>
                <w:sz w:val="18"/>
                <w:szCs w:val="18"/>
              </w:rPr>
              <w:t> </w:t>
            </w:r>
            <w:r>
              <w:rPr>
                <w:rFonts w:ascii="宋体" w:hAnsi="宋体" w:cs="宋体" w:eastAsia="宋体" w:hint="default"/>
                <w:sz w:val="18"/>
                <w:szCs w:val="18"/>
              </w:rPr>
              <w:t>提</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2,520,376.93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7,319,945.30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98,033.06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1,890,813.34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12,727,029.70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24,556,198.33</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2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557,295.01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906,826.48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1,464,121.49</w:t>
            </w: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3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pacing w:val="-15"/>
                <w:sz w:val="18"/>
                <w:szCs w:val="18"/>
              </w:rPr>
              <w:t> </w:t>
            </w:r>
            <w:r>
              <w:rPr>
                <w:rFonts w:ascii="宋体" w:hAnsi="宋体" w:cs="宋体" w:eastAsia="宋体" w:hint="default"/>
                <w:sz w:val="18"/>
                <w:szCs w:val="18"/>
              </w:rPr>
              <w:t>置</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906,826.48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906,826.48</w:t>
            </w: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）处置子公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司转出</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557,295.01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557,295.01</w:t>
            </w: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2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 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13,944,535.23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10,211,877.16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7,350.42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7,645,972.52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54,132,890.07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85,942,625.40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7"/>
              <w:jc w:val="center"/>
              <w:rPr>
                <w:rFonts w:ascii="宋体" w:hAnsi="宋体" w:cs="宋体" w:eastAsia="宋体" w:hint="default"/>
                <w:sz w:val="18"/>
                <w:szCs w:val="18"/>
              </w:rPr>
            </w:pPr>
            <w:r>
              <w:rPr>
                <w:rFonts w:ascii="宋体" w:hAnsi="宋体" w:cs="宋体" w:eastAsia="宋体" w:hint="default"/>
                <w:sz w:val="18"/>
                <w:szCs w:val="18"/>
              </w:rPr>
              <w:t>三、减值准备</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2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 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2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3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pacing w:val="-15"/>
                <w:sz w:val="18"/>
                <w:szCs w:val="18"/>
              </w:rPr>
              <w:t> </w:t>
            </w:r>
            <w:r>
              <w:rPr>
                <w:rFonts w:ascii="宋体" w:hAnsi="宋体" w:cs="宋体" w:eastAsia="宋体" w:hint="default"/>
                <w:sz w:val="18"/>
                <w:szCs w:val="18"/>
              </w:rPr>
              <w:t>提</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6"/>
        <w:gridCol w:w="1198"/>
      </w:tblGrid>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2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2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 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7"/>
              <w:jc w:val="center"/>
              <w:rPr>
                <w:rFonts w:ascii="宋体" w:hAnsi="宋体" w:cs="宋体" w:eastAsia="宋体" w:hint="default"/>
                <w:sz w:val="18"/>
                <w:szCs w:val="18"/>
              </w:rPr>
            </w:pPr>
            <w:r>
              <w:rPr>
                <w:rFonts w:ascii="宋体" w:hAnsi="宋体" w:cs="宋体" w:eastAsia="宋体" w:hint="default"/>
                <w:sz w:val="18"/>
                <w:szCs w:val="18"/>
              </w:rPr>
              <w:t>四、账面价值</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2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107,680,407.60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46,288,791.77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433,675.22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8,835,459.21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81,309,828.16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244,548,161.96</w:t>
            </w:r>
          </w:p>
        </w:tc>
      </w:tr>
      <w:tr>
        <w:trPr>
          <w:trHeight w:val="716"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2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110,200,784.53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43,337,995.39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544,096.16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5,721,147.51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90,174,180.18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249,978,203.77</w:t>
            </w:r>
          </w:p>
        </w:tc>
      </w:tr>
    </w:tbl>
    <w:p>
      <w:pPr>
        <w:pStyle w:val="BodyText"/>
        <w:spacing w:line="240" w:lineRule="auto" w:before="49"/>
        <w:ind w:right="1133"/>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6.13%</w:t>
      </w:r>
      <w:r>
        <w:rPr/>
        <w:t>。</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360" w:lineRule="auto" w:before="49"/>
        <w:ind w:right="8639"/>
        <w:jc w:val="left"/>
      </w:pPr>
      <w:r>
        <w:rPr/>
        <w:t>其他说明： 本期摊销</w:t>
      </w:r>
      <w:r>
        <w:rPr>
          <w:rFonts w:ascii="Times New Roman" w:hAnsi="Times New Roman" w:cs="Times New Roman" w:eastAsia="Times New Roman" w:hint="default"/>
        </w:rPr>
        <w:t>24,556,198.33</w:t>
      </w:r>
      <w:r>
        <w:rPr/>
        <w:t>元。</w:t>
      </w:r>
    </w:p>
    <w:p>
      <w:pPr>
        <w:spacing w:line="240" w:lineRule="auto" w:before="7"/>
        <w:rPr>
          <w:rFonts w:ascii="宋体" w:hAnsi="宋体" w:cs="宋体" w:eastAsia="宋体" w:hint="default"/>
          <w:sz w:val="18"/>
          <w:szCs w:val="18"/>
        </w:rPr>
      </w:pPr>
    </w:p>
    <w:p>
      <w:pPr>
        <w:pStyle w:val="Heading3"/>
        <w:spacing w:line="240" w:lineRule="auto"/>
        <w:ind w:right="1133"/>
        <w:jc w:val="left"/>
        <w:rPr>
          <w:b w:val="0"/>
          <w:bCs w:val="0"/>
        </w:rPr>
      </w:pPr>
      <w:r>
        <w:rPr>
          <w:rFonts w:ascii="Times New Roman" w:hAnsi="Times New Roman" w:cs="Times New Roman" w:eastAsia="Times New Roman" w:hint="default"/>
        </w:rPr>
        <w:t>15</w:t>
      </w:r>
      <w:r>
        <w:rPr/>
        <w:t>、开发支出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4"/>
        <w:gridCol w:w="1063"/>
        <w:gridCol w:w="1061"/>
        <w:gridCol w:w="1064"/>
        <w:gridCol w:w="1063"/>
      </w:tblGrid>
      <w:tr>
        <w:trPr>
          <w:trHeight w:val="401" w:hRule="exact"/>
        </w:trPr>
        <w:tc>
          <w:tcPr>
            <w:tcW w:w="10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0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4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10" w:space="0" w:color="D2D2D2"/>
              <w:right w:val="single" w:sz="10" w:space="0" w:color="D2D2D2"/>
            </w:tcBorders>
            <w:shd w:val="clear" w:color="auto" w:fill="E0FFFF"/>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47" w:right="74" w:hanging="272"/>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36" w:right="72"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4" w:type="dxa"/>
            <w:vMerge w:val="restart"/>
            <w:tcBorders>
              <w:top w:val="single" w:sz="4" w:space="0" w:color="000000"/>
              <w:left w:val="single" w:sz="10" w:space="0" w:color="D2D2D2"/>
              <w:right w:val="single" w:sz="9" w:space="0" w:color="D2D2D2"/>
            </w:tcBorders>
            <w:shd w:val="clear" w:color="auto" w:fill="E0FFFF"/>
          </w:tcPr>
          <w:p>
            <w:pPr>
              <w:pStyle w:val="TableParagraph"/>
              <w:spacing w:line="316" w:lineRule="auto" w:before="49"/>
              <w:ind w:left="343" w:right="67" w:hanging="272"/>
              <w:jc w:val="left"/>
              <w:rPr>
                <w:rFonts w:ascii="宋体" w:hAnsi="宋体" w:cs="宋体" w:eastAsia="宋体" w:hint="default"/>
                <w:sz w:val="18"/>
                <w:szCs w:val="18"/>
              </w:rPr>
            </w:pPr>
            <w:r>
              <w:rPr>
                <w:rFonts w:ascii="宋体" w:hAnsi="宋体" w:cs="宋体" w:eastAsia="宋体" w:hint="default"/>
                <w:sz w:val="18"/>
                <w:szCs w:val="18"/>
              </w:rPr>
              <w:t>处置子公司 转出</w:t>
            </w:r>
          </w:p>
        </w:tc>
        <w:tc>
          <w:tcPr>
            <w:tcW w:w="1063" w:type="dxa"/>
            <w:vMerge w:val="restart"/>
            <w:tcBorders>
              <w:top w:val="nil" w:sz="6" w:space="0" w:color="auto"/>
              <w:left w:val="single" w:sz="10" w:space="0" w:color="E0FFFF"/>
              <w:right w:val="single" w:sz="4" w:space="0" w:color="000000"/>
            </w:tcBorders>
            <w:shd w:val="clear" w:color="auto" w:fill="D2D2D2"/>
          </w:tcPr>
          <w:p>
            <w:pPr>
              <w:pStyle w:val="TableParagraph"/>
              <w:spacing w:line="240" w:lineRule="auto" w:before="10"/>
              <w:ind w:left="16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062"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4" w:type="dxa"/>
            <w:vMerge/>
            <w:tcBorders>
              <w:left w:val="single" w:sz="10" w:space="0" w:color="D2D2D2"/>
              <w:right w:val="single" w:sz="10" w:space="0" w:color="D2D2D2"/>
            </w:tcBorders>
            <w:shd w:val="clear" w:color="auto" w:fill="E0FFFF"/>
          </w:tcPr>
          <w:p>
            <w:pPr/>
          </w:p>
        </w:tc>
        <w:tc>
          <w:tcPr>
            <w:tcW w:w="1063"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4" w:type="dxa"/>
            <w:vMerge/>
            <w:tcBorders>
              <w:left w:val="single" w:sz="10" w:space="0" w:color="D2D2D2"/>
              <w:right w:val="single" w:sz="9" w:space="0" w:color="D2D2D2"/>
            </w:tcBorders>
            <w:shd w:val="clear" w:color="auto" w:fill="E0FFFF"/>
          </w:tcPr>
          <w:p>
            <w:pPr/>
          </w:p>
        </w:tc>
        <w:tc>
          <w:tcPr>
            <w:tcW w:w="1063" w:type="dxa"/>
            <w:vMerge/>
            <w:tcBorders>
              <w:left w:val="single" w:sz="10" w:space="0" w:color="E0FFFF"/>
              <w:bottom w:val="nil" w:sz="6" w:space="0" w:color="auto"/>
              <w:right w:val="single" w:sz="4" w:space="0" w:color="000000"/>
            </w:tcBorders>
            <w:shd w:val="clear" w:color="auto" w:fill="D2D2D2"/>
          </w:tcPr>
          <w:p>
            <w:pPr/>
          </w:p>
        </w:tc>
      </w:tr>
      <w:tr>
        <w:trPr>
          <w:trHeight w:val="202" w:hRule="exact"/>
        </w:trPr>
        <w:tc>
          <w:tcPr>
            <w:tcW w:w="1062" w:type="dxa"/>
            <w:vMerge w:val="restart"/>
            <w:tcBorders>
              <w:top w:val="nil" w:sz="6" w:space="0" w:color="auto"/>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10" w:space="0" w:color="D2D2D2"/>
              <w:right w:val="single" w:sz="10" w:space="0" w:color="D2D2D2"/>
            </w:tcBorders>
            <w:shd w:val="clear" w:color="auto" w:fill="E0FFFF"/>
          </w:tcPr>
          <w:p>
            <w:pPr/>
          </w:p>
        </w:tc>
        <w:tc>
          <w:tcPr>
            <w:tcW w:w="1063"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4" w:type="dxa"/>
            <w:vMerge/>
            <w:tcBorders>
              <w:left w:val="single" w:sz="10" w:space="0" w:color="D2D2D2"/>
              <w:right w:val="single" w:sz="9" w:space="0" w:color="D2D2D2"/>
            </w:tcBorders>
            <w:shd w:val="clear" w:color="auto" w:fill="E0FFFF"/>
          </w:tcPr>
          <w:p>
            <w:pPr/>
          </w:p>
        </w:tc>
        <w:tc>
          <w:tcPr>
            <w:tcW w:w="1063" w:type="dxa"/>
            <w:vMerge w:val="restart"/>
            <w:tcBorders>
              <w:top w:val="nil" w:sz="6" w:space="0" w:color="auto"/>
              <w:left w:val="single" w:sz="10" w:space="0" w:color="E0FFFF"/>
              <w:right w:val="single" w:sz="4" w:space="0" w:color="000000"/>
            </w:tcBorders>
            <w:shd w:val="clear" w:color="auto" w:fill="D2D2D2"/>
          </w:tcPr>
          <w:p>
            <w:pPr/>
          </w:p>
        </w:tc>
      </w:tr>
      <w:tr>
        <w:trPr>
          <w:trHeight w:val="161" w:hRule="exact"/>
        </w:trPr>
        <w:tc>
          <w:tcPr>
            <w:tcW w:w="1062"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10" w:space="0" w:color="D2D2D2"/>
              <w:bottom w:val="single" w:sz="4" w:space="0" w:color="000000"/>
              <w:right w:val="single" w:sz="10" w:space="0" w:color="D2D2D2"/>
            </w:tcBorders>
            <w:shd w:val="clear" w:color="auto" w:fill="E0FFFF"/>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10" w:space="0" w:color="D2D2D2"/>
              <w:bottom w:val="single" w:sz="4" w:space="0" w:color="000000"/>
              <w:right w:val="single" w:sz="9" w:space="0" w:color="D2D2D2"/>
            </w:tcBorders>
            <w:shd w:val="clear" w:color="auto" w:fill="E0FFFF"/>
          </w:tcPr>
          <w:p>
            <w:pPr/>
          </w:p>
        </w:tc>
        <w:tc>
          <w:tcPr>
            <w:tcW w:w="1063" w:type="dxa"/>
            <w:vMerge/>
            <w:tcBorders>
              <w:left w:val="single" w:sz="10" w:space="0" w:color="E0FFFF"/>
              <w:bottom w:val="single" w:sz="4" w:space="0" w:color="000000"/>
              <w:right w:val="single" w:sz="4" w:space="0" w:color="000000"/>
            </w:tcBorders>
            <w:shd w:val="clear" w:color="auto" w:fill="D2D2D2"/>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9"/>
              <w:jc w:val="left"/>
              <w:rPr>
                <w:rFonts w:ascii="宋体" w:hAnsi="宋体" w:cs="宋体" w:eastAsia="宋体" w:hint="default"/>
                <w:sz w:val="18"/>
                <w:szCs w:val="18"/>
              </w:rPr>
            </w:pPr>
            <w:r>
              <w:rPr>
                <w:rFonts w:ascii="宋体" w:hAnsi="宋体" w:cs="宋体" w:eastAsia="宋体" w:hint="default"/>
                <w:sz w:val="18"/>
                <w:szCs w:val="18"/>
              </w:rPr>
              <w:t>智能通用云 计算项目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5,224,351.91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3,317,305.36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1,907,046.55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49"/>
              <w:ind w:left="22" w:right="65"/>
              <w:jc w:val="left"/>
              <w:rPr>
                <w:rFonts w:ascii="Times New Roman" w:hAnsi="Times New Roman" w:cs="Times New Roman" w:eastAsia="Times New Roman" w:hint="default"/>
                <w:sz w:val="18"/>
                <w:szCs w:val="18"/>
              </w:rPr>
            </w:pPr>
            <w:r>
              <w:rPr>
                <w:rFonts w:ascii="宋体" w:hAnsi="宋体" w:cs="宋体" w:eastAsia="宋体" w:hint="default"/>
                <w:sz w:val="18"/>
                <w:szCs w:val="18"/>
              </w:rPr>
              <w:t>智能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终 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II</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12,196,677.2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1,468,384.79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13,665,061.9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38" w:lineRule="auto" w:before="49"/>
              <w:ind w:left="22" w:right="129"/>
              <w:jc w:val="left"/>
              <w:rPr>
                <w:rFonts w:ascii="Times New Roman" w:hAnsi="Times New Roman" w:cs="Times New Roman" w:eastAsia="Times New Roman" w:hint="default"/>
                <w:sz w:val="18"/>
                <w:szCs w:val="18"/>
              </w:rPr>
            </w:pPr>
            <w:r>
              <w:rPr>
                <w:rFonts w:ascii="宋体" w:hAnsi="宋体" w:cs="宋体" w:eastAsia="宋体" w:hint="default"/>
                <w:sz w:val="18"/>
                <w:szCs w:val="18"/>
              </w:rPr>
              <w:t>智能知识库 管理系统 </w:t>
            </w:r>
            <w:r>
              <w:rPr>
                <w:rFonts w:ascii="Times New Roman" w:hAnsi="Times New Roman" w:cs="Times New Roman" w:eastAsia="Times New Roman" w:hint="default"/>
                <w:sz w:val="18"/>
                <w:szCs w:val="18"/>
              </w:rPr>
              <w:t>V2.0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752,265.93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752,265.93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339"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9"/>
              <w:jc w:val="both"/>
              <w:rPr>
                <w:rFonts w:ascii="宋体" w:hAnsi="宋体" w:cs="宋体" w:eastAsia="宋体" w:hint="default"/>
                <w:sz w:val="18"/>
                <w:szCs w:val="18"/>
              </w:rPr>
            </w:pPr>
            <w:r>
              <w:rPr>
                <w:rFonts w:ascii="宋体" w:hAnsi="宋体" w:cs="宋体" w:eastAsia="宋体" w:hint="default"/>
                <w:sz w:val="18"/>
                <w:szCs w:val="18"/>
              </w:rPr>
              <w:t>惠生活平台 智慧景区及 数据分析系 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3,980,582.54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3,980,582.54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22,153,877.5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1,468,384.79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16,982,367.3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5,887,629.09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752,265.93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16</w:t>
      </w:r>
      <w:r>
        <w:rPr/>
        <w:t>、长期待摊费用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1,920,993.44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1,955,799.11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1,969,687.11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1,907,105.44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25,707,755.47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2,956,336.33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22,751,419.14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预付融资款</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27,628,748.91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11,955,799.11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4,926,023.44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34,658,524.58</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17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）未经抵销的递延所得税资产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4"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400,464,614.73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60,351,575.10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178,169,785.40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26,873,646.45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7,613,433.67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1,142,015.05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4,024,137.48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603,620.62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23,285,440.34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3,492,816.05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23,911,947.91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3,586,792.19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887,094.42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133,064.16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28,847,160.34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4,327,074.05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24,005,666.67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3,600,850.00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460,210,649.08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69,313,480.25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230,998,631.88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34,797,973.42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20,455,834.57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5,113,958.64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29,243,357.55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7,310,839.39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20,455,834.57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5,113,958.64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29,243,357.55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7,310,839.39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716"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2" w:right="49"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0"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69,313,480.25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34,797,973.42</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5,113,958.64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7,310,839.39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136,353,107.91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79,278,722.30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7,019,071.49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4,580,028.79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143,372,179.40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83,858,751.09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2018</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947,418.35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2019</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5,258,941.11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5,258,941.11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2020</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15,923,117.30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7,105,124.45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2021</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14,509,138.07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14,509,138.07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2022</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49,188,412.68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51,458,100.32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2023</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51,473,498.75</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136,353,107.91</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79,278,722.30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18</w:t>
      </w:r>
      <w:r>
        <w:rPr/>
        <w:t>、短期借款</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35,908,262.40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78,488,810.40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担保借款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547,437,450.00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732,744,700.00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1,473,345,712.40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961,233,510.40</w:t>
            </w:r>
          </w:p>
        </w:tc>
      </w:tr>
    </w:tbl>
    <w:p>
      <w:pPr>
        <w:pStyle w:val="BodyText"/>
        <w:spacing w:line="240" w:lineRule="auto" w:before="49"/>
        <w:ind w:right="1133"/>
        <w:jc w:val="left"/>
      </w:pPr>
      <w:r>
        <w:rPr/>
        <w:t>短期借款分类的说明：</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513" w:right="1133"/>
        <w:jc w:val="left"/>
      </w:pPr>
      <w:r>
        <w:rPr/>
        <w:t>本期末已逾期未偿还的短期借款总额为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元，其中重要的已逾期未偿还的短期借款情况如下：</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0"/>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19</w:t>
      </w:r>
      <w:r>
        <w:rPr/>
        <w:t>、应付票据及应付账款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45,174,031.80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169,907,364.06</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667,564,404.27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515,004,315.69</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712,738,436.07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684,911,679.75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）应付票据分类列示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23,634,787.22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118,828,169.06</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51,079,195.00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其他票据</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21,539,244.58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45,174,031.80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169,907,364.06</w:t>
            </w:r>
          </w:p>
        </w:tc>
      </w:tr>
    </w:tbl>
    <w:p>
      <w:pPr>
        <w:pStyle w:val="BodyText"/>
        <w:spacing w:line="240" w:lineRule="auto" w:before="49"/>
        <w:ind w:right="1133"/>
        <w:jc w:val="left"/>
      </w:pPr>
      <w:r>
        <w:rPr/>
        <w:t>本期末已到期未支付的应付票据总额为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）应付账款列示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455,936,047.41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426,941,902.82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128,483,901.85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85,041,697.16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80,497,394.43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1,423,164.25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2,647,060.58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1,597,551.46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667,564,404.27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515,004,315.69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上海华东电脑股份有限公司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124,091,778.50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诉讼未付款</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陕西威明建设安装工程有限公司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29,807,139.54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正在结算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深圳市远方设计咨询服务有限公司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13,453,679.24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正在结算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甘肃鸿盛达电力科技有限公司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12,701,073.11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正在结算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晋州市月光照明电器厂</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10,587,969.73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因申请再审未付款</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苏州天亿达科技有限公司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正在结算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200,641,640.12</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w:t>
      </w:r>
    </w:p>
    <w:p>
      <w:pPr>
        <w:pStyle w:val="BodyText"/>
        <w:spacing w:line="300" w:lineRule="auto" w:before="115"/>
        <w:ind w:left="513" w:right="4592"/>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年末余额中无欠持本公司</w:t>
      </w:r>
      <w:r>
        <w:rPr>
          <w:rFonts w:ascii="Times New Roman" w:hAnsi="Times New Roman" w:cs="Times New Roman" w:eastAsia="Times New Roman" w:hint="default"/>
        </w:rPr>
        <w:t>5</w:t>
      </w:r>
      <w:r>
        <w:rPr/>
        <w:t>％以上</w:t>
      </w:r>
      <w:r>
        <w:rPr>
          <w:rFonts w:ascii="Times New Roman" w:hAnsi="Times New Roman" w:cs="Times New Roman" w:eastAsia="Times New Roman" w:hint="default"/>
        </w:rPr>
        <w:t>(</w:t>
      </w:r>
      <w:r>
        <w:rPr/>
        <w:t>含</w:t>
      </w:r>
      <w:r>
        <w:rPr>
          <w:spacing w:val="-19"/>
        </w:rPr>
        <w:t> </w:t>
      </w:r>
      <w:r>
        <w:rPr>
          <w:rFonts w:ascii="Times New Roman" w:hAnsi="Times New Roman" w:cs="Times New Roman" w:eastAsia="Times New Roman" w:hint="default"/>
        </w:rPr>
        <w:t>5</w:t>
      </w:r>
      <w:r>
        <w:rPr/>
        <w:t>％</w:t>
      </w:r>
      <w:r>
        <w:rPr>
          <w:rFonts w:ascii="Times New Roman" w:hAnsi="Times New Roman" w:cs="Times New Roman" w:eastAsia="Times New Roman" w:hint="default"/>
        </w:rPr>
        <w:t>)</w:t>
      </w:r>
      <w:r>
        <w:rPr/>
        <w:t>表决权股份的股东单位款项。</w:t>
      </w:r>
      <w:r>
        <w:rPr>
          <w:w w:val="99"/>
        </w:rPr>
        <w:t> </w:t>
      </w:r>
      <w:r>
        <w:rPr>
          <w:rFonts w:ascii="Times New Roman" w:hAnsi="Times New Roman" w:cs="Times New Roman" w:eastAsia="Times New Roman" w:hint="default"/>
        </w:rPr>
        <w:t>(2)</w:t>
      </w:r>
      <w:r>
        <w:rPr/>
        <w:t>年末余额中欠关联方情况，详见附注九、</w:t>
      </w: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p>
    <w:p>
      <w:pPr>
        <w:spacing w:line="240" w:lineRule="auto" w:before="5"/>
        <w:rPr>
          <w:rFonts w:ascii="Times New Roman" w:hAnsi="Times New Roman" w:cs="Times New Roman" w:eastAsia="Times New Roman"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20</w:t>
      </w:r>
      <w:r>
        <w:rPr/>
        <w:t>、预收款项</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）预收款项列示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30,475,660.63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14,157,457.26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1,702,597.23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3,515,506.50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1,274,473.35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778,012.00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736,212.00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6,120.00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34,188,943.21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18,457,095.76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1133"/>
        <w:jc w:val="left"/>
      </w:pPr>
      <w:r>
        <w:rPr/>
        <w:t>其他说明：</w:t>
      </w:r>
    </w:p>
    <w:p>
      <w:pPr>
        <w:pStyle w:val="BodyText"/>
        <w:spacing w:line="240" w:lineRule="auto" w:before="115"/>
        <w:ind w:left="513" w:right="1133"/>
        <w:jc w:val="left"/>
      </w:pPr>
      <w:r>
        <w:rPr/>
        <w:t>（</w:t>
      </w:r>
      <w:r>
        <w:rPr>
          <w:rFonts w:ascii="Times New Roman" w:hAnsi="Times New Roman" w:cs="Times New Roman" w:eastAsia="Times New Roman" w:hint="default"/>
        </w:rPr>
        <w:t>1</w:t>
      </w:r>
      <w:r>
        <w:rPr/>
        <w:t>）年末余额中无预收持本公司</w:t>
      </w:r>
      <w:r>
        <w:rPr>
          <w:rFonts w:ascii="Times New Roman" w:hAnsi="Times New Roman" w:cs="Times New Roman" w:eastAsia="Times New Roman" w:hint="default"/>
        </w:rPr>
        <w:t>5</w:t>
      </w:r>
      <w:r>
        <w:rPr/>
        <w:t>％以上</w:t>
      </w:r>
      <w:r>
        <w:rPr>
          <w:rFonts w:ascii="Times New Roman" w:hAnsi="Times New Roman" w:cs="Times New Roman" w:eastAsia="Times New Roman" w:hint="default"/>
        </w:rPr>
        <w:t>(</w:t>
      </w:r>
      <w:r>
        <w:rPr/>
        <w:t>含</w:t>
      </w:r>
      <w:r>
        <w:rPr>
          <w:rFonts w:ascii="Times New Roman" w:hAnsi="Times New Roman" w:cs="Times New Roman" w:eastAsia="Times New Roman" w:hint="default"/>
        </w:rPr>
        <w:t>5</w:t>
      </w:r>
      <w:r>
        <w:rPr/>
        <w:t>％</w:t>
      </w:r>
      <w:r>
        <w:rPr>
          <w:rFonts w:ascii="Times New Roman" w:hAnsi="Times New Roman" w:cs="Times New Roman" w:eastAsia="Times New Roman" w:hint="default"/>
        </w:rPr>
        <w:t>)</w:t>
      </w:r>
      <w:r>
        <w:rPr/>
        <w:t>表决权股份的股东单位款项。</w:t>
      </w:r>
    </w:p>
    <w:p>
      <w:pPr>
        <w:pStyle w:val="BodyText"/>
        <w:spacing w:line="300" w:lineRule="auto" w:before="63"/>
        <w:ind w:right="1127" w:firstLine="360"/>
        <w:jc w:val="left"/>
      </w:pPr>
      <w:r>
        <w:rPr>
          <w:spacing w:val="-1"/>
        </w:rPr>
        <w:t>（</w:t>
      </w:r>
      <w:r>
        <w:rPr>
          <w:rFonts w:ascii="Times New Roman" w:hAnsi="Times New Roman" w:cs="Times New Roman" w:eastAsia="Times New Roman" w:hint="default"/>
          <w:spacing w:val="-1"/>
        </w:rPr>
        <w:t>2</w:t>
      </w:r>
      <w:r>
        <w:rPr>
          <w:spacing w:val="-1"/>
        </w:rPr>
        <w:t>）账龄超过</w:t>
      </w:r>
      <w:r>
        <w:rPr>
          <w:rFonts w:ascii="Times New Roman" w:hAnsi="Times New Roman" w:cs="Times New Roman" w:eastAsia="Times New Roman" w:hint="default"/>
          <w:spacing w:val="-1"/>
        </w:rPr>
        <w:t>1</w:t>
      </w:r>
      <w:r>
        <w:rPr>
          <w:spacing w:val="-1"/>
        </w:rPr>
        <w:t>年的预收账款：超过</w:t>
      </w:r>
      <w:r>
        <w:rPr>
          <w:rFonts w:ascii="Times New Roman" w:hAnsi="Times New Roman" w:cs="Times New Roman" w:eastAsia="Times New Roman" w:hint="default"/>
          <w:spacing w:val="-1"/>
        </w:rPr>
        <w:t>1</w:t>
      </w:r>
      <w:r>
        <w:rPr>
          <w:spacing w:val="-1"/>
        </w:rPr>
        <w:t>年以上的预收账款</w:t>
      </w:r>
      <w:r>
        <w:rPr>
          <w:rFonts w:ascii="Times New Roman" w:hAnsi="Times New Roman" w:cs="Times New Roman" w:eastAsia="Times New Roman" w:hint="default"/>
          <w:spacing w:val="-1"/>
        </w:rPr>
        <w:t>3,713,282.58</w:t>
      </w:r>
      <w:r>
        <w:rPr>
          <w:spacing w:val="-1"/>
        </w:rPr>
        <w:t>元，占预收账款总额的</w:t>
      </w:r>
      <w:r>
        <w:rPr>
          <w:rFonts w:ascii="Times New Roman" w:hAnsi="Times New Roman" w:cs="Times New Roman" w:eastAsia="Times New Roman" w:hint="default"/>
          <w:spacing w:val="-1"/>
        </w:rPr>
        <w:t>10.86%</w:t>
      </w:r>
      <w:r>
        <w:rPr>
          <w:spacing w:val="-1"/>
        </w:rPr>
        <w:t>，主要系公司预收客</w:t>
      </w:r>
      <w:r>
        <w:rPr/>
        <w:t> 户购货定金。</w:t>
      </w:r>
    </w:p>
    <w:p>
      <w:pPr>
        <w:spacing w:after="0" w:line="30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21</w:t>
      </w:r>
      <w:r>
        <w:rPr/>
        <w:t>、应付职工薪酬</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）应付职工薪酬列示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26,904,164.83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217,312,192.31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217,537,334.06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26,679,023.08</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138,940.30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13,364,485.58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13,503,425.88</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3,448,314.78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3,448,314.78</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27,043,105.13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234,124,992.67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234,489,074.72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26,679,023.08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26,699,428.57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204,888,027.98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204,914,898.47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26,672,558.08</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4,679,042.55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4,679,042.55</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67,251.17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3,565,461.91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3,632,713.08</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57,556.32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2,901,577.76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2,959,134.08</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3,644.40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302,449.81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306,094.21</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6,050.45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361,434.34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367,484.79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108,317.00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4,115,473.05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4,217,325.05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6,465.00</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29,168.09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64,186.82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93,354.91</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26,904,164.83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217,312,192.31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217,537,334.06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26,679,023.08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132,963.10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12,720,938.82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12,853,901.92</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5,977.20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643,546.76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649,523.96</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138,940.30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13,364,485.58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13,503,425.88</w:t>
            </w:r>
          </w:p>
        </w:tc>
        <w:tc>
          <w:tcPr>
            <w:tcW w:w="19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22</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25,511,539.59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38,776,338.73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1,149,734.59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8,670,279.32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483,722.33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1,001,884.19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1,034,966.77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1,892,140.67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477,823.10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84,915.86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503,734.56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863,248.08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324,534.53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577,437.20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207,627.82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216,670.13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环境保护税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67.24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29,215,927.43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52,560,737.28</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23</w:t>
      </w:r>
      <w:r>
        <w:rPr/>
        <w:t>、其他应付款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32,329,945.88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11,705,361.97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51,473,101.19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11,873,874.04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83,803,047.07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23,579,236.01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58,055.53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87,083.34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2,607,777.91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4,795,555.62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2,473,129.42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1,379,299.97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应付诉讼利息</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27,190,983.02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5,443,423.04</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32,329,945.88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11,705,361.97</w:t>
            </w:r>
          </w:p>
        </w:tc>
      </w:tr>
    </w:tbl>
    <w:p>
      <w:pPr>
        <w:pStyle w:val="BodyText"/>
        <w:spacing w:line="240" w:lineRule="auto" w:before="49"/>
        <w:ind w:right="1133"/>
        <w:jc w:val="left"/>
      </w:pPr>
      <w:r>
        <w:rPr/>
        <w:t>重要的已逾期未支付的利息情况：</w:t>
      </w:r>
    </w:p>
    <w:p>
      <w:pPr>
        <w:pStyle w:val="BodyText"/>
        <w:spacing w:line="240" w:lineRule="auto" w:before="117"/>
        <w:ind w:left="0" w:right="1131"/>
        <w:jc w:val="right"/>
      </w:pPr>
      <w:r>
        <w:rPr/>
        <w:t>单位：</w:t>
      </w:r>
      <w:r>
        <w:rPr>
          <w:spacing w:val="1"/>
        </w:rPr>
        <w:t> </w:t>
      </w:r>
      <w:r>
        <w:rPr/>
        <w:t>元</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0"/>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2</w:t>
      </w:r>
      <w:r>
        <w:rPr/>
        <w:t>）应付股利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133"/>
        <w:jc w:val="left"/>
      </w:pPr>
      <w:r>
        <w:rPr/>
        <w:t>其他说明，包括重要的超过</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0"/>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按款项性质列示其他应付款</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尚未支付的报销款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5,200,237.26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5,232,474.12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6,419,027.46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3,889,319.69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应付暂收款及其他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23,153,836.47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2,752,080.23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收购少数股东股权款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51,473,101.19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11,873,874.04</w:t>
            </w:r>
          </w:p>
        </w:tc>
      </w:tr>
    </w:tbl>
    <w:p>
      <w:pPr>
        <w:pStyle w:val="BodyText"/>
        <w:spacing w:line="240" w:lineRule="auto" w:before="49"/>
        <w:ind w:right="1133"/>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年的重要其他应付款</w:t>
      </w:r>
    </w:p>
    <w:p>
      <w:pPr>
        <w:pStyle w:val="BodyText"/>
        <w:spacing w:line="240" w:lineRule="auto" w:before="103"/>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年以上其他应付款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7,714,811.19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合同规定暂扣的保证金及押金所致</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7,714,811.19</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w:t>
      </w:r>
    </w:p>
    <w:p>
      <w:pPr>
        <w:pStyle w:val="BodyText"/>
        <w:spacing w:line="240" w:lineRule="auto" w:before="115"/>
        <w:ind w:left="513" w:right="1133"/>
        <w:jc w:val="left"/>
      </w:pPr>
      <w:r>
        <w:rPr/>
        <w:t>（</w:t>
      </w:r>
      <w:r>
        <w:rPr>
          <w:rFonts w:ascii="Times New Roman" w:hAnsi="Times New Roman" w:cs="Times New Roman" w:eastAsia="Times New Roman" w:hint="default"/>
        </w:rPr>
        <w:t>1</w:t>
      </w:r>
      <w:r>
        <w:rPr/>
        <w:t>）按账龄列示其他应付款</w:t>
      </w:r>
    </w:p>
    <w:p>
      <w:pPr>
        <w:spacing w:line="240" w:lineRule="auto" w:before="2"/>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3181"/>
        <w:gridCol w:w="3284"/>
        <w:gridCol w:w="3034"/>
      </w:tblGrid>
      <w:tr>
        <w:trPr>
          <w:trHeight w:val="325" w:hRule="exact"/>
        </w:trPr>
        <w:tc>
          <w:tcPr>
            <w:tcW w:w="31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373"/>
              <w:jc w:val="right"/>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22" w:hRule="exact"/>
        </w:trPr>
        <w:tc>
          <w:tcPr>
            <w:tcW w:w="318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43,758,290.00</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8,251,700.67</w:t>
            </w:r>
          </w:p>
        </w:tc>
      </w:tr>
      <w:tr>
        <w:trPr>
          <w:trHeight w:val="322" w:hRule="exact"/>
        </w:trPr>
        <w:tc>
          <w:tcPr>
            <w:tcW w:w="318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至</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5,224,871.64</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2,007,726.02</w:t>
            </w:r>
          </w:p>
        </w:tc>
      </w:tr>
      <w:tr>
        <w:trPr>
          <w:trHeight w:val="322" w:hRule="exact"/>
        </w:trPr>
        <w:tc>
          <w:tcPr>
            <w:tcW w:w="318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至</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1,107,749.74</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362,340.93</w:t>
            </w:r>
          </w:p>
        </w:tc>
      </w:tr>
      <w:tr>
        <w:trPr>
          <w:trHeight w:val="322" w:hRule="exact"/>
        </w:trPr>
        <w:tc>
          <w:tcPr>
            <w:tcW w:w="318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1,382,189.81</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1,252,106.42</w:t>
            </w:r>
          </w:p>
        </w:tc>
      </w:tr>
      <w:tr>
        <w:trPr>
          <w:trHeight w:val="324" w:hRule="exact"/>
        </w:trPr>
        <w:tc>
          <w:tcPr>
            <w:tcW w:w="31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71"/>
              <w:jc w:val="right"/>
              <w:rPr>
                <w:rFonts w:ascii="宋体" w:hAnsi="宋体" w:cs="宋体" w:eastAsia="宋体" w:hint="default"/>
                <w:sz w:val="21"/>
                <w:szCs w:val="21"/>
              </w:rPr>
            </w:pPr>
            <w:r>
              <w:rPr>
                <w:rFonts w:ascii="宋体" w:hAnsi="宋体" w:cs="宋体" w:eastAsia="宋体" w:hint="default"/>
                <w:sz w:val="21"/>
                <w:szCs w:val="21"/>
              </w:rPr>
              <w:t>合计</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51,473,101.19</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11,873,874.04</w:t>
            </w:r>
          </w:p>
        </w:tc>
      </w:tr>
    </w:tbl>
    <w:p>
      <w:pPr>
        <w:pStyle w:val="BodyText"/>
        <w:spacing w:line="300" w:lineRule="auto" w:before="8"/>
        <w:ind w:right="1154" w:firstLine="360"/>
        <w:jc w:val="left"/>
      </w:pPr>
      <w:r>
        <w:rPr/>
        <w:t>（</w:t>
      </w:r>
      <w:r>
        <w:rPr>
          <w:rFonts w:ascii="Times New Roman" w:hAnsi="Times New Roman" w:cs="Times New Roman" w:eastAsia="Times New Roman" w:hint="default"/>
        </w:rPr>
        <w:t>2</w:t>
      </w: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日，本公司账龄超过</w:t>
      </w:r>
      <w:r>
        <w:rPr>
          <w:rFonts w:ascii="Times New Roman" w:hAnsi="Times New Roman" w:cs="Times New Roman" w:eastAsia="Times New Roman" w:hint="default"/>
        </w:rPr>
        <w:t>1</w:t>
      </w:r>
      <w:r>
        <w:rPr/>
        <w:t>年以上其他应付款</w:t>
      </w:r>
      <w:r>
        <w:rPr>
          <w:rFonts w:ascii="Times New Roman" w:hAnsi="Times New Roman" w:cs="Times New Roman" w:eastAsia="Times New Roman" w:hint="default"/>
        </w:rPr>
        <w:t>7,714,811.19</w:t>
      </w:r>
      <w:r>
        <w:rPr/>
        <w:t>元，占其他应付款总额的</w:t>
      </w:r>
      <w:r>
        <w:rPr>
          <w:rFonts w:ascii="Times New Roman" w:hAnsi="Times New Roman" w:cs="Times New Roman" w:eastAsia="Times New Roman" w:hint="default"/>
        </w:rPr>
        <w:t>14.99%</w:t>
      </w:r>
      <w:r>
        <w:rPr/>
        <w:t>，主要系 依合同规定暂扣的保证金及押金所致。</w:t>
      </w:r>
    </w:p>
    <w:p>
      <w:pPr>
        <w:spacing w:line="240" w:lineRule="auto" w:before="10"/>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24</w:t>
      </w:r>
      <w:r>
        <w:rPr/>
        <w:t>、一年内到期的非流动负债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92,400,000.00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38,400,000.00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92,400,000.00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38,400,000.00</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25</w:t>
      </w:r>
      <w:r>
        <w:rPr/>
        <w:t>、其他流动负债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预提运费等销售费用</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887,094.42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887,094.42</w:t>
            </w:r>
          </w:p>
        </w:tc>
      </w:tr>
    </w:tbl>
    <w:p>
      <w:pPr>
        <w:pStyle w:val="BodyText"/>
        <w:spacing w:line="240" w:lineRule="auto" w:before="49"/>
        <w:ind w:right="1133"/>
        <w:jc w:val="left"/>
      </w:pPr>
      <w:r>
        <w:rPr/>
        <w:t>短期应付债券的增减变动：</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9"/>
        <w:gridCol w:w="797"/>
        <w:gridCol w:w="799"/>
        <w:gridCol w:w="797"/>
        <w:gridCol w:w="800"/>
        <w:gridCol w:w="798"/>
        <w:gridCol w:w="798"/>
        <w:gridCol w:w="799"/>
        <w:gridCol w:w="798"/>
        <w:gridCol w:w="797"/>
      </w:tblGrid>
      <w:tr>
        <w:trPr>
          <w:trHeight w:val="71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4" w:right="32"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03"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26</w:t>
      </w:r>
      <w:r>
        <w:rPr/>
        <w:t>、长期借款</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33,333,333.32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161,600,000.00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33,333,333.32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161,600,000.00</w:t>
            </w:r>
          </w:p>
        </w:tc>
      </w:tr>
    </w:tbl>
    <w:p>
      <w:pPr>
        <w:pStyle w:val="BodyText"/>
        <w:spacing w:line="357" w:lineRule="auto" w:before="49"/>
        <w:ind w:right="8594"/>
        <w:jc w:val="left"/>
      </w:pPr>
      <w:r>
        <w:rPr/>
        <w:t>长期借款分类的说明： 其他说明，包括利率区间：</w:t>
      </w:r>
    </w:p>
    <w:p>
      <w:pPr>
        <w:spacing w:line="240" w:lineRule="auto" w:before="6"/>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27</w:t>
      </w:r>
      <w:r>
        <w:rPr/>
        <w:t>、应付债券</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）应付债券</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证通</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179,379,217.72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318,388,521.01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证通</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19,931,747.49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79,597,154.61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199,310,965.21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397,985,675.62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9"/>
        <w:gridCol w:w="797"/>
        <w:gridCol w:w="799"/>
        <w:gridCol w:w="797"/>
        <w:gridCol w:w="800"/>
        <w:gridCol w:w="797"/>
        <w:gridCol w:w="799"/>
        <w:gridCol w:w="797"/>
        <w:gridCol w:w="799"/>
        <w:gridCol w:w="797"/>
      </w:tblGrid>
      <w:tr>
        <w:trPr>
          <w:trHeight w:val="715"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4" w:right="31"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04"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证通</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320,000,0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2015.10.2</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五年</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317,190,0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318,388,5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21.01</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990,696.7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140,000,0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179,379,2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17.72</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证通</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2015.10.3</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五年</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79,440,00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79,597,15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4.61</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334,592.8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19,931,74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7.49</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396,630,0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397,985,6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75.62</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1,325,289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199,310,9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65.21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pStyle w:val="BodyText"/>
        <w:spacing w:line="360" w:lineRule="auto" w:before="44"/>
        <w:ind w:right="-20"/>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653" w:space="4176"/>
            <w:col w:w="2101"/>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4"/>
        <w:gridCol w:w="1063"/>
        <w:gridCol w:w="1061"/>
        <w:gridCol w:w="1064"/>
        <w:gridCol w:w="1061"/>
      </w:tblGrid>
      <w:tr>
        <w:trPr>
          <w:trHeight w:val="402"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3"/>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50"/>
        <w:ind w:right="7514"/>
        <w:jc w:val="left"/>
      </w:pPr>
      <w:r>
        <w:rPr/>
        <w:t>其他金融工具划分为金融负债的依据说明 其他说明</w:t>
      </w:r>
    </w:p>
    <w:p>
      <w:pPr>
        <w:spacing w:line="240" w:lineRule="auto" w:before="6"/>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28</w:t>
      </w:r>
      <w:r>
        <w:rPr/>
        <w:t>、长期应付款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53,790,893.91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85,928,008.10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53,790,893.91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85,928,008.10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售后回租融资租赁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53,790,893.91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85,928,008.10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53,790,893.91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85,928,008.10</w:t>
            </w:r>
          </w:p>
        </w:tc>
      </w:tr>
    </w:tbl>
    <w:p>
      <w:pPr>
        <w:pStyle w:val="BodyText"/>
        <w:spacing w:line="240" w:lineRule="auto" w:before="49"/>
        <w:ind w:right="1133"/>
        <w:jc w:val="left"/>
      </w:pPr>
      <w:r>
        <w:rPr/>
        <w:t>其他说明：</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）专项应付款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单位：人民币元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29</w:t>
      </w:r>
      <w:r>
        <w:rPr/>
        <w:t>、预计负债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6"/>
        <w:gridCol w:w="2407"/>
        <w:gridCol w:w="2393"/>
        <w:gridCol w:w="2393"/>
      </w:tblGrid>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4"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23,285,440.34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22,912,236.79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维护费</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23,285,440.34</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22,912,236.79</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其他说明，包括重要预计负债的相关重要假设、估计说明：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30</w:t>
      </w:r>
      <w:r>
        <w:rPr/>
        <w:t>、递延收益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31"/>
              <w:jc w:val="righ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24,005,666.67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5,148,506.33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28,847,160.34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79"/>
              <w:jc w:val="right"/>
              <w:rPr>
                <w:rFonts w:ascii="宋体" w:hAnsi="宋体" w:cs="宋体" w:eastAsia="宋体" w:hint="default"/>
                <w:sz w:val="18"/>
                <w:szCs w:val="18"/>
              </w:rPr>
            </w:pPr>
            <w:r>
              <w:rPr>
                <w:rFonts w:ascii="宋体" w:hAnsi="宋体" w:cs="宋体" w:eastAsia="宋体" w:hint="default"/>
                <w:sz w:val="18"/>
                <w:szCs w:val="18"/>
              </w:rPr>
              <w:t>政府补助项目</w:t>
            </w:r>
          </w:p>
        </w:tc>
      </w:tr>
      <w:tr>
        <w:trPr>
          <w:trHeight w:val="404"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24,005,666.67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5,148,506.33</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28,847,160.34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涉及政府补助的项目：</w:t>
      </w:r>
    </w:p>
    <w:p>
      <w:pPr>
        <w:pStyle w:val="BodyText"/>
        <w:spacing w:line="240" w:lineRule="auto" w:before="115"/>
        <w:ind w:left="0" w:right="1131"/>
        <w:jc w:val="right"/>
      </w:pPr>
      <w:r>
        <w:rPr/>
        <w:pict>
          <v:group style="position:absolute;margin-left:110.059998pt;margin-top:74.821732pt;width:52.8pt;height:54.6pt;mso-position-horizontal-relative:page;mso-position-vertical-relative:paragraph;z-index:-1202872" coordorigin="2201,1496" coordsize="1056,1092">
            <v:shape style="position:absolute;left:2201;top:1496;width:1056;height:1092" coordorigin="2201,1496" coordsize="1056,1092" path="m2201,2588l3257,2588,3257,1496,2201,1496,2201,2588xe" filled="true" fillcolor="#ffffff" stroked="false">
              <v:path arrowok="t"/>
              <v:fill type="solid"/>
            </v:shape>
            <w10:wrap type="none"/>
          </v:group>
        </w:pict>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1"/>
        <w:gridCol w:w="1063"/>
        <w:gridCol w:w="1063"/>
        <w:gridCol w:w="1064"/>
        <w:gridCol w:w="1063"/>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63"/>
              <w:jc w:val="right"/>
              <w:rPr>
                <w:rFonts w:ascii="宋体" w:hAnsi="宋体" w:cs="宋体" w:eastAsia="宋体" w:hint="default"/>
                <w:sz w:val="18"/>
                <w:szCs w:val="18"/>
              </w:rPr>
            </w:pPr>
            <w:r>
              <w:rPr>
                <w:rFonts w:ascii="宋体" w:hAnsi="宋体" w:cs="宋体" w:eastAsia="宋体" w:hint="default"/>
                <w:sz w:val="18"/>
                <w:szCs w:val="18"/>
              </w:rPr>
              <w:t>负债项目</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5"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2"/>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258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1"/>
              <w:jc w:val="left"/>
              <w:rPr>
                <w:rFonts w:ascii="宋体" w:hAnsi="宋体" w:cs="宋体" w:eastAsia="宋体" w:hint="default"/>
                <w:sz w:val="18"/>
                <w:szCs w:val="18"/>
              </w:rPr>
            </w:pPr>
            <w:r>
              <w:rPr>
                <w:rFonts w:ascii="宋体" w:hAnsi="宋体" w:cs="宋体" w:eastAsia="宋体" w:hint="default"/>
                <w:sz w:val="18"/>
                <w:szCs w:val="18"/>
              </w:rPr>
              <w:t>深圳市生物 </w:t>
            </w:r>
            <w:r>
              <w:rPr>
                <w:rFonts w:ascii="宋体" w:hAnsi="宋体" w:cs="宋体" w:eastAsia="宋体" w:hint="default"/>
                <w:spacing w:val="-12"/>
                <w:sz w:val="18"/>
                <w:szCs w:val="18"/>
              </w:rPr>
              <w:t>互联网、新能</w:t>
            </w:r>
            <w:r>
              <w:rPr>
                <w:rFonts w:ascii="宋体" w:hAnsi="宋体" w:cs="宋体" w:eastAsia="宋体" w:hint="default"/>
                <w:sz w:val="18"/>
                <w:szCs w:val="18"/>
              </w:rPr>
              <w:t> 源产业发展 专项资金基 于云计算的 安全支付平 台关键技术 研究</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3,040,000.00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67"/>
              <w:jc w:val="left"/>
              <w:rPr>
                <w:rFonts w:ascii="Times New Roman" w:hAnsi="Times New Roman" w:cs="Times New Roman" w:eastAsia="Times New Roman" w:hint="default"/>
                <w:sz w:val="18"/>
                <w:szCs w:val="18"/>
              </w:rPr>
            </w:pPr>
            <w:r>
              <w:rPr>
                <w:rFonts w:ascii="宋体" w:hAnsi="宋体" w:cs="宋体" w:eastAsia="宋体" w:hint="default"/>
                <w:sz w:val="18"/>
                <w:szCs w:val="18"/>
              </w:rPr>
              <w:t>高性能嵌入 式金融安全 </w:t>
            </w:r>
            <w:r>
              <w:rPr>
                <w:rFonts w:ascii="Times New Roman" w:hAnsi="Times New Roman" w:cs="Times New Roman" w:eastAsia="Times New Roman" w:hint="default"/>
                <w:sz w:val="18"/>
                <w:szCs w:val="18"/>
              </w:rPr>
              <w:t>CPU</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设计及 产业化</w:t>
            </w:r>
            <w:r>
              <w:rPr>
                <w:rFonts w:ascii="Times New Roman" w:hAnsi="Times New Roman" w:cs="Times New Roman" w:eastAsia="Times New Roman" w:hint="default"/>
                <w:sz w:val="18"/>
                <w:szCs w:val="18"/>
              </w:rPr>
              <w:t>(</w:t>
            </w:r>
            <w:r>
              <w:rPr>
                <w:rFonts w:ascii="宋体" w:hAnsi="宋体" w:cs="宋体" w:eastAsia="宋体" w:hint="default"/>
                <w:sz w:val="18"/>
                <w:szCs w:val="18"/>
              </w:rPr>
              <w:t>广东 产学研资助 项目</w:t>
            </w:r>
            <w:r>
              <w:rPr>
                <w:rFonts w:ascii="Times New Roman" w:hAnsi="Times New Roman" w:cs="Times New Roman" w:eastAsia="Times New Roman" w:hint="default"/>
                <w:sz w:val="18"/>
                <w:szCs w:val="18"/>
              </w:rPr>
              <w:t>)</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70,666.67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17,666.64</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53,000.03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29"/>
              <w:jc w:val="right"/>
              <w:rPr>
                <w:rFonts w:ascii="宋体" w:hAnsi="宋体" w:cs="宋体" w:eastAsia="宋体" w:hint="default"/>
                <w:sz w:val="18"/>
                <w:szCs w:val="18"/>
              </w:rPr>
            </w:pPr>
            <w:r>
              <w:rPr>
                <w:rFonts w:ascii="宋体" w:hAnsi="宋体" w:cs="宋体" w:eastAsia="宋体" w:hint="default"/>
                <w:sz w:val="18"/>
                <w:szCs w:val="18"/>
              </w:rPr>
              <w:t>基于云计算</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1"/>
        <w:gridCol w:w="1063"/>
        <w:gridCol w:w="1063"/>
        <w:gridCol w:w="1064"/>
        <w:gridCol w:w="1063"/>
      </w:tblGrid>
      <w:tr>
        <w:trPr>
          <w:trHeight w:val="161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29"/>
              <w:jc w:val="both"/>
              <w:rPr>
                <w:rFonts w:ascii="宋体" w:hAnsi="宋体" w:cs="宋体" w:eastAsia="宋体" w:hint="default"/>
                <w:sz w:val="18"/>
                <w:szCs w:val="18"/>
              </w:rPr>
            </w:pPr>
            <w:r>
              <w:rPr>
                <w:rFonts w:ascii="宋体" w:hAnsi="宋体" w:cs="宋体" w:eastAsia="宋体" w:hint="default"/>
                <w:sz w:val="18"/>
                <w:szCs w:val="18"/>
              </w:rPr>
              <w:t>平台的金融 电子透明支 付关键技术 研发与应用 示范</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基于超级计 算的金融安 全云支付平 台研发与产 业化</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475,000.00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4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关于年产</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3O</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万套太阳能</w:t>
            </w:r>
          </w:p>
          <w:p>
            <w:pPr>
              <w:pStyle w:val="TableParagraph"/>
              <w:spacing w:line="300" w:lineRule="auto" w:before="76"/>
              <w:ind w:left="24"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路灯产</w:t>
            </w:r>
            <w:r>
              <w:rPr>
                <w:rFonts w:ascii="宋体" w:hAnsi="宋体" w:cs="宋体" w:eastAsia="宋体" w:hint="default"/>
                <w:w w:val="99"/>
                <w:sz w:val="18"/>
                <w:szCs w:val="18"/>
              </w:rPr>
              <w:t> </w:t>
            </w:r>
            <w:r>
              <w:rPr>
                <w:rFonts w:ascii="宋体" w:hAnsi="宋体" w:cs="宋体" w:eastAsia="宋体" w:hint="default"/>
                <w:sz w:val="18"/>
                <w:szCs w:val="18"/>
              </w:rPr>
              <w:t>业化项目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416,666.65</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4,583,333.35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4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基于国密标 准的金融数 据安全集群 加密服务平 台研发项目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基于国密算 法的高安全 性移动智能 支付终端产 品产业化项 目资金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4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45"/>
              <w:jc w:val="left"/>
              <w:rPr>
                <w:rFonts w:ascii="宋体" w:hAnsi="宋体" w:cs="宋体" w:eastAsia="宋体" w:hint="default"/>
                <w:sz w:val="18"/>
                <w:szCs w:val="18"/>
              </w:rPr>
            </w:pPr>
            <w:r>
              <w:rPr>
                <w:rFonts w:ascii="宋体" w:hAnsi="宋体" w:cs="宋体" w:eastAsia="宋体" w:hint="default"/>
                <w:sz w:val="18"/>
                <w:szCs w:val="18"/>
              </w:rPr>
              <w:t>面向金融领 域的密码安 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SOC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芯片 产业化项目 资金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3,570,000.00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79"/>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年技术 改造投资补 助</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6,490,000.00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324,500.00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6,165,500.00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深圳市科技 研发技术创 新资金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湖南省创新 创业技术投 资项目</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14,673.04</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3,485,326.96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24,005,666.6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9,990,000.00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5,148,506.33</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28,847,160.3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3"/>
        <w:rPr>
          <w:rFonts w:ascii="Times New Roman" w:hAnsi="Times New Roman" w:cs="Times New Roman" w:eastAsia="Times New Roman" w:hint="default"/>
          <w:sz w:val="29"/>
          <w:szCs w:val="29"/>
        </w:rPr>
      </w:pPr>
    </w:p>
    <w:p>
      <w:pPr>
        <w:pStyle w:val="BodyText"/>
        <w:spacing w:line="240" w:lineRule="auto" w:before="44"/>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31</w:t>
      </w:r>
      <w:r>
        <w:rPr/>
        <w:t>、其他非流动负债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分期收款销售商品待确认销项税额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4,332,984.48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5,394,130.04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4,332,984.48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5,394,130.04</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32</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85"/>
        <w:gridCol w:w="120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515,156,948.00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515,156,948.00</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33</w:t>
      </w:r>
      <w:r>
        <w:rPr/>
        <w:t>、资本公积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23" w:right="0"/>
              <w:jc w:val="left"/>
              <w:rPr>
                <w:rFonts w:ascii="Times New Roman" w:hAnsi="Times New Roman" w:cs="Times New Roman" w:eastAsia="Times New Roman" w:hint="default"/>
                <w:sz w:val="18"/>
                <w:szCs w:val="18"/>
              </w:rPr>
            </w:pPr>
            <w:r>
              <w:rPr>
                <w:rFonts w:ascii="Times New Roman"/>
                <w:sz w:val="18"/>
              </w:rPr>
              <w:t>1,805,503,137.45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65,954,753.43</w:t>
            </w:r>
          </w:p>
        </w:tc>
        <w:tc>
          <w:tcPr>
            <w:tcW w:w="191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left="622" w:right="0"/>
              <w:jc w:val="left"/>
              <w:rPr>
                <w:rFonts w:ascii="Times New Roman" w:hAnsi="Times New Roman" w:cs="Times New Roman" w:eastAsia="Times New Roman" w:hint="default"/>
                <w:sz w:val="18"/>
                <w:szCs w:val="18"/>
              </w:rPr>
            </w:pPr>
            <w:r>
              <w:rPr>
                <w:rFonts w:ascii="Times New Roman"/>
                <w:sz w:val="18"/>
              </w:rPr>
              <w:t>1,739,548,384.02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23" w:right="0"/>
              <w:jc w:val="left"/>
              <w:rPr>
                <w:rFonts w:ascii="Times New Roman" w:hAnsi="Times New Roman" w:cs="Times New Roman" w:eastAsia="Times New Roman" w:hint="default"/>
                <w:sz w:val="18"/>
                <w:szCs w:val="18"/>
              </w:rPr>
            </w:pPr>
            <w:r>
              <w:rPr>
                <w:rFonts w:ascii="Times New Roman"/>
                <w:sz w:val="18"/>
              </w:rPr>
              <w:t>1,805,503,137.45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65,954,753.43</w:t>
            </w:r>
          </w:p>
        </w:tc>
        <w:tc>
          <w:tcPr>
            <w:tcW w:w="191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left="622" w:right="0"/>
              <w:jc w:val="left"/>
              <w:rPr>
                <w:rFonts w:ascii="Times New Roman" w:hAnsi="Times New Roman" w:cs="Times New Roman" w:eastAsia="Times New Roman" w:hint="default"/>
                <w:sz w:val="18"/>
                <w:szCs w:val="18"/>
              </w:rPr>
            </w:pPr>
            <w:r>
              <w:rPr>
                <w:rFonts w:ascii="Times New Roman"/>
                <w:sz w:val="18"/>
              </w:rPr>
              <w:t>1,739,548,384.02</w:t>
            </w:r>
          </w:p>
        </w:tc>
      </w:tr>
    </w:tbl>
    <w:p>
      <w:pPr>
        <w:pStyle w:val="BodyText"/>
        <w:spacing w:line="357" w:lineRule="auto" w:before="49"/>
        <w:ind w:left="513" w:right="939" w:hanging="361"/>
        <w:jc w:val="left"/>
      </w:pPr>
      <w:r>
        <w:rPr/>
        <w:t>其他说明，包括本期增减变动情况、变动原因说明： 本期资本公积减少主要系公司收到子公司广州云硕科技发展有限公司和孙公司</w:t>
      </w:r>
      <w:r>
        <w:rPr>
          <w:rFonts w:ascii="Times New Roman" w:hAnsi="Times New Roman" w:cs="Times New Roman" w:eastAsia="Times New Roman" w:hint="default"/>
        </w:rPr>
        <w:t>SZZT  SOUTH</w:t>
      </w:r>
      <w:r>
        <w:rPr>
          <w:rFonts w:ascii="Times New Roman" w:hAnsi="Times New Roman" w:cs="Times New Roman" w:eastAsia="Times New Roman" w:hint="default"/>
          <w:spacing w:val="9"/>
        </w:rPr>
        <w:t> </w:t>
      </w:r>
      <w:r>
        <w:rPr>
          <w:rFonts w:ascii="Times New Roman" w:hAnsi="Times New Roman" w:cs="Times New Roman" w:eastAsia="Times New Roman" w:hint="default"/>
        </w:rPr>
        <w:t>Africa(PTY).,Ltd</w:t>
      </w:r>
      <w:r>
        <w:rPr/>
        <w:t>少数股权，</w:t>
      </w:r>
    </w:p>
    <w:p>
      <w:pPr>
        <w:pStyle w:val="BodyText"/>
        <w:spacing w:line="201" w:lineRule="exact"/>
        <w:ind w:right="1133"/>
        <w:jc w:val="left"/>
      </w:pPr>
      <w:r>
        <w:rPr/>
        <w:t>收购价格高于少数股东享有的账面净资产所致。</w:t>
      </w:r>
    </w:p>
    <w:p>
      <w:pPr>
        <w:spacing w:line="240" w:lineRule="auto" w:before="0"/>
        <w:rPr>
          <w:rFonts w:ascii="宋体" w:hAnsi="宋体" w:cs="宋体" w:eastAsia="宋体" w:hint="default"/>
          <w:sz w:val="18"/>
          <w:szCs w:val="18"/>
        </w:rPr>
      </w:pPr>
    </w:p>
    <w:p>
      <w:pPr>
        <w:pStyle w:val="Heading3"/>
        <w:spacing w:line="240" w:lineRule="auto" w:before="121"/>
        <w:ind w:right="1133"/>
        <w:jc w:val="left"/>
        <w:rPr>
          <w:b w:val="0"/>
          <w:bCs w:val="0"/>
        </w:rPr>
      </w:pPr>
      <w:r>
        <w:rPr>
          <w:rFonts w:ascii="Times New Roman" w:hAnsi="Times New Roman" w:cs="Times New Roman" w:eastAsia="Times New Roman" w:hint="default"/>
        </w:rPr>
        <w:t>34</w:t>
      </w:r>
      <w:r>
        <w:rPr/>
        <w:t>、库存股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股票回购</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27,883,032.00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27,883,032.00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27,883,032.00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27,883,032.00</w:t>
            </w:r>
          </w:p>
        </w:tc>
      </w:tr>
    </w:tbl>
    <w:p>
      <w:pPr>
        <w:pStyle w:val="BodyText"/>
        <w:spacing w:line="240" w:lineRule="auto" w:before="49"/>
        <w:ind w:right="1133"/>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35</w:t>
      </w:r>
      <w:r>
        <w:rPr/>
        <w:t>、其他综合收益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799"/>
        <w:gridCol w:w="1068"/>
        <w:gridCol w:w="936"/>
        <w:gridCol w:w="1152"/>
        <w:gridCol w:w="934"/>
        <w:gridCol w:w="937"/>
        <w:gridCol w:w="936"/>
        <w:gridCol w:w="797"/>
      </w:tblGrid>
      <w:tr>
        <w:trPr>
          <w:trHeight w:val="402"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shd w:val="clear" w:color="auto" w:fill="D2D2D2"/>
          </w:tcPr>
          <w:p>
            <w:pP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
        </w:tc>
      </w:tr>
      <w:tr>
        <w:trPr>
          <w:trHeight w:val="116"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68" w:type="dxa"/>
            <w:vMerge/>
            <w:tcBorders>
              <w:left w:val="single" w:sz="4" w:space="0" w:color="000000"/>
              <w:bottom w:val="nil" w:sz="6" w:space="0" w:color="auto"/>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7"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105" w:right="98"/>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bottom w:val="nil" w:sz="6" w:space="0" w:color="auto"/>
              <w:right w:val="single" w:sz="4" w:space="0" w:color="000000"/>
            </w:tcBorders>
            <w:shd w:val="clear" w:color="auto" w:fill="D2D2D2"/>
          </w:tcPr>
          <w:p>
            <w:pPr/>
          </w:p>
        </w:tc>
      </w:tr>
      <w:tr>
        <w:trPr>
          <w:trHeight w:val="368"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71"/>
              <w:ind w:left="283"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7"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71"/>
              <w:ind w:left="105" w:right="99"/>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vMerge/>
            <w:tcBorders>
              <w:left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68" w:type="dxa"/>
            <w:vMerge w:val="restart"/>
            <w:tcBorders>
              <w:top w:val="nil" w:sz="6" w:space="0" w:color="auto"/>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7"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7"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75"/>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 益</w:t>
            </w:r>
          </w:p>
        </w:tc>
        <w:tc>
          <w:tcPr>
            <w:tcW w:w="10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-302,715.44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1,437,219.9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1,429,650.7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7,569.24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1,126,935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.31</w:t>
            </w:r>
          </w:p>
        </w:tc>
      </w:tr>
      <w:tr>
        <w:trPr>
          <w:trHeight w:val="163"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vMerge w:val="restart"/>
            <w:tcBorders>
              <w:top w:val="single" w:sz="4" w:space="0" w:color="000000"/>
              <w:left w:val="single" w:sz="9"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-302,715.44</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1,437,219.9</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9</w:t>
            </w: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7" w:type="dxa"/>
            <w:vMerge w:val="restart"/>
            <w:tcBorders>
              <w:top w:val="single" w:sz="4" w:space="0" w:color="000000"/>
              <w:left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1,429,650.7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7,569.24</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1,126,935</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.31</w:t>
            </w:r>
          </w:p>
        </w:tc>
      </w:tr>
      <w:tr>
        <w:trPr>
          <w:trHeight w:val="391"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外币财务报表折算差额</w:t>
            </w:r>
          </w:p>
        </w:tc>
        <w:tc>
          <w:tcPr>
            <w:tcW w:w="1068" w:type="dxa"/>
            <w:vMerge/>
            <w:tcBorders>
              <w:left w:val="single" w:sz="9" w:space="0" w:color="D2D2D2"/>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7"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9" w:space="0" w:color="D2D2D2"/>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7"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-302,715.44</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1,437,219.9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7"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1,429,650.7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7,569.24</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1,126,935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.31</w:t>
            </w:r>
          </w:p>
        </w:tc>
      </w:tr>
      <w:tr>
        <w:trPr>
          <w:trHeight w:val="391"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8" w:type="dxa"/>
            <w:vMerge/>
            <w:tcBorders>
              <w:left w:val="single" w:sz="9" w:space="0" w:color="D2D2D2"/>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7"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4"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9" w:space="0" w:color="D2D2D2"/>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7"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36</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36,442,010.41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36,442,010.41</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36,442,010.41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36,442,010.41</w:t>
            </w:r>
          </w:p>
        </w:tc>
      </w:tr>
    </w:tbl>
    <w:p>
      <w:pPr>
        <w:pStyle w:val="BodyText"/>
        <w:spacing w:line="240" w:lineRule="auto" w:before="49"/>
        <w:ind w:right="1133"/>
        <w:jc w:val="left"/>
      </w:pPr>
      <w:r>
        <w:rPr/>
        <w:t>盈余公积说明，包括本期增减变动情况、变动原因说明：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37</w:t>
      </w:r>
      <w:r>
        <w:rPr/>
        <w:t>、未分配利润</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410,061,468.61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398,980,440.32</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-241,200,992.13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43,095,599.68</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6,256,723.99</w:t>
            </w:r>
          </w:p>
        </w:tc>
      </w:tr>
      <w:tr>
        <w:trPr>
          <w:trHeight w:val="404"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25,757,847.40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25,757,847.40</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143,102,629.08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410,061,468.61</w:t>
            </w:r>
          </w:p>
        </w:tc>
      </w:tr>
    </w:tbl>
    <w:p>
      <w:pPr>
        <w:pStyle w:val="BodyText"/>
        <w:spacing w:line="240" w:lineRule="auto" w:before="49"/>
        <w:ind w:left="513" w:right="1133"/>
        <w:jc w:val="left"/>
      </w:pPr>
      <w:r>
        <w:rPr/>
        <w:t>调整期初未分配利润明细：</w:t>
      </w:r>
    </w:p>
    <w:p>
      <w:pPr>
        <w:pStyle w:val="BodyText"/>
        <w:spacing w:line="240" w:lineRule="auto" w:before="117"/>
        <w:ind w:left="513" w:right="1133"/>
        <w:jc w:val="left"/>
      </w:pP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left="513" w:right="1133"/>
        <w:jc w:val="left"/>
      </w:pP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left="513" w:right="1133"/>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left="513" w:right="1133"/>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left="513" w:right="1133"/>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38</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7"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1,332,398,508.95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1,032,499,092.44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1,682,593,168.29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1,244,752,658.85</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1,332,398,508.95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1,032,499,092.44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1,682,593,168.29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1,244,752,658.85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39</w:t>
      </w:r>
      <w:r>
        <w:rPr/>
        <w:t>、税金及附加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2,437,162.47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3,685,557.28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1,034,474.75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1,735,841.70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1,697,947.65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2,219,569.85</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400,785.21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220,691.29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20,936.56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4,860.00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1,031,805.84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2,072,533.22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729,053.23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872,344.29</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契税</w:t>
            </w:r>
          </w:p>
        </w:tc>
        <w:tc>
          <w:tcPr>
            <w:tcW w:w="320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2,841.08</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环境保护税</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159.30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7,352,325.01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10,814,238.71</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40</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工资奖金及福利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56,383,132.85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67,161,790.74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9,215,727.47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9,474,127.14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14,280,690.90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12,966,240.40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8,661,551.00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7,774,590.74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6,047,349.02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7,468,278.05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2,608,341.18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1,594,212.34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1,933,073.88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2,926,071.61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2,418,257.93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3,747,439.91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2,395,363.22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2,379,152.56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2,426,511.76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2,782,103.23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低值易耗品摊销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534,965.30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1,096,066.97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14,789,774.24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18,425,907.00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121,694,738.75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137,795,980.69</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41</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工资奖金及福利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33,973,936.08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36,880,366.64</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16,696,929.13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8,204,953.85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2,774,379.44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2,267,408.23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4,828,409.40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5,099,454.08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4,413,857.76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6,662,746.12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2,652,644.77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2,631,653.72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12,180,621.70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6,643,782.81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顾问咨询费用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8,398,658.51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5,979,714.99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13,289,240.32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8,766,468.49</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99,208,677.11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83,136,548.93</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42</w:t>
      </w:r>
      <w:r>
        <w:rPr/>
        <w:t>、研发费用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53,178,312.72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47,349,117.02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3,295,876.52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3,707,574.35</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4,819,195.02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1,350,583.14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1,164,385.07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603,841.12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514,511.95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943,557.90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1,701,273.88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1,018,436.61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6,040,751.62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6,472,605.16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812,546.68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625,172.36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技术支持费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14,327,080.08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11,347,926.24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2,425,615.66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1,135,877.07</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88,279,549.20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74,554,690.97</w:t>
            </w:r>
          </w:p>
        </w:tc>
      </w:tr>
    </w:tbl>
    <w:p>
      <w:pPr>
        <w:pStyle w:val="BodyText"/>
        <w:spacing w:line="240" w:lineRule="auto" w:before="49"/>
        <w:ind w:right="1133"/>
        <w:jc w:val="left"/>
      </w:pPr>
      <w:r>
        <w:rPr/>
        <w:t>其他说明：</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left="212" w:right="1168"/>
        <w:jc w:val="left"/>
        <w:rPr>
          <w:b w:val="0"/>
          <w:bCs w:val="0"/>
        </w:rPr>
      </w:pPr>
      <w:r>
        <w:rPr>
          <w:rFonts w:ascii="Times New Roman" w:hAnsi="Times New Roman" w:cs="Times New Roman" w:eastAsia="Times New Roman" w:hint="default"/>
        </w:rPr>
        <w:t>43</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98,099,766.49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66,107,364.28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42,859,102.36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42,770,531.73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-24,985.82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5,585,754.64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金融机构手续费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19,846,891.74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6,897,729.92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债券折价摊销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1,325,289.59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658,351.84</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76,387,859.64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36,478,668.95</w:t>
            </w:r>
          </w:p>
        </w:tc>
      </w:tr>
    </w:tbl>
    <w:p>
      <w:pPr>
        <w:pStyle w:val="BodyText"/>
        <w:spacing w:line="240" w:lineRule="auto" w:before="49"/>
        <w:ind w:left="212" w:right="116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left="212" w:right="1168"/>
        <w:jc w:val="left"/>
        <w:rPr>
          <w:b w:val="0"/>
          <w:bCs w:val="0"/>
        </w:rPr>
      </w:pPr>
      <w:r>
        <w:rPr>
          <w:rFonts w:ascii="Times New Roman" w:hAnsi="Times New Roman" w:cs="Times New Roman" w:eastAsia="Times New Roman" w:hint="default"/>
        </w:rPr>
        <w:t>44</w:t>
      </w:r>
      <w:r>
        <w:rPr/>
        <w:t>、资产减值损失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111,887,635.38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52,401,445.93</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114,006,975.38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16,094,917.57</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225,894,610.76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68,496,363.50</w:t>
            </w:r>
          </w:p>
        </w:tc>
      </w:tr>
    </w:tbl>
    <w:p>
      <w:pPr>
        <w:pStyle w:val="BodyText"/>
        <w:spacing w:line="240" w:lineRule="auto" w:before="49"/>
        <w:ind w:left="212" w:right="116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left="212" w:right="1168"/>
        <w:jc w:val="left"/>
        <w:rPr>
          <w:b w:val="0"/>
          <w:bCs w:val="0"/>
        </w:rPr>
      </w:pPr>
      <w:r>
        <w:rPr>
          <w:rFonts w:ascii="Times New Roman" w:hAnsi="Times New Roman" w:cs="Times New Roman" w:eastAsia="Times New Roman" w:hint="default"/>
        </w:rPr>
        <w:t>45</w:t>
      </w:r>
      <w:r>
        <w:rPr/>
        <w:t>、其他收益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软件退税款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224,285.54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1,015,696.82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20,513,558.42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5,435,902.53</w:t>
            </w:r>
          </w:p>
        </w:tc>
      </w:tr>
    </w:tbl>
    <w:p>
      <w:pPr>
        <w:pStyle w:val="BodyText"/>
        <w:spacing w:line="240" w:lineRule="auto" w:before="49"/>
        <w:ind w:left="212" w:right="1168"/>
        <w:jc w:val="left"/>
      </w:pPr>
      <w:r>
        <w:rPr/>
        <w:t>其他说明：</w:t>
      </w:r>
    </w:p>
    <w:p>
      <w:pPr>
        <w:spacing w:line="240" w:lineRule="auto" w:before="4"/>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4928"/>
        <w:gridCol w:w="1440"/>
        <w:gridCol w:w="1162"/>
        <w:gridCol w:w="2326"/>
      </w:tblGrid>
      <w:tr>
        <w:trPr>
          <w:trHeight w:val="490"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5"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3" w:right="0"/>
              <w:jc w:val="left"/>
              <w:rPr>
                <w:rFonts w:ascii="宋体" w:hAnsi="宋体" w:cs="宋体" w:eastAsia="宋体" w:hint="default"/>
                <w:sz w:val="18"/>
                <w:szCs w:val="18"/>
              </w:rPr>
            </w:pPr>
            <w:r>
              <w:rPr>
                <w:rFonts w:ascii="宋体" w:hAnsi="宋体" w:cs="宋体" w:eastAsia="宋体" w:hint="default"/>
                <w:b/>
                <w:bCs/>
                <w:sz w:val="18"/>
                <w:szCs w:val="18"/>
              </w:rPr>
              <w:t>与资产相关还是收益相关</w:t>
            </w:r>
            <w:r>
              <w:rPr>
                <w:rFonts w:ascii="宋体" w:hAnsi="宋体" w:cs="宋体" w:eastAsia="宋体" w:hint="default"/>
                <w:sz w:val="18"/>
                <w:szCs w:val="18"/>
              </w:rPr>
            </w:r>
          </w:p>
        </w:tc>
      </w:tr>
      <w:tr>
        <w:trPr>
          <w:trHeight w:val="715"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33"/>
              <w:jc w:val="left"/>
              <w:rPr>
                <w:rFonts w:ascii="宋体" w:hAnsi="宋体" w:cs="宋体" w:eastAsia="宋体" w:hint="default"/>
                <w:sz w:val="18"/>
                <w:szCs w:val="18"/>
              </w:rPr>
            </w:pPr>
            <w:r>
              <w:rPr>
                <w:rFonts w:ascii="宋体" w:hAnsi="宋体" w:cs="宋体" w:eastAsia="宋体" w:hint="default"/>
                <w:sz w:val="18"/>
                <w:szCs w:val="18"/>
              </w:rPr>
              <w:t>基于国密算法的高安全性移动智能支付终端产品产业化项目 验收</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1,800,000.00</w:t>
            </w:r>
          </w:p>
        </w:tc>
        <w:tc>
          <w:tcPr>
            <w:tcW w:w="1162" w:type="dxa"/>
            <w:tcBorders>
              <w:top w:val="single" w:sz="4" w:space="0" w:color="000000"/>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基于云计算的安全支付平台关键技术研究</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left"/>
              <w:rPr>
                <w:rFonts w:ascii="Times New Roman" w:hAnsi="Times New Roman" w:cs="Times New Roman" w:eastAsia="Times New Roman" w:hint="default"/>
                <w:sz w:val="18"/>
                <w:szCs w:val="18"/>
              </w:rPr>
            </w:pPr>
            <w:r>
              <w:rPr>
                <w:rFonts w:ascii="Times New Roman"/>
                <w:sz w:val="18"/>
              </w:rPr>
              <w:t>960,000.00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960,000.00</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面向金融领域的密码安全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SOC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芯片产业化项目资金</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6" w:right="0"/>
              <w:jc w:val="left"/>
              <w:rPr>
                <w:rFonts w:ascii="Times New Roman" w:hAnsi="Times New Roman" w:cs="Times New Roman" w:eastAsia="Times New Roman" w:hint="default"/>
                <w:sz w:val="18"/>
                <w:szCs w:val="18"/>
              </w:rPr>
            </w:pPr>
            <w:r>
              <w:rPr>
                <w:rFonts w:ascii="Times New Roman"/>
                <w:sz w:val="18"/>
              </w:rPr>
              <w:t>840,000.00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630,000.00</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路灯产业化项目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left"/>
              <w:rPr>
                <w:rFonts w:ascii="Times New Roman" w:hAnsi="Times New Roman" w:cs="Times New Roman" w:eastAsia="Times New Roman" w:hint="default"/>
                <w:sz w:val="18"/>
                <w:szCs w:val="18"/>
              </w:rPr>
            </w:pPr>
            <w:r>
              <w:rPr>
                <w:rFonts w:ascii="Times New Roman"/>
                <w:sz w:val="18"/>
              </w:rPr>
              <w:t>416,666.65</w:t>
            </w:r>
          </w:p>
        </w:tc>
        <w:tc>
          <w:tcPr>
            <w:tcW w:w="1162" w:type="dxa"/>
            <w:tcBorders>
              <w:top w:val="single" w:sz="4" w:space="0" w:color="000000"/>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年技术改造投资补贴项目第一批资助计划</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6" w:right="0"/>
              <w:jc w:val="left"/>
              <w:rPr>
                <w:rFonts w:ascii="Times New Roman" w:hAnsi="Times New Roman" w:cs="Times New Roman" w:eastAsia="Times New Roman" w:hint="default"/>
                <w:sz w:val="18"/>
                <w:szCs w:val="18"/>
              </w:rPr>
            </w:pPr>
            <w:r>
              <w:rPr>
                <w:rFonts w:ascii="Times New Roman"/>
                <w:sz w:val="18"/>
              </w:rPr>
              <w:t>324,500.00</w:t>
            </w:r>
          </w:p>
        </w:tc>
        <w:tc>
          <w:tcPr>
            <w:tcW w:w="1162" w:type="dxa"/>
            <w:tcBorders>
              <w:top w:val="single" w:sz="4" w:space="0" w:color="000000"/>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基于云计算的金融电子透明支付关键技术研究及应用示范</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left"/>
              <w:rPr>
                <w:rFonts w:ascii="Times New Roman" w:hAnsi="Times New Roman" w:cs="Times New Roman" w:eastAsia="Times New Roman" w:hint="default"/>
                <w:sz w:val="18"/>
                <w:szCs w:val="18"/>
              </w:rPr>
            </w:pPr>
            <w:r>
              <w:rPr>
                <w:rFonts w:ascii="Times New Roman"/>
                <w:sz w:val="18"/>
              </w:rPr>
              <w:t>300,000.00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300,000.00</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基于超级计算的金融安全云支付平台研发与产业化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6" w:right="0"/>
              <w:jc w:val="left"/>
              <w:rPr>
                <w:rFonts w:ascii="Times New Roman" w:hAnsi="Times New Roman" w:cs="Times New Roman" w:eastAsia="Times New Roman" w:hint="default"/>
                <w:sz w:val="18"/>
                <w:szCs w:val="18"/>
              </w:rPr>
            </w:pPr>
            <w:r>
              <w:rPr>
                <w:rFonts w:ascii="Times New Roman"/>
                <w:sz w:val="18"/>
              </w:rPr>
              <w:t>150,000.00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150,000.00</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5" w:footer="979" w:top="1060" w:bottom="116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4928"/>
        <w:gridCol w:w="1440"/>
        <w:gridCol w:w="1162"/>
        <w:gridCol w:w="2326"/>
      </w:tblGrid>
      <w:tr>
        <w:trPr>
          <w:trHeight w:val="40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基于国密标准的金融数据安全集群加密服务平台研发</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left"/>
              <w:rPr>
                <w:rFonts w:ascii="Times New Roman" w:hAnsi="Times New Roman" w:cs="Times New Roman" w:eastAsia="Times New Roman" w:hint="default"/>
                <w:sz w:val="18"/>
                <w:szCs w:val="18"/>
              </w:rPr>
            </w:pPr>
            <w:r>
              <w:rPr>
                <w:rFonts w:ascii="Times New Roman"/>
                <w:sz w:val="18"/>
              </w:rPr>
              <w:t>125,000.00</w:t>
            </w:r>
          </w:p>
        </w:tc>
        <w:tc>
          <w:tcPr>
            <w:tcW w:w="1162" w:type="dxa"/>
            <w:tcBorders>
              <w:top w:val="single" w:sz="4" w:space="0" w:color="000000"/>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103" w:right="173"/>
              <w:jc w:val="left"/>
              <w:rPr>
                <w:rFonts w:ascii="Times New Roman" w:hAnsi="Times New Roman" w:cs="Times New Roman" w:eastAsia="Times New Roman" w:hint="default"/>
                <w:sz w:val="18"/>
                <w:szCs w:val="18"/>
              </w:rPr>
            </w:pPr>
            <w:r>
              <w:rPr>
                <w:rFonts w:ascii="宋体" w:hAnsi="宋体" w:cs="宋体" w:eastAsia="宋体" w:hint="default"/>
                <w:sz w:val="18"/>
                <w:szCs w:val="18"/>
              </w:rPr>
              <w:t>高性能嵌入式金融安全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CPU</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设计及产业化</w:t>
            </w:r>
            <w:r>
              <w:rPr>
                <w:rFonts w:ascii="Times New Roman" w:hAnsi="Times New Roman" w:cs="Times New Roman" w:eastAsia="Times New Roman" w:hint="default"/>
                <w:sz w:val="18"/>
                <w:szCs w:val="18"/>
              </w:rPr>
              <w:t>(</w:t>
            </w:r>
            <w:r>
              <w:rPr>
                <w:rFonts w:ascii="宋体" w:hAnsi="宋体" w:cs="宋体" w:eastAsia="宋体" w:hint="default"/>
                <w:sz w:val="18"/>
                <w:szCs w:val="18"/>
              </w:rPr>
              <w:t>广东产学研资助 项目</w:t>
            </w:r>
            <w:r>
              <w:rPr>
                <w:rFonts w:ascii="Times New Roman" w:hAnsi="Times New Roman" w:cs="Times New Roman" w:eastAsia="Times New Roman"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17,666.64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17,666.67</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家用金融多媒体云支付终端项目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left"/>
              <w:rPr>
                <w:rFonts w:ascii="Times New Roman" w:hAnsi="Times New Roman" w:cs="Times New Roman" w:eastAsia="Times New Roman" w:hint="default"/>
                <w:sz w:val="18"/>
                <w:szCs w:val="18"/>
              </w:rPr>
            </w:pPr>
            <w:r>
              <w:rPr>
                <w:rFonts w:ascii="Times New Roman"/>
                <w:sz w:val="18"/>
              </w:rPr>
              <w:t>200,000.00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200,000.00</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湖南省创新创业技术投资项目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6" w:right="0"/>
              <w:jc w:val="left"/>
              <w:rPr>
                <w:rFonts w:ascii="Times New Roman" w:hAnsi="Times New Roman" w:cs="Times New Roman" w:eastAsia="Times New Roman" w:hint="default"/>
                <w:sz w:val="18"/>
                <w:szCs w:val="18"/>
              </w:rPr>
            </w:pPr>
            <w:r>
              <w:rPr>
                <w:rFonts w:ascii="Times New Roman"/>
                <w:sz w:val="18"/>
              </w:rPr>
              <w:t>14,673.04</w:t>
            </w:r>
          </w:p>
        </w:tc>
        <w:tc>
          <w:tcPr>
            <w:tcW w:w="1162" w:type="dxa"/>
            <w:tcBorders>
              <w:top w:val="single" w:sz="4" w:space="0" w:color="000000"/>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年移动互联网产业发展专项资金</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left"/>
              <w:rPr>
                <w:rFonts w:ascii="Times New Roman" w:hAnsi="Times New Roman" w:cs="Times New Roman" w:eastAsia="Times New Roman" w:hint="default"/>
                <w:sz w:val="18"/>
                <w:szCs w:val="18"/>
              </w:rPr>
            </w:pPr>
            <w:r>
              <w:rPr>
                <w:rFonts w:ascii="Times New Roman"/>
                <w:sz w:val="18"/>
              </w:rPr>
              <w:t>3,000,000.00</w:t>
            </w:r>
          </w:p>
        </w:tc>
        <w:tc>
          <w:tcPr>
            <w:tcW w:w="1162" w:type="dxa"/>
            <w:tcBorders>
              <w:top w:val="single" w:sz="4" w:space="0" w:color="000000"/>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年企业研究开发资助计划第二批资助</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6" w:right="0"/>
              <w:jc w:val="left"/>
              <w:rPr>
                <w:rFonts w:ascii="Times New Roman" w:hAnsi="Times New Roman" w:cs="Times New Roman" w:eastAsia="Times New Roman" w:hint="default"/>
                <w:sz w:val="18"/>
                <w:szCs w:val="18"/>
              </w:rPr>
            </w:pPr>
            <w:r>
              <w:rPr>
                <w:rFonts w:ascii="Times New Roman"/>
                <w:sz w:val="18"/>
              </w:rPr>
              <w:t>2,736,000.00</w:t>
            </w:r>
          </w:p>
        </w:tc>
        <w:tc>
          <w:tcPr>
            <w:tcW w:w="1162" w:type="dxa"/>
            <w:tcBorders>
              <w:top w:val="single" w:sz="4" w:space="0" w:color="000000"/>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电费补贴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left"/>
              <w:rPr>
                <w:rFonts w:ascii="Times New Roman" w:hAnsi="Times New Roman" w:cs="Times New Roman" w:eastAsia="Times New Roman" w:hint="default"/>
                <w:sz w:val="18"/>
                <w:szCs w:val="18"/>
              </w:rPr>
            </w:pPr>
            <w:r>
              <w:rPr>
                <w:rFonts w:ascii="Times New Roman"/>
                <w:sz w:val="18"/>
              </w:rPr>
              <w:t>1,993,723.20</w:t>
            </w:r>
          </w:p>
        </w:tc>
        <w:tc>
          <w:tcPr>
            <w:tcW w:w="1162" w:type="dxa"/>
            <w:tcBorders>
              <w:top w:val="single" w:sz="4" w:space="0" w:color="000000"/>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4"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专利补助</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6" w:right="0"/>
              <w:jc w:val="left"/>
              <w:rPr>
                <w:rFonts w:ascii="Times New Roman" w:hAnsi="Times New Roman" w:cs="Times New Roman" w:eastAsia="Times New Roman" w:hint="default"/>
                <w:sz w:val="18"/>
                <w:szCs w:val="18"/>
              </w:rPr>
            </w:pPr>
            <w:r>
              <w:rPr>
                <w:rFonts w:ascii="Times New Roman"/>
                <w:sz w:val="18"/>
              </w:rPr>
              <w:t>1,377,100.00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5" w:right="0"/>
              <w:jc w:val="left"/>
              <w:rPr>
                <w:rFonts w:ascii="Times New Roman" w:hAnsi="Times New Roman" w:cs="Times New Roman" w:eastAsia="Times New Roman" w:hint="default"/>
                <w:sz w:val="18"/>
                <w:szCs w:val="18"/>
              </w:rPr>
            </w:pPr>
            <w:r>
              <w:rPr>
                <w:rFonts w:ascii="Times New Roman"/>
                <w:sz w:val="18"/>
              </w:rPr>
              <w:t>46,000.00</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“中国制造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2025</w:t>
            </w:r>
            <w:r>
              <w:rPr>
                <w:rFonts w:ascii="宋体" w:hAnsi="宋体" w:cs="宋体" w:eastAsia="宋体" w:hint="default"/>
                <w:sz w:val="18"/>
                <w:szCs w:val="18"/>
              </w:rPr>
              <w:t>”产业发展资金软件服务业及新业态补助</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left"/>
              <w:rPr>
                <w:rFonts w:ascii="Times New Roman" w:hAnsi="Times New Roman" w:cs="Times New Roman" w:eastAsia="Times New Roman" w:hint="default"/>
                <w:sz w:val="18"/>
                <w:szCs w:val="18"/>
              </w:rPr>
            </w:pPr>
            <w:r>
              <w:rPr>
                <w:rFonts w:ascii="Times New Roman"/>
                <w:sz w:val="18"/>
              </w:rPr>
              <w:t>1,000,000.00</w:t>
            </w:r>
          </w:p>
        </w:tc>
        <w:tc>
          <w:tcPr>
            <w:tcW w:w="1162" w:type="dxa"/>
            <w:tcBorders>
              <w:top w:val="single" w:sz="4" w:space="0" w:color="000000"/>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高新企业补助</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6" w:right="0"/>
              <w:jc w:val="left"/>
              <w:rPr>
                <w:rFonts w:ascii="Times New Roman" w:hAnsi="Times New Roman" w:cs="Times New Roman" w:eastAsia="Times New Roman" w:hint="default"/>
                <w:sz w:val="18"/>
                <w:szCs w:val="18"/>
              </w:rPr>
            </w:pPr>
            <w:r>
              <w:rPr>
                <w:rFonts w:ascii="Times New Roman"/>
                <w:sz w:val="18"/>
              </w:rPr>
              <w:t>700,000.00</w:t>
            </w:r>
          </w:p>
        </w:tc>
        <w:tc>
          <w:tcPr>
            <w:tcW w:w="1162" w:type="dxa"/>
            <w:tcBorders>
              <w:top w:val="single" w:sz="4" w:space="0" w:color="000000"/>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“中国制造</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2025</w:t>
            </w:r>
            <w:r>
              <w:rPr>
                <w:rFonts w:ascii="宋体" w:hAnsi="宋体" w:cs="宋体" w:eastAsia="宋体" w:hint="default"/>
                <w:sz w:val="18"/>
                <w:szCs w:val="18"/>
              </w:rPr>
              <w:t>”产业发展资金降低中小微企业融资成本补 助</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638,611.10</w:t>
            </w:r>
          </w:p>
        </w:tc>
        <w:tc>
          <w:tcPr>
            <w:tcW w:w="1162" w:type="dxa"/>
            <w:tcBorders>
              <w:top w:val="single" w:sz="4" w:space="0" w:color="000000"/>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广州市财政局国库拨付科技研发创新经费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6" w:right="0"/>
              <w:jc w:val="left"/>
              <w:rPr>
                <w:rFonts w:ascii="Times New Roman" w:hAnsi="Times New Roman" w:cs="Times New Roman" w:eastAsia="Times New Roman" w:hint="default"/>
                <w:sz w:val="18"/>
                <w:szCs w:val="18"/>
              </w:rPr>
            </w:pPr>
            <w:r>
              <w:rPr>
                <w:rFonts w:ascii="Times New Roman"/>
                <w:sz w:val="18"/>
              </w:rPr>
              <w:t>600,000.00</w:t>
            </w:r>
          </w:p>
        </w:tc>
        <w:tc>
          <w:tcPr>
            <w:tcW w:w="1162" w:type="dxa"/>
            <w:tcBorders>
              <w:top w:val="single" w:sz="4" w:space="0" w:color="000000"/>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221"/>
              <w:jc w:val="left"/>
              <w:rPr>
                <w:rFonts w:ascii="宋体" w:hAnsi="宋体" w:cs="宋体" w:eastAsia="宋体" w:hint="default"/>
                <w:sz w:val="18"/>
                <w:szCs w:val="18"/>
              </w:rPr>
            </w:pPr>
            <w:r>
              <w:rPr>
                <w:rFonts w:ascii="宋体" w:hAnsi="宋体" w:cs="宋体" w:eastAsia="宋体" w:hint="default"/>
                <w:sz w:val="18"/>
                <w:szCs w:val="18"/>
              </w:rPr>
              <w:t>收到南沙区财政局拨付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年企业研发后补助专题项目省 补助经费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542,300.00</w:t>
            </w:r>
          </w:p>
        </w:tc>
        <w:tc>
          <w:tcPr>
            <w:tcW w:w="1162" w:type="dxa"/>
            <w:tcBorders>
              <w:top w:val="single" w:sz="4" w:space="0" w:color="000000"/>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产业转型升级专项第一批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6" w:right="0"/>
              <w:jc w:val="left"/>
              <w:rPr>
                <w:rFonts w:ascii="Times New Roman" w:hAnsi="Times New Roman" w:cs="Times New Roman" w:eastAsia="Times New Roman" w:hint="default"/>
                <w:sz w:val="18"/>
                <w:szCs w:val="18"/>
              </w:rPr>
            </w:pPr>
            <w:r>
              <w:rPr>
                <w:rFonts w:ascii="Times New Roman"/>
                <w:sz w:val="18"/>
              </w:rPr>
              <w:t>500,000.00</w:t>
            </w:r>
          </w:p>
        </w:tc>
        <w:tc>
          <w:tcPr>
            <w:tcW w:w="1162" w:type="dxa"/>
            <w:tcBorders>
              <w:top w:val="single" w:sz="4" w:space="0" w:color="000000"/>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33"/>
              <w:jc w:val="left"/>
              <w:rPr>
                <w:rFonts w:ascii="宋体" w:hAnsi="宋体" w:cs="宋体" w:eastAsia="宋体" w:hint="default"/>
                <w:sz w:val="18"/>
                <w:szCs w:val="18"/>
              </w:rPr>
            </w:pPr>
            <w:r>
              <w:rPr>
                <w:rFonts w:ascii="宋体" w:hAnsi="宋体" w:cs="宋体" w:eastAsia="宋体" w:hint="default"/>
                <w:sz w:val="18"/>
                <w:szCs w:val="18"/>
              </w:rPr>
              <w:t>收到南沙区财政局拨付广州市企业研究开发机构建设项目区 级奖励款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400,000.00</w:t>
            </w:r>
          </w:p>
        </w:tc>
        <w:tc>
          <w:tcPr>
            <w:tcW w:w="1162" w:type="dxa"/>
            <w:tcBorders>
              <w:top w:val="single" w:sz="4" w:space="0" w:color="000000"/>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个税返还</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6" w:right="0"/>
              <w:jc w:val="left"/>
              <w:rPr>
                <w:rFonts w:ascii="Times New Roman" w:hAnsi="Times New Roman" w:cs="Times New Roman" w:eastAsia="Times New Roman" w:hint="default"/>
                <w:sz w:val="18"/>
                <w:szCs w:val="18"/>
              </w:rPr>
            </w:pPr>
            <w:r>
              <w:rPr>
                <w:rFonts w:ascii="Times New Roman"/>
                <w:sz w:val="18"/>
              </w:rPr>
              <w:t>304,705.91</w:t>
            </w:r>
          </w:p>
        </w:tc>
        <w:tc>
          <w:tcPr>
            <w:tcW w:w="1162" w:type="dxa"/>
            <w:tcBorders>
              <w:top w:val="single" w:sz="4" w:space="0" w:color="000000"/>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221"/>
              <w:jc w:val="left"/>
              <w:rPr>
                <w:rFonts w:ascii="宋体" w:hAnsi="宋体" w:cs="宋体" w:eastAsia="宋体" w:hint="default"/>
                <w:sz w:val="18"/>
                <w:szCs w:val="18"/>
              </w:rPr>
            </w:pPr>
            <w:r>
              <w:rPr>
                <w:rFonts w:ascii="宋体" w:hAnsi="宋体" w:cs="宋体" w:eastAsia="宋体" w:hint="default"/>
                <w:sz w:val="18"/>
                <w:szCs w:val="18"/>
              </w:rPr>
              <w:t>东莞市财政国库支付中心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年第一批东莞市电子商务专 项资金奖励款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304,077.00</w:t>
            </w:r>
          </w:p>
        </w:tc>
        <w:tc>
          <w:tcPr>
            <w:tcW w:w="1162" w:type="dxa"/>
            <w:tcBorders>
              <w:top w:val="single" w:sz="4" w:space="0" w:color="000000"/>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收到南沙区财政局拨付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年企业创新能力建设计划项目 区级奖励款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280,000.00</w:t>
            </w:r>
          </w:p>
        </w:tc>
        <w:tc>
          <w:tcPr>
            <w:tcW w:w="1162" w:type="dxa"/>
            <w:tcBorders>
              <w:top w:val="single" w:sz="4" w:space="0" w:color="000000"/>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软件退税</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left"/>
              <w:rPr>
                <w:rFonts w:ascii="Times New Roman" w:hAnsi="Times New Roman" w:cs="Times New Roman" w:eastAsia="Times New Roman" w:hint="default"/>
                <w:sz w:val="18"/>
                <w:szCs w:val="18"/>
              </w:rPr>
            </w:pPr>
            <w:r>
              <w:rPr>
                <w:rFonts w:ascii="Times New Roman"/>
                <w:sz w:val="18"/>
              </w:rPr>
              <w:t>224,285.54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1,015,696.82</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市产业转型升级专项资金两化融合项目资助</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6" w:right="0"/>
              <w:jc w:val="left"/>
              <w:rPr>
                <w:rFonts w:ascii="Times New Roman" w:hAnsi="Times New Roman" w:cs="Times New Roman" w:eastAsia="Times New Roman" w:hint="default"/>
                <w:sz w:val="18"/>
                <w:szCs w:val="18"/>
              </w:rPr>
            </w:pPr>
            <w:r>
              <w:rPr>
                <w:rFonts w:ascii="Times New Roman"/>
                <w:sz w:val="18"/>
              </w:rPr>
              <w:t>200,000.00</w:t>
            </w:r>
          </w:p>
        </w:tc>
        <w:tc>
          <w:tcPr>
            <w:tcW w:w="1162" w:type="dxa"/>
            <w:tcBorders>
              <w:top w:val="single" w:sz="4" w:space="0" w:color="000000"/>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221"/>
              <w:jc w:val="left"/>
              <w:rPr>
                <w:rFonts w:ascii="宋体" w:hAnsi="宋体" w:cs="宋体" w:eastAsia="宋体" w:hint="default"/>
                <w:sz w:val="18"/>
                <w:szCs w:val="18"/>
              </w:rPr>
            </w:pPr>
            <w:r>
              <w:rPr>
                <w:rFonts w:ascii="宋体" w:hAnsi="宋体" w:cs="宋体" w:eastAsia="宋体" w:hint="default"/>
                <w:sz w:val="18"/>
                <w:szCs w:val="18"/>
              </w:rPr>
              <w:t>收到南沙区财政局拨付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年企业研发后补助专题项目区 补助经费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157,800.00</w:t>
            </w:r>
          </w:p>
        </w:tc>
        <w:tc>
          <w:tcPr>
            <w:tcW w:w="1162" w:type="dxa"/>
            <w:tcBorders>
              <w:top w:val="single" w:sz="4" w:space="0" w:color="000000"/>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年境外展览重点支持项目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6" w:right="0"/>
              <w:jc w:val="left"/>
              <w:rPr>
                <w:rFonts w:ascii="Times New Roman" w:hAnsi="Times New Roman" w:cs="Times New Roman" w:eastAsia="Times New Roman" w:hint="default"/>
                <w:sz w:val="18"/>
                <w:szCs w:val="18"/>
              </w:rPr>
            </w:pPr>
            <w:r>
              <w:rPr>
                <w:rFonts w:ascii="Times New Roman"/>
                <w:sz w:val="18"/>
              </w:rPr>
              <w:t>104,089.00</w:t>
            </w:r>
          </w:p>
        </w:tc>
        <w:tc>
          <w:tcPr>
            <w:tcW w:w="1162" w:type="dxa"/>
            <w:tcBorders>
              <w:top w:val="single" w:sz="4" w:space="0" w:color="000000"/>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两化融合资助项目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left"/>
              <w:rPr>
                <w:rFonts w:ascii="Times New Roman" w:hAnsi="Times New Roman" w:cs="Times New Roman" w:eastAsia="Times New Roman" w:hint="default"/>
                <w:sz w:val="18"/>
                <w:szCs w:val="18"/>
              </w:rPr>
            </w:pPr>
            <w:r>
              <w:rPr>
                <w:rFonts w:ascii="Times New Roman"/>
                <w:sz w:val="18"/>
              </w:rPr>
              <w:t>100,000.00</w:t>
            </w:r>
          </w:p>
        </w:tc>
        <w:tc>
          <w:tcPr>
            <w:tcW w:w="1162" w:type="dxa"/>
            <w:tcBorders>
              <w:top w:val="single" w:sz="4" w:space="0" w:color="000000"/>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节能减排资助款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6" w:right="0"/>
              <w:jc w:val="left"/>
              <w:rPr>
                <w:rFonts w:ascii="Times New Roman" w:hAnsi="Times New Roman" w:cs="Times New Roman" w:eastAsia="Times New Roman" w:hint="default"/>
                <w:sz w:val="18"/>
                <w:szCs w:val="18"/>
              </w:rPr>
            </w:pPr>
            <w:r>
              <w:rPr>
                <w:rFonts w:ascii="Times New Roman"/>
                <w:sz w:val="18"/>
              </w:rPr>
              <w:t>100,000.00</w:t>
            </w:r>
          </w:p>
        </w:tc>
        <w:tc>
          <w:tcPr>
            <w:tcW w:w="1162" w:type="dxa"/>
            <w:tcBorders>
              <w:top w:val="single" w:sz="4" w:space="0" w:color="000000"/>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国家高新技术企业倍增计划款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left"/>
              <w:rPr>
                <w:rFonts w:ascii="Times New Roman" w:hAnsi="Times New Roman" w:cs="Times New Roman" w:eastAsia="Times New Roman" w:hint="default"/>
                <w:sz w:val="18"/>
                <w:szCs w:val="18"/>
              </w:rPr>
            </w:pPr>
            <w:r>
              <w:rPr>
                <w:rFonts w:ascii="Times New Roman"/>
                <w:sz w:val="18"/>
              </w:rPr>
              <w:t>100,000.00</w:t>
            </w:r>
          </w:p>
        </w:tc>
        <w:tc>
          <w:tcPr>
            <w:tcW w:w="1162" w:type="dxa"/>
            <w:tcBorders>
              <w:top w:val="single" w:sz="4" w:space="0" w:color="000000"/>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提升国际化经营能力事项补贴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6" w:right="0"/>
              <w:jc w:val="left"/>
              <w:rPr>
                <w:rFonts w:ascii="Times New Roman" w:hAnsi="Times New Roman" w:cs="Times New Roman" w:eastAsia="Times New Roman" w:hint="default"/>
                <w:sz w:val="18"/>
                <w:szCs w:val="18"/>
              </w:rPr>
            </w:pPr>
            <w:r>
              <w:rPr>
                <w:rFonts w:ascii="Times New Roman"/>
                <w:sz w:val="18"/>
              </w:rPr>
              <w:t>82,586.00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247,330.00</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252"/>
              <w:jc w:val="left"/>
              <w:rPr>
                <w:rFonts w:ascii="宋体" w:hAnsi="宋体" w:cs="宋体" w:eastAsia="宋体" w:hint="default"/>
                <w:sz w:val="18"/>
                <w:szCs w:val="18"/>
              </w:rPr>
            </w:pPr>
            <w:r>
              <w:rPr>
                <w:rFonts w:ascii="宋体" w:hAnsi="宋体" w:cs="宋体" w:eastAsia="宋体" w:hint="default"/>
                <w:sz w:val="18"/>
                <w:szCs w:val="18"/>
              </w:rPr>
              <w:t>东莞市经济和信息化局信息化专业认证领域项目</w:t>
            </w:r>
            <w:r>
              <w:rPr>
                <w:rFonts w:ascii="Times New Roman" w:hAnsi="Times New Roman" w:cs="Times New Roman" w:eastAsia="Times New Roman" w:hint="default"/>
                <w:sz w:val="18"/>
                <w:szCs w:val="18"/>
              </w:rPr>
              <w:t>(</w:t>
            </w:r>
            <w:r>
              <w:rPr>
                <w:rFonts w:ascii="宋体" w:hAnsi="宋体" w:cs="宋体" w:eastAsia="宋体" w:hint="default"/>
                <w:sz w:val="18"/>
                <w:szCs w:val="18"/>
              </w:rPr>
              <w:t>信息安全 管理体系标准认证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ISO27001)</w:t>
            </w:r>
            <w:r>
              <w:rPr>
                <w:rFonts w:ascii="宋体" w:hAnsi="宋体" w:cs="宋体" w:eastAsia="宋体" w:hint="default"/>
                <w:sz w:val="18"/>
                <w:szCs w:val="18"/>
              </w:rPr>
              <w:t>奖励款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50,000.00</w:t>
            </w:r>
          </w:p>
        </w:tc>
        <w:tc>
          <w:tcPr>
            <w:tcW w:w="1162" w:type="dxa"/>
            <w:tcBorders>
              <w:top w:val="single" w:sz="4" w:space="0" w:color="000000"/>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岗前培训补贴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6" w:right="0"/>
              <w:jc w:val="left"/>
              <w:rPr>
                <w:rFonts w:ascii="Times New Roman" w:hAnsi="Times New Roman" w:cs="Times New Roman" w:eastAsia="Times New Roman" w:hint="default"/>
                <w:sz w:val="18"/>
                <w:szCs w:val="18"/>
              </w:rPr>
            </w:pPr>
            <w:r>
              <w:rPr>
                <w:rFonts w:ascii="Times New Roman"/>
                <w:sz w:val="18"/>
              </w:rPr>
              <w:t>32,600.00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86,948.96</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79" w:top="1060" w:bottom="116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4928"/>
        <w:gridCol w:w="1440"/>
        <w:gridCol w:w="1162"/>
        <w:gridCol w:w="2326"/>
      </w:tblGrid>
      <w:tr>
        <w:trPr>
          <w:trHeight w:val="40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生育津贴补助</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left"/>
              <w:rPr>
                <w:rFonts w:ascii="Times New Roman" w:hAnsi="Times New Roman" w:cs="Times New Roman" w:eastAsia="Times New Roman" w:hint="default"/>
                <w:sz w:val="18"/>
                <w:szCs w:val="18"/>
              </w:rPr>
            </w:pPr>
            <w:r>
              <w:rPr>
                <w:rFonts w:ascii="Times New Roman"/>
                <w:sz w:val="18"/>
              </w:rPr>
              <w:t>28,110.32</w:t>
            </w:r>
          </w:p>
        </w:tc>
        <w:tc>
          <w:tcPr>
            <w:tcW w:w="1162" w:type="dxa"/>
            <w:tcBorders>
              <w:top w:val="single" w:sz="4" w:space="0" w:color="000000"/>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6" w:right="0"/>
              <w:jc w:val="left"/>
              <w:rPr>
                <w:rFonts w:ascii="Times New Roman" w:hAnsi="Times New Roman" w:cs="Times New Roman" w:eastAsia="Times New Roman" w:hint="default"/>
                <w:sz w:val="18"/>
                <w:szCs w:val="18"/>
              </w:rPr>
            </w:pPr>
            <w:r>
              <w:rPr>
                <w:rFonts w:ascii="Times New Roman"/>
                <w:sz w:val="18"/>
              </w:rPr>
              <w:t>14,591.33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47,496.90</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工业用电降低成本资助</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left"/>
              <w:rPr>
                <w:rFonts w:ascii="Times New Roman" w:hAnsi="Times New Roman" w:cs="Times New Roman" w:eastAsia="Times New Roman" w:hint="default"/>
                <w:sz w:val="18"/>
                <w:szCs w:val="18"/>
              </w:rPr>
            </w:pPr>
            <w:r>
              <w:rPr>
                <w:rFonts w:ascii="Times New Roman"/>
                <w:sz w:val="18"/>
              </w:rPr>
              <w:t>8,529.23</w:t>
            </w:r>
          </w:p>
        </w:tc>
        <w:tc>
          <w:tcPr>
            <w:tcW w:w="1162" w:type="dxa"/>
            <w:tcBorders>
              <w:top w:val="single" w:sz="4" w:space="0" w:color="000000"/>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中国首届进口博星览会参会补贴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6" w:right="0"/>
              <w:jc w:val="left"/>
              <w:rPr>
                <w:rFonts w:ascii="Times New Roman" w:hAnsi="Times New Roman" w:cs="Times New Roman" w:eastAsia="Times New Roman" w:hint="default"/>
                <w:sz w:val="18"/>
                <w:szCs w:val="18"/>
              </w:rPr>
            </w:pPr>
            <w:r>
              <w:rPr>
                <w:rFonts w:ascii="Times New Roman"/>
                <w:sz w:val="18"/>
              </w:rPr>
              <w:t>4,829.00</w:t>
            </w:r>
          </w:p>
        </w:tc>
        <w:tc>
          <w:tcPr>
            <w:tcW w:w="1162" w:type="dxa"/>
            <w:tcBorders>
              <w:top w:val="single" w:sz="4" w:space="0" w:color="000000"/>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知识产权资助</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left"/>
              <w:rPr>
                <w:rFonts w:ascii="Times New Roman" w:hAnsi="Times New Roman" w:cs="Times New Roman" w:eastAsia="Times New Roman" w:hint="default"/>
                <w:sz w:val="18"/>
                <w:szCs w:val="18"/>
              </w:rPr>
            </w:pPr>
            <w:r>
              <w:rPr>
                <w:rFonts w:ascii="Times New Roman"/>
                <w:sz w:val="18"/>
              </w:rPr>
              <w:t>4,500.00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121,600.00</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年第二批计算机软件著作权资助</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6" w:right="0"/>
              <w:jc w:val="left"/>
              <w:rPr>
                <w:rFonts w:ascii="Times New Roman" w:hAnsi="Times New Roman" w:cs="Times New Roman" w:eastAsia="Times New Roman" w:hint="default"/>
                <w:sz w:val="18"/>
                <w:szCs w:val="18"/>
              </w:rPr>
            </w:pPr>
            <w:r>
              <w:rPr>
                <w:rFonts w:ascii="Times New Roman"/>
                <w:sz w:val="18"/>
              </w:rPr>
              <w:t>900.00</w:t>
            </w:r>
          </w:p>
        </w:tc>
        <w:tc>
          <w:tcPr>
            <w:tcW w:w="1162" w:type="dxa"/>
            <w:tcBorders>
              <w:top w:val="single" w:sz="4" w:space="0" w:color="000000"/>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展会补贴</w:t>
            </w:r>
          </w:p>
        </w:tc>
        <w:tc>
          <w:tcPr>
            <w:tcW w:w="144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195,460.00</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深圳市科技研发技术创新资金补助</w:t>
            </w:r>
          </w:p>
        </w:tc>
        <w:tc>
          <w:tcPr>
            <w:tcW w:w="144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200,000.00</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东莞市经济和信息化局节能技术改造专项资金</w:t>
            </w:r>
          </w:p>
        </w:tc>
        <w:tc>
          <w:tcPr>
            <w:tcW w:w="144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2,000,000.00</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年中央中小企业发展专项资金</w:t>
            </w:r>
          </w:p>
        </w:tc>
        <w:tc>
          <w:tcPr>
            <w:tcW w:w="144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183,400.00</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192"/>
              <w:jc w:val="left"/>
              <w:rPr>
                <w:rFonts w:ascii="宋体" w:hAnsi="宋体" w:cs="宋体" w:eastAsia="宋体" w:hint="default"/>
                <w:sz w:val="18"/>
                <w:szCs w:val="18"/>
              </w:rPr>
            </w:pPr>
            <w:r>
              <w:rPr>
                <w:rFonts w:ascii="宋体" w:hAnsi="宋体" w:cs="宋体" w:eastAsia="宋体" w:hint="default"/>
                <w:sz w:val="18"/>
                <w:szCs w:val="18"/>
              </w:rPr>
              <w:t>金融支付信息安全产品技术改造产业化</w:t>
            </w:r>
            <w:r>
              <w:rPr>
                <w:rFonts w:ascii="Times New Roman" w:hAnsi="Times New Roman" w:cs="Times New Roman" w:eastAsia="Times New Roman" w:hint="default"/>
                <w:sz w:val="18"/>
                <w:szCs w:val="18"/>
              </w:rPr>
              <w:t>(</w:t>
            </w:r>
            <w:r>
              <w:rPr>
                <w:rFonts w:ascii="宋体" w:hAnsi="宋体" w:cs="宋体" w:eastAsia="宋体" w:hint="default"/>
                <w:sz w:val="18"/>
                <w:szCs w:val="18"/>
              </w:rPr>
              <w:t>中央预算内投资</w:t>
            </w:r>
            <w:r>
              <w:rPr>
                <w:rFonts w:ascii="Times New Roman" w:hAnsi="Times New Roman" w:cs="Times New Roman" w:eastAsia="Times New Roman" w:hint="default"/>
                <w:sz w:val="18"/>
                <w:szCs w:val="18"/>
              </w:rPr>
              <w:t>)</w:t>
            </w:r>
            <w:r>
              <w:rPr>
                <w:rFonts w:ascii="宋体" w:hAnsi="宋体" w:cs="宋体" w:eastAsia="宋体" w:hint="default"/>
                <w:sz w:val="18"/>
                <w:szCs w:val="18"/>
              </w:rPr>
              <w:t>资 金补助</w:t>
            </w:r>
          </w:p>
        </w:tc>
        <w:tc>
          <w:tcPr>
            <w:tcW w:w="144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50,000.00</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6" w:right="0"/>
              <w:jc w:val="left"/>
              <w:rPr>
                <w:rFonts w:ascii="Times New Roman" w:hAnsi="Times New Roman" w:cs="Times New Roman" w:eastAsia="Times New Roman" w:hint="default"/>
                <w:sz w:val="18"/>
                <w:szCs w:val="18"/>
              </w:rPr>
            </w:pPr>
            <w:r>
              <w:rPr>
                <w:rFonts w:ascii="Times New Roman"/>
                <w:sz w:val="18"/>
              </w:rPr>
              <w:t>20,737,843.96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6,451,599.35</w:t>
            </w:r>
          </w:p>
        </w:tc>
        <w:tc>
          <w:tcPr>
            <w:tcW w:w="232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3"/>
        <w:spacing w:line="240" w:lineRule="auto" w:before="178"/>
        <w:ind w:left="212" w:right="1168"/>
        <w:jc w:val="left"/>
        <w:rPr>
          <w:b w:val="0"/>
          <w:bCs w:val="0"/>
        </w:rPr>
      </w:pPr>
      <w:r>
        <w:rPr>
          <w:rFonts w:ascii="Times New Roman" w:hAnsi="Times New Roman" w:cs="Times New Roman" w:eastAsia="Times New Roman" w:hint="default"/>
        </w:rPr>
        <w:t>46</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220" w:type="dxa"/>
        <w:tblLayout w:type="fixed"/>
        <w:tblCellMar>
          <w:top w:w="0" w:type="dxa"/>
          <w:left w:w="0" w:type="dxa"/>
          <w:bottom w:w="0" w:type="dxa"/>
          <w:right w:w="0" w:type="dxa"/>
        </w:tblCellMar>
        <w:tblLook w:val="01E0"/>
      </w:tblPr>
      <w:tblGrid>
        <w:gridCol w:w="3438"/>
        <w:gridCol w:w="3202"/>
        <w:gridCol w:w="2919"/>
      </w:tblGrid>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36,673.06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-548,389.06</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25,397,970.81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2"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863,685.83</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25,434,643.87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315,296.77</w:t>
            </w:r>
          </w:p>
        </w:tc>
      </w:tr>
    </w:tbl>
    <w:p>
      <w:pPr>
        <w:pStyle w:val="BodyText"/>
        <w:spacing w:line="240" w:lineRule="auto" w:before="49"/>
        <w:ind w:left="212" w:right="1168"/>
        <w:jc w:val="left"/>
      </w:pPr>
      <w:r>
        <w:rPr/>
        <w:t>其他说明：</w:t>
      </w:r>
    </w:p>
    <w:p>
      <w:pPr>
        <w:pStyle w:val="BodyText"/>
        <w:spacing w:line="240" w:lineRule="auto" w:before="115"/>
        <w:ind w:left="573" w:right="1168"/>
        <w:jc w:val="left"/>
      </w:pPr>
      <w:r>
        <w:rPr/>
        <w:t>按权益法核算的长期股权投资收益</w:t>
      </w:r>
    </w:p>
    <w:p>
      <w:pPr>
        <w:spacing w:line="240" w:lineRule="auto" w:before="4"/>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3872"/>
        <w:gridCol w:w="1848"/>
        <w:gridCol w:w="1848"/>
        <w:gridCol w:w="2041"/>
      </w:tblGrid>
      <w:tr>
        <w:trPr>
          <w:trHeight w:val="634" w:hRule="exact"/>
        </w:trPr>
        <w:tc>
          <w:tcPr>
            <w:tcW w:w="3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59"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59"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835" w:right="109" w:hanging="723"/>
              <w:jc w:val="left"/>
              <w:rPr>
                <w:rFonts w:ascii="宋体" w:hAnsi="宋体" w:cs="宋体" w:eastAsia="宋体" w:hint="default"/>
                <w:sz w:val="18"/>
                <w:szCs w:val="18"/>
              </w:rPr>
            </w:pPr>
            <w:r>
              <w:rPr>
                <w:rFonts w:ascii="宋体" w:hAnsi="宋体" w:cs="宋体" w:eastAsia="宋体" w:hint="default"/>
                <w:b/>
                <w:bCs/>
                <w:sz w:val="18"/>
                <w:szCs w:val="18"/>
              </w:rPr>
              <w:t>本年比上年增减变动的</w:t>
            </w:r>
            <w:r>
              <w:rPr>
                <w:rFonts w:ascii="宋体" w:hAnsi="宋体" w:cs="宋体" w:eastAsia="宋体" w:hint="default"/>
                <w:b/>
                <w:bCs/>
                <w:w w:val="99"/>
                <w:sz w:val="18"/>
                <w:szCs w:val="18"/>
              </w:rPr>
              <w:t> </w:t>
            </w:r>
            <w:r>
              <w:rPr>
                <w:rFonts w:ascii="宋体" w:hAnsi="宋体" w:cs="宋体" w:eastAsia="宋体" w:hint="default"/>
                <w:b/>
                <w:bCs/>
                <w:sz w:val="18"/>
                <w:szCs w:val="18"/>
              </w:rPr>
              <w:t>原因</w:t>
            </w:r>
            <w:r>
              <w:rPr>
                <w:rFonts w:ascii="宋体" w:hAnsi="宋体" w:cs="宋体" w:eastAsia="宋体" w:hint="default"/>
                <w:sz w:val="18"/>
                <w:szCs w:val="18"/>
              </w:rPr>
            </w:r>
          </w:p>
        </w:tc>
      </w:tr>
      <w:tr>
        <w:trPr>
          <w:trHeight w:val="322" w:hRule="exact"/>
        </w:trPr>
        <w:tc>
          <w:tcPr>
            <w:tcW w:w="3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深圳市通新源物业管理有限公司</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-289,535.27</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-548,389.06</w:t>
            </w:r>
          </w:p>
        </w:tc>
        <w:tc>
          <w:tcPr>
            <w:tcW w:w="20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深圳盛灿科技股份有限公司</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338,023.71</w:t>
            </w:r>
          </w:p>
        </w:tc>
        <w:tc>
          <w:tcPr>
            <w:tcW w:w="1848"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广州水晶智联科技有限公司</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-9,457.07</w:t>
            </w:r>
          </w:p>
        </w:tc>
        <w:tc>
          <w:tcPr>
            <w:tcW w:w="1848"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深圳市前海友胜资本管理有限公司</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-2,358.31</w:t>
            </w:r>
          </w:p>
        </w:tc>
        <w:tc>
          <w:tcPr>
            <w:tcW w:w="1848"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36,673.06</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-548,389.06</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sz w:val="18"/>
              </w:rPr>
              <w:t> </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left="212" w:right="1168"/>
        <w:jc w:val="left"/>
        <w:rPr>
          <w:b w:val="0"/>
          <w:bCs w:val="0"/>
        </w:rPr>
      </w:pPr>
      <w:r>
        <w:rPr>
          <w:rFonts w:ascii="Times New Roman" w:hAnsi="Times New Roman" w:cs="Times New Roman" w:eastAsia="Times New Roman" w:hint="default"/>
        </w:rPr>
        <w:t>47</w:t>
      </w:r>
      <w:r>
        <w:rPr/>
        <w:t>、资产处置收益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2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处置固定资产净收益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-281,465.09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-27,007.84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-281,465.09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-27,007.84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48</w:t>
      </w:r>
      <w:r>
        <w:rPr/>
        <w:t>、营业外收入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2"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15,973,767.40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固定资产报废收益</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pacing w:val="-1"/>
                <w:sz w:val="18"/>
              </w:rPr>
              <w:t>576,598.44</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576,598.44</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违约收益</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1,800,000.00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赔偿收入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3,313,020.50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3,313,020.50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614,597.70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372,529.81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614,597.70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6,374,216.64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16,346,297.21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6,374,216.64</w:t>
            </w:r>
          </w:p>
        </w:tc>
      </w:tr>
    </w:tbl>
    <w:p>
      <w:pPr>
        <w:pStyle w:val="BodyText"/>
        <w:spacing w:line="240" w:lineRule="auto" w:before="49"/>
        <w:ind w:right="1133"/>
        <w:jc w:val="left"/>
      </w:pPr>
      <w:r>
        <w:rPr/>
        <w:t>计入当期损益的政府补助：</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715"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96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望城经济技 术开发区管 理委员会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w:t>
            </w:r>
            <w:r>
              <w:rPr>
                <w:rFonts w:ascii="宋体" w:hAnsi="宋体" w:cs="宋体" w:eastAsia="宋体" w:hint="default"/>
                <w:sz w:val="18"/>
                <w:szCs w:val="18"/>
              </w:rPr>
              <w:t>产 业强园</w:t>
            </w:r>
            <w:r>
              <w:rPr>
                <w:rFonts w:ascii="Times New Roman" w:hAnsi="Times New Roman" w:cs="Times New Roman" w:eastAsia="Times New Roman" w:hint="default"/>
                <w:sz w:val="18"/>
                <w:szCs w:val="18"/>
              </w:rPr>
              <w:t>"</w:t>
            </w:r>
            <w:r>
              <w:rPr>
                <w:rFonts w:ascii="宋体" w:hAnsi="宋体" w:cs="宋体" w:eastAsia="宋体" w:hint="default"/>
                <w:sz w:val="18"/>
                <w:szCs w:val="18"/>
              </w:rPr>
              <w:t>奖励 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23" w:right="127"/>
              <w:jc w:val="left"/>
              <w:rPr>
                <w:rFonts w:ascii="宋体" w:hAnsi="宋体" w:cs="宋体" w:eastAsia="宋体" w:hint="default"/>
                <w:sz w:val="18"/>
                <w:szCs w:val="18"/>
              </w:rPr>
            </w:pPr>
            <w:r>
              <w:rPr>
                <w:rFonts w:ascii="宋体" w:hAnsi="宋体" w:cs="宋体" w:eastAsia="宋体" w:hint="default"/>
                <w:sz w:val="18"/>
                <w:szCs w:val="18"/>
              </w:rPr>
              <w:t>望城经济技 术开发区</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望城经济技 术开发区管 理委员会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年度新 增规上服务 业企业奖励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望城经济技 术开发区</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4" w:right="130"/>
              <w:jc w:val="left"/>
              <w:rPr>
                <w:rFonts w:ascii="宋体" w:hAnsi="宋体" w:cs="宋体" w:eastAsia="宋体" w:hint="default"/>
                <w:sz w:val="18"/>
                <w:szCs w:val="18"/>
              </w:rPr>
            </w:pPr>
            <w:r>
              <w:rPr>
                <w:rFonts w:ascii="宋体" w:hAnsi="宋体" w:cs="宋体" w:eastAsia="宋体" w:hint="default"/>
                <w:sz w:val="18"/>
                <w:szCs w:val="18"/>
              </w:rPr>
              <w:t>高新技术企 业补贴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3" w:right="127"/>
              <w:jc w:val="left"/>
              <w:rPr>
                <w:rFonts w:ascii="宋体" w:hAnsi="宋体" w:cs="宋体" w:eastAsia="宋体" w:hint="default"/>
                <w:sz w:val="18"/>
                <w:szCs w:val="18"/>
              </w:rPr>
            </w:pPr>
            <w:r>
              <w:rPr>
                <w:rFonts w:ascii="宋体" w:hAnsi="宋体" w:cs="宋体" w:eastAsia="宋体" w:hint="default"/>
                <w:sz w:val="18"/>
                <w:szCs w:val="18"/>
              </w:rPr>
              <w:t>广州市南沙 区财政局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700,000.00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24" w:right="69"/>
              <w:jc w:val="both"/>
              <w:rPr>
                <w:rFonts w:ascii="宋体" w:hAnsi="宋体" w:cs="宋体" w:eastAsia="宋体" w:hint="default"/>
                <w:sz w:val="18"/>
                <w:szCs w:val="18"/>
              </w:rPr>
            </w:pPr>
            <w:r>
              <w:rPr>
                <w:rFonts w:ascii="宋体" w:hAnsi="宋体" w:cs="宋体" w:eastAsia="宋体" w:hint="default"/>
                <w:sz w:val="18"/>
                <w:szCs w:val="18"/>
              </w:rPr>
              <w:t>望城经开区 建设开发公 司</w:t>
            </w:r>
            <w:r>
              <w:rPr>
                <w:rFonts w:ascii="Times New Roman" w:hAnsi="Times New Roman" w:cs="Times New Roman" w:eastAsia="Times New Roman" w:hint="default"/>
                <w:sz w:val="18"/>
                <w:szCs w:val="18"/>
              </w:rPr>
              <w:t>-</w:t>
            </w:r>
            <w:r>
              <w:rPr>
                <w:rFonts w:ascii="宋体" w:hAnsi="宋体" w:cs="宋体" w:eastAsia="宋体" w:hint="default"/>
                <w:sz w:val="18"/>
                <w:szCs w:val="18"/>
              </w:rPr>
              <w:t>产业扶持 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3" w:right="127"/>
              <w:jc w:val="both"/>
              <w:rPr>
                <w:rFonts w:ascii="宋体" w:hAnsi="宋体" w:cs="宋体" w:eastAsia="宋体" w:hint="default"/>
                <w:sz w:val="18"/>
                <w:szCs w:val="18"/>
              </w:rPr>
            </w:pPr>
            <w:r>
              <w:rPr>
                <w:rFonts w:ascii="宋体" w:hAnsi="宋体" w:cs="宋体" w:eastAsia="宋体" w:hint="default"/>
                <w:sz w:val="18"/>
                <w:szCs w:val="18"/>
              </w:rPr>
              <w:t>望城经开区 建设开发公 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13,820,000.0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年成都 高新区推进</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三次创业</w:t>
            </w:r>
            <w:r>
              <w:rPr>
                <w:rFonts w:ascii="Times New Roman" w:hAnsi="Times New Roman" w:cs="Times New Roman" w:eastAsia="Times New Roman" w:hint="default"/>
                <w:sz w:val="18"/>
                <w:szCs w:val="18"/>
              </w:rPr>
              <w:t>"</w:t>
            </w:r>
            <w:r>
              <w:rPr>
                <w:rFonts w:ascii="宋体" w:hAnsi="宋体" w:cs="宋体" w:eastAsia="宋体" w:hint="default"/>
                <w:sz w:val="18"/>
                <w:szCs w:val="18"/>
              </w:rPr>
              <w:t>加 快商务服务 业发展的若 干政策</w:t>
            </w:r>
            <w:r>
              <w:rPr>
                <w:rFonts w:ascii="Times New Roman" w:hAnsi="Times New Roman" w:cs="Times New Roman" w:eastAsia="Times New Roman" w:hint="default"/>
                <w:sz w:val="18"/>
                <w:szCs w:val="18"/>
              </w:rPr>
              <w:t>(</w:t>
            </w:r>
            <w:r>
              <w:rPr>
                <w:rFonts w:ascii="宋体" w:hAnsi="宋体" w:cs="宋体" w:eastAsia="宋体" w:hint="default"/>
                <w:sz w:val="18"/>
                <w:szCs w:val="18"/>
              </w:rPr>
              <w:t>第二 批</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127"/>
              <w:jc w:val="both"/>
              <w:rPr>
                <w:rFonts w:ascii="宋体" w:hAnsi="宋体" w:cs="宋体" w:eastAsia="宋体" w:hint="default"/>
                <w:sz w:val="18"/>
                <w:szCs w:val="18"/>
              </w:rPr>
            </w:pPr>
            <w:r>
              <w:rPr>
                <w:rFonts w:ascii="宋体" w:hAnsi="宋体" w:cs="宋体" w:eastAsia="宋体" w:hint="default"/>
                <w:sz w:val="18"/>
                <w:szCs w:val="18"/>
              </w:rPr>
              <w:t>成都高新技 术产业开发 区经济运行 与安全生产 监管局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21"/>
              <w:jc w:val="left"/>
              <w:rPr>
                <w:rFonts w:ascii="宋体" w:hAnsi="宋体" w:cs="宋体" w:eastAsia="宋体" w:hint="default"/>
                <w:sz w:val="18"/>
                <w:szCs w:val="18"/>
              </w:rPr>
            </w:pPr>
            <w:r>
              <w:rPr>
                <w:rFonts w:ascii="宋体" w:hAnsi="宋体" w:cs="宋体" w:eastAsia="宋体" w:hint="default"/>
                <w:sz w:val="18"/>
                <w:szCs w:val="18"/>
              </w:rPr>
              <w:t>国家小微企 业</w:t>
            </w:r>
            <w:r>
              <w:rPr>
                <w:rFonts w:ascii="Times New Roman" w:hAnsi="Times New Roman" w:cs="Times New Roman" w:eastAsia="Times New Roman" w:hint="default"/>
                <w:sz w:val="18"/>
                <w:szCs w:val="18"/>
              </w:rPr>
              <w:t>"</w:t>
            </w:r>
            <w:r>
              <w:rPr>
                <w:rFonts w:ascii="宋体" w:hAnsi="宋体" w:cs="宋体" w:eastAsia="宋体" w:hint="default"/>
                <w:sz w:val="18"/>
                <w:szCs w:val="18"/>
              </w:rPr>
              <w:t>两创示范 </w:t>
            </w:r>
            <w:r>
              <w:rPr>
                <w:rFonts w:ascii="Times New Roman" w:hAnsi="Times New Roman" w:cs="Times New Roman" w:eastAsia="Times New Roman" w:hint="default"/>
                <w:sz w:val="18"/>
                <w:szCs w:val="18"/>
              </w:rPr>
              <w:t>"</w:t>
            </w:r>
            <w:r>
              <w:rPr>
                <w:rFonts w:ascii="宋体" w:hAnsi="宋体" w:cs="宋体" w:eastAsia="宋体" w:hint="default"/>
                <w:sz w:val="18"/>
                <w:szCs w:val="18"/>
              </w:rPr>
              <w:t>成都市</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年度中央支 持小微企业 服务业发展 资金项目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27"/>
              <w:jc w:val="both"/>
              <w:rPr>
                <w:rFonts w:ascii="宋体" w:hAnsi="宋体" w:cs="宋体" w:eastAsia="宋体" w:hint="default"/>
                <w:sz w:val="18"/>
                <w:szCs w:val="18"/>
              </w:rPr>
            </w:pPr>
            <w:r>
              <w:rPr>
                <w:rFonts w:ascii="宋体" w:hAnsi="宋体" w:cs="宋体" w:eastAsia="宋体" w:hint="default"/>
                <w:sz w:val="18"/>
                <w:szCs w:val="18"/>
              </w:rPr>
              <w:t>成都高新技 术产业开发 区经济运行 与安全生产 监管局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30"/>
              <w:jc w:val="left"/>
              <w:rPr>
                <w:rFonts w:ascii="宋体" w:hAnsi="宋体" w:cs="宋体" w:eastAsia="宋体" w:hint="default"/>
                <w:sz w:val="18"/>
                <w:szCs w:val="18"/>
              </w:rPr>
            </w:pPr>
            <w:r>
              <w:rPr>
                <w:rFonts w:ascii="宋体" w:hAnsi="宋体" w:cs="宋体" w:eastAsia="宋体" w:hint="default"/>
                <w:sz w:val="18"/>
                <w:szCs w:val="18"/>
              </w:rPr>
              <w:t>先进单位补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27"/>
              <w:jc w:val="both"/>
              <w:rPr>
                <w:rFonts w:ascii="宋体" w:hAnsi="宋体" w:cs="宋体" w:eastAsia="宋体" w:hint="default"/>
                <w:sz w:val="18"/>
                <w:szCs w:val="18"/>
              </w:rPr>
            </w:pPr>
            <w:r>
              <w:rPr>
                <w:rFonts w:ascii="宋体" w:hAnsi="宋体" w:cs="宋体" w:eastAsia="宋体" w:hint="default"/>
                <w:sz w:val="18"/>
                <w:szCs w:val="18"/>
              </w:rPr>
              <w:t>望城经济技 术开发区管 理委员会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个税返还</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3" w:right="127"/>
              <w:jc w:val="left"/>
              <w:rPr>
                <w:rFonts w:ascii="宋体" w:hAnsi="宋体" w:cs="宋体" w:eastAsia="宋体" w:hint="default"/>
                <w:sz w:val="18"/>
                <w:szCs w:val="18"/>
              </w:rPr>
            </w:pPr>
            <w:r>
              <w:rPr>
                <w:rFonts w:ascii="宋体" w:hAnsi="宋体" w:cs="宋体" w:eastAsia="宋体" w:hint="default"/>
                <w:sz w:val="18"/>
                <w:szCs w:val="18"/>
              </w:rPr>
              <w:t>深圳市蛇口 地方税务局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403,767.40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z w:val="18"/>
              </w:rPr>
              <w:t>70,000.00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15,973,767.4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49</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88,800.00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318,061.54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88,800.00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w w:val="95"/>
                <w:sz w:val="18"/>
              </w:rPr>
              <w:t>4,770.18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22,795.91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4,770.18</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行政罚款支出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696,938.83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644,946.92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696,938.83</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诉讼利息费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21,815,559.98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11,199,900.51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21,815,559.98</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20,936.34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617,330.59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20,936.34</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22,627,005.33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12,803,035.47</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50</w:t>
      </w:r>
      <w:r>
        <w:rPr/>
        <w:t>、所得税费用</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）所得税费用表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1,823,274.35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16,768,745.80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-36,712,387.58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-9,339,171.59</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-34,889,113.23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7,429,574.21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-289,280,109.91</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-42,285,276.19</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-2,904,728.41</w:t>
            </w:r>
          </w:p>
        </w:tc>
      </w:tr>
      <w:tr>
        <w:trPr>
          <w:trHeight w:val="40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-1,571,246.21</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-745,575.95</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3,637,920.28</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-555,446.32</w:t>
            </w:r>
          </w:p>
        </w:tc>
      </w:tr>
      <w:tr>
        <w:trPr>
          <w:trHeight w:val="715"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16,553,399.00</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研发费用加计扣除</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-7,018,159.43</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-34,889,113.23</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51</w:t>
      </w:r>
      <w:r>
        <w:rPr/>
        <w:t>、其他综合收益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详见附注五、</w:t>
      </w:r>
      <w:r>
        <w:rPr>
          <w:rFonts w:ascii="Times New Roman" w:hAnsi="Times New Roman" w:cs="Times New Roman" w:eastAsia="Times New Roman" w:hint="default"/>
        </w:rPr>
        <w:t>(</w:t>
      </w:r>
      <w:r>
        <w:rPr/>
        <w:t>三十五</w:t>
      </w:r>
      <w:r>
        <w:rPr>
          <w:rFonts w:ascii="Times New Roman" w:hAnsi="Times New Roman" w:cs="Times New Roman" w:eastAsia="Times New Roman" w:hint="default"/>
        </w:rPr>
        <w:t>)</w:t>
      </w:r>
      <w:r>
        <w:rPr/>
        <w:t>之阐述。</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52</w:t>
      </w:r>
      <w:r>
        <w:rPr/>
        <w:t>、现金流量表项目</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17,850,986.17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40,820,064.64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23,126,622.98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5,282,003.26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收现往来款净额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13,606,428.54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591,802.48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其他营业外收入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5,727,618.20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372,529.81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60,311,655.89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47,066,400.19</w:t>
            </w:r>
          </w:p>
        </w:tc>
      </w:tr>
    </w:tbl>
    <w:p>
      <w:pPr>
        <w:pStyle w:val="BodyText"/>
        <w:spacing w:line="240" w:lineRule="auto" w:before="49"/>
        <w:ind w:right="1133"/>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付现销售费用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62,862,388.55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68,803,812.71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付现管理费用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34,885,629.44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34,617,155.65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付现研发费用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25,821,779.87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21,543,575.34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金融机构手续费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17,721,448.35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2,029,571.12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滞纳金等营业外支出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806,675.17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3,280,339.05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付现往来款净额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15,985,225.96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137,100,179.29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法院冻结的资金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169,083,147.34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267,374,633.16</w:t>
            </w:r>
          </w:p>
        </w:tc>
      </w:tr>
    </w:tbl>
    <w:p>
      <w:pPr>
        <w:pStyle w:val="BodyText"/>
        <w:spacing w:line="240" w:lineRule="auto" w:before="49"/>
        <w:ind w:right="1133"/>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收到与资产相关的政府补贴</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理财产品到期收回</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3,600,000.00</w:t>
            </w:r>
          </w:p>
        </w:tc>
      </w:tr>
    </w:tbl>
    <w:p>
      <w:pPr>
        <w:pStyle w:val="BodyText"/>
        <w:spacing w:line="240" w:lineRule="auto" w:before="49"/>
        <w:ind w:right="1133"/>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归还政府补助</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369,500,000.00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384,500,000.00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1133"/>
        <w:jc w:val="left"/>
      </w:pPr>
      <w:r>
        <w:rPr/>
        <w:t>支付的其他与投资活动有关的现金说明：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收回银行承兑汇票及履约保函保证金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11,924,314.26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130,535,685.74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关联方借款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21,924,314.26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130,535,685.74</w:t>
            </w:r>
          </w:p>
        </w:tc>
      </w:tr>
    </w:tbl>
    <w:p>
      <w:pPr>
        <w:pStyle w:val="BodyText"/>
        <w:spacing w:line="240" w:lineRule="auto" w:before="49"/>
        <w:ind w:right="1133"/>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21"/>
        <w:ind w:right="1133"/>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票据贴现费用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3,423,508.53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5,937,750.00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银行承兑汇票及履约保函保证金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167,855,704.13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售后回购所支付的租金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39,365,206.57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39,365,206.55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债券担保费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2,656,000.00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预付融资款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股份回购支付的现金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27,883,032.00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251,183,451.23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47,622,956.55</w:t>
            </w:r>
          </w:p>
        </w:tc>
      </w:tr>
    </w:tbl>
    <w:p>
      <w:pPr>
        <w:pStyle w:val="BodyText"/>
        <w:spacing w:line="240" w:lineRule="auto" w:before="49"/>
        <w:ind w:right="1133"/>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53</w:t>
      </w:r>
      <w:r>
        <w:rPr/>
        <w:t>、现金流量表补充资料</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-254,390,996.68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29,417,593.50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225,894,610.76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68,496,363.50</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111,287,434.11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76,260,273.26</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24,556,198.33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16,977,250.17</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4,926,023.44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3,532,321.14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281,465.09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27,007.84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69995pt;margin-top:150.319977pt;width:151.25pt;height:40.8pt;mso-position-horizontal-relative:page;mso-position-vertical-relative:page;z-index:-1202848" coordorigin="4467,3006" coordsize="3025,816">
            <v:group style="position:absolute;left:4478;top:3017;width:2;height:394" coordorigin="4478,3017" coordsize="2,394">
              <v:shape style="position:absolute;left:4478;top:3017;width:2;height:394" coordorigin="4478,3017" coordsize="0,394" path="m4478,3017l4478,3411e" filled="false" stroked="true" strokeweight="1.08pt" strokecolor="#ffffff">
                <v:path arrowok="t"/>
              </v:shape>
            </v:group>
            <v:group style="position:absolute;left:4489;top:3017;width:3003;height:394" coordorigin="4489,3017" coordsize="3003,394">
              <v:shape style="position:absolute;left:4489;top:3017;width:3003;height:394" coordorigin="4489,3017" coordsize="3003,394" path="m4489,3411l7492,3411,7492,3017,4489,3017,4489,3411xe" filled="true" fillcolor="#ffffff" stroked="false">
                <v:path arrowok="t"/>
                <v:fill type="solid"/>
              </v:shape>
            </v:group>
            <v:group style="position:absolute;left:4478;top:3420;width:2;height:392" coordorigin="4478,3420" coordsize="2,392">
              <v:shape style="position:absolute;left:4478;top:3420;width:2;height:392" coordorigin="4478,3420" coordsize="0,392" path="m4478,3420l4478,3812e" filled="false" stroked="true" strokeweight="1.08pt" strokecolor="#ffffff">
                <v:path arrowok="t"/>
              </v:shape>
            </v:group>
            <v:group style="position:absolute;left:4489;top:3420;width:3003;height:392" coordorigin="4489,3420" coordsize="3003,392">
              <v:shape style="position:absolute;left:4489;top:3420;width:3003;height:392" coordorigin="4489,3420" coordsize="3003,392" path="m4489,3812l7492,3812,7492,3420,4489,3420,4489,3812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09"/>
        <w:gridCol w:w="2060"/>
        <w:gridCol w:w="3185"/>
      </w:tblGrid>
      <w:tr>
        <w:trPr>
          <w:trHeight w:val="36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-571,828.26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22,795.91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101,525,513.65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77,219,629.56</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33" w:right="0"/>
              <w:jc w:val="left"/>
              <w:rPr>
                <w:rFonts w:ascii="Times New Roman" w:hAnsi="Times New Roman" w:cs="Times New Roman" w:eastAsia="Times New Roman" w:hint="default"/>
                <w:sz w:val="18"/>
                <w:szCs w:val="18"/>
              </w:rPr>
            </w:pPr>
            <w:r>
              <w:rPr>
                <w:rFonts w:ascii="Times New Roman"/>
                <w:sz w:val="18"/>
              </w:rPr>
              <w:t>-25,434,643.87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-315,296.77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09"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20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-34,515,506.83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-6,779,090.27</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09"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20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-2,196,880.75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-2,560,081.32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33" w:right="0"/>
              <w:jc w:val="left"/>
              <w:rPr>
                <w:rFonts w:ascii="Times New Roman" w:hAnsi="Times New Roman" w:cs="Times New Roman" w:eastAsia="Times New Roman" w:hint="default"/>
                <w:sz w:val="18"/>
                <w:szCs w:val="18"/>
              </w:rPr>
            </w:pPr>
            <w:r>
              <w:rPr>
                <w:rFonts w:ascii="Times New Roman"/>
                <w:sz w:val="18"/>
              </w:rPr>
              <w:t>-17,970,036.09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-26,941,633.86</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2" w:right="0"/>
              <w:jc w:val="left"/>
              <w:rPr>
                <w:rFonts w:ascii="Times New Roman" w:hAnsi="Times New Roman" w:cs="Times New Roman" w:eastAsia="Times New Roman" w:hint="default"/>
                <w:sz w:val="18"/>
                <w:szCs w:val="18"/>
              </w:rPr>
            </w:pPr>
            <w:r>
              <w:rPr>
                <w:rFonts w:ascii="Times New Roman"/>
                <w:sz w:val="18"/>
              </w:rPr>
              <w:t>-130,921,696.16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-816,045,559.53</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16,642,281.12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-127,857,297.93</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4,841,493.67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-16,127,666.67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23,953,431.53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-724,673,391.47</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218,841,777.05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409,022,972.53</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409,022,972.53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1,265,263,705.59</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842" w:right="0"/>
              <w:jc w:val="left"/>
              <w:rPr>
                <w:rFonts w:ascii="Times New Roman" w:hAnsi="Times New Roman" w:cs="Times New Roman" w:eastAsia="Times New Roman" w:hint="default"/>
                <w:sz w:val="18"/>
                <w:szCs w:val="18"/>
              </w:rPr>
            </w:pPr>
            <w:r>
              <w:rPr>
                <w:rFonts w:ascii="Times New Roman"/>
                <w:sz w:val="18"/>
              </w:rPr>
              <w:t>-190,181,195.48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-856,240,733.06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218,841,777.05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409,022,972.53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64,495.23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289,584.77</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229,576,294.13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408,731,324.01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可随时用于支付的其他货币资金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200,987.69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2,063.75</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218,841,777.05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409,022,972.53</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spacing w:line="544" w:lineRule="auto" w:before="120"/>
        <w:ind w:left="152" w:right="53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54</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r>
        <w:rPr>
          <w:rFonts w:ascii="Times New Roman" w:hAnsi="Times New Roman" w:cs="Times New Roman" w:eastAsia="Times New Roman" w:hint="default"/>
          <w:b/>
          <w:bCs/>
          <w:sz w:val="21"/>
          <w:szCs w:val="21"/>
        </w:rPr>
        <w:t>55</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49"/>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178,855,704.13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110,782,488.68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33,000,000.00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一年期的结构性存款</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322,638,192.81</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56</w:t>
      </w:r>
      <w:r>
        <w:rPr/>
        <w:t>、外币货币性项目</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3"/>
        <w:gridCol w:w="2305"/>
        <w:gridCol w:w="2391"/>
        <w:gridCol w:w="2391"/>
      </w:tblGrid>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5"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5"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10,830,613.89</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1,483,838.01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10,183,877.03</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19,193.40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7.8473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150,616.37</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501.77</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南非兰特</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1,046,713.24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0.4735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495,618.72</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116,336,067.59</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16,614,055.30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114,025,584.33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113,222.18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7.8473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888,488.41</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19,127.88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0.8762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16,759.85</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南非兰特</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2,967,761.36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0.4735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1,405,235.00</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35,908,262.40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5,232,000.00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35,908,262.40</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2,008,357.44</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168,501.56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1,156,459.91</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南非兰特</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1,799,150.02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0.4735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851,897.53</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59" w:lineRule="auto" w:before="118"/>
        <w:ind w:right="1133"/>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3"/>
        <w:rPr>
          <w:rFonts w:ascii="宋体" w:hAnsi="宋体" w:cs="宋体" w:eastAsia="宋体" w:hint="default"/>
          <w:b/>
          <w:bCs/>
          <w:sz w:val="26"/>
          <w:szCs w:val="26"/>
        </w:rPr>
      </w:pPr>
    </w:p>
    <w:p>
      <w:pPr>
        <w:pStyle w:val="BodyText"/>
        <w:spacing w:line="340" w:lineRule="auto"/>
        <w:ind w:left="513" w:right="1129"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证通国际有限公司，主要经营地在香港，记账本位币为企业根据公司业务主要结算货币确定的人民币，当地政府规定记</w:t>
      </w:r>
    </w:p>
    <w:p>
      <w:pPr>
        <w:pStyle w:val="BodyText"/>
        <w:spacing w:line="240" w:lineRule="auto" w:before="1"/>
        <w:ind w:right="1133"/>
        <w:jc w:val="left"/>
      </w:pPr>
      <w:r>
        <w:rPr/>
        <w:t>账本位币由企业自行选择，选定后不得随意变更。</w:t>
      </w:r>
    </w:p>
    <w:p>
      <w:pPr>
        <w:pStyle w:val="BodyText"/>
        <w:spacing w:line="300" w:lineRule="auto" w:before="76"/>
        <w:ind w:right="1177" w:firstLine="360"/>
        <w:jc w:val="left"/>
      </w:pPr>
      <w:r>
        <w:rPr>
          <w:rFonts w:ascii="Times New Roman" w:hAnsi="Times New Roman" w:cs="Times New Roman" w:eastAsia="Times New Roman" w:hint="default"/>
        </w:rPr>
        <w:t>SZZT SOUTH</w:t>
      </w:r>
      <w:r>
        <w:rPr>
          <w:rFonts w:ascii="Times New Roman" w:hAnsi="Times New Roman" w:cs="Times New Roman" w:eastAsia="Times New Roman" w:hint="default"/>
          <w:spacing w:val="-3"/>
        </w:rPr>
        <w:t> </w:t>
      </w:r>
      <w:r>
        <w:rPr>
          <w:rFonts w:ascii="Times New Roman" w:hAnsi="Times New Roman" w:cs="Times New Roman" w:eastAsia="Times New Roman" w:hint="default"/>
        </w:rPr>
        <w:t>Africa(PTY).,Ltd</w:t>
      </w:r>
      <w:r>
        <w:rPr/>
        <w:t>，主要经营地在南非，记账本位币为企业根据公司业务主要结算货币确定的南非兰特， 当地政府规定记账本位币由企业自行选择，选定后不得随意变更。</w:t>
      </w:r>
    </w:p>
    <w:p>
      <w:pPr>
        <w:spacing w:line="240" w:lineRule="auto" w:before="10"/>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57</w:t>
      </w:r>
      <w:r>
        <w:rPr/>
        <w:t>、政府补助</w:t>
      </w:r>
      <w:r>
        <w:rPr>
          <w:b w:val="0"/>
          <w:bCs w:val="0"/>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）政府补助基本情况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820"/>
        <w:gridCol w:w="1277"/>
        <w:gridCol w:w="1702"/>
        <w:gridCol w:w="1771"/>
      </w:tblGrid>
      <w:tr>
        <w:trPr>
          <w:trHeight w:val="404"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7"/>
              <w:jc w:val="righ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71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深圳市生物、互联网、新能源产业发展专项资金基于云计算 的安全支付平台关键技术研究</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52"/>
              <w:jc w:val="center"/>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960,000.00</w:t>
            </w:r>
          </w:p>
        </w:tc>
      </w:tr>
      <w:tr>
        <w:trPr>
          <w:trHeight w:val="715"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44"/>
              <w:jc w:val="left"/>
              <w:rPr>
                <w:rFonts w:ascii="Times New Roman" w:hAnsi="Times New Roman" w:cs="Times New Roman" w:eastAsia="Times New Roman" w:hint="default"/>
                <w:sz w:val="18"/>
                <w:szCs w:val="18"/>
              </w:rPr>
            </w:pPr>
            <w:r>
              <w:rPr>
                <w:rFonts w:ascii="宋体" w:hAnsi="宋体" w:cs="宋体" w:eastAsia="宋体" w:hint="default"/>
                <w:sz w:val="18"/>
                <w:szCs w:val="18"/>
              </w:rPr>
              <w:t>高性能嵌入式金融安全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CPU</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设计及产业化</w:t>
            </w:r>
            <w:r>
              <w:rPr>
                <w:rFonts w:ascii="Times New Roman" w:hAnsi="Times New Roman" w:cs="Times New Roman" w:eastAsia="Times New Roman" w:hint="default"/>
                <w:sz w:val="18"/>
                <w:szCs w:val="18"/>
              </w:rPr>
              <w:t>(</w:t>
            </w:r>
            <w:r>
              <w:rPr>
                <w:rFonts w:ascii="宋体" w:hAnsi="宋体" w:cs="宋体" w:eastAsia="宋体" w:hint="default"/>
                <w:sz w:val="18"/>
                <w:szCs w:val="18"/>
              </w:rPr>
              <w:t>广东产学研资助 项目</w:t>
            </w:r>
            <w:r>
              <w:rPr>
                <w:rFonts w:ascii="Times New Roman" w:hAnsi="Times New Roman" w:cs="Times New Roman" w:eastAsia="Times New Roman"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52"/>
              <w:jc w:val="center"/>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17,666.64</w:t>
            </w:r>
          </w:p>
        </w:tc>
      </w:tr>
      <w:tr>
        <w:trPr>
          <w:trHeight w:val="71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基于云计算平台的金融电子透明支付关键技术研发与应用示 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52"/>
              <w:jc w:val="center"/>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基于超级计算的金融安全云支付平台研发与产业化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2"/>
              <w:jc w:val="center"/>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40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关于年产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万套太阳能</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路灯产业化项目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2"/>
              <w:jc w:val="center"/>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416,666.65</w:t>
            </w:r>
          </w:p>
        </w:tc>
      </w:tr>
      <w:tr>
        <w:trPr>
          <w:trHeight w:val="404"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基于国密标准的金融数据安全集群加密服务平台研发项目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2"/>
              <w:jc w:val="center"/>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820"/>
        <w:gridCol w:w="1277"/>
        <w:gridCol w:w="1702"/>
        <w:gridCol w:w="1771"/>
      </w:tblGrid>
      <w:tr>
        <w:trPr>
          <w:trHeight w:val="71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基于国密算法的高安全性移动智能支付终端产品产业化项目 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1,800,000.00</w:t>
            </w:r>
          </w:p>
        </w:tc>
      </w:tr>
      <w:tr>
        <w:trPr>
          <w:trHeight w:val="40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面向金融领域的密码安全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SOC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芯片产业化项目资金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840,000.00</w:t>
            </w:r>
          </w:p>
        </w:tc>
      </w:tr>
      <w:tr>
        <w:trPr>
          <w:trHeight w:val="40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年技术改造投资补助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6,490,000.00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324,500.00</w:t>
            </w:r>
          </w:p>
        </w:tc>
      </w:tr>
      <w:tr>
        <w:trPr>
          <w:trHeight w:val="40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深圳市科技研发技术创新资金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湖南省创新创业技术投资项目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14,673.04</w:t>
            </w:r>
          </w:p>
        </w:tc>
      </w:tr>
      <w:tr>
        <w:trPr>
          <w:trHeight w:val="40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望城经济技术开发区管理委员会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w:t>
            </w:r>
            <w:r>
              <w:rPr>
                <w:rFonts w:ascii="宋体" w:hAnsi="宋体" w:cs="宋体" w:eastAsia="宋体" w:hint="default"/>
                <w:sz w:val="18"/>
                <w:szCs w:val="18"/>
              </w:rPr>
              <w:t>产业强园</w:t>
            </w:r>
            <w:r>
              <w:rPr>
                <w:rFonts w:ascii="Times New Roman" w:hAnsi="Times New Roman" w:cs="Times New Roman" w:eastAsia="Times New Roman" w:hint="default"/>
                <w:sz w:val="18"/>
                <w:szCs w:val="18"/>
              </w:rPr>
              <w:t>”</w:t>
            </w:r>
            <w:r>
              <w:rPr>
                <w:rFonts w:ascii="宋体" w:hAnsi="宋体" w:cs="宋体" w:eastAsia="宋体" w:hint="default"/>
                <w:sz w:val="18"/>
                <w:szCs w:val="18"/>
              </w:rPr>
              <w:t>奖励款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71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望城经济技术开发区管理委员会</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年度新增规上服务业企 业奖励</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404"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退回政府补助</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38,110,000.00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5,218,506.33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5"/>
        <w:rPr>
          <w:rFonts w:ascii="宋体" w:hAnsi="宋体" w:cs="宋体" w:eastAsia="宋体" w:hint="default"/>
          <w:sz w:val="21"/>
          <w:szCs w:val="21"/>
        </w:rPr>
      </w:pPr>
    </w:p>
    <w:p>
      <w:pPr>
        <w:spacing w:line="487" w:lineRule="auto" w:before="0"/>
        <w:ind w:left="152" w:right="83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1"/>
        <w:ind w:right="1133"/>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3"/>
        <w:gridCol w:w="1064"/>
        <w:gridCol w:w="1066"/>
        <w:gridCol w:w="1061"/>
        <w:gridCol w:w="1064"/>
        <w:gridCol w:w="1061"/>
      </w:tblGrid>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5" w:hanging="361"/>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4;width:2;height:394" coordorigin="23,14" coordsize="2,394">
              <v:shape style="position:absolute;left:23;top:14;width:2;height:394" coordorigin="23,14" coordsize="0,394" path="m23,14l23,408e" filled="false" stroked="true" strokeweight="1.08pt" strokecolor="#d2d2d2">
                <v:path arrowok="t"/>
              </v:shape>
            </v:group>
            <v:group style="position:absolute;left:4775;top:14;width:2;height:394" coordorigin="4775,14" coordsize="2,394">
              <v:shape style="position:absolute;left:4775;top:14;width:2;height:394" coordorigin="4775,14" coordsize="0,394" path="m4775,14l4775,408e" filled="false" stroked="true" strokeweight="1.2pt" strokecolor="#d2d2d2">
                <v:path arrowok="t"/>
              </v:shape>
            </v:group>
            <v:group style="position:absolute;left:34;top:14;width:4729;height:394" coordorigin="34,14" coordsize="4729,394">
              <v:shape style="position:absolute;left:34;top:14;width:4729;height:394" coordorigin="34,14" coordsize="4729,394" path="m34,408l4763,408,4763,14,34,14,34,408xe" filled="true" fillcolor="#d2d2d2" stroked="false">
                <v:path arrowok="t"/>
                <v:fill type="solid"/>
              </v:shape>
            </v:group>
            <v:group style="position:absolute;left:4807;top:14;width:2;height:394" coordorigin="4807,14" coordsize="2,394">
              <v:shape style="position:absolute;left:4807;top:14;width:2;height:394" coordorigin="4807,14" coordsize="0,394" path="m4807,14l4807,408e" filled="false" stroked="true" strokeweight="1.08pt" strokecolor="#e0ffff">
                <v:path arrowok="t"/>
              </v:shape>
            </v:group>
            <v:group style="position:absolute;left:9559;top:14;width:2;height:394" coordorigin="9559,14" coordsize="2,394">
              <v:shape style="position:absolute;left:9559;top:14;width:2;height:394" coordorigin="9559,14" coordsize="0,394" path="m9559,14l9559,408e" filled="false" stroked="true" strokeweight="1.2pt" strokecolor="#e0ffff">
                <v:path arrowok="t"/>
              </v:shape>
            </v:group>
            <v:group style="position:absolute;left:4818;top:14;width:4729;height:394" coordorigin="4818,14" coordsize="4729,394">
              <v:shape style="position:absolute;left:4818;top:14;width:4729;height:394" coordorigin="4818,14" coordsize="4729,394" path="m4818,408l9547,408,9547,14,4818,14,4818,408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004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004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7998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7998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6;top:10;width:4795;height:404" type="#_x0000_t202" filled="false" stroked="false">
                <v:textbox inset="0,0,0,0">
                  <w:txbxContent>
                    <w:p>
                      <w:pPr>
                        <w:spacing w:before="53"/>
                        <w:ind w:left="0" w:right="1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57" w:lineRule="auto" w:before="44"/>
        <w:ind w:right="6074"/>
        <w:jc w:val="left"/>
      </w:pPr>
      <w:r>
        <w:rPr/>
        <w:t>合并成本公允价值的确定方法、或有对价及其变动的说明： 大额商誉形成的主要原因：</w:t>
      </w:r>
    </w:p>
    <w:p>
      <w:pPr>
        <w:pStyle w:val="BodyText"/>
        <w:spacing w:line="240" w:lineRule="auto" w:before="29"/>
        <w:ind w:right="1133"/>
        <w:jc w:val="left"/>
      </w:pPr>
      <w:r>
        <w:rPr/>
        <w:t>其他说明：</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80"/>
        <w:gridCol w:w="3190"/>
        <w:gridCol w:w="3179"/>
      </w:tblGrid>
      <w:tr>
        <w:trPr>
          <w:trHeight w:val="403"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69" w:type="dxa"/>
            <w:gridSpan w:val="2"/>
            <w:tcBorders>
              <w:top w:val="single" w:sz="4" w:space="0" w:color="000000"/>
              <w:left w:val="single" w:sz="10" w:space="0" w:color="D2D2D2"/>
              <w:bottom w:val="single" w:sz="4" w:space="0" w:color="000000"/>
              <w:right w:val="single" w:sz="4" w:space="0" w:color="000000"/>
            </w:tcBorders>
            <w:shd w:val="clear" w:color="auto" w:fill="E0FFFF"/>
          </w:tcPr>
          <w:p>
            <w:pPr/>
          </w:p>
        </w:tc>
      </w:tr>
      <w:tr>
        <w:trPr>
          <w:trHeight w:val="401"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8"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8"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357" w:lineRule="auto" w:before="49"/>
        <w:ind w:right="7531"/>
        <w:jc w:val="both"/>
      </w:pPr>
      <w:r>
        <w:rPr/>
        <w:t>可辨认资产、负债公允价值的确定方法： 企业合并中承担的被购买方的或有负债： 其他说明：</w:t>
      </w:r>
    </w:p>
    <w:p>
      <w:pPr>
        <w:spacing w:line="240" w:lineRule="auto" w:before="6"/>
        <w:rPr>
          <w:rFonts w:ascii="宋体" w:hAnsi="宋体" w:cs="宋体" w:eastAsia="宋体" w:hint="default"/>
          <w:sz w:val="20"/>
          <w:szCs w:val="20"/>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both"/>
      </w:pPr>
      <w:r>
        <w:rPr/>
        <w:t>是否存在通过多次交易分步实现企业合并且在报告期内取得控制权的交易</w:t>
      </w:r>
    </w:p>
    <w:p>
      <w:pPr>
        <w:pStyle w:val="BodyText"/>
        <w:spacing w:line="240" w:lineRule="auto" w:before="117"/>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0"/>
        <w:jc w:val="both"/>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、同一控制下企业合并</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）本期发生的同一控制下企业合并</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6"/>
        <w:gridCol w:w="1063"/>
      </w:tblGrid>
      <w:tr>
        <w:trPr>
          <w:trHeight w:val="1338" w:hRule="exact"/>
        </w:trPr>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436" w:right="72" w:hanging="361"/>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6" w:right="75"/>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59" w:right="75"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9" w:right="75"/>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4775;top:14;width:2;height:392" coordorigin="4775,14" coordsize="2,392">
              <v:shape style="position:absolute;left:4775;top:14;width:2;height:392" coordorigin="4775,14" coordsize="0,392" path="m4775,14l4775,406e" filled="false" stroked="true" strokeweight="1.2pt" strokecolor="#d2d2d2">
                <v:path arrowok="t"/>
              </v:shape>
            </v:group>
            <v:group style="position:absolute;left:34;top:14;width:4729;height:392" coordorigin="34,14" coordsize="4729,392">
              <v:shape style="position:absolute;left:34;top:14;width:4729;height:392" coordorigin="34,14" coordsize="4729,392" path="m34,406l4763,406,4763,14,34,14,34,406xe" filled="true" fillcolor="#d2d2d2" stroked="false">
                <v:path arrowok="t"/>
                <v:fill type="solid"/>
              </v:shape>
            </v:group>
            <v:group style="position:absolute;left:4807;top:14;width:2;height:392" coordorigin="4807,14" coordsize="2,392">
              <v:shape style="position:absolute;left:4807;top:14;width:2;height:392" coordorigin="4807,14" coordsize="0,392" path="m4807,14l4807,406e" filled="false" stroked="true" strokeweight="1.08pt" strokecolor="#e0ffff">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e0ffff">
                <v:path arrowok="t"/>
              </v:shape>
            </v:group>
            <v:group style="position:absolute;left:4818;top:14;width:4729;height:392" coordorigin="4818,14" coordsize="4729,392">
              <v:shape style="position:absolute;left:4818;top:14;width:4729;height:392" coordorigin="4818,14" coordsize="4729,392" path="m4818,406l9547,406,9547,14,4818,14,4818,406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004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004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7998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7998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6;top:10;width:4795;height:404" type="#_x0000_t202" filled="false" stroked="false">
                <v:textbox inset="0,0,0,0">
                  <w:txbxContent>
                    <w:p>
                      <w:pPr>
                        <w:spacing w:before="53"/>
                        <w:ind w:left="0" w:right="1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57" w:lineRule="auto" w:before="44"/>
        <w:ind w:right="8594"/>
        <w:jc w:val="left"/>
      </w:pPr>
      <w:r>
        <w:rPr/>
        <w:t>或有对价及其变动的说明： 其他说明：</w:t>
      </w:r>
    </w:p>
    <w:p>
      <w:pPr>
        <w:spacing w:line="240" w:lineRule="auto" w:before="6"/>
        <w:rPr>
          <w:rFonts w:ascii="宋体" w:hAnsi="宋体" w:cs="宋体" w:eastAsia="宋体" w:hint="default"/>
          <w:sz w:val="20"/>
          <w:szCs w:val="20"/>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823" w:lineRule="exact"/>
        <w:ind w:left="14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15pt;height:41.2pt;mso-position-horizontal-relative:char;mso-position-vertical-relative:line" coordorigin="0,0" coordsize="9583,824">
            <v:group style="position:absolute;left:23;top:14;width:2;height:395" coordorigin="23,14" coordsize="2,395">
              <v:shape style="position:absolute;left:23;top:14;width:2;height:395" coordorigin="23,14" coordsize="0,395" path="m23,14l23,408e" filled="false" stroked="true" strokeweight="1.08pt" strokecolor="#d2d2d2">
                <v:path arrowok="t"/>
              </v:shape>
            </v:group>
            <v:group style="position:absolute;left:3181;top:14;width:2;height:395" coordorigin="3181,14" coordsize="2,395">
              <v:shape style="position:absolute;left:3181;top:14;width:2;height:395" coordorigin="3181,14" coordsize="0,395" path="m3181,14l3181,408e" filled="false" stroked="true" strokeweight="1.2pt" strokecolor="#d2d2d2">
                <v:path arrowok="t"/>
              </v:shape>
            </v:group>
            <v:group style="position:absolute;left:34;top:14;width:3136;height:395" coordorigin="34,14" coordsize="3136,395">
              <v:shape style="position:absolute;left:34;top:14;width:3136;height:395" coordorigin="34,14" coordsize="3136,395" path="m34,408l3169,408,3169,14,34,14,34,408xe" filled="true" fillcolor="#d2d2d2" stroked="false">
                <v:path arrowok="t"/>
                <v:fill type="solid"/>
              </v:shape>
            </v:group>
            <v:group style="position:absolute;left:3213;top:14;width:2;height:395" coordorigin="3213,14" coordsize="2,395">
              <v:shape style="position:absolute;left:3213;top:14;width:2;height:395" coordorigin="3213,14" coordsize="0,395" path="m3213,14l3213,408e" filled="false" stroked="true" strokeweight="1.08pt" strokecolor="#e0ffff">
                <v:path arrowok="t"/>
              </v:shape>
            </v:group>
            <v:group style="position:absolute;left:9561;top:14;width:2;height:395" coordorigin="9561,14" coordsize="2,395">
              <v:shape style="position:absolute;left:9561;top:14;width:2;height:395" coordorigin="9561,14" coordsize="0,395" path="m9561,14l9561,408e" filled="false" stroked="true" strokeweight="1.2pt" strokecolor="#e0ffff">
                <v:path arrowok="t"/>
              </v:shape>
            </v:group>
            <v:group style="position:absolute;left:3224;top:14;width:6325;height:395" coordorigin="3224,14" coordsize="6325,395">
              <v:shape style="position:absolute;left:3224;top:14;width:6325;height:395" coordorigin="3224,14" coordsize="6325,395" path="m3224,408l9549,408,9549,14,3224,14,3224,408xe" filled="true" fillcolor="#e0ffff" stroked="false">
                <v:path arrowok="t"/>
                <v:fill type="solid"/>
              </v:shape>
            </v:group>
            <v:group style="position:absolute;left:10;top:10;width:3181;height:2" coordorigin="10,10" coordsize="3181,2">
              <v:shape style="position:absolute;left:10;top:10;width:3181;height:2" coordorigin="10,10" coordsize="3181,0" path="m10,10l3191,10e" filled="false" stroked="true" strokeweight=".47998pt" strokecolor="#000000">
                <v:path arrowok="t"/>
              </v:shape>
            </v:group>
            <v:group style="position:absolute;left:3200;top:10;width:6373;height:2" coordorigin="3200,10" coordsize="6373,2">
              <v:shape style="position:absolute;left:3200;top:10;width:6373;height:2" coordorigin="3200,10" coordsize="6373,0" path="m3200,10l9573,10e" filled="false" stroked="true" strokeweight=".47998pt" strokecolor="#000000">
                <v:path arrowok="t"/>
              </v:shape>
            </v:group>
            <v:group style="position:absolute;left:23;top:418;width:2;height:392" coordorigin="23,418" coordsize="2,392">
              <v:shape style="position:absolute;left:23;top:418;width:2;height:392" coordorigin="23,418" coordsize="0,392" path="m23,418l23,809e" filled="false" stroked="true" strokeweight="1.08pt" strokecolor="#d2d2d2">
                <v:path arrowok="t"/>
              </v:shape>
            </v:group>
            <v:group style="position:absolute;left:3181;top:418;width:2;height:392" coordorigin="3181,418" coordsize="2,392">
              <v:shape style="position:absolute;left:3181;top:418;width:2;height:392" coordorigin="3181,418" coordsize="0,392" path="m3181,418l3181,809e" filled="false" stroked="true" strokeweight="1.2pt" strokecolor="#d2d2d2">
                <v:path arrowok="t"/>
              </v:shape>
            </v:group>
            <v:group style="position:absolute;left:34;top:418;width:3136;height:392" coordorigin="34,418" coordsize="3136,392">
              <v:shape style="position:absolute;left:34;top:418;width:3136;height:392" coordorigin="34,418" coordsize="3136,392" path="m34,809l3169,809,3169,418,34,418,34,809xe" filled="true" fillcolor="#d2d2d2" stroked="false">
                <v:path arrowok="t"/>
                <v:fill type="solid"/>
              </v:shape>
            </v:group>
            <v:group style="position:absolute;left:3213;top:418;width:2;height:392" coordorigin="3213,418" coordsize="2,392">
              <v:shape style="position:absolute;left:3213;top:418;width:2;height:392" coordorigin="3213,418" coordsize="0,392" path="m3213,418l3213,809e" filled="false" stroked="true" strokeweight="1.08pt" strokecolor="#d2d2d2">
                <v:path arrowok="t"/>
              </v:shape>
            </v:group>
            <v:group style="position:absolute;left:6371;top:418;width:2;height:392" coordorigin="6371,418" coordsize="2,392">
              <v:shape style="position:absolute;left:6371;top:418;width:2;height:392" coordorigin="6371,418" coordsize="0,392" path="m6371,418l6371,809e" filled="false" stroked="true" strokeweight="1.2pt" strokecolor="#d2d2d2">
                <v:path arrowok="t"/>
              </v:shape>
            </v:group>
            <v:group style="position:absolute;left:3224;top:418;width:3135;height:392" coordorigin="3224,418" coordsize="3135,392">
              <v:shape style="position:absolute;left:3224;top:418;width:3135;height:392" coordorigin="3224,418" coordsize="3135,392" path="m3224,809l6359,809,6359,418,3224,418,3224,809xe" filled="true" fillcolor="#d2d2d2" stroked="false">
                <v:path arrowok="t"/>
                <v:fill type="solid"/>
              </v:shape>
            </v:group>
            <v:group style="position:absolute;left:6403;top:418;width:2;height:392" coordorigin="6403,418" coordsize="2,392">
              <v:shape style="position:absolute;left:6403;top:418;width:2;height:392" coordorigin="6403,418" coordsize="0,392" path="m6403,418l6403,809e" filled="false" stroked="true" strokeweight="1.08pt" strokecolor="#d2d2d2">
                <v:path arrowok="t"/>
              </v:shape>
            </v:group>
            <v:group style="position:absolute;left:9561;top:418;width:2;height:392" coordorigin="9561,418" coordsize="2,392">
              <v:shape style="position:absolute;left:9561;top:418;width:2;height:392" coordorigin="9561,418" coordsize="0,392" path="m9561,418l9561,809e" filled="false" stroked="true" strokeweight="1.2pt" strokecolor="#d2d2d2">
                <v:path arrowok="t"/>
              </v:shape>
            </v:group>
            <v:group style="position:absolute;left:6414;top:418;width:3135;height:392" coordorigin="6414,418" coordsize="3135,392">
              <v:shape style="position:absolute;left:6414;top:418;width:3135;height:392" coordorigin="6414,418" coordsize="3135,392" path="m6414,809l9549,809,9549,418,6414,418,6414,809xe" filled="true" fillcolor="#d2d2d2" stroked="false">
                <v:path arrowok="t"/>
                <v:fill type="solid"/>
              </v:shape>
            </v:group>
            <v:group style="position:absolute;left:10;top:413;width:3181;height:2" coordorigin="10,413" coordsize="3181,2">
              <v:shape style="position:absolute;left:10;top:413;width:3181;height:2" coordorigin="10,413" coordsize="3181,0" path="m10,413l3191,413e" filled="false" stroked="true" strokeweight=".48004pt" strokecolor="#000000">
                <v:path arrowok="t"/>
              </v:shape>
            </v:group>
            <v:group style="position:absolute;left:3200;top:413;width:3181;height:2" coordorigin="3200,413" coordsize="3181,2">
              <v:shape style="position:absolute;left:3200;top:413;width:3181;height:2" coordorigin="3200,413" coordsize="3181,0" path="m3200,413l6381,413e" filled="false" stroked="true" strokeweight=".48004pt" strokecolor="#000000">
                <v:path arrowok="t"/>
              </v:shape>
            </v:group>
            <v:group style="position:absolute;left:6390;top:413;width:3183;height:2" coordorigin="6390,413" coordsize="3183,2">
              <v:shape style="position:absolute;left:6390;top:413;width:3183;height:2" coordorigin="6390,413" coordsize="3183,0" path="m6390,413l9573,413e" filled="false" stroked="true" strokeweight=".48004pt" strokecolor="#000000">
                <v:path arrowok="t"/>
              </v:shape>
            </v:group>
            <v:group style="position:absolute;left:5;top:5;width:2;height:814" coordorigin="5,5" coordsize="2,814">
              <v:shape style="position:absolute;left:5;top:5;width:2;height:814" coordorigin="5,5" coordsize="0,814" path="m5,5l5,819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1,814e" filled="false" stroked="true" strokeweight=".47998pt" strokecolor="#000000">
                <v:path arrowok="t"/>
              </v:shape>
            </v:group>
            <v:group style="position:absolute;left:3195;top:5;width:2;height:814" coordorigin="3195,5" coordsize="2,814">
              <v:shape style="position:absolute;left:3195;top:5;width:2;height:814" coordorigin="3195,5" coordsize="0,814" path="m3195,5l3195,819e" filled="false" stroked="true" strokeweight=".48pt" strokecolor="#000000">
                <v:path arrowok="t"/>
              </v:shape>
            </v:group>
            <v:group style="position:absolute;left:3200;top:814;width:3181;height:2" coordorigin="3200,814" coordsize="3181,2">
              <v:shape style="position:absolute;left:3200;top:814;width:3181;height:2" coordorigin="3200,814" coordsize="3181,0" path="m3200,814l6381,814e" filled="false" stroked="true" strokeweight=".47998pt" strokecolor="#000000">
                <v:path arrowok="t"/>
              </v:shape>
            </v:group>
            <v:group style="position:absolute;left:6385;top:408;width:2;height:411" coordorigin="6385,408" coordsize="2,411">
              <v:shape style="position:absolute;left:6385;top:408;width:2;height:411" coordorigin="6385,408" coordsize="0,411" path="m6385,408l6385,819e" filled="false" stroked="true" strokeweight=".48001pt" strokecolor="#000000">
                <v:path arrowok="t"/>
              </v:shape>
            </v:group>
            <v:group style="position:absolute;left:6390;top:814;width:3183;height:2" coordorigin="6390,814" coordsize="3183,2">
              <v:shape style="position:absolute;left:6390;top:814;width:3183;height:2" coordorigin="6390,814" coordsize="3183,0" path="m6390,814l9573,814e" filled="false" stroked="true" strokeweight=".47998pt" strokecolor="#000000">
                <v:path arrowok="t"/>
              </v:shape>
            </v:group>
            <v:group style="position:absolute;left:9578;top:5;width:2;height:814" coordorigin="9578,5" coordsize="2,814">
              <v:shape style="position:absolute;left:9578;top:5;width:2;height:814" coordorigin="9578,5" coordsize="0,814" path="m9578,5l9578,819e" filled="false" stroked="true" strokeweight=".47998pt" strokecolor="#000000">
                <v:path arrowok="t"/>
              </v:shape>
              <v:shape style="position:absolute;left:3197;top:413;width:3190;height:401"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7;top:413;width:3180;height:401" type="#_x0000_t202" filled="false" stroked="false">
                <v:textbox inset="0,0,0,0">
                  <w:txbxContent>
                    <w:p>
                      <w:pPr>
                        <w:spacing w:before="53"/>
                        <w:ind w:left="1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spacing w:after="0" w:line="823" w:lineRule="exact"/>
        <w:rPr>
          <w:rFonts w:ascii="宋体" w:hAnsi="宋体" w:cs="宋体" w:eastAsia="宋体" w:hint="default"/>
          <w:sz w:val="20"/>
          <w:szCs w:val="20"/>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60" w:lineRule="auto" w:before="44"/>
        <w:ind w:right="7514"/>
        <w:jc w:val="left"/>
      </w:pPr>
      <w:r>
        <w:rPr/>
        <w:t>企业合并中承担的被合并方的或有负债： 其他说明：</w:t>
      </w:r>
    </w:p>
    <w:p>
      <w:pPr>
        <w:spacing w:line="240" w:lineRule="auto" w:before="2"/>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3"/>
        <w:jc w:val="left"/>
      </w:pPr>
      <w:r>
        <w:rPr>
          <w:spacing w:val="-2"/>
        </w:rPr>
        <w:t>交易基本信息、交易构成反向购买的依据、上市公司保留的资产、负债是否构成业务及其依据、合并成本的确定、按照权益</w:t>
      </w:r>
      <w:r>
        <w:rPr>
          <w:spacing w:val="-67"/>
        </w:rPr>
        <w:t> </w:t>
      </w:r>
      <w:r>
        <w:rPr>
          <w:spacing w:val="-67"/>
        </w:rPr>
      </w:r>
      <w:r>
        <w:rPr/>
        <w:t>性交易处理时调整权益的金额及其计算：</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是否存在单次处置对子公司投资即丧失控制权的情形</w:t>
      </w:r>
    </w:p>
    <w:p>
      <w:pPr>
        <w:pStyle w:val="BodyText"/>
        <w:spacing w:line="340" w:lineRule="auto" w:before="115"/>
        <w:ind w:right="4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是否存在通过多次交易分步处置对子公司投资且在本期丧失控制权的情形</w:t>
      </w:r>
    </w:p>
    <w:p>
      <w:pPr>
        <w:pStyle w:val="BodyText"/>
        <w:spacing w:line="240" w:lineRule="auto" w:before="41"/>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513" w:right="944" w:hanging="361"/>
        <w:jc w:val="left"/>
        <w:rPr>
          <w:rFonts w:ascii="Times New Roman" w:hAnsi="Times New Roman" w:cs="Times New Roman" w:eastAsia="Times New Roman" w:hint="default"/>
        </w:rPr>
      </w:pPr>
      <w:r>
        <w:rPr/>
        <w:t>说明其他原因导致的合并范围变动（如，新设子公司、清算子公司等）及其相关情况： </w:t>
      </w:r>
      <w:r>
        <w:rPr>
          <w:spacing w:val="-2"/>
        </w:rPr>
        <w:t>合并范围减少：公司将持有控股子公司证通邦客</w:t>
      </w:r>
      <w:r>
        <w:rPr>
          <w:rFonts w:ascii="Times New Roman" w:hAnsi="Times New Roman" w:cs="Times New Roman" w:eastAsia="Times New Roman" w:hint="default"/>
          <w:spacing w:val="-2"/>
        </w:rPr>
        <w:t>(</w:t>
      </w:r>
      <w:r>
        <w:rPr>
          <w:spacing w:val="-2"/>
        </w:rPr>
        <w:t>广州</w:t>
      </w:r>
      <w:r>
        <w:rPr>
          <w:rFonts w:ascii="Times New Roman" w:hAnsi="Times New Roman" w:cs="Times New Roman" w:eastAsia="Times New Roman" w:hint="default"/>
          <w:spacing w:val="-2"/>
        </w:rPr>
        <w:t>)</w:t>
      </w:r>
      <w:r>
        <w:rPr>
          <w:spacing w:val="-2"/>
        </w:rPr>
        <w:t>信息科技有限公司现已更名为广州水晶智联科技有限公司的</w:t>
      </w:r>
      <w:r>
        <w:rPr>
          <w:rFonts w:ascii="Times New Roman" w:hAnsi="Times New Roman" w:cs="Times New Roman" w:eastAsia="Times New Roman" w:hint="default"/>
          <w:spacing w:val="-2"/>
        </w:rPr>
        <w:t>45.00%</w:t>
      </w:r>
    </w:p>
    <w:p>
      <w:pPr>
        <w:pStyle w:val="BodyText"/>
        <w:spacing w:line="212" w:lineRule="exact"/>
        <w:ind w:right="1133"/>
        <w:jc w:val="left"/>
      </w:pPr>
      <w:r>
        <w:rPr/>
        <w:t>股权出售给北京水晶智联科技有限公司，公司现持广州水晶智联科技有限公司</w:t>
      </w:r>
      <w:r>
        <w:rPr>
          <w:rFonts w:ascii="Times New Roman" w:hAnsi="Times New Roman" w:cs="Times New Roman" w:eastAsia="Times New Roman" w:hint="default"/>
        </w:rPr>
        <w:t>15.00%</w:t>
      </w:r>
      <w:r>
        <w:rPr/>
        <w:t>的股权，向其派出一名董事，对广州</w:t>
      </w:r>
    </w:p>
    <w:p>
      <w:pPr>
        <w:pStyle w:val="BodyText"/>
        <w:spacing w:line="319" w:lineRule="auto" w:before="63"/>
        <w:ind w:right="1129"/>
        <w:jc w:val="left"/>
      </w:pPr>
      <w:r>
        <w:rPr>
          <w:spacing w:val="-2"/>
        </w:rPr>
        <w:t>水晶智联科技有限公司的财务和经营政策有参与决策的权力，能够对被投资单位施加重大影响，故不再将广州水晶智联科技</w:t>
      </w:r>
      <w:r>
        <w:rPr>
          <w:spacing w:val="-64"/>
        </w:rPr>
        <w:t> </w:t>
      </w:r>
      <w:r>
        <w:rPr>
          <w:spacing w:val="-64"/>
        </w:rPr>
      </w:r>
      <w:r>
        <w:rPr/>
        <w:t>有限公司纳入合并范围，而是采用权益法核算。</w:t>
      </w:r>
    </w:p>
    <w:p>
      <w:pPr>
        <w:spacing w:line="240" w:lineRule="auto" w:before="9"/>
        <w:rPr>
          <w:rFonts w:ascii="宋体" w:hAnsi="宋体" w:cs="宋体" w:eastAsia="宋体" w:hint="default"/>
          <w:sz w:val="22"/>
          <w:szCs w:val="22"/>
        </w:rPr>
      </w:pPr>
    </w:p>
    <w:p>
      <w:pPr>
        <w:spacing w:line="487" w:lineRule="auto" w:before="0"/>
        <w:ind w:left="152" w:right="8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4"/>
        <w:ind w:right="1133"/>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844"/>
        <w:gridCol w:w="1133"/>
        <w:gridCol w:w="1128"/>
        <w:gridCol w:w="1368"/>
        <w:gridCol w:w="1368"/>
        <w:gridCol w:w="1366"/>
        <w:gridCol w:w="1366"/>
      </w:tblGrid>
      <w:tr>
        <w:trPr>
          <w:trHeight w:val="404" w:hRule="exact"/>
        </w:trPr>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1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12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9"/>
              <w:jc w:val="left"/>
              <w:rPr>
                <w:rFonts w:ascii="宋体" w:hAnsi="宋体" w:cs="宋体" w:eastAsia="宋体" w:hint="default"/>
                <w:sz w:val="18"/>
                <w:szCs w:val="18"/>
              </w:rPr>
            </w:pPr>
            <w:r>
              <w:rPr>
                <w:rFonts w:ascii="宋体" w:hAnsi="宋体" w:cs="宋体" w:eastAsia="宋体" w:hint="default"/>
                <w:sz w:val="18"/>
                <w:szCs w:val="18"/>
              </w:rPr>
              <w:t>深圳市证通普润电子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89"/>
              <w:jc w:val="left"/>
              <w:rPr>
                <w:rFonts w:ascii="宋体" w:hAnsi="宋体" w:cs="宋体" w:eastAsia="宋体" w:hint="default"/>
                <w:sz w:val="18"/>
                <w:szCs w:val="18"/>
              </w:rPr>
            </w:pPr>
            <w:r>
              <w:rPr>
                <w:rFonts w:ascii="宋体" w:hAnsi="宋体" w:cs="宋体" w:eastAsia="宋体" w:hint="default"/>
                <w:sz w:val="18"/>
                <w:szCs w:val="18"/>
              </w:rPr>
              <w:t>深圳市证通数码科技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9"/>
              <w:jc w:val="left"/>
              <w:rPr>
                <w:rFonts w:ascii="宋体" w:hAnsi="宋体" w:cs="宋体" w:eastAsia="宋体" w:hint="default"/>
                <w:sz w:val="18"/>
                <w:szCs w:val="18"/>
              </w:rPr>
            </w:pPr>
            <w:r>
              <w:rPr>
                <w:rFonts w:ascii="宋体" w:hAnsi="宋体" w:cs="宋体" w:eastAsia="宋体" w:hint="default"/>
                <w:sz w:val="18"/>
                <w:szCs w:val="18"/>
              </w:rPr>
              <w:t>深圳市证通金信科技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9"/>
              <w:jc w:val="left"/>
              <w:rPr>
                <w:rFonts w:ascii="宋体" w:hAnsi="宋体" w:cs="宋体" w:eastAsia="宋体" w:hint="default"/>
                <w:sz w:val="18"/>
                <w:szCs w:val="18"/>
              </w:rPr>
            </w:pPr>
            <w:r>
              <w:rPr>
                <w:rFonts w:ascii="宋体" w:hAnsi="宋体" w:cs="宋体" w:eastAsia="宋体" w:hint="default"/>
                <w:sz w:val="18"/>
                <w:szCs w:val="18"/>
              </w:rPr>
              <w:t>深圳市证通佳明光电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工程建筑业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定州市中标节能技术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工程建筑业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非同一控制下企</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844"/>
        <w:gridCol w:w="1133"/>
        <w:gridCol w:w="1128"/>
        <w:gridCol w:w="1368"/>
        <w:gridCol w:w="1368"/>
        <w:gridCol w:w="1366"/>
        <w:gridCol w:w="1366"/>
      </w:tblGrid>
      <w:tr>
        <w:trPr>
          <w:trHeight w:val="36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服务有限公司</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业合并</w:t>
            </w:r>
          </w:p>
        </w:tc>
      </w:tr>
      <w:tr>
        <w:trPr>
          <w:trHeight w:val="71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9"/>
              <w:jc w:val="left"/>
              <w:rPr>
                <w:rFonts w:ascii="宋体" w:hAnsi="宋体" w:cs="宋体" w:eastAsia="宋体" w:hint="default"/>
                <w:sz w:val="18"/>
                <w:szCs w:val="18"/>
              </w:rPr>
            </w:pPr>
            <w:r>
              <w:rPr>
                <w:rFonts w:ascii="宋体" w:hAnsi="宋体" w:cs="宋体" w:eastAsia="宋体" w:hint="default"/>
                <w:sz w:val="18"/>
                <w:szCs w:val="18"/>
              </w:rPr>
              <w:t>证通国际投资有限公 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商贸业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9"/>
              <w:jc w:val="left"/>
              <w:rPr>
                <w:rFonts w:ascii="宋体" w:hAnsi="宋体" w:cs="宋体" w:eastAsia="宋体" w:hint="default"/>
                <w:sz w:val="18"/>
                <w:szCs w:val="18"/>
              </w:rPr>
            </w:pPr>
            <w:r>
              <w:rPr>
                <w:rFonts w:ascii="宋体" w:hAnsi="宋体" w:cs="宋体" w:eastAsia="宋体" w:hint="default"/>
                <w:sz w:val="18"/>
                <w:szCs w:val="18"/>
              </w:rPr>
              <w:t>广州证通网络科技有 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9"/>
              <w:jc w:val="left"/>
              <w:rPr>
                <w:rFonts w:ascii="宋体" w:hAnsi="宋体" w:cs="宋体" w:eastAsia="宋体" w:hint="default"/>
                <w:sz w:val="18"/>
                <w:szCs w:val="18"/>
              </w:rPr>
            </w:pPr>
            <w:r>
              <w:rPr>
                <w:rFonts w:ascii="宋体" w:hAnsi="宋体" w:cs="宋体" w:eastAsia="宋体" w:hint="default"/>
                <w:sz w:val="18"/>
                <w:szCs w:val="18"/>
              </w:rPr>
              <w:t>广州云硕科技发展有 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9"/>
              <w:jc w:val="left"/>
              <w:rPr>
                <w:rFonts w:ascii="宋体" w:hAnsi="宋体" w:cs="宋体" w:eastAsia="宋体" w:hint="default"/>
                <w:sz w:val="18"/>
                <w:szCs w:val="18"/>
              </w:rPr>
            </w:pPr>
            <w:r>
              <w:rPr>
                <w:rFonts w:ascii="宋体" w:hAnsi="宋体" w:cs="宋体" w:eastAsia="宋体" w:hint="default"/>
                <w:sz w:val="18"/>
                <w:szCs w:val="18"/>
              </w:rPr>
              <w:t>广东宏达通信有限公 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东莞</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东莞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55.78%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SZZT</w:t>
            </w:r>
            <w:r>
              <w:rPr>
                <w:rFonts w:ascii="Times New Roman"/>
                <w:spacing w:val="-8"/>
                <w:sz w:val="18"/>
              </w:rPr>
              <w:t> </w:t>
            </w:r>
            <w:r>
              <w:rPr>
                <w:rFonts w:ascii="Times New Roman"/>
                <w:sz w:val="18"/>
              </w:rPr>
              <w:t>SOUTH</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Africa(PTY).,Ltd</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南非</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纽卡斯尔区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商贸业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9"/>
              <w:jc w:val="left"/>
              <w:rPr>
                <w:rFonts w:ascii="宋体" w:hAnsi="宋体" w:cs="宋体" w:eastAsia="宋体" w:hint="default"/>
                <w:sz w:val="18"/>
                <w:szCs w:val="18"/>
              </w:rPr>
            </w:pPr>
            <w:r>
              <w:rPr>
                <w:rFonts w:ascii="宋体" w:hAnsi="宋体" w:cs="宋体" w:eastAsia="宋体" w:hint="default"/>
                <w:sz w:val="18"/>
                <w:szCs w:val="18"/>
              </w:rPr>
              <w:t>长沙证通云计算有限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9"/>
              <w:jc w:val="left"/>
              <w:rPr>
                <w:rFonts w:ascii="宋体" w:hAnsi="宋体" w:cs="宋体" w:eastAsia="宋体" w:hint="default"/>
                <w:sz w:val="18"/>
                <w:szCs w:val="18"/>
              </w:rPr>
            </w:pPr>
            <w:r>
              <w:rPr>
                <w:rFonts w:ascii="宋体" w:hAnsi="宋体" w:cs="宋体" w:eastAsia="宋体" w:hint="default"/>
                <w:sz w:val="18"/>
                <w:szCs w:val="18"/>
              </w:rPr>
              <w:t>四川蜀信易电子商务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9"/>
              <w:jc w:val="left"/>
              <w:rPr>
                <w:rFonts w:ascii="宋体" w:hAnsi="宋体" w:cs="宋体" w:eastAsia="宋体" w:hint="default"/>
                <w:sz w:val="18"/>
                <w:szCs w:val="18"/>
              </w:rPr>
            </w:pPr>
            <w:r>
              <w:rPr>
                <w:rFonts w:ascii="宋体" w:hAnsi="宋体" w:cs="宋体" w:eastAsia="宋体" w:hint="default"/>
                <w:sz w:val="18"/>
                <w:szCs w:val="18"/>
              </w:rPr>
              <w:t>深圳市证通云计算有 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9"/>
              <w:jc w:val="left"/>
              <w:rPr>
                <w:rFonts w:ascii="宋体" w:hAnsi="宋体" w:cs="宋体" w:eastAsia="宋体" w:hint="default"/>
                <w:sz w:val="18"/>
                <w:szCs w:val="18"/>
              </w:rPr>
            </w:pPr>
            <w:r>
              <w:rPr>
                <w:rFonts w:ascii="宋体" w:hAnsi="宋体" w:cs="宋体" w:eastAsia="宋体" w:hint="default"/>
                <w:sz w:val="18"/>
                <w:szCs w:val="18"/>
              </w:rPr>
              <w:t>贵州证通光电有限公 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贵州省</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贵州省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工程建筑业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pStyle w:val="BodyText"/>
        <w:spacing w:line="357" w:lineRule="auto" w:before="49"/>
        <w:ind w:right="2834"/>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60" w:lineRule="auto" w:before="29"/>
        <w:ind w:right="7694"/>
        <w:jc w:val="left"/>
      </w:pPr>
      <w:r>
        <w:rPr/>
        <w:t>确定公司是代理人还是委托人的依据： 其他说明：</w:t>
      </w:r>
    </w:p>
    <w:p>
      <w:pPr>
        <w:spacing w:line="240" w:lineRule="auto" w:before="2"/>
        <w:rPr>
          <w:rFonts w:ascii="宋体" w:hAnsi="宋体" w:cs="宋体" w:eastAsia="宋体" w:hint="default"/>
          <w:sz w:val="20"/>
          <w:szCs w:val="20"/>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6"/>
        <w:gridCol w:w="1913"/>
        <w:gridCol w:w="1913"/>
        <w:gridCol w:w="1916"/>
      </w:tblGrid>
      <w:tr>
        <w:trPr>
          <w:trHeight w:val="76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6"/>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6"/>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广东宏达通信有限公司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44.22%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76" w:right="0"/>
              <w:jc w:val="left"/>
              <w:rPr>
                <w:rFonts w:ascii="Times New Roman" w:hAnsi="Times New Roman" w:cs="Times New Roman" w:eastAsia="Times New Roman" w:hint="default"/>
                <w:sz w:val="18"/>
                <w:szCs w:val="18"/>
              </w:rPr>
            </w:pPr>
            <w:r>
              <w:rPr>
                <w:rFonts w:ascii="Times New Roman"/>
                <w:sz w:val="18"/>
              </w:rPr>
              <w:t>-1,157,884.30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10,545,977.08</w:t>
            </w:r>
          </w:p>
        </w:tc>
      </w:tr>
    </w:tbl>
    <w:p>
      <w:pPr>
        <w:pStyle w:val="BodyText"/>
        <w:spacing w:line="357" w:lineRule="auto" w:before="49"/>
        <w:ind w:right="6434"/>
        <w:jc w:val="left"/>
      </w:pPr>
      <w:r>
        <w:rPr/>
        <w:t>子公司少数股东的持股比例不同于表决权比例的说明： 其他说明：</w:t>
      </w:r>
    </w:p>
    <w:p>
      <w:pPr>
        <w:spacing w:line="240" w:lineRule="auto" w:before="6"/>
        <w:rPr>
          <w:rFonts w:ascii="宋体" w:hAnsi="宋体" w:cs="宋体" w:eastAsia="宋体" w:hint="default"/>
          <w:sz w:val="20"/>
          <w:szCs w:val="20"/>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7"/>
        <w:gridCol w:w="734"/>
        <w:gridCol w:w="737"/>
        <w:gridCol w:w="734"/>
        <w:gridCol w:w="735"/>
        <w:gridCol w:w="734"/>
        <w:gridCol w:w="737"/>
        <w:gridCol w:w="737"/>
        <w:gridCol w:w="734"/>
        <w:gridCol w:w="72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81"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62"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流动资</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非流动</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资产合</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流动负</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非流动</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负债合</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流动资</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非流动</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资产合</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流动负</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非流动</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负债合</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363"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计</w:t>
            </w:r>
          </w:p>
        </w:tc>
      </w:tr>
      <w:tr>
        <w:trPr>
          <w:trHeight w:val="133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广东宏 达通信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35,054,4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98.86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283,912,</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154.93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318,966,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653.79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295,117,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768.50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295,117,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768.50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26,441,7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37.20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198,203,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207.15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224,644,</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944.35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198,177,</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596.15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198,177,</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596.15</w:t>
            </w:r>
          </w:p>
        </w:tc>
      </w:tr>
    </w:tbl>
    <w:p>
      <w:pPr>
        <w:pStyle w:val="BodyText"/>
        <w:spacing w:line="240" w:lineRule="auto" w:before="49"/>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4"/>
        <w:gridCol w:w="1055"/>
      </w:tblGrid>
      <w:tr>
        <w:trPr>
          <w:trHeight w:val="401" w:hRule="exact"/>
        </w:trPr>
        <w:tc>
          <w:tcPr>
            <w:tcW w:w="1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060"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6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3"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25"/>
              <w:jc w:val="left"/>
              <w:rPr>
                <w:rFonts w:ascii="宋体" w:hAnsi="宋体" w:cs="宋体" w:eastAsia="宋体" w:hint="default"/>
                <w:sz w:val="18"/>
                <w:szCs w:val="18"/>
              </w:rPr>
            </w:pPr>
            <w:r>
              <w:rPr>
                <w:rFonts w:ascii="宋体" w:hAnsi="宋体" w:cs="宋体" w:eastAsia="宋体" w:hint="default"/>
                <w:sz w:val="18"/>
                <w:szCs w:val="18"/>
              </w:rPr>
              <w:t>广东宏达通 信有限公司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44,078,096.7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-2,618,462.91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-2,618,462.91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2,585,616.38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44,177,261.4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-9,382,720.57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-9,382,720.57</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697,259.92</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）向纳入合并财务报表范围的结构化主体提供的财务支持或其他支持</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）在子公司所有者权益份额发生变化的情况说明</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）交易对于少数股东权益及归属于母公司所有者权益的影响</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0"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pt;mso-position-horizontal-relative:char;mso-position-vertical-relative:line" coordorigin="0,0" coordsize="9581,420">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4775;top:14;width:2;height:392" coordorigin="4775,14" coordsize="2,392">
              <v:shape style="position:absolute;left:4775;top:14;width:2;height:392" coordorigin="4775,14" coordsize="0,392" path="m4775,14l4775,406e" filled="false" stroked="true" strokeweight="1.2pt" strokecolor="#d2d2d2">
                <v:path arrowok="t"/>
              </v:shape>
            </v:group>
            <v:group style="position:absolute;left:34;top:14;width:4729;height:392" coordorigin="34,14" coordsize="4729,392">
              <v:shape style="position:absolute;left:34;top:14;width:4729;height:392" coordorigin="34,14" coordsize="4729,392" path="m34,406l4763,406,4763,14,34,14,34,406xe" filled="true" fillcolor="#d2d2d2" stroked="false">
                <v:path arrowok="t"/>
                <v:fill type="solid"/>
              </v:shape>
            </v:group>
            <v:group style="position:absolute;left:4807;top:14;width:2;height:392" coordorigin="4807,14" coordsize="2,392">
              <v:shape style="position:absolute;left:4807;top:14;width:2;height:392" coordorigin="4807,14" coordsize="0,392" path="m4807,14l4807,406e" filled="false" stroked="true" strokeweight="1.08pt" strokecolor="#e0ffff">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e0ffff">
                <v:path arrowok="t"/>
              </v:shape>
            </v:group>
            <v:group style="position:absolute;left:4818;top:14;width:4729;height:392" coordorigin="4818,14" coordsize="4729,392">
              <v:shape style="position:absolute;left:4818;top:14;width:4729;height:392" coordorigin="4818,14" coordsize="4729,392" path="m4818,406l9547,406,9547,14,4818,14,4818,406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001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001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4775;height:2" coordorigin="10,410" coordsize="4775,2">
              <v:shape style="position:absolute;left:10;top:410;width:4775;height:2" coordorigin="10,410" coordsize="4775,0" path="m10,410l4784,410e" filled="false" stroked="true" strokeweight=".47998pt" strokecolor="#000000">
                <v:path arrowok="t"/>
              </v:shape>
            </v:group>
            <v:group style="position:absolute;left:4789;top:5;width:2;height:411" coordorigin="4789,5" coordsize="2,411">
              <v:shape style="position:absolute;left:4789;top:5;width:2;height:411" coordorigin="4789,5" coordsize="0,411" path="m4789,5l4789,415e" filled="false" stroked="true" strokeweight=".48001pt" strokecolor="#000000">
                <v:path arrowok="t"/>
              </v:shape>
            </v:group>
            <v:group style="position:absolute;left:4794;top:410;width:4777;height:2" coordorigin="4794,410" coordsize="4777,2">
              <v:shape style="position:absolute;left:4794;top:410;width:4777;height:2" coordorigin="4794,410" coordsize="4777,0" path="m4794,410l9571,410e" filled="false" stroked="true" strokeweight=".47998pt" strokecolor="#000000">
                <v:path arrowok="t"/>
              </v:shape>
            </v:group>
            <v:group style="position:absolute;left:9576;top:5;width:2;height:411" coordorigin="9576,5" coordsize="2,411">
              <v:shape style="position:absolute;left:9576;top:5;width:2;height:411" coordorigin="9576,5" coordsize="0,411" path="m9576,5l9576,415e" filled="false" stroked="true" strokeweight=".47998pt" strokecolor="#000000">
                <v:path arrowok="t"/>
              </v:shape>
            </v:group>
          </v:group>
        </w:pict>
      </w:r>
      <w:r>
        <w:rPr>
          <w:rFonts w:ascii="宋体" w:hAnsi="宋体" w:cs="宋体" w:eastAsia="宋体" w:hint="default"/>
          <w:position w:val="-7"/>
          <w:sz w:val="20"/>
          <w:szCs w:val="20"/>
        </w:rPr>
      </w:r>
    </w:p>
    <w:p>
      <w:pPr>
        <w:pStyle w:val="BodyText"/>
        <w:spacing w:line="240" w:lineRule="auto" w:before="44"/>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2"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3"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深圳市通新源物 业管理有限公司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32.29%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49"/>
        <w:ind w:right="1133"/>
        <w:jc w:val="left"/>
      </w:pPr>
      <w:r>
        <w:rPr/>
        <w:t>在合营企业或联营企业的持股比例不同于表决权比例的说明：</w:t>
      </w:r>
    </w:p>
    <w:p>
      <w:pPr>
        <w:pStyle w:val="BodyText"/>
        <w:spacing w:line="240" w:lineRule="auto" w:before="115"/>
        <w:ind w:right="1133"/>
        <w:jc w:val="left"/>
      </w:pPr>
      <w:r>
        <w:rPr/>
        <w:t>持有</w:t>
      </w:r>
      <w:r>
        <w:rPr>
          <w:spacing w:val="-47"/>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80"/>
        <w:gridCol w:w="3189"/>
        <w:gridCol w:w="3180"/>
      </w:tblGrid>
      <w:tr>
        <w:trPr>
          <w:trHeight w:val="403"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10" w:space="0" w:color="D2D2D2"/>
              <w:bottom w:val="single" w:sz="4" w:space="0" w:color="000000"/>
              <w:right w:val="single" w:sz="4" w:space="0" w:color="000000"/>
            </w:tcBorders>
            <w:shd w:val="clear" w:color="auto" w:fill="E0FFFF"/>
          </w:tcPr>
          <w:p>
            <w:pPr/>
          </w:p>
        </w:tc>
        <w:tc>
          <w:tcPr>
            <w:tcW w:w="3180"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3"/>
      </w:tblGrid>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10" w:space="0" w:color="D2D2D2"/>
              <w:bottom w:val="single" w:sz="4" w:space="0" w:color="000000"/>
              <w:right w:val="single" w:sz="4" w:space="0" w:color="000000"/>
            </w:tcBorders>
            <w:shd w:val="clear" w:color="auto" w:fill="E0FFFF"/>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3,570,254.99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1,960,170.36</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74,054,070.86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76,690,359.78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77,624,325.85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78,650,530.14</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207,562.11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337,094.79</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207,562.11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337,094.79</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77,416,763.74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78,313,435.35</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24,997,873.01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25,287,408.27</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24,997,873.01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25,287,408.27</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3,547,144.44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2,846,224.37</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-896,671.61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-1,698,324.74</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-896,671.61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-1,698,324.74</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83"/>
        <w:gridCol w:w="3173"/>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8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55,579,129.56</w:t>
            </w:r>
          </w:p>
        </w:tc>
        <w:tc>
          <w:tcPr>
            <w:tcW w:w="317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8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326,208.33</w:t>
            </w:r>
          </w:p>
        </w:tc>
        <w:tc>
          <w:tcPr>
            <w:tcW w:w="317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8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326,208.33</w:t>
            </w:r>
          </w:p>
        </w:tc>
        <w:tc>
          <w:tcPr>
            <w:tcW w:w="317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）合营企业或联营企业发生的超额亏损</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1"/>
        <w:gridCol w:w="2396"/>
      </w:tblGrid>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50" w:right="20"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）与合营企业或联营企业投资相关的或有负债</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、重要的共同经营</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1594"/>
        <w:gridCol w:w="1594"/>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3"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7" w:lineRule="auto" w:before="49"/>
        <w:ind w:right="5534"/>
        <w:jc w:val="left"/>
      </w:pPr>
      <w:r>
        <w:rPr/>
        <w:t>在共同经营中的持股比例或享有的份额不同于表决权比例的说明： 共同经营为单独主体的，分类为共同经营的依据：</w:t>
      </w:r>
    </w:p>
    <w:p>
      <w:pPr>
        <w:pStyle w:val="BodyText"/>
        <w:spacing w:line="240" w:lineRule="auto" w:before="2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未纳入合并财务报表范围的结构化主体的相关说明：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spacing w:before="0"/>
        <w:ind w:left="152" w:right="1133" w:firstLine="0"/>
        <w:jc w:val="left"/>
        <w:rPr>
          <w:rFonts w:ascii="宋体" w:hAnsi="宋体" w:cs="宋体" w:eastAsia="宋体" w:hint="default"/>
          <w:sz w:val="24"/>
          <w:szCs w:val="24"/>
        </w:rPr>
      </w:pPr>
      <w:r>
        <w:rPr>
          <w:rFonts w:ascii="宋体" w:hAnsi="宋体" w:cs="宋体" w:eastAsia="宋体" w:hint="default"/>
          <w:b/>
          <w:bCs/>
          <w:sz w:val="24"/>
          <w:szCs w:val="24"/>
        </w:rPr>
        <w:t>十、与金融工具相关的风险</w:t>
      </w:r>
      <w:r>
        <w:rPr>
          <w:rFonts w:ascii="宋体" w:hAnsi="宋体" w:cs="宋体" w:eastAsia="宋体" w:hint="default"/>
          <w:sz w:val="24"/>
          <w:szCs w:val="24"/>
        </w:rPr>
      </w:r>
    </w:p>
    <w:p>
      <w:pPr>
        <w:spacing w:line="240" w:lineRule="auto" w:before="4"/>
        <w:rPr>
          <w:rFonts w:ascii="宋体" w:hAnsi="宋体" w:cs="宋体" w:eastAsia="宋体" w:hint="default"/>
          <w:b/>
          <w:bCs/>
          <w:sz w:val="26"/>
          <w:szCs w:val="26"/>
        </w:rPr>
      </w:pPr>
    </w:p>
    <w:p>
      <w:pPr>
        <w:pStyle w:val="BodyText"/>
        <w:spacing w:line="319" w:lineRule="auto"/>
        <w:ind w:right="1132" w:firstLine="360"/>
        <w:jc w:val="both"/>
      </w:pPr>
      <w:r>
        <w:rPr>
          <w:spacing w:val="-2"/>
        </w:rPr>
        <w:t>本公司在经营过程中面临各种金融风险：信用风险、市场风险和流动性风险。公司董事会全面负责风险管理目标和政策</w:t>
      </w:r>
      <w:r>
        <w:rPr/>
        <w:t> </w:t>
      </w:r>
      <w:r>
        <w:rPr>
          <w:spacing w:val="-2"/>
        </w:rPr>
        <w:t>的确定，并对风险管理目标和政策承担最终责任，但是董事会已授权本公司内审部门设计和实施能确保风险管理目标和政策</w:t>
      </w:r>
      <w:r>
        <w:rPr>
          <w:spacing w:val="-64"/>
        </w:rPr>
        <w:t> </w:t>
      </w:r>
      <w:r>
        <w:rPr>
          <w:spacing w:val="-64"/>
        </w:rPr>
      </w:r>
      <w:r>
        <w:rPr>
          <w:spacing w:val="-2"/>
        </w:rPr>
        <w:t>得以有效执行的程序。董事会通过内审部门主管递交的月度报告来审查已执行程序的有效性以及风险管理目标和政策的合理</w:t>
      </w:r>
      <w:r>
        <w:rPr>
          <w:spacing w:val="-64"/>
        </w:rPr>
        <w:t> </w:t>
      </w:r>
      <w:r>
        <w:rPr>
          <w:spacing w:val="-64"/>
        </w:rPr>
      </w:r>
      <w:r>
        <w:rPr/>
        <w:t>性。本公司的内部审计师也会审计风险管理的政策和程序，并且将有关发现汇报给审计委员会。</w:t>
      </w:r>
    </w:p>
    <w:p>
      <w:pPr>
        <w:pStyle w:val="BodyText"/>
        <w:spacing w:line="309" w:lineRule="auto" w:before="17"/>
        <w:ind w:left="513" w:right="1034"/>
        <w:jc w:val="left"/>
      </w:pPr>
      <w:r>
        <w:rPr/>
        <w:t>本公司风险管理的总体目标是在不过度影响公司竞争力和应变力的情况下，制定尽可能降低风险的风险管理政策。 </w:t>
      </w: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信用风险 </w:t>
      </w:r>
      <w:r>
        <w:rPr>
          <w:spacing w:val="-4"/>
        </w:rPr>
        <w:t>信用风险是指金融工具的一方不履行义务，造成另一方发生财务损失的风险。本公司主要面临赊销导致的客户信用风险。</w:t>
      </w:r>
    </w:p>
    <w:p>
      <w:pPr>
        <w:pStyle w:val="BodyText"/>
        <w:spacing w:line="300" w:lineRule="auto" w:before="24"/>
        <w:ind w:right="1154"/>
        <w:jc w:val="left"/>
      </w:pPr>
      <w:r>
        <w:rPr/>
        <w:t>在签订新合同之前，本公司会对新客户的信用风险进行评估，包括外部信用评级和在某些情况下的银行资信证明</w:t>
      </w:r>
      <w:r>
        <w:rPr>
          <w:rFonts w:ascii="Times New Roman" w:hAnsi="Times New Roman" w:cs="Times New Roman" w:eastAsia="Times New Roman" w:hint="default"/>
        </w:rPr>
        <w:t>(</w:t>
      </w:r>
      <w:r>
        <w:rPr/>
        <w:t>当此信息 可获取时</w:t>
      </w:r>
      <w:r>
        <w:rPr>
          <w:rFonts w:ascii="Times New Roman" w:hAnsi="Times New Roman" w:cs="Times New Roman" w:eastAsia="Times New Roman" w:hint="default"/>
        </w:rPr>
        <w:t>)</w:t>
      </w:r>
      <w:r>
        <w:rPr/>
        <w:t>。公司对每一客户均设置了赊销限额，该限额为无需获得额外批准的最大额度。</w:t>
      </w:r>
    </w:p>
    <w:p>
      <w:pPr>
        <w:pStyle w:val="BodyText"/>
        <w:spacing w:line="309" w:lineRule="auto" w:before="13"/>
        <w:ind w:right="1133" w:firstLine="360"/>
        <w:jc w:val="left"/>
      </w:pPr>
      <w:r>
        <w:rPr/>
        <w:t>公司通过对已有客户信用评级的季度监控以及应收账款账龄分析的月度审核来确保公司的整体信用风险在可控的范围 </w:t>
      </w:r>
      <w:r>
        <w:rPr>
          <w:spacing w:val="-2"/>
        </w:rPr>
        <w:t>内。在监控客户的信用风险时，按照客户的信用特征对其分组。被评为</w:t>
      </w:r>
      <w:r>
        <w:rPr>
          <w:rFonts w:ascii="Times New Roman" w:hAnsi="Times New Roman" w:cs="Times New Roman" w:eastAsia="Times New Roman" w:hint="default"/>
          <w:spacing w:val="-2"/>
        </w:rPr>
        <w:t>“</w:t>
      </w:r>
      <w:r>
        <w:rPr>
          <w:spacing w:val="-2"/>
        </w:rPr>
        <w:t>高风险</w:t>
      </w:r>
      <w:r>
        <w:rPr>
          <w:rFonts w:ascii="Times New Roman" w:hAnsi="Times New Roman" w:cs="Times New Roman" w:eastAsia="Times New Roman" w:hint="default"/>
          <w:spacing w:val="-2"/>
        </w:rPr>
        <w:t>”</w:t>
      </w:r>
      <w:r>
        <w:rPr>
          <w:spacing w:val="-2"/>
        </w:rPr>
        <w:t>级别的客户会放在受限制客户名单里，并且</w:t>
      </w:r>
      <w:r>
        <w:rPr>
          <w:spacing w:val="-41"/>
        </w:rPr>
        <w:t> </w:t>
      </w:r>
      <w:r>
        <w:rPr>
          <w:spacing w:val="-41"/>
        </w:rPr>
      </w:r>
      <w:r>
        <w:rPr/>
        <w:t>只有在额外批准的前提下，公司才可在未来期间内对其赊销，否则必须要求其提前支付相应款项。</w:t>
      </w:r>
    </w:p>
    <w:p>
      <w:pPr>
        <w:pStyle w:val="BodyText"/>
        <w:spacing w:line="300" w:lineRule="auto" w:before="24"/>
        <w:ind w:left="513" w:right="1129"/>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市场风险</w:t>
      </w:r>
      <w:r>
        <w:rPr>
          <w:w w:val="99"/>
        </w:rPr>
        <w:t> </w:t>
      </w:r>
      <w:r>
        <w:rPr>
          <w:spacing w:val="-2"/>
        </w:rPr>
        <w:t>金融工具的市场风险，是指金融工具的公允价值或未来现金流量因市场价格变动而发生波动的风险，包括汇率风险、利</w:t>
      </w:r>
    </w:p>
    <w:p>
      <w:pPr>
        <w:spacing w:after="0" w:line="300" w:lineRule="auto"/>
        <w:jc w:val="left"/>
        <w:sectPr>
          <w:footerReference w:type="default" r:id="rId24"/>
          <w:pgSz w:w="11910" w:h="16840"/>
          <w:pgMar w:footer="979" w:header="745"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212" w:right="0"/>
        <w:jc w:val="both"/>
      </w:pPr>
      <w:r>
        <w:rPr/>
        <w:t>率风险和其他价格风险。</w:t>
      </w:r>
    </w:p>
    <w:p>
      <w:pPr>
        <w:pStyle w:val="BodyText"/>
        <w:spacing w:line="300" w:lineRule="auto" w:before="76"/>
        <w:ind w:left="573" w:right="304"/>
        <w:jc w:val="left"/>
      </w:pPr>
      <w:r>
        <w:rPr>
          <w:rFonts w:ascii="Times New Roman" w:hAnsi="Times New Roman" w:cs="Times New Roman" w:eastAsia="Times New Roman" w:hint="default"/>
        </w:rPr>
        <w:t>(1)</w:t>
      </w:r>
      <w:r>
        <w:rPr/>
        <w:t>利率风险</w:t>
      </w:r>
      <w:r>
        <w:rPr>
          <w:w w:val="99"/>
        </w:rPr>
        <w:t> </w:t>
      </w:r>
      <w:r>
        <w:rPr>
          <w:spacing w:val="-2"/>
        </w:rPr>
        <w:t>利率风险，是指金融工具的公允价值或未来现金流量因市场利率变动而发生波动的风险。本公司面临的利率风险主要来</w:t>
      </w:r>
    </w:p>
    <w:p>
      <w:pPr>
        <w:pStyle w:val="BodyText"/>
        <w:spacing w:line="316" w:lineRule="auto" w:before="31"/>
        <w:ind w:left="573" w:right="304" w:hanging="361"/>
        <w:jc w:val="left"/>
      </w:pPr>
      <w:r>
        <w:rPr/>
        <w:t>源于银行借款。 </w:t>
      </w:r>
      <w:r>
        <w:rPr>
          <w:spacing w:val="-2"/>
        </w:rPr>
        <w:t>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日，本公司以浮动利率计算的借款人民币</w:t>
      </w:r>
      <w:r>
        <w:rPr>
          <w:rFonts w:ascii="Times New Roman" w:hAnsi="Times New Roman" w:cs="Times New Roman" w:eastAsia="Times New Roman" w:hint="default"/>
          <w:spacing w:val="-2"/>
        </w:rPr>
        <w:t>1,051,641,595.72</w:t>
      </w:r>
      <w:r>
        <w:rPr>
          <w:spacing w:val="-2"/>
        </w:rPr>
        <w:t>元，在其他变量保持不变的情况下，假定借款</w:t>
      </w:r>
    </w:p>
    <w:p>
      <w:pPr>
        <w:pStyle w:val="BodyText"/>
        <w:spacing w:line="300" w:lineRule="auto"/>
        <w:ind w:left="212" w:right="1184"/>
        <w:jc w:val="both"/>
      </w:pPr>
      <w:r>
        <w:rPr/>
        <w:t>利率变动</w:t>
      </w:r>
      <w:r>
        <w:rPr>
          <w:rFonts w:ascii="Times New Roman" w:hAnsi="Times New Roman" w:cs="Times New Roman" w:eastAsia="Times New Roman" w:hint="default"/>
        </w:rPr>
        <w:t>50</w:t>
      </w:r>
      <w:r>
        <w:rPr/>
        <w:t>个基点，则本公司的净利润将减少或增加</w:t>
      </w:r>
      <w:r>
        <w:rPr>
          <w:rFonts w:ascii="Times New Roman" w:hAnsi="Times New Roman" w:cs="Times New Roman" w:eastAsia="Times New Roman" w:hint="default"/>
        </w:rPr>
        <w:t>5,258,207.98</w:t>
      </w:r>
      <w:r>
        <w:rPr/>
        <w:t>元。管理层认为</w:t>
      </w:r>
      <w:r>
        <w:rPr>
          <w:rFonts w:ascii="Times New Roman" w:hAnsi="Times New Roman" w:cs="Times New Roman" w:eastAsia="Times New Roman" w:hint="default"/>
        </w:rPr>
        <w:t>50</w:t>
      </w:r>
      <w:r>
        <w:rPr/>
        <w:t>个基点合理反映了下一年度利率可能发 生变动的合理范围。</w:t>
      </w:r>
    </w:p>
    <w:p>
      <w:pPr>
        <w:pStyle w:val="BodyText"/>
        <w:spacing w:line="300" w:lineRule="auto" w:before="31"/>
        <w:ind w:left="573" w:right="304"/>
        <w:jc w:val="left"/>
      </w:pPr>
      <w:r>
        <w:rPr>
          <w:rFonts w:ascii="Times New Roman" w:hAnsi="Times New Roman" w:cs="Times New Roman" w:eastAsia="Times New Roman" w:hint="default"/>
        </w:rPr>
        <w:t>(2)</w:t>
      </w:r>
      <w:r>
        <w:rPr/>
        <w:t>汇率风险</w:t>
      </w:r>
      <w:r>
        <w:rPr>
          <w:w w:val="99"/>
        </w:rPr>
        <w:t> </w:t>
      </w:r>
      <w:r>
        <w:rPr>
          <w:spacing w:val="-2"/>
        </w:rPr>
        <w:t>汇率风险，是指金融工具的公允价值或未来现金流量因外汇汇率变动而发生波动的风险。本公司尽可能将外币收入与外</w:t>
      </w:r>
    </w:p>
    <w:p>
      <w:pPr>
        <w:pStyle w:val="BodyText"/>
        <w:spacing w:line="319" w:lineRule="auto" w:before="31"/>
        <w:ind w:left="212" w:right="1129"/>
        <w:jc w:val="both"/>
      </w:pPr>
      <w:r>
        <w:rPr>
          <w:spacing w:val="-2"/>
        </w:rPr>
        <w:t>币支出相匹配以降低汇率风险。境内公司以外币计价的金融资产金额很小，无以外币计价的金融负债。本公司面临的汇率风</w:t>
      </w:r>
      <w:r>
        <w:rPr>
          <w:spacing w:val="-62"/>
        </w:rPr>
        <w:t> </w:t>
      </w:r>
      <w:r>
        <w:rPr>
          <w:spacing w:val="-62"/>
        </w:rPr>
      </w:r>
      <w:r>
        <w:rPr>
          <w:spacing w:val="-2"/>
        </w:rPr>
        <w:t>险主要来源于境外公司以美元、欧元、港币计价的金融资产和金融负债。整个集团公司外币金融资产和外币金融负债折算成</w:t>
      </w:r>
      <w:r>
        <w:rPr>
          <w:spacing w:val="-66"/>
        </w:rPr>
        <w:t> </w:t>
      </w:r>
      <w:r>
        <w:rPr>
          <w:spacing w:val="-66"/>
        </w:rPr>
      </w:r>
      <w:r>
        <w:rPr/>
        <w:t>人民币的金额列示如下：</w:t>
      </w:r>
    </w:p>
    <w:tbl>
      <w:tblPr>
        <w:tblW w:w="0" w:type="auto"/>
        <w:jc w:val="left"/>
        <w:tblInd w:w="100" w:type="dxa"/>
        <w:tblLayout w:type="fixed"/>
        <w:tblCellMar>
          <w:top w:w="0" w:type="dxa"/>
          <w:left w:w="0" w:type="dxa"/>
          <w:bottom w:w="0" w:type="dxa"/>
          <w:right w:w="0" w:type="dxa"/>
        </w:tblCellMar>
        <w:tblLook w:val="01E0"/>
      </w:tblPr>
      <w:tblGrid>
        <w:gridCol w:w="1512"/>
        <w:gridCol w:w="1849"/>
        <w:gridCol w:w="1517"/>
        <w:gridCol w:w="1344"/>
        <w:gridCol w:w="1849"/>
        <w:gridCol w:w="1680"/>
      </w:tblGrid>
      <w:tr>
        <w:trPr>
          <w:trHeight w:val="322" w:hRule="exact"/>
        </w:trPr>
        <w:tc>
          <w:tcPr>
            <w:tcW w:w="151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823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22" w:hRule="exact"/>
        </w:trPr>
        <w:tc>
          <w:tcPr>
            <w:tcW w:w="1512" w:type="dxa"/>
            <w:vMerge/>
            <w:tcBorders>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b/>
                <w:bCs/>
                <w:sz w:val="18"/>
                <w:szCs w:val="18"/>
              </w:rPr>
              <w:t>美元</w:t>
            </w:r>
            <w:r>
              <w:rPr>
                <w:rFonts w:ascii="宋体" w:hAnsi="宋体" w:cs="宋体" w:eastAsia="宋体" w:hint="default"/>
                <w:sz w:val="18"/>
                <w:szCs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b/>
                <w:bCs/>
                <w:sz w:val="18"/>
                <w:szCs w:val="18"/>
              </w:rPr>
              <w:t>欧元</w:t>
            </w:r>
            <w:r>
              <w:rPr>
                <w:rFonts w:ascii="宋体" w:hAnsi="宋体" w:cs="宋体" w:eastAsia="宋体" w:hint="default"/>
                <w:sz w:val="18"/>
                <w:szCs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港币</w:t>
            </w:r>
            <w:r>
              <w:rPr>
                <w:rFonts w:ascii="宋体" w:hAnsi="宋体" w:cs="宋体" w:eastAsia="宋体" w:hint="default"/>
                <w:sz w:val="18"/>
                <w:szCs w:val="18"/>
              </w:rPr>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59" w:right="0"/>
              <w:jc w:val="left"/>
              <w:rPr>
                <w:rFonts w:ascii="宋体" w:hAnsi="宋体" w:cs="宋体" w:eastAsia="宋体" w:hint="default"/>
                <w:sz w:val="18"/>
                <w:szCs w:val="18"/>
              </w:rPr>
            </w:pPr>
            <w:r>
              <w:rPr>
                <w:rFonts w:ascii="宋体" w:hAnsi="宋体" w:cs="宋体" w:eastAsia="宋体" w:hint="default"/>
                <w:b/>
                <w:bCs/>
                <w:sz w:val="18"/>
                <w:szCs w:val="18"/>
              </w:rPr>
              <w:t>南非兰特</w:t>
            </w:r>
            <w:r>
              <w:rPr>
                <w:rFonts w:ascii="宋体" w:hAnsi="宋体" w:cs="宋体" w:eastAsia="宋体" w:hint="default"/>
                <w:sz w:val="18"/>
                <w:szCs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2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1849"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10,183,877.03</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150,616.37</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501.77</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495,618.72</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10,830,613.89</w:t>
            </w:r>
          </w:p>
        </w:tc>
      </w:tr>
      <w:tr>
        <w:trPr>
          <w:trHeight w:val="32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114,025,584.35</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888,488.41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16,759.85</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1,405,235.00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116,336,067.61</w:t>
            </w:r>
          </w:p>
        </w:tc>
      </w:tr>
      <w:tr>
        <w:trPr>
          <w:trHeight w:val="32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49"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102,014.46</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102,014.46</w:t>
            </w:r>
          </w:p>
        </w:tc>
      </w:tr>
      <w:tr>
        <w:trPr>
          <w:trHeight w:val="32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69"/>
              <w:jc w:val="right"/>
              <w:rPr>
                <w:rFonts w:ascii="宋体" w:hAnsi="宋体" w:cs="宋体" w:eastAsia="宋体" w:hint="default"/>
                <w:sz w:val="18"/>
                <w:szCs w:val="18"/>
              </w:rPr>
            </w:pPr>
            <w:r>
              <w:rPr>
                <w:rFonts w:ascii="宋体" w:hAnsi="宋体" w:cs="宋体" w:eastAsia="宋体" w:hint="default"/>
                <w:sz w:val="18"/>
                <w:szCs w:val="18"/>
              </w:rPr>
              <w:t>小计</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124,209,461.38</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1,039,104.78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17,261.62</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2,002,868.18</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127,268,695.96</w:t>
            </w:r>
          </w:p>
        </w:tc>
      </w:tr>
      <w:tr>
        <w:trPr>
          <w:trHeight w:val="32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849"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35,908,262.40</w:t>
            </w:r>
          </w:p>
        </w:tc>
        <w:tc>
          <w:tcPr>
            <w:tcW w:w="151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35,908,262.40</w:t>
            </w:r>
          </w:p>
        </w:tc>
      </w:tr>
      <w:tr>
        <w:trPr>
          <w:trHeight w:val="324"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1,156,459.91</w:t>
            </w:r>
          </w:p>
        </w:tc>
        <w:tc>
          <w:tcPr>
            <w:tcW w:w="151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851,897.53</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pacing w:val="-1"/>
                <w:sz w:val="18"/>
              </w:rPr>
              <w:t>2,008,357.44</w:t>
            </w:r>
          </w:p>
        </w:tc>
      </w:tr>
      <w:tr>
        <w:trPr>
          <w:trHeight w:val="32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69"/>
              <w:jc w:val="right"/>
              <w:rPr>
                <w:rFonts w:ascii="宋体" w:hAnsi="宋体" w:cs="宋体" w:eastAsia="宋体" w:hint="default"/>
                <w:sz w:val="18"/>
                <w:szCs w:val="18"/>
              </w:rPr>
            </w:pPr>
            <w:r>
              <w:rPr>
                <w:rFonts w:ascii="宋体" w:hAnsi="宋体" w:cs="宋体" w:eastAsia="宋体" w:hint="default"/>
                <w:sz w:val="18"/>
                <w:szCs w:val="18"/>
              </w:rPr>
              <w:t>小计</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37,064,722.31</w:t>
            </w:r>
          </w:p>
        </w:tc>
        <w:tc>
          <w:tcPr>
            <w:tcW w:w="151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851,897.53</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37,916,619.84</w:t>
            </w:r>
          </w:p>
        </w:tc>
      </w:tr>
      <w:tr>
        <w:trPr>
          <w:trHeight w:val="32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69"/>
              <w:jc w:val="right"/>
              <w:rPr>
                <w:rFonts w:ascii="宋体" w:hAnsi="宋体" w:cs="宋体" w:eastAsia="宋体" w:hint="default"/>
                <w:sz w:val="18"/>
                <w:szCs w:val="18"/>
              </w:rPr>
            </w:pPr>
            <w:r>
              <w:rPr>
                <w:rFonts w:ascii="宋体" w:hAnsi="宋体" w:cs="宋体" w:eastAsia="宋体" w:hint="default"/>
                <w:sz w:val="18"/>
                <w:szCs w:val="18"/>
              </w:rPr>
              <w:t>净额</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87,144,739.07</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1,039,104.78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17,261.62</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1,150,970.65</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89,352,076.12</w:t>
            </w:r>
          </w:p>
        </w:tc>
      </w:tr>
    </w:tbl>
    <w:p>
      <w:pPr>
        <w:pStyle w:val="BodyText"/>
        <w:spacing w:line="240" w:lineRule="auto" w:before="17"/>
        <w:ind w:left="212" w:right="1168"/>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9"/>
        <w:rPr>
          <w:rFonts w:ascii="Times New Roman" w:hAnsi="Times New Roman" w:cs="Times New Roman" w:eastAsia="Times New Roman"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1512"/>
        <w:gridCol w:w="1849"/>
        <w:gridCol w:w="1346"/>
        <w:gridCol w:w="1515"/>
        <w:gridCol w:w="1849"/>
        <w:gridCol w:w="1680"/>
      </w:tblGrid>
      <w:tr>
        <w:trPr>
          <w:trHeight w:val="322" w:hRule="exact"/>
        </w:trPr>
        <w:tc>
          <w:tcPr>
            <w:tcW w:w="151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823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22" w:hRule="exact"/>
        </w:trPr>
        <w:tc>
          <w:tcPr>
            <w:tcW w:w="1512" w:type="dxa"/>
            <w:vMerge/>
            <w:tcBorders>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b/>
                <w:bCs/>
                <w:sz w:val="18"/>
                <w:szCs w:val="18"/>
              </w:rPr>
              <w:t>美元</w:t>
            </w:r>
            <w:r>
              <w:rPr>
                <w:rFonts w:ascii="宋体" w:hAnsi="宋体" w:cs="宋体" w:eastAsia="宋体" w:hint="default"/>
                <w:sz w:val="18"/>
                <w:szCs w:val="18"/>
              </w:rPr>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b/>
                <w:bCs/>
                <w:sz w:val="18"/>
                <w:szCs w:val="18"/>
              </w:rPr>
              <w:t>欧元</w:t>
            </w:r>
            <w:r>
              <w:rPr>
                <w:rFonts w:ascii="宋体" w:hAnsi="宋体" w:cs="宋体" w:eastAsia="宋体" w:hint="default"/>
                <w:sz w:val="18"/>
                <w:szCs w:val="18"/>
              </w:rPr>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b/>
                <w:bCs/>
                <w:sz w:val="18"/>
                <w:szCs w:val="18"/>
              </w:rPr>
              <w:t>港币</w:t>
            </w:r>
            <w:r>
              <w:rPr>
                <w:rFonts w:ascii="宋体" w:hAnsi="宋体" w:cs="宋体" w:eastAsia="宋体" w:hint="default"/>
                <w:sz w:val="18"/>
                <w:szCs w:val="18"/>
              </w:rPr>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59" w:right="0"/>
              <w:jc w:val="left"/>
              <w:rPr>
                <w:rFonts w:ascii="宋体" w:hAnsi="宋体" w:cs="宋体" w:eastAsia="宋体" w:hint="default"/>
                <w:sz w:val="18"/>
                <w:szCs w:val="18"/>
              </w:rPr>
            </w:pPr>
            <w:r>
              <w:rPr>
                <w:rFonts w:ascii="宋体" w:hAnsi="宋体" w:cs="宋体" w:eastAsia="宋体" w:hint="default"/>
                <w:b/>
                <w:bCs/>
                <w:sz w:val="18"/>
                <w:szCs w:val="18"/>
              </w:rPr>
              <w:t>南非兰特</w:t>
            </w:r>
            <w:r>
              <w:rPr>
                <w:rFonts w:ascii="宋体" w:hAnsi="宋体" w:cs="宋体" w:eastAsia="宋体" w:hint="default"/>
                <w:sz w:val="18"/>
                <w:szCs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24"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184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90,492,533.28</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262,829.14</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1,313.91</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5,396,180.54</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96,152,856.87</w:t>
            </w:r>
          </w:p>
        </w:tc>
      </w:tr>
      <w:tr>
        <w:trPr>
          <w:trHeight w:val="32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107,460,014.24</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91,045.43</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169,026.24</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555,693.21</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108,275,779.12</w:t>
            </w:r>
          </w:p>
        </w:tc>
      </w:tr>
      <w:tr>
        <w:trPr>
          <w:trHeight w:val="32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4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245,522.65</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245,522.65</w:t>
            </w:r>
          </w:p>
        </w:tc>
      </w:tr>
      <w:tr>
        <w:trPr>
          <w:trHeight w:val="32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69"/>
              <w:jc w:val="right"/>
              <w:rPr>
                <w:rFonts w:ascii="宋体" w:hAnsi="宋体" w:cs="宋体" w:eastAsia="宋体" w:hint="default"/>
                <w:sz w:val="18"/>
                <w:szCs w:val="18"/>
              </w:rPr>
            </w:pPr>
            <w:r>
              <w:rPr>
                <w:rFonts w:ascii="宋体" w:hAnsi="宋体" w:cs="宋体" w:eastAsia="宋体" w:hint="default"/>
                <w:sz w:val="18"/>
                <w:szCs w:val="18"/>
              </w:rPr>
              <w:t>小计</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197,952,547.52</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353,874.57</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170,340.15</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6,197,396.40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204,674,158.64</w:t>
            </w:r>
          </w:p>
        </w:tc>
      </w:tr>
      <w:tr>
        <w:trPr>
          <w:trHeight w:val="324"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84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78,488,810.40</w:t>
            </w:r>
          </w:p>
        </w:tc>
        <w:tc>
          <w:tcPr>
            <w:tcW w:w="1346"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78,488,810.40</w:t>
            </w:r>
          </w:p>
        </w:tc>
      </w:tr>
      <w:tr>
        <w:trPr>
          <w:trHeight w:val="32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3,121,417.66</w:t>
            </w:r>
          </w:p>
        </w:tc>
        <w:tc>
          <w:tcPr>
            <w:tcW w:w="1346"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3,121,417.66</w:t>
            </w:r>
          </w:p>
        </w:tc>
      </w:tr>
      <w:tr>
        <w:trPr>
          <w:trHeight w:val="32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69"/>
              <w:jc w:val="right"/>
              <w:rPr>
                <w:rFonts w:ascii="宋体" w:hAnsi="宋体" w:cs="宋体" w:eastAsia="宋体" w:hint="default"/>
                <w:sz w:val="18"/>
                <w:szCs w:val="18"/>
              </w:rPr>
            </w:pPr>
            <w:r>
              <w:rPr>
                <w:rFonts w:ascii="宋体" w:hAnsi="宋体" w:cs="宋体" w:eastAsia="宋体" w:hint="default"/>
                <w:sz w:val="18"/>
                <w:szCs w:val="18"/>
              </w:rPr>
              <w:t>小计</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81,610,228.06</w:t>
            </w:r>
          </w:p>
        </w:tc>
        <w:tc>
          <w:tcPr>
            <w:tcW w:w="1346"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81,610,228.06</w:t>
            </w:r>
          </w:p>
        </w:tc>
      </w:tr>
      <w:tr>
        <w:trPr>
          <w:trHeight w:val="32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69"/>
              <w:jc w:val="right"/>
              <w:rPr>
                <w:rFonts w:ascii="宋体" w:hAnsi="宋体" w:cs="宋体" w:eastAsia="宋体" w:hint="default"/>
                <w:sz w:val="18"/>
                <w:szCs w:val="18"/>
              </w:rPr>
            </w:pPr>
            <w:r>
              <w:rPr>
                <w:rFonts w:ascii="宋体" w:hAnsi="宋体" w:cs="宋体" w:eastAsia="宋体" w:hint="default"/>
                <w:sz w:val="18"/>
                <w:szCs w:val="18"/>
              </w:rPr>
              <w:t>净额</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116,342,319.46</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353,874.57</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170,340.15</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6,197,396.40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123,063,930.58</w:t>
            </w:r>
          </w:p>
        </w:tc>
      </w:tr>
    </w:tbl>
    <w:p>
      <w:pPr>
        <w:pStyle w:val="BodyText"/>
        <w:spacing w:line="300" w:lineRule="auto" w:before="8"/>
        <w:ind w:left="212" w:right="1169" w:firstLine="360"/>
        <w:jc w:val="both"/>
      </w:pP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日，在所有其他变量保持不变的情况下，如果人民币对美元、欧元、港币升值或贬值</w:t>
      </w:r>
      <w:r>
        <w:rPr>
          <w:rFonts w:ascii="Times New Roman" w:hAnsi="Times New Roman" w:cs="Times New Roman" w:eastAsia="Times New Roman" w:hint="default"/>
        </w:rPr>
        <w:t>2%</w:t>
      </w:r>
      <w:r>
        <w:rPr/>
        <w:t>，则公司将增 加或减少净利润</w:t>
      </w:r>
      <w:r>
        <w:rPr>
          <w:rFonts w:ascii="Times New Roman" w:hAnsi="Times New Roman" w:cs="Times New Roman" w:eastAsia="Times New Roman" w:hint="default"/>
        </w:rPr>
        <w:t>1,787,041.52</w:t>
      </w:r>
      <w:r>
        <w:rPr/>
        <w:t>元。管理层认为</w:t>
      </w:r>
      <w:r>
        <w:rPr>
          <w:rFonts w:ascii="Times New Roman" w:hAnsi="Times New Roman" w:cs="Times New Roman" w:eastAsia="Times New Roman" w:hint="default"/>
        </w:rPr>
        <w:t>2%</w:t>
      </w:r>
      <w:r>
        <w:rPr/>
        <w:t>合理反映了下一年度人民币对美元可能发生变动的合理范围。</w:t>
      </w:r>
    </w:p>
    <w:p>
      <w:pPr>
        <w:pStyle w:val="BodyText"/>
        <w:spacing w:line="300" w:lineRule="auto" w:before="13"/>
        <w:ind w:left="573" w:right="5683"/>
        <w:jc w:val="left"/>
      </w:pPr>
      <w:r>
        <w:rPr>
          <w:rFonts w:ascii="Times New Roman" w:hAnsi="Times New Roman" w:cs="Times New Roman" w:eastAsia="Times New Roman" w:hint="default"/>
        </w:rPr>
        <w:t>(3)</w:t>
      </w:r>
      <w:r>
        <w:rPr/>
        <w:t>其他价格风险：本公司未持有其他上市公司的权益投资。</w:t>
      </w:r>
      <w:r>
        <w:rPr>
          <w:w w:val="99"/>
        </w:rPr>
        <w:t> </w:t>
      </w: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流动性风险</w:t>
      </w:r>
    </w:p>
    <w:p>
      <w:pPr>
        <w:pStyle w:val="BodyText"/>
        <w:spacing w:line="316" w:lineRule="auto" w:before="13"/>
        <w:ind w:left="212" w:right="1130" w:firstLine="360"/>
        <w:jc w:val="both"/>
      </w:pPr>
      <w:r>
        <w:rPr>
          <w:spacing w:val="-2"/>
        </w:rPr>
        <w:t>流动风险，是指企业在履行以交付现金或其他金融资产的方式结算的义务时发生资金短缺的风险。本公司的政策是确保</w:t>
      </w:r>
      <w:r>
        <w:rPr/>
        <w:t> </w:t>
      </w:r>
      <w:r>
        <w:rPr>
          <w:spacing w:val="-2"/>
        </w:rPr>
        <w:t>拥有充足的现金以偿还到期债务。流动性风险由本公司的财务部门集中控制。财务部门通过监控现金余额、可随时变现的有</w:t>
      </w:r>
      <w:r>
        <w:rPr>
          <w:spacing w:val="-63"/>
        </w:rPr>
        <w:t> </w:t>
      </w:r>
      <w:r>
        <w:rPr>
          <w:spacing w:val="-63"/>
        </w:rPr>
      </w:r>
      <w:r>
        <w:rPr/>
        <w:t>价证券以及对未来</w:t>
      </w:r>
      <w:r>
        <w:rPr>
          <w:rFonts w:ascii="Times New Roman" w:hAnsi="Times New Roman" w:cs="Times New Roman" w:eastAsia="Times New Roman" w:hint="default"/>
        </w:rPr>
        <w:t>12</w:t>
      </w:r>
      <w:r>
        <w:rPr/>
        <w:t>个月现金流量的滚动预测，确保公司在所有合理预测的情况下拥有充足的资金偿还债务。</w:t>
      </w:r>
    </w:p>
    <w:p>
      <w:pPr>
        <w:spacing w:after="0" w:line="316" w:lineRule="auto"/>
        <w:jc w:val="both"/>
        <w:sectPr>
          <w:footerReference w:type="default" r:id="rId25"/>
          <w:pgSz w:w="11910" w:h="16840"/>
          <w:pgMar w:footer="979" w:header="745" w:top="1060" w:bottom="1160" w:left="920" w:right="0"/>
          <w:pgNumType w:start="201"/>
        </w:sectPr>
      </w:pPr>
    </w:p>
    <w:p>
      <w:pPr>
        <w:spacing w:line="240" w:lineRule="auto" w:before="10"/>
        <w:rPr>
          <w:rFonts w:ascii="宋体" w:hAnsi="宋体" w:cs="宋体" w:eastAsia="宋体" w:hint="default"/>
          <w:sz w:val="25"/>
          <w:szCs w:val="25"/>
        </w:rPr>
      </w:pPr>
    </w:p>
    <w:p>
      <w:pPr>
        <w:pStyle w:val="BodyText"/>
        <w:spacing w:line="240" w:lineRule="auto" w:before="44"/>
        <w:ind w:left="573" w:right="1168"/>
        <w:jc w:val="left"/>
      </w:pPr>
      <w:r>
        <w:rPr/>
        <w:t>本公司各项金融负债以未折现的合同现金流量按到期日列示如下：</w:t>
      </w:r>
    </w:p>
    <w:p>
      <w:pPr>
        <w:spacing w:line="240" w:lineRule="auto" w:before="3"/>
        <w:rPr>
          <w:rFonts w:ascii="宋体" w:hAnsi="宋体" w:cs="宋体" w:eastAsia="宋体"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1344"/>
        <w:gridCol w:w="1517"/>
        <w:gridCol w:w="1682"/>
        <w:gridCol w:w="1515"/>
        <w:gridCol w:w="1344"/>
        <w:gridCol w:w="1011"/>
        <w:gridCol w:w="1337"/>
      </w:tblGrid>
      <w:tr>
        <w:trPr>
          <w:trHeight w:val="322" w:hRule="exact"/>
        </w:trPr>
        <w:tc>
          <w:tcPr>
            <w:tcW w:w="1344" w:type="dxa"/>
            <w:vMerge w:val="restart"/>
            <w:tcBorders>
              <w:top w:val="single" w:sz="4" w:space="0" w:color="000000"/>
              <w:left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840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 w:right="0"/>
              <w:jc w:val="center"/>
              <w:rPr>
                <w:rFonts w:ascii="宋体" w:hAnsi="宋体" w:cs="宋体" w:eastAsia="宋体" w:hint="default"/>
                <w:sz w:val="15"/>
                <w:szCs w:val="15"/>
              </w:rPr>
            </w:pPr>
            <w:r>
              <w:rPr>
                <w:rFonts w:ascii="宋体" w:hAnsi="宋体" w:cs="宋体" w:eastAsia="宋体" w:hint="default"/>
                <w:b/>
                <w:bCs/>
                <w:sz w:val="15"/>
                <w:szCs w:val="15"/>
              </w:rPr>
              <w:t>年末余额</w:t>
            </w:r>
            <w:r>
              <w:rPr>
                <w:rFonts w:ascii="宋体" w:hAnsi="宋体" w:cs="宋体" w:eastAsia="宋体" w:hint="default"/>
                <w:sz w:val="15"/>
                <w:szCs w:val="15"/>
              </w:rPr>
            </w:r>
          </w:p>
        </w:tc>
      </w:tr>
      <w:tr>
        <w:trPr>
          <w:trHeight w:val="322" w:hRule="exact"/>
        </w:trPr>
        <w:tc>
          <w:tcPr>
            <w:tcW w:w="1344" w:type="dxa"/>
            <w:vMerge/>
            <w:tcBorders>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53" w:right="0"/>
              <w:jc w:val="left"/>
              <w:rPr>
                <w:rFonts w:ascii="宋体" w:hAnsi="宋体" w:cs="宋体" w:eastAsia="宋体" w:hint="default"/>
                <w:sz w:val="15"/>
                <w:szCs w:val="15"/>
              </w:rPr>
            </w:pPr>
            <w:r>
              <w:rPr>
                <w:rFonts w:ascii="宋体" w:hAnsi="宋体" w:cs="宋体" w:eastAsia="宋体" w:hint="default"/>
                <w:b/>
                <w:bCs/>
                <w:sz w:val="15"/>
                <w:szCs w:val="15"/>
              </w:rPr>
              <w:t>账面价值</w:t>
            </w:r>
            <w:r>
              <w:rPr>
                <w:rFonts w:ascii="宋体" w:hAnsi="宋体" w:cs="宋体" w:eastAsia="宋体" w:hint="default"/>
                <w:sz w:val="15"/>
                <w:szCs w:val="15"/>
              </w:rPr>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09" w:right="0"/>
              <w:jc w:val="left"/>
              <w:rPr>
                <w:rFonts w:ascii="宋体" w:hAnsi="宋体" w:cs="宋体" w:eastAsia="宋体" w:hint="default"/>
                <w:sz w:val="15"/>
                <w:szCs w:val="15"/>
              </w:rPr>
            </w:pPr>
            <w:r>
              <w:rPr>
                <w:rFonts w:ascii="宋体" w:hAnsi="宋体" w:cs="宋体" w:eastAsia="宋体" w:hint="default"/>
                <w:b/>
                <w:bCs/>
                <w:sz w:val="15"/>
                <w:szCs w:val="15"/>
              </w:rPr>
              <w:t>未折现合同金额</w:t>
            </w:r>
            <w:r>
              <w:rPr>
                <w:rFonts w:ascii="宋体" w:hAnsi="宋体" w:cs="宋体" w:eastAsia="宋体" w:hint="default"/>
                <w:sz w:val="15"/>
                <w:szCs w:val="15"/>
              </w:rPr>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89" w:right="0"/>
              <w:jc w:val="left"/>
              <w:rPr>
                <w:rFonts w:ascii="宋体" w:hAnsi="宋体" w:cs="宋体" w:eastAsia="宋体" w:hint="default"/>
                <w:sz w:val="15"/>
                <w:szCs w:val="15"/>
              </w:rPr>
            </w:pPr>
            <w:r>
              <w:rPr>
                <w:rFonts w:ascii="Times New Roman" w:hAnsi="Times New Roman" w:cs="Times New Roman" w:eastAsia="Times New Roman" w:hint="default"/>
                <w:b/>
                <w:bCs/>
                <w:sz w:val="15"/>
                <w:szCs w:val="15"/>
              </w:rPr>
              <w:t>1</w:t>
            </w:r>
            <w:r>
              <w:rPr>
                <w:rFonts w:ascii="宋体" w:hAnsi="宋体" w:cs="宋体" w:eastAsia="宋体" w:hint="default"/>
                <w:b/>
                <w:bCs/>
                <w:sz w:val="15"/>
                <w:szCs w:val="15"/>
              </w:rPr>
              <w:t>年以内</w:t>
            </w:r>
            <w:r>
              <w:rPr>
                <w:rFonts w:ascii="宋体" w:hAnsi="宋体" w:cs="宋体" w:eastAsia="宋体" w:hint="default"/>
                <w:sz w:val="15"/>
                <w:szCs w:val="15"/>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 w:right="0"/>
              <w:jc w:val="center"/>
              <w:rPr>
                <w:rFonts w:ascii="宋体" w:hAnsi="宋体" w:cs="宋体" w:eastAsia="宋体" w:hint="default"/>
                <w:sz w:val="15"/>
                <w:szCs w:val="15"/>
              </w:rPr>
            </w:pPr>
            <w:r>
              <w:rPr>
                <w:rFonts w:ascii="Times New Roman" w:hAnsi="Times New Roman" w:cs="Times New Roman" w:eastAsia="Times New Roman" w:hint="default"/>
                <w:b/>
                <w:bCs/>
                <w:sz w:val="15"/>
                <w:szCs w:val="15"/>
              </w:rPr>
              <w:t>1-3</w:t>
            </w:r>
            <w:r>
              <w:rPr>
                <w:rFonts w:ascii="宋体" w:hAnsi="宋体" w:cs="宋体" w:eastAsia="宋体" w:hint="default"/>
                <w:b/>
                <w:bCs/>
                <w:sz w:val="15"/>
                <w:szCs w:val="15"/>
              </w:rPr>
              <w:t>年</w:t>
            </w:r>
            <w:r>
              <w:rPr>
                <w:rFonts w:ascii="宋体" w:hAnsi="宋体" w:cs="宋体" w:eastAsia="宋体" w:hint="default"/>
                <w:sz w:val="15"/>
                <w:szCs w:val="15"/>
              </w:rPr>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7" w:right="0"/>
              <w:jc w:val="left"/>
              <w:rPr>
                <w:rFonts w:ascii="宋体" w:hAnsi="宋体" w:cs="宋体" w:eastAsia="宋体" w:hint="default"/>
                <w:sz w:val="15"/>
                <w:szCs w:val="15"/>
              </w:rPr>
            </w:pPr>
            <w:r>
              <w:rPr>
                <w:rFonts w:ascii="Times New Roman" w:hAnsi="Times New Roman" w:cs="Times New Roman" w:eastAsia="Times New Roman" w:hint="default"/>
                <w:b/>
                <w:bCs/>
                <w:sz w:val="15"/>
                <w:szCs w:val="15"/>
              </w:rPr>
              <w:t>3</w:t>
            </w:r>
            <w:r>
              <w:rPr>
                <w:rFonts w:ascii="宋体" w:hAnsi="宋体" w:cs="宋体" w:eastAsia="宋体" w:hint="default"/>
                <w:b/>
                <w:bCs/>
                <w:sz w:val="15"/>
                <w:szCs w:val="15"/>
              </w:rPr>
              <w:t>年以上</w:t>
            </w:r>
            <w:r>
              <w:rPr>
                <w:rFonts w:ascii="宋体" w:hAnsi="宋体" w:cs="宋体" w:eastAsia="宋体" w:hint="default"/>
                <w:sz w:val="15"/>
                <w:szCs w:val="15"/>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15"/>
                <w:szCs w:val="15"/>
              </w:rPr>
            </w:pPr>
            <w:r>
              <w:rPr>
                <w:rFonts w:ascii="宋体" w:hAnsi="宋体" w:cs="宋体" w:eastAsia="宋体" w:hint="default"/>
                <w:b/>
                <w:bCs/>
                <w:sz w:val="15"/>
                <w:szCs w:val="15"/>
              </w:rPr>
              <w:t>合计</w:t>
            </w:r>
            <w:r>
              <w:rPr>
                <w:rFonts w:ascii="宋体" w:hAnsi="宋体" w:cs="宋体" w:eastAsia="宋体" w:hint="default"/>
                <w:sz w:val="15"/>
                <w:szCs w:val="15"/>
              </w:rPr>
            </w:r>
          </w:p>
        </w:tc>
      </w:tr>
      <w:tr>
        <w:trPr>
          <w:trHeight w:val="324"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5"/>
                <w:szCs w:val="15"/>
              </w:rPr>
            </w:pPr>
            <w:r>
              <w:rPr>
                <w:rFonts w:ascii="宋体" w:hAnsi="宋体" w:cs="宋体" w:eastAsia="宋体" w:hint="default"/>
                <w:sz w:val="15"/>
                <w:szCs w:val="15"/>
              </w:rPr>
              <w:t>短期借款</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Times New Roman" w:hAnsi="Times New Roman" w:cs="Times New Roman" w:eastAsia="Times New Roman" w:hint="default"/>
                <w:sz w:val="15"/>
                <w:szCs w:val="15"/>
              </w:rPr>
            </w:pPr>
            <w:r>
              <w:rPr>
                <w:rFonts w:ascii="Times New Roman"/>
                <w:spacing w:val="-1"/>
                <w:sz w:val="15"/>
              </w:rPr>
              <w:t>1,473,345,712.40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Times New Roman" w:hAnsi="Times New Roman" w:cs="Times New Roman" w:eastAsia="Times New Roman" w:hint="default"/>
                <w:sz w:val="15"/>
                <w:szCs w:val="15"/>
              </w:rPr>
            </w:pPr>
            <w:r>
              <w:rPr>
                <w:rFonts w:ascii="Times New Roman"/>
                <w:spacing w:val="-1"/>
                <w:sz w:val="15"/>
              </w:rPr>
              <w:t>1,496,069,466.96</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Times New Roman" w:hAnsi="Times New Roman" w:cs="Times New Roman" w:eastAsia="Times New Roman" w:hint="default"/>
                <w:sz w:val="15"/>
                <w:szCs w:val="15"/>
              </w:rPr>
            </w:pPr>
            <w:r>
              <w:rPr>
                <w:rFonts w:ascii="Times New Roman"/>
                <w:spacing w:val="-1"/>
                <w:sz w:val="15"/>
              </w:rPr>
              <w:t>1,496,069,466.96</w:t>
            </w:r>
          </w:p>
        </w:tc>
        <w:tc>
          <w:tcPr>
            <w:tcW w:w="1344"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Times New Roman" w:hAnsi="Times New Roman" w:cs="Times New Roman" w:eastAsia="Times New Roman" w:hint="default"/>
                <w:sz w:val="15"/>
                <w:szCs w:val="15"/>
              </w:rPr>
            </w:pPr>
            <w:r>
              <w:rPr>
                <w:rFonts w:ascii="Times New Roman"/>
                <w:spacing w:val="-1"/>
                <w:sz w:val="15"/>
              </w:rPr>
              <w:t>1,496,069,466.96</w:t>
            </w:r>
          </w:p>
        </w:tc>
      </w:tr>
      <w:tr>
        <w:trPr>
          <w:trHeight w:val="634"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03" w:right="87"/>
              <w:jc w:val="left"/>
              <w:rPr>
                <w:rFonts w:ascii="宋体" w:hAnsi="宋体" w:cs="宋体" w:eastAsia="宋体" w:hint="default"/>
                <w:sz w:val="15"/>
                <w:szCs w:val="15"/>
              </w:rPr>
            </w:pPr>
            <w:r>
              <w:rPr>
                <w:rFonts w:ascii="宋体" w:hAnsi="宋体" w:cs="宋体" w:eastAsia="宋体" w:hint="default"/>
                <w:spacing w:val="11"/>
                <w:sz w:val="15"/>
                <w:szCs w:val="15"/>
              </w:rPr>
              <w:t>应付票据及应付</w:t>
            </w:r>
            <w:r>
              <w:rPr>
                <w:rFonts w:ascii="宋体" w:hAnsi="宋体" w:cs="宋体" w:eastAsia="宋体" w:hint="default"/>
                <w:spacing w:val="-60"/>
                <w:sz w:val="15"/>
                <w:szCs w:val="15"/>
              </w:rPr>
              <w:t> </w:t>
            </w:r>
            <w:r>
              <w:rPr>
                <w:rFonts w:ascii="宋体" w:hAnsi="宋体" w:cs="宋体" w:eastAsia="宋体" w:hint="default"/>
                <w:sz w:val="15"/>
                <w:szCs w:val="15"/>
              </w:rPr>
              <w:t>账款</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712,738,436.07</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712,738,436.07</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712,738,436.07</w:t>
            </w:r>
          </w:p>
        </w:tc>
        <w:tc>
          <w:tcPr>
            <w:tcW w:w="1344"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712,738,436.07</w:t>
            </w:r>
          </w:p>
        </w:tc>
      </w:tr>
      <w:tr>
        <w:trPr>
          <w:trHeight w:val="322"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其他应付款</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spacing w:val="-1"/>
                <w:sz w:val="15"/>
              </w:rPr>
              <w:t>83,803,047.07</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83,803,047.07</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spacing w:val="-1"/>
                <w:sz w:val="15"/>
              </w:rPr>
              <w:t>83,803,047.07</w:t>
            </w:r>
          </w:p>
        </w:tc>
        <w:tc>
          <w:tcPr>
            <w:tcW w:w="1344"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83,803,047.07</w:t>
            </w:r>
          </w:p>
        </w:tc>
      </w:tr>
      <w:tr>
        <w:trPr>
          <w:trHeight w:val="634"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03" w:right="87"/>
              <w:jc w:val="left"/>
              <w:rPr>
                <w:rFonts w:ascii="宋体" w:hAnsi="宋体" w:cs="宋体" w:eastAsia="宋体" w:hint="default"/>
                <w:sz w:val="15"/>
                <w:szCs w:val="15"/>
              </w:rPr>
            </w:pPr>
            <w:r>
              <w:rPr>
                <w:rFonts w:ascii="宋体" w:hAnsi="宋体" w:cs="宋体" w:eastAsia="宋体" w:hint="default"/>
                <w:spacing w:val="11"/>
                <w:sz w:val="15"/>
                <w:szCs w:val="15"/>
              </w:rPr>
              <w:t>一年以内到期的</w:t>
            </w:r>
            <w:r>
              <w:rPr>
                <w:rFonts w:ascii="宋体" w:hAnsi="宋体" w:cs="宋体" w:eastAsia="宋体" w:hint="default"/>
                <w:spacing w:val="-60"/>
                <w:sz w:val="15"/>
                <w:szCs w:val="15"/>
              </w:rPr>
              <w:t> </w:t>
            </w:r>
            <w:r>
              <w:rPr>
                <w:rFonts w:ascii="宋体" w:hAnsi="宋体" w:cs="宋体" w:eastAsia="宋体" w:hint="default"/>
                <w:sz w:val="15"/>
                <w:szCs w:val="15"/>
              </w:rPr>
              <w:t>非流动负债</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92,400,000.00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94,595,396.67</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94,595,396.67</w:t>
            </w:r>
          </w:p>
        </w:tc>
        <w:tc>
          <w:tcPr>
            <w:tcW w:w="1344"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94,595,396.67</w:t>
            </w:r>
          </w:p>
        </w:tc>
      </w:tr>
      <w:tr>
        <w:trPr>
          <w:trHeight w:val="322"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长期借款</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spacing w:val="-1"/>
                <w:sz w:val="15"/>
              </w:rPr>
              <w:t>33,333,333.32</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35,225,152.76</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spacing w:val="-1"/>
                <w:sz w:val="15"/>
              </w:rPr>
              <w:t>18,110,666.68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17,114,486.08</w:t>
            </w:r>
          </w:p>
        </w:tc>
        <w:tc>
          <w:tcPr>
            <w:tcW w:w="1011"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35,225,152.76</w:t>
            </w:r>
          </w:p>
        </w:tc>
      </w:tr>
      <w:tr>
        <w:trPr>
          <w:trHeight w:val="322"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应付债券</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spacing w:val="-1"/>
                <w:sz w:val="15"/>
              </w:rPr>
              <w:t>199,310,965.21</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226,431,798.54</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spacing w:val="-1"/>
                <w:sz w:val="15"/>
              </w:rPr>
              <w:t>15,000,000.00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211,431,798.54</w:t>
            </w:r>
          </w:p>
        </w:tc>
        <w:tc>
          <w:tcPr>
            <w:tcW w:w="1011"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226,431,798.54</w:t>
            </w:r>
          </w:p>
        </w:tc>
      </w:tr>
      <w:tr>
        <w:trPr>
          <w:trHeight w:val="322"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长期应付款</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spacing w:val="-1"/>
                <w:sz w:val="15"/>
              </w:rPr>
              <w:t>53,790,893.91</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61,748,166.59</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spacing w:val="-1"/>
                <w:sz w:val="15"/>
              </w:rPr>
              <w:t>39,365,206.56</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22,382,960.03</w:t>
            </w:r>
          </w:p>
        </w:tc>
        <w:tc>
          <w:tcPr>
            <w:tcW w:w="1011"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61,748,166.59</w:t>
            </w:r>
          </w:p>
        </w:tc>
      </w:tr>
      <w:tr>
        <w:trPr>
          <w:trHeight w:val="324"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Times New Roman" w:hAnsi="Times New Roman" w:cs="Times New Roman" w:eastAsia="Times New Roman" w:hint="default"/>
                <w:sz w:val="15"/>
                <w:szCs w:val="15"/>
              </w:rPr>
            </w:pPr>
            <w:r>
              <w:rPr>
                <w:rFonts w:ascii="Times New Roman"/>
                <w:spacing w:val="-1"/>
                <w:sz w:val="15"/>
              </w:rPr>
              <w:t>2,648,722,387.98</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Times New Roman" w:hAnsi="Times New Roman" w:cs="Times New Roman" w:eastAsia="Times New Roman" w:hint="default"/>
                <w:sz w:val="15"/>
                <w:szCs w:val="15"/>
              </w:rPr>
            </w:pPr>
            <w:r>
              <w:rPr>
                <w:rFonts w:ascii="Times New Roman"/>
                <w:spacing w:val="-1"/>
                <w:sz w:val="15"/>
              </w:rPr>
              <w:t>2,710,611,464.66</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Times New Roman" w:hAnsi="Times New Roman" w:cs="Times New Roman" w:eastAsia="Times New Roman" w:hint="default"/>
                <w:sz w:val="15"/>
                <w:szCs w:val="15"/>
              </w:rPr>
            </w:pPr>
            <w:r>
              <w:rPr>
                <w:rFonts w:ascii="Times New Roman"/>
                <w:spacing w:val="-1"/>
                <w:sz w:val="15"/>
              </w:rPr>
              <w:t>2,459,682,220.01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Times New Roman" w:hAnsi="Times New Roman" w:cs="Times New Roman" w:eastAsia="Times New Roman" w:hint="default"/>
                <w:sz w:val="15"/>
                <w:szCs w:val="15"/>
              </w:rPr>
            </w:pPr>
            <w:r>
              <w:rPr>
                <w:rFonts w:ascii="Times New Roman"/>
                <w:spacing w:val="-1"/>
                <w:sz w:val="15"/>
              </w:rPr>
              <w:t>250,929,244.65</w:t>
            </w:r>
          </w:p>
        </w:tc>
        <w:tc>
          <w:tcPr>
            <w:tcW w:w="1011"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Times New Roman" w:hAnsi="Times New Roman" w:cs="Times New Roman" w:eastAsia="Times New Roman" w:hint="default"/>
                <w:sz w:val="15"/>
                <w:szCs w:val="15"/>
              </w:rPr>
            </w:pPr>
            <w:r>
              <w:rPr>
                <w:rFonts w:ascii="Times New Roman"/>
                <w:spacing w:val="-1"/>
                <w:sz w:val="15"/>
              </w:rPr>
              <w:t>2,710,611,464.66</w:t>
            </w:r>
          </w:p>
        </w:tc>
      </w:tr>
    </w:tbl>
    <w:p>
      <w:pPr>
        <w:pStyle w:val="BodyText"/>
        <w:spacing w:line="240" w:lineRule="auto" w:before="8"/>
        <w:ind w:left="212" w:right="1168"/>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9"/>
        <w:rPr>
          <w:rFonts w:ascii="Times New Roman" w:hAnsi="Times New Roman" w:cs="Times New Roman" w:eastAsia="Times New Roman"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1344"/>
        <w:gridCol w:w="1515"/>
        <w:gridCol w:w="1685"/>
        <w:gridCol w:w="1512"/>
        <w:gridCol w:w="1344"/>
        <w:gridCol w:w="1011"/>
        <w:gridCol w:w="1445"/>
      </w:tblGrid>
      <w:tr>
        <w:trPr>
          <w:trHeight w:val="322" w:hRule="exact"/>
        </w:trPr>
        <w:tc>
          <w:tcPr>
            <w:tcW w:w="1344" w:type="dxa"/>
            <w:vMerge w:val="restart"/>
            <w:tcBorders>
              <w:top w:val="single" w:sz="4" w:space="0" w:color="000000"/>
              <w:left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851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 w:right="0"/>
              <w:jc w:val="center"/>
              <w:rPr>
                <w:rFonts w:ascii="宋体" w:hAnsi="宋体" w:cs="宋体" w:eastAsia="宋体" w:hint="default"/>
                <w:sz w:val="15"/>
                <w:szCs w:val="15"/>
              </w:rPr>
            </w:pPr>
            <w:r>
              <w:rPr>
                <w:rFonts w:ascii="宋体" w:hAnsi="宋体" w:cs="宋体" w:eastAsia="宋体" w:hint="default"/>
                <w:b/>
                <w:bCs/>
                <w:sz w:val="15"/>
                <w:szCs w:val="15"/>
              </w:rPr>
              <w:t>年初余额</w:t>
            </w:r>
            <w:r>
              <w:rPr>
                <w:rFonts w:ascii="宋体" w:hAnsi="宋体" w:cs="宋体" w:eastAsia="宋体" w:hint="default"/>
                <w:sz w:val="15"/>
                <w:szCs w:val="15"/>
              </w:rPr>
            </w:r>
          </w:p>
        </w:tc>
      </w:tr>
      <w:tr>
        <w:trPr>
          <w:trHeight w:val="322" w:hRule="exact"/>
        </w:trPr>
        <w:tc>
          <w:tcPr>
            <w:tcW w:w="1344" w:type="dxa"/>
            <w:vMerge/>
            <w:tcBorders>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53" w:right="0"/>
              <w:jc w:val="left"/>
              <w:rPr>
                <w:rFonts w:ascii="宋体" w:hAnsi="宋体" w:cs="宋体" w:eastAsia="宋体" w:hint="default"/>
                <w:sz w:val="15"/>
                <w:szCs w:val="15"/>
              </w:rPr>
            </w:pPr>
            <w:r>
              <w:rPr>
                <w:rFonts w:ascii="宋体" w:hAnsi="宋体" w:cs="宋体" w:eastAsia="宋体" w:hint="default"/>
                <w:b/>
                <w:bCs/>
                <w:sz w:val="15"/>
                <w:szCs w:val="15"/>
              </w:rPr>
              <w:t>账面价值</w:t>
            </w:r>
            <w:r>
              <w:rPr>
                <w:rFonts w:ascii="宋体" w:hAnsi="宋体" w:cs="宋体" w:eastAsia="宋体" w:hint="default"/>
                <w:sz w:val="15"/>
                <w:szCs w:val="15"/>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12" w:right="0"/>
              <w:jc w:val="left"/>
              <w:rPr>
                <w:rFonts w:ascii="宋体" w:hAnsi="宋体" w:cs="宋体" w:eastAsia="宋体" w:hint="default"/>
                <w:sz w:val="15"/>
                <w:szCs w:val="15"/>
              </w:rPr>
            </w:pPr>
            <w:r>
              <w:rPr>
                <w:rFonts w:ascii="宋体" w:hAnsi="宋体" w:cs="宋体" w:eastAsia="宋体" w:hint="default"/>
                <w:b/>
                <w:bCs/>
                <w:sz w:val="15"/>
                <w:szCs w:val="15"/>
              </w:rPr>
              <w:t>未折现合同金额</w:t>
            </w:r>
            <w:r>
              <w:rPr>
                <w:rFonts w:ascii="宋体" w:hAnsi="宋体" w:cs="宋体" w:eastAsia="宋体" w:hint="default"/>
                <w:sz w:val="15"/>
                <w:szCs w:val="15"/>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89" w:right="0"/>
              <w:jc w:val="left"/>
              <w:rPr>
                <w:rFonts w:ascii="宋体" w:hAnsi="宋体" w:cs="宋体" w:eastAsia="宋体" w:hint="default"/>
                <w:sz w:val="15"/>
                <w:szCs w:val="15"/>
              </w:rPr>
            </w:pPr>
            <w:r>
              <w:rPr>
                <w:rFonts w:ascii="Times New Roman" w:hAnsi="Times New Roman" w:cs="Times New Roman" w:eastAsia="Times New Roman" w:hint="default"/>
                <w:b/>
                <w:bCs/>
                <w:sz w:val="15"/>
                <w:szCs w:val="15"/>
              </w:rPr>
              <w:t>1</w:t>
            </w:r>
            <w:r>
              <w:rPr>
                <w:rFonts w:ascii="宋体" w:hAnsi="宋体" w:cs="宋体" w:eastAsia="宋体" w:hint="default"/>
                <w:b/>
                <w:bCs/>
                <w:sz w:val="15"/>
                <w:szCs w:val="15"/>
              </w:rPr>
              <w:t>年以内</w:t>
            </w:r>
            <w:r>
              <w:rPr>
                <w:rFonts w:ascii="宋体" w:hAnsi="宋体" w:cs="宋体" w:eastAsia="宋体" w:hint="default"/>
                <w:sz w:val="15"/>
                <w:szCs w:val="15"/>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 w:right="0"/>
              <w:jc w:val="center"/>
              <w:rPr>
                <w:rFonts w:ascii="宋体" w:hAnsi="宋体" w:cs="宋体" w:eastAsia="宋体" w:hint="default"/>
                <w:sz w:val="15"/>
                <w:szCs w:val="15"/>
              </w:rPr>
            </w:pPr>
            <w:r>
              <w:rPr>
                <w:rFonts w:ascii="Times New Roman" w:hAnsi="Times New Roman" w:cs="Times New Roman" w:eastAsia="Times New Roman" w:hint="default"/>
                <w:b/>
                <w:bCs/>
                <w:sz w:val="15"/>
                <w:szCs w:val="15"/>
              </w:rPr>
              <w:t>1-3</w:t>
            </w:r>
            <w:r>
              <w:rPr>
                <w:rFonts w:ascii="宋体" w:hAnsi="宋体" w:cs="宋体" w:eastAsia="宋体" w:hint="default"/>
                <w:b/>
                <w:bCs/>
                <w:sz w:val="15"/>
                <w:szCs w:val="15"/>
              </w:rPr>
              <w:t>年</w:t>
            </w:r>
            <w:r>
              <w:rPr>
                <w:rFonts w:ascii="宋体" w:hAnsi="宋体" w:cs="宋体" w:eastAsia="宋体" w:hint="default"/>
                <w:sz w:val="15"/>
                <w:szCs w:val="15"/>
              </w:rPr>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7" w:right="0"/>
              <w:jc w:val="left"/>
              <w:rPr>
                <w:rFonts w:ascii="宋体" w:hAnsi="宋体" w:cs="宋体" w:eastAsia="宋体" w:hint="default"/>
                <w:sz w:val="15"/>
                <w:szCs w:val="15"/>
              </w:rPr>
            </w:pPr>
            <w:r>
              <w:rPr>
                <w:rFonts w:ascii="Times New Roman" w:hAnsi="Times New Roman" w:cs="Times New Roman" w:eastAsia="Times New Roman" w:hint="default"/>
                <w:b/>
                <w:bCs/>
                <w:sz w:val="15"/>
                <w:szCs w:val="15"/>
              </w:rPr>
              <w:t>3</w:t>
            </w:r>
            <w:r>
              <w:rPr>
                <w:rFonts w:ascii="宋体" w:hAnsi="宋体" w:cs="宋体" w:eastAsia="宋体" w:hint="default"/>
                <w:b/>
                <w:bCs/>
                <w:sz w:val="15"/>
                <w:szCs w:val="15"/>
              </w:rPr>
              <w:t>年以上</w:t>
            </w:r>
            <w:r>
              <w:rPr>
                <w:rFonts w:ascii="宋体" w:hAnsi="宋体" w:cs="宋体" w:eastAsia="宋体" w:hint="default"/>
                <w:sz w:val="15"/>
                <w:szCs w:val="15"/>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5"/>
                <w:szCs w:val="15"/>
              </w:rPr>
            </w:pPr>
            <w:r>
              <w:rPr>
                <w:rFonts w:ascii="宋体" w:hAnsi="宋体" w:cs="宋体" w:eastAsia="宋体" w:hint="default"/>
                <w:b/>
                <w:bCs/>
                <w:sz w:val="15"/>
                <w:szCs w:val="15"/>
              </w:rPr>
              <w:t>合计</w:t>
            </w:r>
            <w:r>
              <w:rPr>
                <w:rFonts w:ascii="宋体" w:hAnsi="宋体" w:cs="宋体" w:eastAsia="宋体" w:hint="default"/>
                <w:sz w:val="15"/>
                <w:szCs w:val="15"/>
              </w:rPr>
            </w:r>
          </w:p>
        </w:tc>
      </w:tr>
      <w:tr>
        <w:trPr>
          <w:trHeight w:val="322"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短期借款</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961,233,510.40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987,607,646.40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Times New Roman" w:hAnsi="Times New Roman" w:cs="Times New Roman" w:eastAsia="Times New Roman" w:hint="default"/>
                <w:sz w:val="15"/>
                <w:szCs w:val="15"/>
              </w:rPr>
            </w:pPr>
            <w:r>
              <w:rPr>
                <w:rFonts w:ascii="Times New Roman"/>
                <w:spacing w:val="-1"/>
                <w:sz w:val="15"/>
              </w:rPr>
              <w:t>987,607,646.40</w:t>
            </w:r>
          </w:p>
        </w:tc>
        <w:tc>
          <w:tcPr>
            <w:tcW w:w="1344"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987,607,646.40</w:t>
            </w:r>
          </w:p>
        </w:tc>
      </w:tr>
      <w:tr>
        <w:trPr>
          <w:trHeight w:val="634"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103" w:right="87"/>
              <w:jc w:val="left"/>
              <w:rPr>
                <w:rFonts w:ascii="宋体" w:hAnsi="宋体" w:cs="宋体" w:eastAsia="宋体" w:hint="default"/>
                <w:sz w:val="15"/>
                <w:szCs w:val="15"/>
              </w:rPr>
            </w:pPr>
            <w:r>
              <w:rPr>
                <w:rFonts w:ascii="宋体" w:hAnsi="宋体" w:cs="宋体" w:eastAsia="宋体" w:hint="default"/>
                <w:spacing w:val="11"/>
                <w:sz w:val="15"/>
                <w:szCs w:val="15"/>
              </w:rPr>
              <w:t>应付票据及应付</w:t>
            </w:r>
            <w:r>
              <w:rPr>
                <w:rFonts w:ascii="宋体" w:hAnsi="宋体" w:cs="宋体" w:eastAsia="宋体" w:hint="default"/>
                <w:spacing w:val="-60"/>
                <w:sz w:val="15"/>
                <w:szCs w:val="15"/>
              </w:rPr>
              <w:t> </w:t>
            </w:r>
            <w:r>
              <w:rPr>
                <w:rFonts w:ascii="宋体" w:hAnsi="宋体" w:cs="宋体" w:eastAsia="宋体" w:hint="default"/>
                <w:sz w:val="15"/>
                <w:szCs w:val="15"/>
              </w:rPr>
              <w:t>账款</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684,911,679.75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684,911,679.75</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684,911,679.75</w:t>
            </w:r>
          </w:p>
        </w:tc>
        <w:tc>
          <w:tcPr>
            <w:tcW w:w="1344"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684,911,679.75</w:t>
            </w:r>
          </w:p>
        </w:tc>
      </w:tr>
      <w:tr>
        <w:trPr>
          <w:trHeight w:val="324"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5"/>
                <w:szCs w:val="15"/>
              </w:rPr>
            </w:pPr>
            <w:r>
              <w:rPr>
                <w:rFonts w:ascii="宋体" w:hAnsi="宋体" w:cs="宋体" w:eastAsia="宋体" w:hint="default"/>
                <w:sz w:val="15"/>
                <w:szCs w:val="15"/>
              </w:rPr>
              <w:t>其他应付款</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Times New Roman" w:hAnsi="Times New Roman" w:cs="Times New Roman" w:eastAsia="Times New Roman" w:hint="default"/>
                <w:sz w:val="15"/>
                <w:szCs w:val="15"/>
              </w:rPr>
            </w:pPr>
            <w:r>
              <w:rPr>
                <w:rFonts w:ascii="Times New Roman"/>
                <w:spacing w:val="-1"/>
                <w:sz w:val="15"/>
              </w:rPr>
              <w:t>23,579,236.01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Times New Roman" w:hAnsi="Times New Roman" w:cs="Times New Roman" w:eastAsia="Times New Roman" w:hint="default"/>
                <w:sz w:val="15"/>
                <w:szCs w:val="15"/>
              </w:rPr>
            </w:pPr>
            <w:r>
              <w:rPr>
                <w:rFonts w:ascii="Times New Roman"/>
                <w:spacing w:val="-1"/>
                <w:sz w:val="15"/>
              </w:rPr>
              <w:t>23,579,236.01</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Times New Roman" w:hAnsi="Times New Roman" w:cs="Times New Roman" w:eastAsia="Times New Roman" w:hint="default"/>
                <w:sz w:val="15"/>
                <w:szCs w:val="15"/>
              </w:rPr>
            </w:pPr>
            <w:r>
              <w:rPr>
                <w:rFonts w:ascii="Times New Roman"/>
                <w:spacing w:val="-1"/>
                <w:sz w:val="15"/>
              </w:rPr>
              <w:t>23,579,236.01</w:t>
            </w:r>
          </w:p>
        </w:tc>
        <w:tc>
          <w:tcPr>
            <w:tcW w:w="1344"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Times New Roman" w:hAnsi="Times New Roman" w:cs="Times New Roman" w:eastAsia="Times New Roman" w:hint="default"/>
                <w:sz w:val="15"/>
                <w:szCs w:val="15"/>
              </w:rPr>
            </w:pPr>
            <w:r>
              <w:rPr>
                <w:rFonts w:ascii="Times New Roman"/>
                <w:spacing w:val="-1"/>
                <w:sz w:val="15"/>
              </w:rPr>
              <w:t>23,579,236.01</w:t>
            </w:r>
          </w:p>
        </w:tc>
      </w:tr>
      <w:tr>
        <w:trPr>
          <w:trHeight w:val="634"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03" w:right="87"/>
              <w:jc w:val="left"/>
              <w:rPr>
                <w:rFonts w:ascii="宋体" w:hAnsi="宋体" w:cs="宋体" w:eastAsia="宋体" w:hint="default"/>
                <w:sz w:val="15"/>
                <w:szCs w:val="15"/>
              </w:rPr>
            </w:pPr>
            <w:r>
              <w:rPr>
                <w:rFonts w:ascii="宋体" w:hAnsi="宋体" w:cs="宋体" w:eastAsia="宋体" w:hint="default"/>
                <w:spacing w:val="11"/>
                <w:sz w:val="15"/>
                <w:szCs w:val="15"/>
              </w:rPr>
              <w:t>一年以内到期的</w:t>
            </w:r>
            <w:r>
              <w:rPr>
                <w:rFonts w:ascii="宋体" w:hAnsi="宋体" w:cs="宋体" w:eastAsia="宋体" w:hint="default"/>
                <w:spacing w:val="-60"/>
                <w:sz w:val="15"/>
                <w:szCs w:val="15"/>
              </w:rPr>
              <w:t> </w:t>
            </w:r>
            <w:r>
              <w:rPr>
                <w:rFonts w:ascii="宋体" w:hAnsi="宋体" w:cs="宋体" w:eastAsia="宋体" w:hint="default"/>
                <w:sz w:val="15"/>
                <w:szCs w:val="15"/>
              </w:rPr>
              <w:t>非流动负债</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38,400,000.00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39,535,524.00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39,535,524.00</w:t>
            </w:r>
          </w:p>
        </w:tc>
        <w:tc>
          <w:tcPr>
            <w:tcW w:w="1344"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39,535,524.00</w:t>
            </w:r>
          </w:p>
        </w:tc>
      </w:tr>
      <w:tr>
        <w:trPr>
          <w:trHeight w:val="322"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长期借款</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161,600,000.00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175,272,930.39</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Times New Roman" w:hAnsi="Times New Roman" w:cs="Times New Roman" w:eastAsia="Times New Roman" w:hint="default"/>
                <w:sz w:val="15"/>
                <w:szCs w:val="15"/>
              </w:rPr>
            </w:pPr>
            <w:r>
              <w:rPr>
                <w:rFonts w:ascii="Times New Roman"/>
                <w:spacing w:val="-1"/>
                <w:sz w:val="15"/>
              </w:rPr>
              <w:t>8,875,948.94</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Times New Roman" w:hAnsi="Times New Roman" w:cs="Times New Roman" w:eastAsia="Times New Roman" w:hint="default"/>
                <w:sz w:val="15"/>
                <w:szCs w:val="15"/>
              </w:rPr>
            </w:pPr>
            <w:r>
              <w:rPr>
                <w:rFonts w:ascii="Times New Roman"/>
                <w:spacing w:val="-1"/>
                <w:sz w:val="15"/>
              </w:rPr>
              <w:t>166,396,981.44</w:t>
            </w:r>
          </w:p>
        </w:tc>
        <w:tc>
          <w:tcPr>
            <w:tcW w:w="1011"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175,272,930.38</w:t>
            </w:r>
          </w:p>
        </w:tc>
      </w:tr>
      <w:tr>
        <w:trPr>
          <w:trHeight w:val="322"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应付债券</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397,985,675.62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469,030,120.06</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Times New Roman" w:hAnsi="Times New Roman" w:cs="Times New Roman" w:eastAsia="Times New Roman" w:hint="default"/>
                <w:sz w:val="15"/>
                <w:szCs w:val="15"/>
              </w:rPr>
            </w:pPr>
            <w:r>
              <w:rPr>
                <w:rFonts w:ascii="Times New Roman"/>
                <w:spacing w:val="-1"/>
                <w:sz w:val="15"/>
              </w:rPr>
              <w:t>25,280,000.00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Times New Roman" w:hAnsi="Times New Roman" w:cs="Times New Roman" w:eastAsia="Times New Roman" w:hint="default"/>
                <w:sz w:val="15"/>
                <w:szCs w:val="15"/>
              </w:rPr>
            </w:pPr>
            <w:r>
              <w:rPr>
                <w:rFonts w:ascii="Times New Roman"/>
                <w:spacing w:val="-1"/>
                <w:sz w:val="15"/>
              </w:rPr>
              <w:t>443,750,120.06</w:t>
            </w:r>
          </w:p>
        </w:tc>
        <w:tc>
          <w:tcPr>
            <w:tcW w:w="1011"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469,030,120.06</w:t>
            </w:r>
          </w:p>
        </w:tc>
      </w:tr>
      <w:tr>
        <w:trPr>
          <w:trHeight w:val="322"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长期应付款</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Times New Roman" w:hAnsi="Times New Roman" w:cs="Times New Roman" w:eastAsia="Times New Roman" w:hint="default"/>
                <w:sz w:val="15"/>
                <w:szCs w:val="15"/>
              </w:rPr>
            </w:pPr>
            <w:r>
              <w:rPr>
                <w:rFonts w:ascii="Times New Roman"/>
                <w:spacing w:val="-1"/>
                <w:sz w:val="15"/>
              </w:rPr>
              <w:t>85,928,008.10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108,254,618.04</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Times New Roman" w:hAnsi="Times New Roman" w:cs="Times New Roman" w:eastAsia="Times New Roman" w:hint="default"/>
                <w:sz w:val="15"/>
                <w:szCs w:val="15"/>
              </w:rPr>
            </w:pPr>
            <w:r>
              <w:rPr>
                <w:rFonts w:ascii="Times New Roman"/>
                <w:spacing w:val="-1"/>
                <w:sz w:val="15"/>
              </w:rPr>
              <w:t>46,506,451.45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Times New Roman" w:hAnsi="Times New Roman" w:cs="Times New Roman" w:eastAsia="Times New Roman" w:hint="default"/>
                <w:sz w:val="15"/>
                <w:szCs w:val="15"/>
              </w:rPr>
            </w:pPr>
            <w:r>
              <w:rPr>
                <w:rFonts w:ascii="Times New Roman"/>
                <w:spacing w:val="-1"/>
                <w:sz w:val="15"/>
              </w:rPr>
              <w:t>61,748,166.59</w:t>
            </w:r>
          </w:p>
        </w:tc>
        <w:tc>
          <w:tcPr>
            <w:tcW w:w="1011"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108,254,618.04</w:t>
            </w:r>
          </w:p>
        </w:tc>
      </w:tr>
      <w:tr>
        <w:trPr>
          <w:trHeight w:val="324"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Times New Roman" w:hAnsi="Times New Roman" w:cs="Times New Roman" w:eastAsia="Times New Roman" w:hint="default"/>
                <w:sz w:val="15"/>
                <w:szCs w:val="15"/>
              </w:rPr>
            </w:pPr>
            <w:r>
              <w:rPr>
                <w:rFonts w:ascii="Times New Roman"/>
                <w:spacing w:val="-1"/>
                <w:sz w:val="15"/>
              </w:rPr>
              <w:t>2,353,638,109.88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Times New Roman" w:hAnsi="Times New Roman" w:cs="Times New Roman" w:eastAsia="Times New Roman" w:hint="default"/>
                <w:sz w:val="15"/>
                <w:szCs w:val="15"/>
              </w:rPr>
            </w:pPr>
            <w:r>
              <w:rPr>
                <w:rFonts w:ascii="Times New Roman"/>
                <w:spacing w:val="-1"/>
                <w:sz w:val="15"/>
              </w:rPr>
              <w:t>2,488,191,754.65</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Times New Roman" w:hAnsi="Times New Roman" w:cs="Times New Roman" w:eastAsia="Times New Roman" w:hint="default"/>
                <w:sz w:val="15"/>
                <w:szCs w:val="15"/>
              </w:rPr>
            </w:pPr>
            <w:r>
              <w:rPr>
                <w:rFonts w:ascii="Times New Roman"/>
                <w:spacing w:val="-1"/>
                <w:sz w:val="15"/>
              </w:rPr>
              <w:t>1,816,296,486.55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Times New Roman" w:hAnsi="Times New Roman" w:cs="Times New Roman" w:eastAsia="Times New Roman" w:hint="default"/>
                <w:sz w:val="15"/>
                <w:szCs w:val="15"/>
              </w:rPr>
            </w:pPr>
            <w:r>
              <w:rPr>
                <w:rFonts w:ascii="Times New Roman"/>
                <w:spacing w:val="-1"/>
                <w:sz w:val="15"/>
              </w:rPr>
              <w:t>671,895,268.09</w:t>
            </w:r>
          </w:p>
        </w:tc>
        <w:tc>
          <w:tcPr>
            <w:tcW w:w="1011"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Times New Roman" w:hAnsi="Times New Roman" w:cs="Times New Roman" w:eastAsia="Times New Roman" w:hint="default"/>
                <w:sz w:val="15"/>
                <w:szCs w:val="15"/>
              </w:rPr>
            </w:pPr>
            <w:r>
              <w:rPr>
                <w:rFonts w:ascii="Times New Roman"/>
                <w:spacing w:val="-1"/>
                <w:sz w:val="15"/>
              </w:rPr>
              <w:t>2,488,191,754.64</w:t>
            </w: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7"/>
          <w:szCs w:val="27"/>
        </w:rPr>
      </w:pPr>
    </w:p>
    <w:p>
      <w:pPr>
        <w:pStyle w:val="Heading2"/>
        <w:spacing w:line="240" w:lineRule="auto" w:before="26"/>
        <w:ind w:left="212" w:right="1168"/>
        <w:jc w:val="left"/>
        <w:rPr>
          <w:b w:val="0"/>
          <w:bCs w:val="0"/>
        </w:rPr>
      </w:pPr>
      <w:r>
        <w:rPr/>
        <w:t>十一、公允价值的披露</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212" w:right="1168"/>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994"/>
        <w:gridCol w:w="1837"/>
        <w:gridCol w:w="1913"/>
        <w:gridCol w:w="1913"/>
        <w:gridCol w:w="1916"/>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23"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2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、持续和非持续第二层次公允价值计量项目，采用的估值技术和重要参数的定性及定量信息</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、持续和非持续第三层次公允价值计量项目，采用的估值技术和重要参数的定性及定量信息</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、持续的第三层次公允价值计量项目，期初与期末账面价值间的调节信息及不可观察参数敏感性分析</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、持续的公允价值计量项目，本期内发生各层级之间转换的，转换的原因及确定转换时点的政策</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、本期内发生的估值技术变更及变更原因</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、不以公允价值计量的金融资产和金融负债的公允价值情况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487" w:lineRule="auto" w:before="0"/>
        <w:ind w:left="152" w:right="8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4"/>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42"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357" w:lineRule="auto" w:before="49"/>
        <w:ind w:right="8594"/>
        <w:jc w:val="left"/>
      </w:pPr>
      <w:r>
        <w:rPr/>
        <w:t>本企业的母公司情况的说明 本企业最终控制方是。 其他说明：</w:t>
      </w:r>
    </w:p>
    <w:p>
      <w:pPr>
        <w:pStyle w:val="BodyText"/>
        <w:spacing w:line="240" w:lineRule="auto" w:before="29"/>
        <w:ind w:right="1133"/>
        <w:jc w:val="left"/>
      </w:pPr>
      <w:r>
        <w:rPr/>
        <w:t>本公司实际控制人为曾胜强、许忠桂夫妇。</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本企业子公司的情况详见附注七</w:t>
      </w:r>
      <w:r>
        <w:rPr>
          <w:spacing w:val="-92"/>
        </w:rPr>
        <w:t>、</w:t>
      </w:r>
      <w:r>
        <w:rPr/>
        <w:t>（一</w:t>
      </w:r>
      <w:r>
        <w:rPr>
          <w:spacing w:val="-92"/>
        </w:rPr>
        <w:t>）</w:t>
      </w:r>
      <w:r>
        <w:rPr/>
        <w:t>。</w:t>
      </w:r>
    </w:p>
    <w:p>
      <w:pPr>
        <w:spacing w:line="240" w:lineRule="auto" w:before="0"/>
        <w:rPr>
          <w:rFonts w:ascii="宋体" w:hAnsi="宋体" w:cs="宋体" w:eastAsia="宋体" w:hint="default"/>
          <w:sz w:val="18"/>
          <w:szCs w:val="18"/>
        </w:rPr>
      </w:pPr>
    </w:p>
    <w:p>
      <w:pPr>
        <w:pStyle w:val="Heading3"/>
        <w:spacing w:line="240" w:lineRule="auto" w:before="121"/>
        <w:ind w:right="1133"/>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2294"/>
        <w:jc w:val="left"/>
      </w:pPr>
      <w:r>
        <w:rPr/>
        <w:t>本企业重要的合营或联营企业详见附注。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70"/>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杭州益趣科技有限公司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本公司参股公司</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深圳盛灿科技股份有限公司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本公司参股公司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深圳市国溢工程服务有限公司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本公司原高管亲属控制的公司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本公司董事长、总经理</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许忠慈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本公司董事、副总经理</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张锦鸿</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本公司副总经理</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傅德亮</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本公司董事会秘书、副经理</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403"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深圳盛灿科技股份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软件开发服务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4,716,981.13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34,000,000.00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3,009,433.96</w:t>
            </w:r>
          </w:p>
        </w:tc>
      </w:tr>
      <w:tr>
        <w:trPr>
          <w:trHeight w:val="71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杭州益趣科技有限 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3,159.49</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深圳市国溢工程服 务有限公司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施工费</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295,308.20</w:t>
            </w: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4,716,981.13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36,000,000.00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3,307,901.65</w:t>
            </w:r>
          </w:p>
        </w:tc>
      </w:tr>
    </w:tbl>
    <w:p>
      <w:pPr>
        <w:pStyle w:val="BodyText"/>
        <w:spacing w:line="240" w:lineRule="auto" w:before="49"/>
        <w:ind w:right="1133"/>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杭州益趣科技有限公司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软件、技术服务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176,603.77</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深圳盛灿科技股份有限公司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商品销售、技术服务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1,556,603.77</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11,008.55</w:t>
            </w:r>
          </w:p>
        </w:tc>
      </w:tr>
      <w:tr>
        <w:trPr>
          <w:trHeight w:val="40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1,556,603.77</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187,612.32</w:t>
            </w:r>
          </w:p>
        </w:tc>
      </w:tr>
    </w:tbl>
    <w:p>
      <w:pPr>
        <w:pStyle w:val="BodyText"/>
        <w:spacing w:line="240" w:lineRule="auto" w:before="49"/>
        <w:ind w:right="1133"/>
        <w:jc w:val="left"/>
      </w:pPr>
      <w:r>
        <w:rPr/>
        <w:t>购销商品、提供和接受劳务的关联交易说明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27" w:right="21"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1" w:right="48"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pStyle w:val="BodyText"/>
        <w:spacing w:line="340" w:lineRule="auto" w:before="49"/>
        <w:ind w:right="8364"/>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after="0" w:line="3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407" w:right="21"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91" w:right="48"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49"/>
        <w:ind w:right="1133"/>
        <w:jc w:val="left"/>
      </w:pPr>
      <w:r>
        <w:rPr/>
        <w:t>关联管理</w:t>
      </w:r>
      <w:r>
        <w:rPr>
          <w:rFonts w:ascii="Times New Roman" w:hAnsi="Times New Roman" w:cs="Times New Roman" w:eastAsia="Times New Roman" w:hint="default"/>
        </w:rPr>
        <w:t>/</w:t>
      </w:r>
      <w:r>
        <w:rPr/>
        <w:t>出包情况说明</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本公司作为出租方：</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81"/>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49"/>
        <w:ind w:right="1133"/>
        <w:jc w:val="left"/>
      </w:pPr>
      <w:r>
        <w:rPr/>
        <w:t>本公司作为承租方：</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5"/>
        <w:gridCol w:w="2392"/>
        <w:gridCol w:w="2381"/>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9"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49"/>
        <w:ind w:right="1133"/>
        <w:jc w:val="left"/>
      </w:pPr>
      <w:r>
        <w:rPr/>
        <w:t>关联租赁情况说明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本公司作为担保方</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49"/>
        <w:ind w:right="1133"/>
        <w:jc w:val="left"/>
      </w:pPr>
      <w:r>
        <w:rPr/>
        <w:t>本公司作为被担保方</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49"/>
        <w:ind w:right="1133"/>
        <w:jc w:val="left"/>
      </w:pPr>
      <w:r>
        <w:rPr/>
        <w:t>关联担保情况说明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许忠慈</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日分别归还</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5"/>
        <w:gridCol w:w="2392"/>
        <w:gridCol w:w="2381"/>
      </w:tblGrid>
      <w:tr>
        <w:trPr>
          <w:trHeight w:val="40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5,584,900.00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5,799,900.00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2"/>
        <w:gridCol w:w="2552"/>
        <w:gridCol w:w="1419"/>
        <w:gridCol w:w="1416"/>
        <w:gridCol w:w="1136"/>
        <w:gridCol w:w="1344"/>
      </w:tblGrid>
      <w:tr>
        <w:trPr>
          <w:trHeight w:val="401" w:hRule="exact"/>
        </w:trPr>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5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2552"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广州水晶智联科技有限公司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5,289,930.71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528,993.07</w:t>
            </w:r>
          </w:p>
        </w:tc>
        <w:tc>
          <w:tcPr>
            <w:tcW w:w="113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55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5,289,930.71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528,993.07</w:t>
            </w:r>
          </w:p>
        </w:tc>
        <w:tc>
          <w:tcPr>
            <w:tcW w:w="113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广州水晶智联科技有限公司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711,654.00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71,165.40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55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711,654.00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71,165.40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573"/>
        <w:gridCol w:w="2213"/>
        <w:gridCol w:w="2393"/>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深圳市国溢工程服务有限公司</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11,396.95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163,419.85</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573"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11,396.95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163,419.85</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深圳盛灿科技股份有限公司</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3,350,000.00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573"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3,350,000.00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10,154.00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许忠慈</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10,012,557.00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张锦鸿</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26,075.00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傅德亮</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14,932.50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573"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10,063,718.50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7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其中以上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人的其他应付款金额均为未支付的人才补贴款。</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r>
        <w:rPr/>
        <w:pict>
          <v:group style="position:absolute;margin-left:163.699997pt;margin-top:245.689987pt;width:62.8pt;height:15.6pt;mso-position-horizontal-relative:page;mso-position-vertical-relative:page;z-index:-1202632" coordorigin="3274,4914" coordsize="1256,312">
            <v:shape style="position:absolute;left:3274;top:4914;width:1256;height:312" coordorigin="3274,4914" coordsize="1256,312" path="m3274,5226l4530,5226,4530,4914,3274,4914,3274,5226xe" filled="true" fillcolor="#ffffff" stroked="false">
              <v:path arrowok="t"/>
              <v:fill type="solid"/>
            </v:shape>
            <w10:wrap type="none"/>
          </v:group>
        </w:pict>
      </w:r>
    </w:p>
    <w:p>
      <w:pPr>
        <w:pStyle w:val="Heading3"/>
        <w:spacing w:line="240" w:lineRule="auto" w:before="36"/>
        <w:ind w:right="1133"/>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公司作为被担保方：</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132"/>
        <w:gridCol w:w="1273"/>
        <w:gridCol w:w="1274"/>
        <w:gridCol w:w="1844"/>
        <w:gridCol w:w="1419"/>
        <w:gridCol w:w="1069"/>
      </w:tblGrid>
      <w:tr>
        <w:trPr>
          <w:trHeight w:val="694"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担保方</w:t>
            </w:r>
            <w:r>
              <w:rPr>
                <w:rFonts w:ascii="宋体" w:hAnsi="宋体" w:cs="宋体" w:eastAsia="宋体" w:hint="default"/>
                <w:sz w:val="18"/>
                <w:szCs w:val="18"/>
              </w:rPr>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04" w:right="0"/>
              <w:jc w:val="left"/>
              <w:rPr>
                <w:rFonts w:ascii="宋体" w:hAnsi="宋体" w:cs="宋体" w:eastAsia="宋体" w:hint="default"/>
                <w:sz w:val="18"/>
                <w:szCs w:val="18"/>
              </w:rPr>
            </w:pPr>
            <w:r>
              <w:rPr>
                <w:rFonts w:ascii="宋体" w:hAnsi="宋体" w:cs="宋体" w:eastAsia="宋体" w:hint="default"/>
                <w:b/>
                <w:bCs/>
                <w:sz w:val="18"/>
                <w:szCs w:val="18"/>
              </w:rPr>
              <w:t>授信金额</w:t>
            </w:r>
            <w:r>
              <w:rPr>
                <w:rFonts w:ascii="宋体" w:hAnsi="宋体" w:cs="宋体" w:eastAsia="宋体" w:hint="default"/>
                <w:sz w:val="18"/>
                <w:szCs w:val="18"/>
              </w:rPr>
            </w:r>
          </w:p>
          <w:p>
            <w:pPr>
              <w:pStyle w:val="TableParagraph"/>
              <w:spacing w:line="240" w:lineRule="auto" w:before="76"/>
              <w:ind w:left="3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万元</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07" w:right="0"/>
              <w:jc w:val="left"/>
              <w:rPr>
                <w:rFonts w:ascii="宋体" w:hAnsi="宋体" w:cs="宋体" w:eastAsia="宋体" w:hint="default"/>
                <w:sz w:val="18"/>
                <w:szCs w:val="18"/>
              </w:rPr>
            </w:pPr>
            <w:r>
              <w:rPr>
                <w:rFonts w:ascii="宋体" w:hAnsi="宋体" w:cs="宋体" w:eastAsia="宋体" w:hint="default"/>
                <w:b/>
                <w:bCs/>
                <w:sz w:val="18"/>
                <w:szCs w:val="18"/>
              </w:rPr>
              <w:t>提款金额</w:t>
            </w:r>
            <w:r>
              <w:rPr>
                <w:rFonts w:ascii="宋体" w:hAnsi="宋体" w:cs="宋体" w:eastAsia="宋体" w:hint="default"/>
                <w:sz w:val="18"/>
                <w:szCs w:val="18"/>
              </w:rPr>
            </w:r>
          </w:p>
          <w:p>
            <w:pPr>
              <w:pStyle w:val="TableParagraph"/>
              <w:spacing w:line="240" w:lineRule="auto" w:before="76"/>
              <w:ind w:left="38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万元</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b/>
                <w:bCs/>
                <w:sz w:val="18"/>
                <w:szCs w:val="18"/>
              </w:rPr>
              <w:t>合同借款开始日期</w:t>
            </w:r>
            <w:r>
              <w:rPr>
                <w:rFonts w:ascii="宋体" w:hAnsi="宋体" w:cs="宋体" w:eastAsia="宋体" w:hint="default"/>
                <w:sz w:val="18"/>
                <w:szCs w:val="18"/>
              </w:rPr>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b/>
                <w:bCs/>
                <w:sz w:val="18"/>
                <w:szCs w:val="18"/>
              </w:rPr>
              <w:t>合同还款日期</w:t>
            </w:r>
            <w:r>
              <w:rPr>
                <w:rFonts w:ascii="宋体" w:hAnsi="宋体" w:cs="宋体" w:eastAsia="宋体" w:hint="default"/>
                <w:sz w:val="18"/>
                <w:szCs w:val="18"/>
              </w:rPr>
            </w:r>
          </w:p>
        </w:tc>
        <w:tc>
          <w:tcPr>
            <w:tcW w:w="1069" w:type="dxa"/>
            <w:tcBorders>
              <w:top w:val="single" w:sz="6" w:space="0" w:color="000000"/>
              <w:left w:val="single" w:sz="6" w:space="0" w:color="000000"/>
              <w:bottom w:val="single" w:sz="6" w:space="0" w:color="000000"/>
              <w:right w:val="nil" w:sz="6" w:space="0" w:color="auto"/>
            </w:tcBorders>
          </w:tcPr>
          <w:p>
            <w:pPr>
              <w:pStyle w:val="TableParagraph"/>
              <w:spacing w:line="316" w:lineRule="auto" w:before="17"/>
              <w:ind w:left="62" w:right="95"/>
              <w:jc w:val="left"/>
              <w:rPr>
                <w:rFonts w:ascii="宋体" w:hAnsi="宋体" w:cs="宋体" w:eastAsia="宋体" w:hint="default"/>
                <w:sz w:val="18"/>
                <w:szCs w:val="18"/>
              </w:rPr>
            </w:pPr>
            <w:r>
              <w:rPr>
                <w:rFonts w:ascii="宋体" w:hAnsi="宋体" w:cs="宋体" w:eastAsia="宋体" w:hint="default"/>
                <w:b/>
                <w:bCs/>
                <w:sz w:val="18"/>
                <w:szCs w:val="18"/>
              </w:rPr>
              <w:t>担保是否已</w:t>
            </w:r>
            <w:r>
              <w:rPr>
                <w:rFonts w:ascii="宋体" w:hAnsi="宋体" w:cs="宋体" w:eastAsia="宋体" w:hint="default"/>
                <w:b/>
                <w:bCs/>
                <w:w w:val="99"/>
                <w:sz w:val="18"/>
                <w:szCs w:val="18"/>
              </w:rPr>
              <w:t> </w:t>
            </w:r>
            <w:r>
              <w:rPr>
                <w:rFonts w:ascii="宋体" w:hAnsi="宋体" w:cs="宋体" w:eastAsia="宋体" w:hint="default"/>
                <w:b/>
                <w:bCs/>
                <w:sz w:val="18"/>
                <w:szCs w:val="18"/>
              </w:rPr>
              <w:t>经履约完毕</w:t>
            </w:r>
            <w:r>
              <w:rPr>
                <w:rFonts w:ascii="宋体" w:hAnsi="宋体" w:cs="宋体" w:eastAsia="宋体" w:hint="default"/>
                <w:sz w:val="18"/>
                <w:szCs w:val="18"/>
              </w:rPr>
            </w:r>
          </w:p>
        </w:tc>
      </w:tr>
      <w:tr>
        <w:trPr>
          <w:trHeight w:val="348" w:hRule="exact"/>
        </w:trPr>
        <w:tc>
          <w:tcPr>
            <w:tcW w:w="213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316" w:lineRule="auto"/>
              <w:ind w:left="4" w:right="-48"/>
              <w:jc w:val="both"/>
              <w:rPr>
                <w:rFonts w:ascii="宋体" w:hAnsi="宋体" w:cs="宋体" w:eastAsia="宋体" w:hint="default"/>
                <w:sz w:val="18"/>
                <w:szCs w:val="18"/>
              </w:rPr>
            </w:pPr>
            <w:r>
              <w:rPr>
                <w:rFonts w:ascii="宋体" w:hAnsi="宋体" w:cs="宋体" w:eastAsia="宋体" w:hint="default"/>
                <w:sz w:val="18"/>
                <w:szCs w:val="18"/>
              </w:rPr>
              <w:t>曾胜强、许忠桂连带担保、 </w:t>
            </w:r>
            <w:r>
              <w:rPr>
                <w:rFonts w:ascii="宋体" w:hAnsi="宋体" w:cs="宋体" w:eastAsia="宋体" w:hint="default"/>
                <w:spacing w:val="10"/>
                <w:sz w:val="18"/>
                <w:szCs w:val="18"/>
              </w:rPr>
              <w:t>深圳市证通金信科技有限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公司担保</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3,000.00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2018.07.11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2019.07.11</w:t>
            </w:r>
          </w:p>
        </w:tc>
        <w:tc>
          <w:tcPr>
            <w:tcW w:w="10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3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6" w:hRule="exact"/>
        </w:trPr>
        <w:tc>
          <w:tcPr>
            <w:tcW w:w="2132" w:type="dxa"/>
            <w:vMerge/>
            <w:tcBorders>
              <w:left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8,000.00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2,000.00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2018.12.25</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2019.12.25</w:t>
            </w:r>
          </w:p>
        </w:tc>
        <w:tc>
          <w:tcPr>
            <w:tcW w:w="10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3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8" w:hRule="exact"/>
        </w:trPr>
        <w:tc>
          <w:tcPr>
            <w:tcW w:w="2132" w:type="dxa"/>
            <w:vMerge/>
            <w:tcBorders>
              <w:left w:val="single" w:sz="6" w:space="0" w:color="000000"/>
              <w:right w:val="single" w:sz="6" w:space="0" w:color="000000"/>
            </w:tcBorders>
          </w:tcPr>
          <w:p>
            <w:pPr/>
          </w:p>
        </w:tc>
        <w:tc>
          <w:tcPr>
            <w:tcW w:w="127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535" w:right="0"/>
              <w:jc w:val="left"/>
              <w:rPr>
                <w:rFonts w:ascii="Times New Roman" w:hAnsi="Times New Roman" w:cs="Times New Roman" w:eastAsia="Times New Roman" w:hint="default"/>
                <w:sz w:val="18"/>
                <w:szCs w:val="18"/>
              </w:rPr>
            </w:pPr>
            <w:r>
              <w:rPr>
                <w:rFonts w:ascii="Times New Roman"/>
                <w:sz w:val="18"/>
              </w:rPr>
              <w:t>20,000.00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5,000.00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2018.03.06</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2019.03.05</w:t>
            </w:r>
          </w:p>
        </w:tc>
        <w:tc>
          <w:tcPr>
            <w:tcW w:w="10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3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9" w:hRule="exact"/>
        </w:trPr>
        <w:tc>
          <w:tcPr>
            <w:tcW w:w="2132" w:type="dxa"/>
            <w:vMerge/>
            <w:tcBorders>
              <w:left w:val="single" w:sz="6" w:space="0" w:color="000000"/>
              <w:right w:val="single" w:sz="6" w:space="0" w:color="000000"/>
            </w:tcBorders>
          </w:tcPr>
          <w:p>
            <w:pPr/>
          </w:p>
        </w:tc>
        <w:tc>
          <w:tcPr>
            <w:tcW w:w="1273" w:type="dxa"/>
            <w:vMerge/>
            <w:tcBorders>
              <w:left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5,000.00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2018.08.14</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2019.06.13</w:t>
            </w:r>
          </w:p>
        </w:tc>
        <w:tc>
          <w:tcPr>
            <w:tcW w:w="10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8"/>
              <w:ind w:right="3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6" w:hRule="exact"/>
        </w:trPr>
        <w:tc>
          <w:tcPr>
            <w:tcW w:w="2132" w:type="dxa"/>
            <w:vMerge/>
            <w:tcBorders>
              <w:left w:val="single" w:sz="6" w:space="0" w:color="000000"/>
              <w:right w:val="single" w:sz="6" w:space="0" w:color="000000"/>
            </w:tcBorders>
          </w:tcPr>
          <w:p>
            <w:pPr/>
          </w:p>
        </w:tc>
        <w:tc>
          <w:tcPr>
            <w:tcW w:w="1273" w:type="dxa"/>
            <w:vMerge/>
            <w:tcBorders>
              <w:left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1,000.00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2018.05.28</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2019.05.27</w:t>
            </w:r>
          </w:p>
        </w:tc>
        <w:tc>
          <w:tcPr>
            <w:tcW w:w="10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3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8" w:hRule="exact"/>
        </w:trPr>
        <w:tc>
          <w:tcPr>
            <w:tcW w:w="2132" w:type="dxa"/>
            <w:vMerge/>
            <w:tcBorders>
              <w:left w:val="single" w:sz="6" w:space="0" w:color="000000"/>
              <w:right w:val="single" w:sz="6" w:space="0" w:color="000000"/>
            </w:tcBorders>
          </w:tcPr>
          <w:p>
            <w:pPr/>
          </w:p>
        </w:tc>
        <w:tc>
          <w:tcPr>
            <w:tcW w:w="1273" w:type="dxa"/>
            <w:vMerge/>
            <w:tcBorders>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3,084.35</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2018.10.18</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2019.10.18</w:t>
            </w:r>
          </w:p>
        </w:tc>
        <w:tc>
          <w:tcPr>
            <w:tcW w:w="10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3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6" w:hRule="exact"/>
        </w:trPr>
        <w:tc>
          <w:tcPr>
            <w:tcW w:w="2132" w:type="dxa"/>
            <w:vMerge/>
            <w:tcBorders>
              <w:left w:val="single" w:sz="6" w:space="0" w:color="000000"/>
              <w:right w:val="single" w:sz="6" w:space="0" w:color="000000"/>
            </w:tcBorders>
          </w:tcPr>
          <w:p>
            <w:pPr/>
          </w:p>
        </w:tc>
        <w:tc>
          <w:tcPr>
            <w:tcW w:w="1273"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35" w:right="0"/>
              <w:jc w:val="left"/>
              <w:rPr>
                <w:rFonts w:ascii="Times New Roman" w:hAnsi="Times New Roman" w:cs="Times New Roman" w:eastAsia="Times New Roman" w:hint="default"/>
                <w:sz w:val="18"/>
                <w:szCs w:val="18"/>
              </w:rPr>
            </w:pPr>
            <w:r>
              <w:rPr>
                <w:rFonts w:ascii="Times New Roman"/>
                <w:sz w:val="18"/>
              </w:rPr>
              <w:t>10,000.00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5,000.00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2018.01.11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2019.01.11</w:t>
            </w:r>
          </w:p>
        </w:tc>
        <w:tc>
          <w:tcPr>
            <w:tcW w:w="10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3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8" w:hRule="exact"/>
        </w:trPr>
        <w:tc>
          <w:tcPr>
            <w:tcW w:w="2132" w:type="dxa"/>
            <w:vMerge/>
            <w:tcBorders>
              <w:left w:val="single" w:sz="6" w:space="0" w:color="000000"/>
              <w:right w:val="single" w:sz="6" w:space="0" w:color="000000"/>
            </w:tcBorders>
          </w:tcPr>
          <w:p>
            <w:pPr/>
          </w:p>
        </w:tc>
        <w:tc>
          <w:tcPr>
            <w:tcW w:w="1273" w:type="dxa"/>
            <w:vMerge/>
            <w:tcBorders>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4,000.00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2018.10.24</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2019.04.02</w:t>
            </w:r>
          </w:p>
        </w:tc>
        <w:tc>
          <w:tcPr>
            <w:tcW w:w="10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3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8" w:hRule="exact"/>
        </w:trPr>
        <w:tc>
          <w:tcPr>
            <w:tcW w:w="2132" w:type="dxa"/>
            <w:vMerge/>
            <w:tcBorders>
              <w:left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3,590.83</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2018.03.06</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2019.03.06</w:t>
            </w:r>
          </w:p>
        </w:tc>
        <w:tc>
          <w:tcPr>
            <w:tcW w:w="10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3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6" w:hRule="exact"/>
        </w:trPr>
        <w:tc>
          <w:tcPr>
            <w:tcW w:w="2132" w:type="dxa"/>
            <w:vMerge/>
            <w:tcBorders>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2018.12.05</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2019.12.05</w:t>
            </w:r>
          </w:p>
        </w:tc>
        <w:tc>
          <w:tcPr>
            <w:tcW w:w="10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3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8" w:hRule="exact"/>
        </w:trPr>
        <w:tc>
          <w:tcPr>
            <w:tcW w:w="213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曾胜强、许忠桂连带担保</w:t>
            </w:r>
          </w:p>
        </w:tc>
        <w:tc>
          <w:tcPr>
            <w:tcW w:w="127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35" w:right="0"/>
              <w:jc w:val="left"/>
              <w:rPr>
                <w:rFonts w:ascii="Times New Roman" w:hAnsi="Times New Roman" w:cs="Times New Roman" w:eastAsia="Times New Roman" w:hint="default"/>
                <w:sz w:val="18"/>
                <w:szCs w:val="18"/>
              </w:rPr>
            </w:pPr>
            <w:r>
              <w:rPr>
                <w:rFonts w:ascii="Times New Roman"/>
                <w:sz w:val="18"/>
              </w:rPr>
              <w:t>25,000.00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2018.08.14</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2019.08.09</w:t>
            </w:r>
          </w:p>
        </w:tc>
        <w:tc>
          <w:tcPr>
            <w:tcW w:w="10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3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6" w:hRule="exact"/>
        </w:trPr>
        <w:tc>
          <w:tcPr>
            <w:tcW w:w="2132" w:type="dxa"/>
            <w:vMerge/>
            <w:tcBorders>
              <w:left w:val="single" w:sz="6" w:space="0" w:color="000000"/>
              <w:right w:val="single" w:sz="6" w:space="0" w:color="000000"/>
            </w:tcBorders>
          </w:tcPr>
          <w:p>
            <w:pPr/>
          </w:p>
        </w:tc>
        <w:tc>
          <w:tcPr>
            <w:tcW w:w="1273" w:type="dxa"/>
            <w:vMerge/>
            <w:tcBorders>
              <w:left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5,000.00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2018.08.21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2019.08.21</w:t>
            </w:r>
          </w:p>
        </w:tc>
        <w:tc>
          <w:tcPr>
            <w:tcW w:w="10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3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8" w:hRule="exact"/>
        </w:trPr>
        <w:tc>
          <w:tcPr>
            <w:tcW w:w="2132" w:type="dxa"/>
            <w:vMerge/>
            <w:tcBorders>
              <w:left w:val="single" w:sz="6" w:space="0" w:color="000000"/>
              <w:right w:val="single" w:sz="6" w:space="0" w:color="000000"/>
            </w:tcBorders>
          </w:tcPr>
          <w:p>
            <w:pPr/>
          </w:p>
        </w:tc>
        <w:tc>
          <w:tcPr>
            <w:tcW w:w="1273" w:type="dxa"/>
            <w:vMerge/>
            <w:tcBorders>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5,000.00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2018.08.21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2019.08.21</w:t>
            </w:r>
          </w:p>
        </w:tc>
        <w:tc>
          <w:tcPr>
            <w:tcW w:w="10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3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6" w:hRule="exact"/>
        </w:trPr>
        <w:tc>
          <w:tcPr>
            <w:tcW w:w="2132" w:type="dxa"/>
            <w:vMerge/>
            <w:tcBorders>
              <w:left w:val="single" w:sz="6" w:space="0" w:color="000000"/>
              <w:right w:val="single" w:sz="6" w:space="0" w:color="000000"/>
            </w:tcBorders>
          </w:tcPr>
          <w:p>
            <w:pPr/>
          </w:p>
        </w:tc>
        <w:tc>
          <w:tcPr>
            <w:tcW w:w="1273" w:type="dxa"/>
            <w:vMerge w:val="restart"/>
            <w:tcBorders>
              <w:top w:val="single" w:sz="6" w:space="0" w:color="000000"/>
              <w:left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535" w:right="0"/>
              <w:jc w:val="left"/>
              <w:rPr>
                <w:rFonts w:ascii="Times New Roman" w:hAnsi="Times New Roman" w:cs="Times New Roman" w:eastAsia="Times New Roman" w:hint="default"/>
                <w:sz w:val="18"/>
                <w:szCs w:val="18"/>
              </w:rPr>
            </w:pPr>
            <w:r>
              <w:rPr>
                <w:rFonts w:ascii="Times New Roman"/>
                <w:sz w:val="18"/>
              </w:rPr>
              <w:t>10,000.00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5,000.00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2018.07.20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2019.01.20</w:t>
            </w:r>
          </w:p>
        </w:tc>
        <w:tc>
          <w:tcPr>
            <w:tcW w:w="10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3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8" w:hRule="exact"/>
        </w:trPr>
        <w:tc>
          <w:tcPr>
            <w:tcW w:w="2132" w:type="dxa"/>
            <w:vMerge/>
            <w:tcBorders>
              <w:left w:val="single" w:sz="6" w:space="0" w:color="000000"/>
              <w:right w:val="single" w:sz="6" w:space="0" w:color="000000"/>
            </w:tcBorders>
          </w:tcPr>
          <w:p>
            <w:pPr/>
          </w:p>
        </w:tc>
        <w:tc>
          <w:tcPr>
            <w:tcW w:w="1273" w:type="dxa"/>
            <w:vMerge/>
            <w:tcBorders>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4,950.00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2018.08.02</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2019.02.02</w:t>
            </w:r>
          </w:p>
        </w:tc>
        <w:tc>
          <w:tcPr>
            <w:tcW w:w="10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3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8" w:hRule="exact"/>
        </w:trPr>
        <w:tc>
          <w:tcPr>
            <w:tcW w:w="2132" w:type="dxa"/>
            <w:vMerge/>
            <w:tcBorders>
              <w:left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13,000.00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2018.09.21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2019.09.21</w:t>
            </w:r>
          </w:p>
        </w:tc>
        <w:tc>
          <w:tcPr>
            <w:tcW w:w="10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3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6" w:hRule="exact"/>
        </w:trPr>
        <w:tc>
          <w:tcPr>
            <w:tcW w:w="2132" w:type="dxa"/>
            <w:vMerge/>
            <w:tcBorders>
              <w:left w:val="single" w:sz="6" w:space="0" w:color="000000"/>
              <w:right w:val="single" w:sz="6" w:space="0" w:color="000000"/>
            </w:tcBorders>
          </w:tcPr>
          <w:p>
            <w:pPr/>
          </w:p>
        </w:tc>
        <w:tc>
          <w:tcPr>
            <w:tcW w:w="127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535" w:right="0"/>
              <w:jc w:val="left"/>
              <w:rPr>
                <w:rFonts w:ascii="Times New Roman" w:hAnsi="Times New Roman" w:cs="Times New Roman" w:eastAsia="Times New Roman" w:hint="default"/>
                <w:sz w:val="18"/>
                <w:szCs w:val="18"/>
              </w:rPr>
            </w:pPr>
            <w:r>
              <w:rPr>
                <w:rFonts w:ascii="Times New Roman"/>
                <w:sz w:val="18"/>
              </w:rPr>
              <w:t>15,000.00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4,000.00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2018.08.13</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2019.08.13</w:t>
            </w:r>
          </w:p>
        </w:tc>
        <w:tc>
          <w:tcPr>
            <w:tcW w:w="10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3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8" w:hRule="exact"/>
        </w:trPr>
        <w:tc>
          <w:tcPr>
            <w:tcW w:w="2132" w:type="dxa"/>
            <w:vMerge/>
            <w:tcBorders>
              <w:left w:val="single" w:sz="6" w:space="0" w:color="000000"/>
              <w:right w:val="single" w:sz="6" w:space="0" w:color="000000"/>
            </w:tcBorders>
          </w:tcPr>
          <w:p>
            <w:pPr/>
          </w:p>
        </w:tc>
        <w:tc>
          <w:tcPr>
            <w:tcW w:w="1273" w:type="dxa"/>
            <w:vMerge/>
            <w:tcBorders>
              <w:left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5,959.40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2018.08.14</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2019.08.14</w:t>
            </w:r>
          </w:p>
        </w:tc>
        <w:tc>
          <w:tcPr>
            <w:tcW w:w="10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3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6" w:hRule="exact"/>
        </w:trPr>
        <w:tc>
          <w:tcPr>
            <w:tcW w:w="2132" w:type="dxa"/>
            <w:vMerge/>
            <w:tcBorders>
              <w:left w:val="single" w:sz="6" w:space="0" w:color="000000"/>
              <w:right w:val="single" w:sz="6" w:space="0" w:color="000000"/>
            </w:tcBorders>
          </w:tcPr>
          <w:p>
            <w:pPr/>
          </w:p>
        </w:tc>
        <w:tc>
          <w:tcPr>
            <w:tcW w:w="1273" w:type="dxa"/>
            <w:vMerge/>
            <w:tcBorders>
              <w:left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3,000.00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2018.09.19</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2019.09.19</w:t>
            </w:r>
          </w:p>
        </w:tc>
        <w:tc>
          <w:tcPr>
            <w:tcW w:w="10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3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8" w:hRule="exact"/>
        </w:trPr>
        <w:tc>
          <w:tcPr>
            <w:tcW w:w="2132" w:type="dxa"/>
            <w:vMerge/>
            <w:tcBorders>
              <w:left w:val="single" w:sz="6" w:space="0" w:color="000000"/>
              <w:right w:val="single" w:sz="6" w:space="0" w:color="000000"/>
            </w:tcBorders>
          </w:tcPr>
          <w:p>
            <w:pPr/>
          </w:p>
        </w:tc>
        <w:tc>
          <w:tcPr>
            <w:tcW w:w="1273" w:type="dxa"/>
            <w:vMerge/>
            <w:tcBorders>
              <w:left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3,000.00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2018.09.19</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2019.08.19</w:t>
            </w:r>
          </w:p>
        </w:tc>
        <w:tc>
          <w:tcPr>
            <w:tcW w:w="10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3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8" w:hRule="exact"/>
        </w:trPr>
        <w:tc>
          <w:tcPr>
            <w:tcW w:w="2132" w:type="dxa"/>
            <w:vMerge/>
            <w:tcBorders>
              <w:left w:val="single" w:sz="6" w:space="0" w:color="000000"/>
              <w:right w:val="single" w:sz="6" w:space="0" w:color="000000"/>
            </w:tcBorders>
          </w:tcPr>
          <w:p>
            <w:pPr/>
          </w:p>
        </w:tc>
        <w:tc>
          <w:tcPr>
            <w:tcW w:w="1273" w:type="dxa"/>
            <w:vMerge/>
            <w:tcBorders>
              <w:left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2,000.00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2018.09.27</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2019.09.27</w:t>
            </w:r>
          </w:p>
        </w:tc>
        <w:tc>
          <w:tcPr>
            <w:tcW w:w="10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3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6" w:hRule="exact"/>
        </w:trPr>
        <w:tc>
          <w:tcPr>
            <w:tcW w:w="2132" w:type="dxa"/>
            <w:vMerge/>
            <w:tcBorders>
              <w:left w:val="single" w:sz="6" w:space="0" w:color="000000"/>
              <w:right w:val="single" w:sz="6" w:space="0" w:color="000000"/>
            </w:tcBorders>
          </w:tcPr>
          <w:p>
            <w:pPr/>
          </w:p>
        </w:tc>
        <w:tc>
          <w:tcPr>
            <w:tcW w:w="1273" w:type="dxa"/>
            <w:vMerge/>
            <w:tcBorders>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2,000.00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2018.09.27</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2019.08.24</w:t>
            </w:r>
          </w:p>
        </w:tc>
        <w:tc>
          <w:tcPr>
            <w:tcW w:w="10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3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9" w:hRule="exact"/>
        </w:trPr>
        <w:tc>
          <w:tcPr>
            <w:tcW w:w="2132" w:type="dxa"/>
            <w:vMerge/>
            <w:tcBorders>
              <w:left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w w:val="95"/>
                <w:sz w:val="18"/>
              </w:rPr>
              <w:t>3,000.00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w w:val="95"/>
                <w:sz w:val="18"/>
              </w:rPr>
              <w:t>3,000.00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Times New Roman" w:hAnsi="Times New Roman" w:cs="Times New Roman" w:eastAsia="Times New Roman" w:hint="default"/>
                <w:sz w:val="18"/>
                <w:szCs w:val="18"/>
              </w:rPr>
            </w:pPr>
            <w:r>
              <w:rPr>
                <w:rFonts w:ascii="Times New Roman"/>
                <w:sz w:val="18"/>
              </w:rPr>
              <w:t>2018.07.26</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2019.07.26</w:t>
            </w:r>
          </w:p>
        </w:tc>
        <w:tc>
          <w:tcPr>
            <w:tcW w:w="10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3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6" w:hRule="exact"/>
        </w:trPr>
        <w:tc>
          <w:tcPr>
            <w:tcW w:w="2132" w:type="dxa"/>
            <w:vMerge/>
            <w:tcBorders>
              <w:left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8,000.00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8,000.00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2018.08.15</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2019.08.15</w:t>
            </w:r>
          </w:p>
        </w:tc>
        <w:tc>
          <w:tcPr>
            <w:tcW w:w="10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3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8" w:hRule="exact"/>
        </w:trPr>
        <w:tc>
          <w:tcPr>
            <w:tcW w:w="2132" w:type="dxa"/>
            <w:vMerge/>
            <w:tcBorders>
              <w:left w:val="single" w:sz="6" w:space="0" w:color="000000"/>
              <w:right w:val="single" w:sz="6" w:space="0" w:color="000000"/>
            </w:tcBorders>
          </w:tcPr>
          <w:p>
            <w:pPr/>
          </w:p>
        </w:tc>
        <w:tc>
          <w:tcPr>
            <w:tcW w:w="1273" w:type="dxa"/>
            <w:vMerge w:val="restart"/>
            <w:tcBorders>
              <w:top w:val="single" w:sz="6" w:space="0" w:color="000000"/>
              <w:left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535" w:right="0"/>
              <w:jc w:val="left"/>
              <w:rPr>
                <w:rFonts w:ascii="Times New Roman" w:hAnsi="Times New Roman" w:cs="Times New Roman" w:eastAsia="Times New Roman" w:hint="default"/>
                <w:sz w:val="18"/>
                <w:szCs w:val="18"/>
              </w:rPr>
            </w:pPr>
            <w:r>
              <w:rPr>
                <w:rFonts w:ascii="Times New Roman"/>
                <w:sz w:val="18"/>
              </w:rPr>
              <w:t>15,000.00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5,760.00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2017.08.30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2019.08.30</w:t>
            </w:r>
          </w:p>
        </w:tc>
        <w:tc>
          <w:tcPr>
            <w:tcW w:w="10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3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46" w:hRule="exact"/>
        </w:trPr>
        <w:tc>
          <w:tcPr>
            <w:tcW w:w="2132" w:type="dxa"/>
            <w:vMerge/>
            <w:tcBorders>
              <w:left w:val="single" w:sz="6" w:space="0" w:color="000000"/>
              <w:right w:val="single" w:sz="6" w:space="0" w:color="000000"/>
            </w:tcBorders>
          </w:tcPr>
          <w:p>
            <w:pPr/>
          </w:p>
        </w:tc>
        <w:tc>
          <w:tcPr>
            <w:tcW w:w="1273" w:type="dxa"/>
            <w:vMerge/>
            <w:tcBorders>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9,240.00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2017.08.30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2019.08.30</w:t>
            </w:r>
          </w:p>
        </w:tc>
        <w:tc>
          <w:tcPr>
            <w:tcW w:w="10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3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8" w:hRule="exact"/>
        </w:trPr>
        <w:tc>
          <w:tcPr>
            <w:tcW w:w="2132" w:type="dxa"/>
            <w:vMerge/>
            <w:tcBorders>
              <w:left w:val="single" w:sz="6" w:space="0" w:color="000000"/>
              <w:right w:val="single" w:sz="6" w:space="0" w:color="000000"/>
            </w:tcBorders>
          </w:tcPr>
          <w:p>
            <w:pPr/>
          </w:p>
        </w:tc>
        <w:tc>
          <w:tcPr>
            <w:tcW w:w="1273" w:type="dxa"/>
            <w:vMerge w:val="restart"/>
            <w:tcBorders>
              <w:top w:val="single" w:sz="6" w:space="0" w:color="000000"/>
              <w:left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535" w:right="0"/>
              <w:jc w:val="left"/>
              <w:rPr>
                <w:rFonts w:ascii="Times New Roman" w:hAnsi="Times New Roman" w:cs="Times New Roman" w:eastAsia="Times New Roman" w:hint="default"/>
                <w:sz w:val="18"/>
                <w:szCs w:val="18"/>
              </w:rPr>
            </w:pPr>
            <w:r>
              <w:rPr>
                <w:rFonts w:ascii="Times New Roman"/>
                <w:sz w:val="18"/>
              </w:rPr>
              <w:t>18,000.00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5,000.00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2018.01.30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2019.01.30</w:t>
            </w:r>
          </w:p>
        </w:tc>
        <w:tc>
          <w:tcPr>
            <w:tcW w:w="10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3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8" w:hRule="exact"/>
        </w:trPr>
        <w:tc>
          <w:tcPr>
            <w:tcW w:w="2132" w:type="dxa"/>
            <w:vMerge/>
            <w:tcBorders>
              <w:left w:val="single" w:sz="6" w:space="0" w:color="000000"/>
              <w:right w:val="single" w:sz="6" w:space="0" w:color="000000"/>
            </w:tcBorders>
          </w:tcPr>
          <w:p>
            <w:pPr/>
          </w:p>
        </w:tc>
        <w:tc>
          <w:tcPr>
            <w:tcW w:w="1273" w:type="dxa"/>
            <w:vMerge/>
            <w:tcBorders>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7,000.00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2018.03.22</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2019.03.18</w:t>
            </w:r>
          </w:p>
        </w:tc>
        <w:tc>
          <w:tcPr>
            <w:tcW w:w="10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3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6" w:hRule="exact"/>
        </w:trPr>
        <w:tc>
          <w:tcPr>
            <w:tcW w:w="2132" w:type="dxa"/>
            <w:vMerge/>
            <w:tcBorders>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3,750.00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3,750.00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2018.12.25</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2019.06.21</w:t>
            </w:r>
          </w:p>
        </w:tc>
        <w:tc>
          <w:tcPr>
            <w:tcW w:w="10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3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8"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146,334.57</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5" w:right="0"/>
              <w:jc w:val="center"/>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1" w:right="0"/>
              <w:jc w:val="center"/>
              <w:rPr>
                <w:rFonts w:ascii="宋体" w:hAnsi="宋体" w:cs="宋体" w:eastAsia="宋体" w:hint="default"/>
                <w:sz w:val="18"/>
                <w:szCs w:val="18"/>
              </w:rPr>
            </w:pPr>
            <w:r>
              <w:rPr>
                <w:rFonts w:ascii="宋体"/>
                <w:sz w:val="18"/>
              </w:rPr>
              <w:t> </w:t>
            </w:r>
          </w:p>
        </w:tc>
        <w:tc>
          <w:tcPr>
            <w:tcW w:w="10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55" w:right="0"/>
              <w:jc w:val="center"/>
              <w:rPr>
                <w:rFonts w:ascii="宋体" w:hAnsi="宋体" w:cs="宋体" w:eastAsia="宋体" w:hint="default"/>
                <w:sz w:val="18"/>
                <w:szCs w:val="18"/>
              </w:rPr>
            </w:pPr>
            <w:r>
              <w:rPr>
                <w:rFonts w:ascii="宋体"/>
                <w:sz w:val="18"/>
              </w:rPr>
              <w:t> </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十三、股份支付</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83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360" w:lineRule="auto" w:before="103"/>
        <w:ind w:right="5894"/>
        <w:jc w:val="left"/>
      </w:pPr>
      <w:r>
        <w:rPr/>
        <w:t>资产负债表日存在的重要承诺 截止资产负债表日，本公司不存在需要披露的重大承诺事项。</w:t>
      </w:r>
    </w:p>
    <w:p>
      <w:pPr>
        <w:spacing w:line="240" w:lineRule="auto" w:before="4"/>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300" w:lineRule="auto"/>
        <w:ind w:left="513" w:right="7303"/>
        <w:jc w:val="left"/>
      </w:pPr>
      <w:r>
        <w:rPr>
          <w:rFonts w:ascii="Times New Roman" w:hAnsi="Times New Roman" w:cs="Times New Roman" w:eastAsia="Times New Roman" w:hint="default"/>
        </w:rPr>
        <w:t>1</w:t>
      </w:r>
      <w:r>
        <w:rPr/>
        <w:t>、诉讼事项 </w:t>
      </w:r>
      <w:r>
        <w:rPr>
          <w:rFonts w:ascii="Times New Roman" w:hAnsi="Times New Roman" w:cs="Times New Roman" w:eastAsia="Times New Roman" w:hint="default"/>
        </w:rPr>
        <w:t>(1)</w:t>
      </w:r>
      <w:r>
        <w:rPr/>
        <w:t>上海华东电脑股份有限公司诉讼事项</w:t>
      </w:r>
    </w:p>
    <w:p>
      <w:pPr>
        <w:pStyle w:val="BodyText"/>
        <w:spacing w:line="300" w:lineRule="auto" w:before="13"/>
        <w:ind w:right="1128" w:firstLine="360"/>
        <w:jc w:val="both"/>
      </w:pPr>
      <w:r>
        <w:rPr/>
        <w:t>上海华东电脑股份有限公司与公司控股子公司广州云硕科技发展有限公司签订《广州云硕云谷数据中心二期项目</w:t>
      </w:r>
      <w:r>
        <w:rPr>
          <w:rFonts w:ascii="Times New Roman" w:hAnsi="Times New Roman" w:cs="Times New Roman" w:eastAsia="Times New Roman" w:hint="default"/>
        </w:rPr>
        <w:t>(</w:t>
      </w:r>
      <w:r>
        <w:rPr/>
        <w:t>百度 </w:t>
      </w:r>
      <w:r>
        <w:rPr>
          <w:spacing w:val="-1"/>
        </w:rPr>
        <w:t>项目</w:t>
      </w:r>
      <w:r>
        <w:rPr>
          <w:rFonts w:ascii="Times New Roman" w:hAnsi="Times New Roman" w:cs="Times New Roman" w:eastAsia="Times New Roman" w:hint="default"/>
          <w:spacing w:val="-1"/>
        </w:rPr>
        <w:t>)</w:t>
      </w:r>
      <w:r>
        <w:rPr>
          <w:spacing w:val="-1"/>
        </w:rPr>
        <w:t>总承包合同》，合同金额为</w:t>
      </w:r>
      <w:r>
        <w:rPr>
          <w:rFonts w:ascii="Times New Roman" w:hAnsi="Times New Roman" w:cs="Times New Roman" w:eastAsia="Times New Roman" w:hint="default"/>
          <w:spacing w:val="-1"/>
        </w:rPr>
        <w:t>231,806,443.00</w:t>
      </w:r>
      <w:r>
        <w:rPr>
          <w:spacing w:val="-1"/>
        </w:rPr>
        <w:t>元，根据广东省广州市中级人民法院聘请第三方机构出具的《广州云硕云谷</w:t>
      </w:r>
      <w:r>
        <w:rPr>
          <w:spacing w:val="-41"/>
        </w:rPr>
        <w:t> </w:t>
      </w:r>
      <w:r>
        <w:rPr>
          <w:spacing w:val="-41"/>
        </w:rPr>
      </w:r>
      <w:r>
        <w:rPr/>
        <w:t>数据中心二期项目</w:t>
      </w:r>
      <w:r>
        <w:rPr>
          <w:rFonts w:ascii="Times New Roman" w:hAnsi="Times New Roman" w:cs="Times New Roman" w:eastAsia="Times New Roman" w:hint="default"/>
        </w:rPr>
        <w:t>(</w:t>
      </w:r>
      <w:r>
        <w:rPr/>
        <w:t>百度项目</w:t>
      </w:r>
      <w:r>
        <w:rPr>
          <w:rFonts w:ascii="Times New Roman" w:hAnsi="Times New Roman" w:cs="Times New Roman" w:eastAsia="Times New Roman" w:hint="default"/>
        </w:rPr>
        <w:t>)</w:t>
      </w:r>
      <w:r>
        <w:rPr/>
        <w:t>施工总承包工程中双方当事人争议的工程造价司法鉴定报告》</w:t>
      </w:r>
      <w:r>
        <w:rPr>
          <w:rFonts w:ascii="Times New Roman" w:hAnsi="Times New Roman" w:cs="Times New Roman" w:eastAsia="Times New Roman" w:hint="default"/>
        </w:rPr>
        <w:t>(</w:t>
      </w:r>
      <w:r>
        <w:rPr/>
        <w:t>编号：广建咨询</w:t>
      </w:r>
      <w:r>
        <w:rPr>
          <w:rFonts w:ascii="Times New Roman" w:hAnsi="Times New Roman" w:cs="Times New Roman" w:eastAsia="Times New Roman" w:hint="default"/>
        </w:rPr>
        <w:t>(</w:t>
      </w:r>
      <w:r>
        <w:rPr/>
        <w:t>司</w:t>
      </w:r>
      <w:r>
        <w:rPr>
          <w:rFonts w:ascii="Times New Roman" w:hAnsi="Times New Roman" w:cs="Times New Roman" w:eastAsia="Times New Roman" w:hint="default"/>
        </w:rPr>
        <w:t>)2018-0007) </w:t>
      </w:r>
      <w:r>
        <w:rPr>
          <w:spacing w:val="-2"/>
        </w:rPr>
        <w:t>确认争议部分的价值为</w:t>
      </w:r>
      <w:r>
        <w:rPr>
          <w:rFonts w:ascii="Times New Roman" w:hAnsi="Times New Roman" w:cs="Times New Roman" w:eastAsia="Times New Roman" w:hint="default"/>
          <w:spacing w:val="-2"/>
        </w:rPr>
        <w:t>67,288,415.68</w:t>
      </w:r>
      <w:r>
        <w:rPr>
          <w:spacing w:val="-2"/>
        </w:rPr>
        <w:t>元，暂估确认金额为</w:t>
      </w:r>
      <w:r>
        <w:rPr>
          <w:rFonts w:ascii="Times New Roman" w:hAnsi="Times New Roman" w:cs="Times New Roman" w:eastAsia="Times New Roman" w:hint="default"/>
          <w:spacing w:val="-2"/>
        </w:rPr>
        <w:t>270,436,541.68</w:t>
      </w:r>
      <w:r>
        <w:rPr>
          <w:spacing w:val="-2"/>
        </w:rPr>
        <w:t>元，最终结算价以法院判决为准。目前案件正在审理</w:t>
      </w:r>
      <w:r>
        <w:rPr>
          <w:spacing w:val="-41"/>
        </w:rPr>
        <w:t> </w:t>
      </w:r>
      <w:r>
        <w:rPr>
          <w:spacing w:val="-41"/>
        </w:rPr>
      </w:r>
      <w:r>
        <w:rPr/>
        <w:t>中。</w:t>
      </w:r>
    </w:p>
    <w:p>
      <w:pPr>
        <w:pStyle w:val="BodyText"/>
        <w:spacing w:line="240" w:lineRule="auto" w:before="31"/>
        <w:ind w:left="513" w:right="1133"/>
        <w:jc w:val="left"/>
      </w:pPr>
      <w:r>
        <w:rPr>
          <w:rFonts w:ascii="Times New Roman" w:hAnsi="Times New Roman" w:cs="Times New Roman" w:eastAsia="Times New Roman" w:hint="default"/>
        </w:rPr>
        <w:t>(2)</w:t>
      </w:r>
      <w:r>
        <w:rPr/>
        <w:t>晋州市月光照明电器厂诉讼事项</w:t>
      </w:r>
    </w:p>
    <w:p>
      <w:pPr>
        <w:pStyle w:val="BodyText"/>
        <w:spacing w:line="307" w:lineRule="auto" w:before="63"/>
        <w:ind w:right="1129" w:firstLine="360"/>
        <w:jc w:val="left"/>
      </w:pP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11</w:t>
      </w:r>
      <w:r>
        <w:rPr>
          <w:rFonts w:ascii="Times New Roman" w:hAnsi="Times New Roman" w:cs="Times New Roman" w:eastAsia="Times New Roman" w:hint="default"/>
          <w:spacing w:val="-12"/>
        </w:rPr>
        <w:t> </w:t>
      </w:r>
      <w:r>
        <w:rPr/>
        <w:t>月，公司全资子公司定州市中标节能技术服务有限公司收到河北省石家庄市中级人民法院关于晋州市月光 照明电器厂起诉定州中标工程材料款等纠纷案件的二审判决，法院判令定州中标返还晋州市月光照明电器厂材料款 </w:t>
      </w:r>
      <w:r>
        <w:rPr>
          <w:rFonts w:ascii="Times New Roman" w:hAnsi="Times New Roman" w:cs="Times New Roman" w:eastAsia="Times New Roman" w:hint="default"/>
          <w:spacing w:val="-1"/>
        </w:rPr>
        <w:t>9,078,645.00</w:t>
      </w:r>
      <w:r>
        <w:rPr>
          <w:spacing w:val="-1"/>
        </w:rPr>
        <w:t>元及利息。定州市中标节能技术服务有限公司不服二审判决，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4</w:t>
      </w:r>
      <w:r>
        <w:rPr>
          <w:spacing w:val="-1"/>
        </w:rPr>
        <w:t>月河北省高级人民法院受理定州市中标节</w:t>
      </w:r>
      <w:r>
        <w:rPr>
          <w:spacing w:val="-70"/>
        </w:rPr>
        <w:t> </w:t>
      </w:r>
      <w:r>
        <w:rPr>
          <w:spacing w:val="-70"/>
        </w:rPr>
      </w:r>
      <w:r>
        <w:rPr/>
        <w:t>能技术服务有限公司再审申请。目前案件正在审理中。</w:t>
      </w:r>
    </w:p>
    <w:p>
      <w:pPr>
        <w:pStyle w:val="BodyText"/>
        <w:spacing w:line="240" w:lineRule="auto" w:before="26"/>
        <w:ind w:left="513" w:right="1133"/>
        <w:jc w:val="left"/>
      </w:pPr>
      <w:r>
        <w:rPr>
          <w:rFonts w:ascii="Times New Roman" w:hAnsi="Times New Roman" w:cs="Times New Roman" w:eastAsia="Times New Roman" w:hint="default"/>
        </w:rPr>
        <w:t>2</w:t>
      </w:r>
      <w:r>
        <w:rPr/>
        <w:t>、保函情况</w:t>
      </w:r>
    </w:p>
    <w:p>
      <w:pPr>
        <w:pStyle w:val="BodyText"/>
        <w:spacing w:line="300" w:lineRule="auto" w:before="63"/>
        <w:ind w:right="1117" w:firstLine="360"/>
        <w:jc w:val="left"/>
      </w:pPr>
      <w:r>
        <w:rPr/>
        <w:t>截止</w:t>
      </w:r>
      <w:r>
        <w:rPr>
          <w:spacing w:val="-35"/>
        </w:rPr>
        <w:t> </w:t>
      </w:r>
      <w:r>
        <w:rPr>
          <w:rFonts w:ascii="Times New Roman" w:hAnsi="Times New Roman" w:cs="Times New Roman" w:eastAsia="Times New Roman" w:hint="default"/>
        </w:rPr>
        <w:t>2018</w:t>
      </w:r>
      <w:r>
        <w:rPr/>
        <w:t>年</w:t>
      </w:r>
      <w:r>
        <w:rPr>
          <w:spacing w:val="-35"/>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35"/>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日，本公司为招投标出具质量保函、履约保函和投标保函中未到期履约保函有</w:t>
      </w:r>
      <w:r>
        <w:rPr>
          <w:rFonts w:ascii="Times New Roman" w:hAnsi="Times New Roman" w:cs="Times New Roman" w:eastAsia="Times New Roman" w:hint="default"/>
        </w:rPr>
        <w:t>11</w:t>
      </w:r>
      <w:r>
        <w:rPr/>
        <w:t>份，质量保函及 履约保函金额为</w:t>
      </w:r>
      <w:r>
        <w:rPr>
          <w:rFonts w:ascii="Times New Roman" w:hAnsi="Times New Roman" w:cs="Times New Roman" w:eastAsia="Times New Roman" w:hint="default"/>
        </w:rPr>
        <w:t>447,854.96</w:t>
      </w:r>
      <w:r>
        <w:rPr/>
        <w:t>元，存入保证金金额</w:t>
      </w:r>
      <w:r>
        <w:rPr>
          <w:rFonts w:ascii="Times New Roman" w:hAnsi="Times New Roman" w:cs="Times New Roman" w:eastAsia="Times New Roman" w:hint="default"/>
        </w:rPr>
        <w:t>372,665.00</w:t>
      </w:r>
      <w:r>
        <w:rPr/>
        <w:t>元。</w:t>
      </w:r>
    </w:p>
    <w:p>
      <w:pPr>
        <w:pStyle w:val="BodyText"/>
        <w:spacing w:line="240" w:lineRule="auto" w:before="13"/>
        <w:ind w:left="513" w:right="1133"/>
        <w:jc w:val="left"/>
      </w:pPr>
      <w:r>
        <w:rPr>
          <w:rFonts w:ascii="Times New Roman" w:hAnsi="Times New Roman" w:cs="Times New Roman" w:eastAsia="Times New Roman" w:hint="default"/>
        </w:rPr>
        <w:t>3</w:t>
      </w:r>
      <w:r>
        <w:rPr/>
        <w:t>、商业承兑汇票事项</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left="513" w:right="5773"/>
        <w:jc w:val="both"/>
      </w:pPr>
      <w:r>
        <w:rPr/>
        <w:t>期末终止确认背书未到期的商业承兑汇票</w:t>
      </w:r>
      <w:r>
        <w:rPr>
          <w:rFonts w:ascii="Times New Roman" w:hAnsi="Times New Roman" w:cs="Times New Roman" w:eastAsia="Times New Roman" w:hint="default"/>
        </w:rPr>
        <w:t>87,395,901.65</w:t>
      </w:r>
      <w:r>
        <w:rPr/>
        <w:t>元。 </w:t>
      </w:r>
      <w:r>
        <w:rPr>
          <w:rFonts w:ascii="Times New Roman" w:hAnsi="Times New Roman" w:cs="Times New Roman" w:eastAsia="Times New Roman" w:hint="default"/>
        </w:rPr>
        <w:t>4</w:t>
      </w:r>
      <w:r>
        <w:rPr/>
        <w:t>、为其他单位提供债务担保形成的或有负债及其财务影响 为关联方提供的担保事项详见本财务报表附注九、</w:t>
      </w: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624" w:lineRule="exact" w:before="55"/>
        <w:ind w:left="152" w:right="7694" w:firstLine="0"/>
        <w:jc w:val="left"/>
        <w:rPr>
          <w:rFonts w:ascii="宋体" w:hAnsi="宋体" w:cs="宋体" w:eastAsia="宋体" w:hint="default"/>
          <w:sz w:val="24"/>
          <w:szCs w:val="24"/>
        </w:rPr>
      </w:pPr>
      <w:r>
        <w:rPr>
          <w:rFonts w:ascii="宋体" w:hAnsi="宋体" w:cs="宋体" w:eastAsia="宋体" w:hint="default"/>
          <w:sz w:val="18"/>
          <w:szCs w:val="18"/>
        </w:rPr>
        <w:t>公司不存在需要披露的重要或有事项。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sz w:val="24"/>
          <w:szCs w:val="24"/>
        </w:rPr>
      </w:r>
    </w:p>
    <w:p>
      <w:pPr>
        <w:spacing w:line="240" w:lineRule="auto" w:before="13"/>
        <w:rPr>
          <w:rFonts w:ascii="宋体" w:hAnsi="宋体" w:cs="宋体" w:eastAsia="宋体" w:hint="default"/>
          <w:b/>
          <w:bCs/>
          <w:sz w:val="17"/>
          <w:szCs w:val="17"/>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、重要的非调整事项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08"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6"/>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300" w:lineRule="auto"/>
        <w:ind w:right="1133" w:firstLine="360"/>
        <w:jc w:val="left"/>
      </w:pP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25</w:t>
      </w:r>
      <w:r>
        <w:rPr>
          <w:spacing w:val="-4"/>
        </w:rPr>
        <w:t>日，公司第四届董事会第三十九次会议决议，公司拟不派发现金红利，不送红股，不以资本公积转增股本。</w:t>
      </w:r>
      <w:r>
        <w:rPr/>
        <w:t> 上述利润分配方案尚待股东大会审议批准。</w:t>
      </w:r>
    </w:p>
    <w:p>
      <w:pPr>
        <w:spacing w:line="240" w:lineRule="auto" w:before="11"/>
        <w:rPr>
          <w:rFonts w:ascii="宋体" w:hAnsi="宋体" w:cs="宋体" w:eastAsia="宋体" w:hint="default"/>
          <w:sz w:val="21"/>
          <w:szCs w:val="21"/>
        </w:rPr>
      </w:pPr>
    </w:p>
    <w:p>
      <w:pPr>
        <w:pStyle w:val="Heading2"/>
        <w:spacing w:line="240" w:lineRule="auto"/>
        <w:ind w:right="1133"/>
        <w:jc w:val="left"/>
        <w:rPr>
          <w:b w:val="0"/>
          <w:bCs w:val="0"/>
        </w:rPr>
      </w:pPr>
      <w:r>
        <w:rPr/>
        <w:t>十六、其他重要事项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）追溯重述法</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830" w:right="108" w:hanging="721"/>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74"/>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b/>
          <w:bCs/>
          <w:sz w:val="24"/>
          <w:szCs w:val="24"/>
        </w:rPr>
      </w:pPr>
    </w:p>
    <w:p>
      <w:pPr>
        <w:spacing w:before="36"/>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、债务重组</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、资产置换</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）非货币性资产交换</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）其他资产置换</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、年金计划</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、终止经营</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8"/>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0"/>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309" w:lineRule="auto"/>
        <w:ind w:right="1132" w:firstLine="360"/>
        <w:jc w:val="both"/>
      </w:pPr>
      <w:r>
        <w:rPr>
          <w:spacing w:val="-2"/>
        </w:rPr>
        <w:t>公司以内部组织结构、管理要求、内部报告制度等为依据确定报告分部，并以行业分部为基础确定报告分部。分别对金</w:t>
      </w:r>
      <w:r>
        <w:rPr/>
        <w:t> </w:t>
      </w:r>
      <w:r>
        <w:rPr>
          <w:spacing w:val="-1"/>
        </w:rPr>
        <w:t>融电子业务、照明电子业务、合同能源及</w:t>
      </w:r>
      <w:r>
        <w:rPr>
          <w:rFonts w:ascii="Times New Roman" w:hAnsi="Times New Roman" w:cs="Times New Roman" w:eastAsia="Times New Roman" w:hint="default"/>
          <w:spacing w:val="-1"/>
        </w:rPr>
        <w:t>IDC</w:t>
      </w:r>
      <w:r>
        <w:rPr>
          <w:spacing w:val="-1"/>
        </w:rPr>
        <w:t>业务等的经营业绩进行考核。与各分部共同使用的资产、负债按照规模比例在</w:t>
      </w:r>
      <w:r>
        <w:rPr>
          <w:spacing w:val="-70"/>
        </w:rPr>
        <w:t> </w:t>
      </w:r>
      <w:r>
        <w:rPr>
          <w:spacing w:val="-70"/>
        </w:rPr>
      </w:r>
      <w:r>
        <w:rPr/>
        <w:t>不同的分部之间分配。</w:t>
      </w:r>
    </w:p>
    <w:p>
      <w:pPr>
        <w:spacing w:line="240" w:lineRule="auto" w:before="3"/>
        <w:rPr>
          <w:rFonts w:ascii="宋体" w:hAnsi="宋体" w:cs="宋体" w:eastAsia="宋体" w:hint="default"/>
          <w:sz w:val="23"/>
          <w:szCs w:val="23"/>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5"/>
        <w:gridCol w:w="1196"/>
        <w:gridCol w:w="1196"/>
        <w:gridCol w:w="1195"/>
        <w:gridCol w:w="1198"/>
        <w:gridCol w:w="1195"/>
        <w:gridCol w:w="1196"/>
        <w:gridCol w:w="1198"/>
      </w:tblGrid>
      <w:tr>
        <w:trPr>
          <w:trHeight w:val="401" w:hRule="exact"/>
        </w:trPr>
        <w:tc>
          <w:tcPr>
            <w:tcW w:w="1185"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31" w:right="0"/>
              <w:jc w:val="left"/>
              <w:rPr>
                <w:rFonts w:ascii="宋体" w:hAnsi="宋体" w:cs="宋体" w:eastAsia="宋体" w:hint="default"/>
                <w:sz w:val="18"/>
                <w:szCs w:val="18"/>
              </w:rPr>
            </w:pPr>
            <w:r>
              <w:rPr>
                <w:rFonts w:ascii="宋体" w:hAnsi="宋体" w:cs="宋体" w:eastAsia="宋体" w:hint="default"/>
                <w:sz w:val="18"/>
                <w:szCs w:val="18"/>
              </w:rPr>
              <w:t>金融电子</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照明电子</w:t>
            </w:r>
          </w:p>
        </w:tc>
        <w:tc>
          <w:tcPr>
            <w:tcW w:w="11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合同能源</w:t>
            </w:r>
          </w:p>
        </w:tc>
        <w:tc>
          <w:tcPr>
            <w:tcW w:w="11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业务</w:t>
            </w:r>
          </w:p>
        </w:tc>
        <w:tc>
          <w:tcPr>
            <w:tcW w:w="1195" w:type="dxa"/>
            <w:tcBorders>
              <w:top w:val="single" w:sz="4" w:space="0" w:color="000000"/>
              <w:left w:val="single" w:sz="4" w:space="0" w:color="000000"/>
              <w:bottom w:val="single" w:sz="4" w:space="0" w:color="000000"/>
              <w:right w:val="single" w:sz="13" w:space="0" w:color="D2D2D2"/>
            </w:tcBorders>
            <w:shd w:val="clear" w:color="auto" w:fill="E0FFFF"/>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49"/>
              <w:ind w:left="133"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61" w:hRule="exact"/>
        </w:trPr>
        <w:tc>
          <w:tcPr>
            <w:tcW w:w="1185" w:type="dxa"/>
            <w:tcBorders>
              <w:top w:val="single" w:sz="4" w:space="0" w:color="000000"/>
              <w:left w:val="single" w:sz="4" w:space="0" w:color="000000"/>
              <w:bottom w:val="nil" w:sz="6" w:space="0" w:color="auto"/>
              <w:right w:val="single" w:sz="4" w:space="0" w:color="000000"/>
            </w:tcBorders>
            <w:shd w:val="clear" w:color="auto" w:fill="E0FFFF"/>
          </w:tcPr>
          <w:p>
            <w:pPr/>
          </w:p>
        </w:tc>
        <w:tc>
          <w:tcPr>
            <w:tcW w:w="1196" w:type="dxa"/>
            <w:vMerge w:val="restart"/>
            <w:tcBorders>
              <w:top w:val="single" w:sz="4" w:space="0" w:color="000000"/>
              <w:left w:val="single" w:sz="10" w:space="0" w:color="E0FFFF"/>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552,425,953.04</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300,774,210.76</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137,483,428.41</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377,341,647.09</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234,472,878.29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-270,099,608.6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1,332,398,508.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95</w:t>
            </w:r>
          </w:p>
        </w:tc>
      </w:tr>
      <w:tr>
        <w:trPr>
          <w:trHeight w:val="394" w:hRule="exact"/>
        </w:trPr>
        <w:tc>
          <w:tcPr>
            <w:tcW w:w="1185"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196" w:type="dxa"/>
            <w:vMerge/>
            <w:tcBorders>
              <w:left w:val="single" w:sz="10" w:space="0" w:color="E0FFFF"/>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161" w:hRule="exact"/>
        </w:trPr>
        <w:tc>
          <w:tcPr>
            <w:tcW w:w="1185" w:type="dxa"/>
            <w:tcBorders>
              <w:top w:val="nil" w:sz="6" w:space="0" w:color="auto"/>
              <w:left w:val="single" w:sz="4" w:space="0" w:color="000000"/>
              <w:bottom w:val="single" w:sz="4" w:space="0" w:color="000000"/>
              <w:right w:val="single" w:sz="4" w:space="0" w:color="000000"/>
            </w:tcBorders>
            <w:shd w:val="clear" w:color="auto" w:fill="E0FFFF"/>
          </w:tcPr>
          <w:p>
            <w:pPr/>
          </w:p>
        </w:tc>
        <w:tc>
          <w:tcPr>
            <w:tcW w:w="1196" w:type="dxa"/>
            <w:vMerge/>
            <w:tcBorders>
              <w:left w:val="single" w:sz="10" w:space="0" w:color="E0FFFF"/>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r>
      <w:tr>
        <w:trPr>
          <w:trHeight w:val="161" w:hRule="exact"/>
        </w:trPr>
        <w:tc>
          <w:tcPr>
            <w:tcW w:w="1185" w:type="dxa"/>
            <w:tcBorders>
              <w:top w:val="single" w:sz="4" w:space="0" w:color="000000"/>
              <w:left w:val="single" w:sz="4" w:space="0" w:color="000000"/>
              <w:bottom w:val="nil" w:sz="6" w:space="0" w:color="auto"/>
              <w:right w:val="single" w:sz="4" w:space="0" w:color="000000"/>
            </w:tcBorders>
            <w:shd w:val="clear" w:color="auto" w:fill="E0FFFF"/>
          </w:tcPr>
          <w:p>
            <w:pPr/>
          </w:p>
        </w:tc>
        <w:tc>
          <w:tcPr>
            <w:tcW w:w="1196" w:type="dxa"/>
            <w:vMerge w:val="restart"/>
            <w:tcBorders>
              <w:top w:val="single" w:sz="4" w:space="0" w:color="000000"/>
              <w:left w:val="single" w:sz="10" w:space="0" w:color="E0FFFF"/>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478,088,191.72</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234,931,940.28</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124,010,266.70</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283,211,837.87</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174,835,423.59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-262,578,567.7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1,032,499,092.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44</w:t>
            </w:r>
          </w:p>
        </w:tc>
      </w:tr>
      <w:tr>
        <w:trPr>
          <w:trHeight w:val="391" w:hRule="exact"/>
        </w:trPr>
        <w:tc>
          <w:tcPr>
            <w:tcW w:w="1185"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196" w:type="dxa"/>
            <w:vMerge/>
            <w:tcBorders>
              <w:left w:val="single" w:sz="10" w:space="0" w:color="E0FFFF"/>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161" w:hRule="exact"/>
        </w:trPr>
        <w:tc>
          <w:tcPr>
            <w:tcW w:w="1185" w:type="dxa"/>
            <w:tcBorders>
              <w:top w:val="nil" w:sz="6" w:space="0" w:color="auto"/>
              <w:left w:val="single" w:sz="4" w:space="0" w:color="000000"/>
              <w:bottom w:val="single" w:sz="4" w:space="0" w:color="000000"/>
              <w:right w:val="single" w:sz="4" w:space="0" w:color="000000"/>
            </w:tcBorders>
            <w:shd w:val="clear" w:color="auto" w:fill="E0FFFF"/>
          </w:tcPr>
          <w:p>
            <w:pPr/>
          </w:p>
        </w:tc>
        <w:tc>
          <w:tcPr>
            <w:tcW w:w="1196" w:type="dxa"/>
            <w:vMerge/>
            <w:tcBorders>
              <w:left w:val="single" w:sz="10" w:space="0" w:color="E0FFFF"/>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r>
      <w:tr>
        <w:trPr>
          <w:trHeight w:val="161" w:hRule="exact"/>
        </w:trPr>
        <w:tc>
          <w:tcPr>
            <w:tcW w:w="1185" w:type="dxa"/>
            <w:tcBorders>
              <w:top w:val="single" w:sz="4" w:space="0" w:color="000000"/>
              <w:left w:val="single" w:sz="4" w:space="0" w:color="000000"/>
              <w:bottom w:val="nil" w:sz="6" w:space="0" w:color="auto"/>
              <w:right w:val="single" w:sz="4" w:space="0" w:color="000000"/>
            </w:tcBorders>
            <w:shd w:val="clear" w:color="auto" w:fill="E0FFFF"/>
          </w:tcPr>
          <w:p>
            <w:pPr/>
          </w:p>
        </w:tc>
        <w:tc>
          <w:tcPr>
            <w:tcW w:w="1196" w:type="dxa"/>
            <w:vMerge w:val="restart"/>
            <w:tcBorders>
              <w:top w:val="single" w:sz="4" w:space="0" w:color="000000"/>
              <w:left w:val="single" w:sz="10" w:space="0" w:color="E0FFFF"/>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2,565,633,134.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1,444,309,070.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79</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612,920,383.52</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2,186,629,288.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05</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1,022,448,613.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-2,606,591,810.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28</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5,225,348,679.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75</w:t>
            </w:r>
          </w:p>
        </w:tc>
      </w:tr>
      <w:tr>
        <w:trPr>
          <w:trHeight w:val="394" w:hRule="exact"/>
        </w:trPr>
        <w:tc>
          <w:tcPr>
            <w:tcW w:w="1185"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196" w:type="dxa"/>
            <w:vMerge/>
            <w:tcBorders>
              <w:left w:val="single" w:sz="10" w:space="0" w:color="E0FFFF"/>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161" w:hRule="exact"/>
        </w:trPr>
        <w:tc>
          <w:tcPr>
            <w:tcW w:w="1185" w:type="dxa"/>
            <w:tcBorders>
              <w:top w:val="nil" w:sz="6" w:space="0" w:color="auto"/>
              <w:left w:val="single" w:sz="4" w:space="0" w:color="000000"/>
              <w:bottom w:val="single" w:sz="4" w:space="0" w:color="000000"/>
              <w:right w:val="single" w:sz="4" w:space="0" w:color="000000"/>
            </w:tcBorders>
            <w:shd w:val="clear" w:color="auto" w:fill="E0FFFF"/>
          </w:tcPr>
          <w:p>
            <w:pPr/>
          </w:p>
        </w:tc>
        <w:tc>
          <w:tcPr>
            <w:tcW w:w="1196" w:type="dxa"/>
            <w:vMerge/>
            <w:tcBorders>
              <w:left w:val="single" w:sz="10" w:space="0" w:color="E0FFFF"/>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r>
      <w:tr>
        <w:trPr>
          <w:trHeight w:val="161" w:hRule="exact"/>
        </w:trPr>
        <w:tc>
          <w:tcPr>
            <w:tcW w:w="1185" w:type="dxa"/>
            <w:tcBorders>
              <w:top w:val="single" w:sz="4" w:space="0" w:color="000000"/>
              <w:left w:val="single" w:sz="4" w:space="0" w:color="000000"/>
              <w:bottom w:val="nil" w:sz="6" w:space="0" w:color="auto"/>
              <w:right w:val="single" w:sz="4" w:space="0" w:color="000000"/>
            </w:tcBorders>
            <w:shd w:val="clear" w:color="auto" w:fill="E0FFFF"/>
          </w:tcPr>
          <w:p>
            <w:pPr/>
          </w:p>
        </w:tc>
        <w:tc>
          <w:tcPr>
            <w:tcW w:w="1196" w:type="dxa"/>
            <w:vMerge w:val="restart"/>
            <w:tcBorders>
              <w:top w:val="single" w:sz="4" w:space="0" w:color="000000"/>
              <w:left w:val="single" w:sz="10" w:space="0" w:color="E0FFFF"/>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1,298,803,764.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842,503,801.19</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461,811,980.34</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1,558,031,439.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601,374,332.86</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-1,962,139,492.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89</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2,800,385,825.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50</w:t>
            </w:r>
          </w:p>
        </w:tc>
      </w:tr>
      <w:tr>
        <w:trPr>
          <w:trHeight w:val="391" w:hRule="exact"/>
        </w:trPr>
        <w:tc>
          <w:tcPr>
            <w:tcW w:w="1185"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196" w:type="dxa"/>
            <w:vMerge/>
            <w:tcBorders>
              <w:left w:val="single" w:sz="10" w:space="0" w:color="E0FFFF"/>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161" w:hRule="exact"/>
        </w:trPr>
        <w:tc>
          <w:tcPr>
            <w:tcW w:w="1185" w:type="dxa"/>
            <w:tcBorders>
              <w:top w:val="nil" w:sz="6" w:space="0" w:color="auto"/>
              <w:left w:val="single" w:sz="4" w:space="0" w:color="000000"/>
              <w:bottom w:val="single" w:sz="4" w:space="0" w:color="000000"/>
              <w:right w:val="single" w:sz="4" w:space="0" w:color="000000"/>
            </w:tcBorders>
            <w:shd w:val="clear" w:color="auto" w:fill="E0FFFF"/>
          </w:tcPr>
          <w:p>
            <w:pPr/>
          </w:p>
        </w:tc>
        <w:tc>
          <w:tcPr>
            <w:tcW w:w="1196" w:type="dxa"/>
            <w:vMerge/>
            <w:tcBorders>
              <w:left w:val="single" w:sz="10" w:space="0" w:color="E0FFFF"/>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、其他对投资者决策有影响的重要交易和事项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487" w:lineRule="auto" w:before="0"/>
        <w:ind w:left="152" w:right="68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、应收票据及应收账款</w:t>
      </w:r>
      <w:r>
        <w:rPr>
          <w:rFonts w:ascii="宋体" w:hAnsi="宋体" w:cs="宋体" w:eastAsia="宋体" w:hint="default"/>
          <w:sz w:val="21"/>
          <w:szCs w:val="21"/>
        </w:rPr>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43,238,021.39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149,592,783.02</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1,033,603,191.77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876,695,666.62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1,076,841,213.16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1,026,288,449.64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应收票据分类列示</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8,213,377.39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29,061,065.08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33,024,644.00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120,531,717.94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信用证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43,238,021.39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149,592,783.02</w:t>
            </w:r>
          </w:p>
        </w:tc>
      </w:tr>
    </w:tbl>
    <w:p>
      <w:pPr>
        <w:pStyle w:val="BodyText"/>
        <w:spacing w:line="240" w:lineRule="auto" w:before="49"/>
        <w:ind w:right="1133"/>
        <w:jc w:val="left"/>
      </w:pPr>
      <w:r>
        <w:rPr>
          <w:rFonts w:ascii="Times New Roman" w:hAnsi="Times New Roman" w:cs="Times New Roman" w:eastAsia="Times New Roman" w:hint="default"/>
        </w:rPr>
        <w:t>2)</w:t>
      </w:r>
      <w:r>
        <w:rPr/>
        <w:t>期末公司已质押的应收票据</w:t>
      </w:r>
    </w:p>
    <w:p>
      <w:pPr>
        <w:pStyle w:val="BodyText"/>
        <w:spacing w:line="240" w:lineRule="auto" w:before="101"/>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pStyle w:val="BodyText"/>
        <w:spacing w:line="240" w:lineRule="auto" w:before="49"/>
        <w:ind w:right="1133"/>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103,005,755.00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53,699,329.25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156,705,084.25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49"/>
        <w:ind w:right="1133"/>
        <w:jc w:val="left"/>
      </w:pPr>
      <w:r>
        <w:rPr/>
        <w:t>其他说明</w:t>
      </w:r>
    </w:p>
    <w:p>
      <w:pPr>
        <w:pStyle w:val="BodyText"/>
        <w:spacing w:line="316" w:lineRule="auto" w:before="115"/>
        <w:ind w:right="1130" w:firstLine="360"/>
        <w:jc w:val="both"/>
      </w:pPr>
      <w:r>
        <w:rPr>
          <w:spacing w:val="-2"/>
        </w:rPr>
        <w:t>银行承兑汇票的承兑人是商业银行，由于商业银行具有较高的信用，银行承兑汇票到期不获支付的可能性较低，故本公</w:t>
      </w:r>
      <w:r>
        <w:rPr/>
        <w:t> </w:t>
      </w:r>
      <w:r>
        <w:rPr>
          <w:spacing w:val="-2"/>
        </w:rPr>
        <w:t>司将已背书或贴现的银行承兑汇票予以终止确认。但如果该等票据到期不获支付，依据《票据法》之规定，公司仍将对持票</w:t>
      </w:r>
      <w:r>
        <w:rPr>
          <w:spacing w:val="-67"/>
        </w:rPr>
        <w:t> </w:t>
      </w:r>
      <w:r>
        <w:rPr>
          <w:spacing w:val="-67"/>
        </w:rPr>
      </w:r>
      <w:r>
        <w:rPr/>
        <w:t>人承担连带责任。</w:t>
      </w:r>
    </w:p>
    <w:p>
      <w:pPr>
        <w:pStyle w:val="BodyText"/>
        <w:spacing w:line="319" w:lineRule="auto" w:before="19"/>
        <w:ind w:right="1132" w:firstLine="360"/>
        <w:jc w:val="both"/>
      </w:pPr>
      <w:r>
        <w:rPr>
          <w:spacing w:val="-2"/>
        </w:rPr>
        <w:t>商业承兑汇票的承兑人是企业，由于出具商业承兑汇票的企业信用良好且资金实力雄厚，商业承兑汇票到期不获支付的</w:t>
      </w:r>
      <w:r>
        <w:rPr/>
        <w:t> </w:t>
      </w:r>
      <w:r>
        <w:rPr>
          <w:spacing w:val="-2"/>
        </w:rPr>
        <w:t>可能性较低，故本公司将已背书或贴现的商业承兑汇票予以终止确认。但如果该等票据到期不获支付，依据《票据法》之规</w:t>
      </w:r>
      <w:r>
        <w:rPr>
          <w:spacing w:val="-65"/>
        </w:rPr>
        <w:t> </w:t>
      </w:r>
      <w:r>
        <w:rPr>
          <w:spacing w:val="-65"/>
        </w:rPr>
      </w:r>
      <w:r>
        <w:rPr/>
        <w:t>定，公司仍将对持票人承担连带责任。</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7"/>
        <w:ind w:right="1133"/>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应收账款分类披露</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5"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38,137,9</w:t>
            </w:r>
          </w:p>
          <w:p>
            <w:pPr>
              <w:pStyle w:val="TableParagraph"/>
              <w:spacing w:line="240" w:lineRule="auto" w:before="102"/>
              <w:ind w:left="331" w:right="0"/>
              <w:jc w:val="left"/>
              <w:rPr>
                <w:rFonts w:ascii="Times New Roman" w:hAnsi="Times New Roman" w:cs="Times New Roman" w:eastAsia="Times New Roman" w:hint="default"/>
                <w:sz w:val="18"/>
                <w:szCs w:val="18"/>
              </w:rPr>
            </w:pPr>
            <w:r>
              <w:rPr>
                <w:rFonts w:ascii="Times New Roman"/>
                <w:sz w:val="18"/>
              </w:rPr>
              <w:t>95.62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38,137,9</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95.62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1,200,20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5,200.99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96.92%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166,602,</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009.22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13.88%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1,033,603</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,191.77</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989,039</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,559.07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112,343,8</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92.45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11.36%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876,695,66</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6.62</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1,238,34</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3,196.61</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204,740,</w:t>
            </w:r>
          </w:p>
          <w:p>
            <w:pPr>
              <w:pStyle w:val="TableParagraph"/>
              <w:spacing w:line="240" w:lineRule="auto" w:before="102"/>
              <w:ind w:left="211" w:right="0"/>
              <w:jc w:val="center"/>
              <w:rPr>
                <w:rFonts w:ascii="Times New Roman" w:hAnsi="Times New Roman" w:cs="Times New Roman" w:eastAsia="Times New Roman" w:hint="default"/>
                <w:sz w:val="18"/>
                <w:szCs w:val="18"/>
              </w:rPr>
            </w:pPr>
            <w:r>
              <w:rPr>
                <w:rFonts w:ascii="Times New Roman"/>
                <w:sz w:val="18"/>
              </w:rPr>
              <w:t>004.84</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16.53%</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1,033,603</w:t>
            </w:r>
          </w:p>
          <w:p>
            <w:pPr>
              <w:pStyle w:val="TableParagraph"/>
              <w:spacing w:line="240" w:lineRule="auto" w:before="102"/>
              <w:ind w:left="194" w:right="0"/>
              <w:jc w:val="center"/>
              <w:rPr>
                <w:rFonts w:ascii="Times New Roman" w:hAnsi="Times New Roman" w:cs="Times New Roman" w:eastAsia="Times New Roman" w:hint="default"/>
                <w:sz w:val="18"/>
                <w:szCs w:val="18"/>
              </w:rPr>
            </w:pPr>
            <w:r>
              <w:rPr>
                <w:rFonts w:ascii="Times New Roman"/>
                <w:sz w:val="18"/>
              </w:rPr>
              <w:t>,191.77</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989,039</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,559.07</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112,343,8</w:t>
            </w:r>
          </w:p>
          <w:p>
            <w:pPr>
              <w:pStyle w:val="TableParagraph"/>
              <w:spacing w:line="240" w:lineRule="auto" w:before="102"/>
              <w:ind w:left="376" w:right="0"/>
              <w:jc w:val="left"/>
              <w:rPr>
                <w:rFonts w:ascii="Times New Roman" w:hAnsi="Times New Roman" w:cs="Times New Roman" w:eastAsia="Times New Roman" w:hint="default"/>
                <w:sz w:val="18"/>
                <w:szCs w:val="18"/>
              </w:rPr>
            </w:pPr>
            <w:r>
              <w:rPr>
                <w:rFonts w:ascii="Times New Roman"/>
                <w:sz w:val="18"/>
              </w:rPr>
              <w:t>92.45</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11.36%</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876,695,66</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6.62</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pStyle w:val="BodyText"/>
        <w:spacing w:line="240" w:lineRule="auto" w:before="49"/>
        <w:ind w:right="-20"/>
        <w:jc w:val="left"/>
      </w:pPr>
      <w:r>
        <w:rPr/>
        <w:t>期末单项金额重大并单项计提坏账准备的应收账款：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293" w:space="453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5"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3"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南京理工速必得科技股 份有限公司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19,083,286.60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19,083,286.60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7"/>
              <w:jc w:val="left"/>
              <w:rPr>
                <w:rFonts w:ascii="宋体" w:hAnsi="宋体" w:cs="宋体" w:eastAsia="宋体" w:hint="default"/>
                <w:sz w:val="18"/>
                <w:szCs w:val="18"/>
              </w:rPr>
            </w:pPr>
            <w:r>
              <w:rPr>
                <w:rFonts w:ascii="宋体" w:hAnsi="宋体" w:cs="宋体" w:eastAsia="宋体" w:hint="default"/>
                <w:sz w:val="18"/>
                <w:szCs w:val="18"/>
              </w:rPr>
              <w:t>未根据法院的调解协议 付款，预计收不回</w:t>
            </w:r>
          </w:p>
        </w:tc>
      </w:tr>
      <w:tr>
        <w:trPr>
          <w:trHeight w:val="715"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上海平达信息技术有限 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已被吊销工商执照</w:t>
            </w:r>
          </w:p>
        </w:tc>
      </w:tr>
      <w:tr>
        <w:trPr>
          <w:trHeight w:val="716"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杭州度联信息技术有限 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6,516,300.00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6,516,300.00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7"/>
              <w:jc w:val="left"/>
              <w:rPr>
                <w:rFonts w:ascii="宋体" w:hAnsi="宋体" w:cs="宋体" w:eastAsia="宋体" w:hint="default"/>
                <w:sz w:val="18"/>
                <w:szCs w:val="18"/>
              </w:rPr>
            </w:pPr>
            <w:r>
              <w:rPr>
                <w:rFonts w:ascii="宋体" w:hAnsi="宋体" w:cs="宋体" w:eastAsia="宋体" w:hint="default"/>
                <w:sz w:val="18"/>
                <w:szCs w:val="18"/>
              </w:rPr>
              <w:t>未根据法院判决书支付 款项，预计收不回</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1"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浙江金大科技有限公司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3,088,409.02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3,088,409.02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预计收不回</w:t>
            </w:r>
          </w:p>
        </w:tc>
      </w:tr>
      <w:tr>
        <w:trPr>
          <w:trHeight w:val="715"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湖南众协环保新材料科 技有限公司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公司已注销</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38,137,995.62</w:t>
            </w:r>
          </w:p>
        </w:tc>
        <w:tc>
          <w:tcPr>
            <w:tcW w:w="191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38,137,995.62</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0"/>
        </w:sectPr>
      </w:pPr>
    </w:p>
    <w:p>
      <w:pPr>
        <w:pStyle w:val="BodyText"/>
        <w:spacing w:line="240" w:lineRule="auto" w:before="49"/>
        <w:ind w:right="-20"/>
        <w:jc w:val="left"/>
      </w:pPr>
      <w:r>
        <w:rPr/>
        <w:t>组合中，按账龄分析法计提坏账准备的应收账款：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113" w:space="4716"/>
            <w:col w:w="2101"/>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3"/>
        <w:gridCol w:w="2295"/>
        <w:gridCol w:w="2391"/>
        <w:gridCol w:w="2390"/>
      </w:tblGrid>
      <w:tr>
        <w:trPr>
          <w:trHeight w:val="206" w:hRule="exact"/>
        </w:trPr>
        <w:tc>
          <w:tcPr>
            <w:tcW w:w="24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账龄</w:t>
            </w:r>
          </w:p>
        </w:tc>
        <w:tc>
          <w:tcPr>
            <w:tcW w:w="7076"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83"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9" w:hRule="exact"/>
        </w:trPr>
        <w:tc>
          <w:tcPr>
            <w:tcW w:w="248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9"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636,936,977.43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31,846,848.87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258,351,887.63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25,835,188.76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124,893,398.04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24,978,679.61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62,709,483.49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31,354,741.75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27,922,413.47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22,337,930.78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30,248,619.45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30,248,619.45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1,141,062,779.51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166,602,009.22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14.60%</w:t>
            </w:r>
          </w:p>
        </w:tc>
      </w:tr>
    </w:tbl>
    <w:p>
      <w:pPr>
        <w:pStyle w:val="BodyText"/>
        <w:spacing w:line="360" w:lineRule="auto" w:before="49"/>
        <w:ind w:right="7154"/>
        <w:jc w:val="left"/>
      </w:pPr>
      <w:r>
        <w:rPr/>
        <w:t>确定该组合依据的说明： 相同账龄的应收款项具有类似信用风险特征。</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60" w:bottom="1160" w:left="980" w:right="0"/>
        </w:sectPr>
      </w:pPr>
    </w:p>
    <w:p>
      <w:pPr>
        <w:pStyle w:val="BodyText"/>
        <w:spacing w:line="240" w:lineRule="auto" w:before="44"/>
        <w:ind w:right="-11"/>
        <w:jc w:val="left"/>
      </w:pPr>
      <w:r>
        <w:rPr/>
        <w:t>组合中，采用余额百分比法计提坏账准备的应收账款：</w:t>
      </w:r>
    </w:p>
    <w:p>
      <w:pPr>
        <w:pStyle w:val="BodyText"/>
        <w:spacing w:line="348" w:lineRule="auto" w:before="115"/>
        <w:ind w:right="276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 </w:t>
      </w:r>
      <w:r>
        <w:rPr>
          <w:rFonts w:ascii="Times New Roman" w:hAnsi="Times New Roman" w:cs="Times New Roman" w:eastAsia="Times New Roman" w:hint="default"/>
        </w:rPr>
        <w:t>2)</w:t>
      </w:r>
      <w:r>
        <w:rPr/>
        <w:t>本期计提、收回或转回的坏账准备情况</w:t>
      </w:r>
    </w:p>
    <w:p>
      <w:pPr>
        <w:pStyle w:val="BodyText"/>
        <w:spacing w:line="340" w:lineRule="auto" w:before="14"/>
        <w:ind w:right="-11" w:firstLine="360"/>
        <w:jc w:val="left"/>
      </w:pPr>
      <w:r>
        <w:rPr/>
        <w:t>本期计提坏账准备金额</w:t>
      </w:r>
      <w:r>
        <w:rPr>
          <w:spacing w:val="-49"/>
        </w:rPr>
        <w:t> </w:t>
      </w:r>
      <w:r>
        <w:rPr>
          <w:rFonts w:ascii="Times New Roman" w:hAnsi="Times New Roman" w:cs="Times New Roman" w:eastAsia="Times New Roman" w:hint="default"/>
        </w:rPr>
        <w:t>92,396,112.39</w:t>
      </w:r>
      <w:r>
        <w:rPr>
          <w:rFonts w:ascii="Times New Roman" w:hAnsi="Times New Roman" w:cs="Times New Roman" w:eastAsia="Times New Roman" w:hint="default"/>
          <w:spacing w:val="-1"/>
        </w:rPr>
        <w:t> </w:t>
      </w:r>
      <w:r>
        <w:rPr/>
        <w:t>元；本期收回或转回坏账准备金额</w:t>
      </w:r>
      <w:r>
        <w:rPr>
          <w:spacing w:val="-49"/>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6901" w:space="1928"/>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088"/>
      </w:tblGrid>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49"/>
        <w:ind w:right="1133"/>
        <w:jc w:val="left"/>
      </w:pPr>
      <w:r>
        <w:rPr>
          <w:rFonts w:ascii="Times New Roman" w:hAnsi="Times New Roman" w:cs="Times New Roman" w:eastAsia="Times New Roman" w:hint="default"/>
        </w:rPr>
        <w:t>3)</w:t>
      </w:r>
      <w:r>
        <w:rPr/>
        <w:t>本期实际核销的应收账款情况</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1133"/>
        <w:jc w:val="left"/>
      </w:pPr>
      <w:r>
        <w:rPr/>
        <w:t>其中重要的应收账款核销情况：</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32" w:right="68"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1133"/>
        <w:jc w:val="left"/>
      </w:pPr>
      <w:r>
        <w:rPr/>
        <w:t>应收账款核销说明：</w:t>
      </w:r>
    </w:p>
    <w:p>
      <w:pPr>
        <w:pStyle w:val="BodyText"/>
        <w:spacing w:line="240" w:lineRule="auto" w:before="115"/>
        <w:ind w:right="1133"/>
        <w:jc w:val="left"/>
      </w:pPr>
      <w:r>
        <w:rPr>
          <w:rFonts w:ascii="Times New Roman" w:hAnsi="Times New Roman" w:cs="Times New Roman" w:eastAsia="Times New Roman" w:hint="default"/>
        </w:rPr>
        <w:t>4)</w:t>
      </w:r>
      <w:r>
        <w:rPr/>
        <w:t>按欠款方归集的期末余额前五名的应收账款情况</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1169" w:firstLine="360"/>
        <w:jc w:val="left"/>
      </w:pPr>
      <w:r>
        <w:rPr/>
        <w:t>本公司本期按欠款方归集的期末余额前五名应收账款汇总金额为</w:t>
      </w:r>
      <w:r>
        <w:rPr>
          <w:rFonts w:ascii="Times New Roman" w:hAnsi="Times New Roman" w:cs="Times New Roman" w:eastAsia="Times New Roman" w:hint="default"/>
        </w:rPr>
        <w:t>425,684,423.76</w:t>
      </w:r>
      <w:r>
        <w:rPr/>
        <w:t>元，占应收账款期末余额合计数的比例 为</w:t>
      </w:r>
      <w:r>
        <w:rPr>
          <w:rFonts w:ascii="Times New Roman" w:hAnsi="Times New Roman" w:cs="Times New Roman" w:eastAsia="Times New Roman" w:hint="default"/>
        </w:rPr>
        <w:t>34.38%</w:t>
      </w:r>
      <w:r>
        <w:rPr/>
        <w:t>，相应计提的坏账准备期末余额汇总金额为</w:t>
      </w:r>
      <w:r>
        <w:rPr>
          <w:rFonts w:ascii="Times New Roman" w:hAnsi="Times New Roman" w:cs="Times New Roman" w:eastAsia="Times New Roman" w:hint="default"/>
        </w:rPr>
        <w:t>51,294,383.81</w:t>
      </w:r>
      <w:r>
        <w:rPr/>
        <w:t>元。</w:t>
      </w:r>
    </w:p>
    <w:p>
      <w:pPr>
        <w:pStyle w:val="BodyText"/>
        <w:spacing w:line="240" w:lineRule="auto" w:before="53"/>
        <w:ind w:right="1133"/>
        <w:jc w:val="left"/>
      </w:pPr>
      <w:r>
        <w:rPr>
          <w:rFonts w:ascii="Times New Roman" w:hAnsi="Times New Roman" w:cs="Times New Roman" w:eastAsia="Times New Roman" w:hint="default"/>
        </w:rPr>
        <w:t>5)</w:t>
      </w:r>
      <w:r>
        <w:rPr/>
        <w:t>因金融资产转移而终止确认的应收账款</w:t>
      </w:r>
    </w:p>
    <w:p>
      <w:pPr>
        <w:pStyle w:val="BodyText"/>
        <w:spacing w:line="340" w:lineRule="auto" w:before="101"/>
        <w:ind w:right="6824"/>
        <w:jc w:val="left"/>
      </w:pPr>
      <w:r>
        <w:rPr>
          <w:rFonts w:ascii="Times New Roman" w:hAnsi="Times New Roman" w:cs="Times New Roman" w:eastAsia="Times New Roman" w:hint="default"/>
        </w:rPr>
        <w:t>6)</w:t>
      </w:r>
      <w:r>
        <w:rPr/>
        <w:t>转移应收账款且继续涉入形成的资产、负债金额</w:t>
      </w:r>
      <w:r>
        <w:rPr>
          <w:w w:val="99"/>
        </w:rPr>
        <w:t> </w:t>
      </w:r>
      <w:r>
        <w:rPr/>
        <w:t>其他说明：</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1,447,922,622.10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1,319,388,246.73</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1,447,922,622.10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1,319,388,246.73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应收利息分类</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rFonts w:ascii="Times New Roman" w:hAnsi="Times New Roman" w:cs="Times New Roman" w:eastAsia="Times New Roman" w:hint="default"/>
        </w:rPr>
        <w:t>2)</w:t>
      </w:r>
      <w:r>
        <w:rPr/>
        <w:t>重要逾期利息</w:t>
      </w:r>
    </w:p>
    <w:p>
      <w:pPr>
        <w:pStyle w:val="BodyText"/>
        <w:spacing w:line="240" w:lineRule="auto" w:before="10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0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73" w:right="39"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应收股利</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04"/>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3" w:right="39"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其他应收款分类披露</w:t>
      </w:r>
    </w:p>
    <w:p>
      <w:pPr>
        <w:pStyle w:val="BodyText"/>
        <w:spacing w:line="240" w:lineRule="auto" w:before="10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3839"/>
        <w:gridCol w:w="4084"/>
      </w:tblGrid>
      <w:tr>
        <w:trPr>
          <w:trHeight w:val="40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402"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15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2" w:hRule="exact"/>
        </w:trPr>
        <w:tc>
          <w:tcPr>
            <w:tcW w:w="1612" w:type="dxa"/>
            <w:vMerge/>
            <w:tcBorders>
              <w:left w:val="single" w:sz="4" w:space="0" w:color="000000"/>
              <w:right w:val="single" w:sz="4" w:space="0" w:color="000000"/>
            </w:tcBorders>
            <w:shd w:val="clear" w:color="auto" w:fill="D2D2D2"/>
          </w:tcPr>
          <w:p>
            <w:pPr/>
          </w:p>
        </w:tc>
        <w:tc>
          <w:tcPr>
            <w:tcW w:w="7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0" w:hRule="exact"/>
        </w:trPr>
        <w:tc>
          <w:tcPr>
            <w:tcW w:w="1612" w:type="dxa"/>
            <w:vMerge/>
            <w:tcBorders>
              <w:left w:val="single" w:sz="4" w:space="0" w:color="000000"/>
              <w:right w:val="single" w:sz="4" w:space="0" w:color="000000"/>
            </w:tcBorders>
            <w:shd w:val="clear" w:color="auto" w:fill="D2D2D2"/>
          </w:tcPr>
          <w:p>
            <w:pPr/>
          </w:p>
        </w:tc>
        <w:tc>
          <w:tcPr>
            <w:tcW w:w="7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4,300,00</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4,300,00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1,467,51</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1,054.65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99.71%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19,588,4</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32.55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1,447,922</w:t>
            </w:r>
          </w:p>
          <w:p>
            <w:pPr>
              <w:pStyle w:val="TableParagraph"/>
              <w:spacing w:line="240" w:lineRule="auto" w:before="102"/>
              <w:ind w:left="194" w:right="0"/>
              <w:jc w:val="center"/>
              <w:rPr>
                <w:rFonts w:ascii="Times New Roman" w:hAnsi="Times New Roman" w:cs="Times New Roman" w:eastAsia="Times New Roman" w:hint="default"/>
                <w:sz w:val="18"/>
                <w:szCs w:val="18"/>
              </w:rPr>
            </w:pPr>
            <w:r>
              <w:rPr>
                <w:rFonts w:ascii="Times New Roman"/>
                <w:sz w:val="18"/>
              </w:rPr>
              <w:t>,622.10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1,330,3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04,007.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10,915,76</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1.02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0.82%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1,319,388,2</w:t>
            </w:r>
          </w:p>
          <w:p>
            <w:pPr>
              <w:pStyle w:val="TableParagraph"/>
              <w:spacing w:line="240" w:lineRule="auto" w:before="102"/>
              <w:ind w:left="494" w:right="0"/>
              <w:jc w:val="left"/>
              <w:rPr>
                <w:rFonts w:ascii="Times New Roman" w:hAnsi="Times New Roman" w:cs="Times New Roman" w:eastAsia="Times New Roman" w:hint="default"/>
                <w:sz w:val="18"/>
                <w:szCs w:val="18"/>
              </w:rPr>
            </w:pPr>
            <w:r>
              <w:rPr>
                <w:rFonts w:ascii="Times New Roman"/>
                <w:sz w:val="18"/>
              </w:rPr>
              <w:t>46.73</w:t>
            </w:r>
          </w:p>
        </w:tc>
      </w:tr>
      <w:tr>
        <w:trPr>
          <w:trHeight w:val="317"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1,471,81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1,054.65</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23,888,4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32.55</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1.62%</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1,447,922</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,622.10</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1,330,3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04,007.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75</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10,915,76</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1.02</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0.82%</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1,319,388,2</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46.73</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319"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pStyle w:val="BodyText"/>
        <w:spacing w:line="240" w:lineRule="auto" w:before="49"/>
        <w:ind w:right="-20"/>
        <w:jc w:val="left"/>
      </w:pPr>
      <w:r>
        <w:rPr/>
        <w:t>期末单项金额重大并单项计提坏账准备的其他应收款：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473" w:space="435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3"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6"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深圳智拓联科技有限责 任公司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7"/>
              <w:jc w:val="left"/>
              <w:rPr>
                <w:rFonts w:ascii="宋体" w:hAnsi="宋体" w:cs="宋体" w:eastAsia="宋体" w:hint="default"/>
                <w:sz w:val="18"/>
                <w:szCs w:val="18"/>
              </w:rPr>
            </w:pPr>
            <w:r>
              <w:rPr>
                <w:rFonts w:ascii="宋体" w:hAnsi="宋体" w:cs="宋体" w:eastAsia="宋体" w:hint="default"/>
                <w:sz w:val="18"/>
                <w:szCs w:val="18"/>
              </w:rPr>
              <w:t>公司的股权已被法限冻 结，预计无法回收</w:t>
            </w:r>
          </w:p>
        </w:tc>
      </w:tr>
      <w:tr>
        <w:trPr>
          <w:trHeight w:val="713"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深圳市深百世科技有限 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预计无法回收</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4,300,000.00</w:t>
            </w:r>
          </w:p>
        </w:tc>
        <w:tc>
          <w:tcPr>
            <w:tcW w:w="191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4,300,000.00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49"/>
        <w:ind w:right="-20"/>
        <w:jc w:val="left"/>
      </w:pPr>
      <w:r>
        <w:rPr/>
        <w:t>组合中，按账龄分析法计提坏账准备的其他应收款：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293" w:space="453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3"/>
        <w:gridCol w:w="2295"/>
        <w:gridCol w:w="2391"/>
        <w:gridCol w:w="2390"/>
      </w:tblGrid>
      <w:tr>
        <w:trPr>
          <w:trHeight w:val="206" w:hRule="exact"/>
        </w:trPr>
        <w:tc>
          <w:tcPr>
            <w:tcW w:w="24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24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账龄</w:t>
            </w:r>
          </w:p>
        </w:tc>
        <w:tc>
          <w:tcPr>
            <w:tcW w:w="7076"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83"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135,481,150.37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6,774,057.52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72,243,598.72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7,224,359.87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726,582.50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145,316.50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4,035,406.84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2,017,703.42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1,452,285.15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1,161,828.12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2,265,167.12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2,265,167.12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216,204,190.70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19,588,432.55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9.06%</w:t>
            </w:r>
          </w:p>
        </w:tc>
      </w:tr>
    </w:tbl>
    <w:p>
      <w:pPr>
        <w:pStyle w:val="BodyText"/>
        <w:spacing w:line="357" w:lineRule="auto" w:before="49"/>
        <w:ind w:right="7154"/>
        <w:jc w:val="left"/>
      </w:pPr>
      <w:r>
        <w:rPr/>
        <w:t>确定该组合依据的说明： 相同账龄的应收款项具有类似信用风险特征。</w:t>
      </w:r>
    </w:p>
    <w:p>
      <w:pPr>
        <w:spacing w:after="0" w:line="357" w:lineRule="auto"/>
        <w:jc w:val="left"/>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5" w:footer="979" w:top="1060" w:bottom="1160" w:left="980" w:right="0"/>
        </w:sectPr>
      </w:pPr>
    </w:p>
    <w:p>
      <w:pPr>
        <w:pStyle w:val="BodyText"/>
        <w:spacing w:line="240" w:lineRule="auto" w:before="44"/>
        <w:ind w:right="-12"/>
        <w:jc w:val="left"/>
      </w:pPr>
      <w:r>
        <w:rPr/>
        <w:t>组合中，采用余额百分比法计提坏账准备的其他应收款：</w:t>
      </w:r>
    </w:p>
    <w:p>
      <w:pPr>
        <w:pStyle w:val="BodyText"/>
        <w:spacing w:line="338" w:lineRule="auto" w:before="117"/>
        <w:ind w:right="259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3"/>
        <w:ind w:right="2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2235"/>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1"/>
        <w:ind w:right="-12" w:firstLine="360"/>
        <w:jc w:val="left"/>
      </w:pPr>
      <w:r>
        <w:rPr/>
        <w:t>本期计提坏账准备金额</w:t>
      </w:r>
      <w:r>
        <w:rPr>
          <w:spacing w:val="-47"/>
        </w:rPr>
        <w:t> </w:t>
      </w:r>
      <w:r>
        <w:rPr>
          <w:rFonts w:ascii="Times New Roman" w:hAnsi="Times New Roman" w:cs="Times New Roman" w:eastAsia="Times New Roman" w:hint="default"/>
        </w:rPr>
        <w:t>12,972,671.53</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3"/>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6908" w:space="1921"/>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088"/>
      </w:tblGrid>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49"/>
        <w:ind w:right="1133"/>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0"/>
        <w:ind w:right="1133"/>
        <w:jc w:val="left"/>
      </w:pPr>
      <w:r>
        <w:rPr/>
        <w:t>其中重要的其他应收款核销情况：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04"/>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32" w:right="68"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4" w:lineRule="auto"/>
        <w:jc w:val="left"/>
        <w:rPr>
          <w:rFonts w:ascii="宋体" w:hAnsi="宋体" w:cs="宋体" w:eastAsia="宋体" w:hint="default"/>
          <w:sz w:val="18"/>
          <w:szCs w:val="18"/>
        </w:rPr>
        <w:sectPr>
          <w:type w:val="continuous"/>
          <w:pgSz w:w="11910" w:h="16840"/>
          <w:pgMar w:top="1060" w:bottom="1160" w:left="980" w:right="0"/>
        </w:sectPr>
      </w:pPr>
    </w:p>
    <w:p>
      <w:pPr>
        <w:pStyle w:val="BodyText"/>
        <w:spacing w:line="240" w:lineRule="auto" w:before="49"/>
        <w:ind w:right="-18"/>
        <w:jc w:val="left"/>
      </w:pPr>
      <w:r>
        <w:rPr/>
        <w:t>其他应收款核销说明：</w:t>
      </w:r>
    </w:p>
    <w:p>
      <w:pPr>
        <w:pStyle w:val="BodyText"/>
        <w:spacing w:line="240" w:lineRule="auto" w:before="117"/>
        <w:ind w:right="-18"/>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825" w:space="6004"/>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160,170,601.02</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104,055,485.67</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4,076,805.49</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4,612,652.33</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应收暂付款及其他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4,745,194.87</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5,664,725.58</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51,511,589.32</w:t>
            </w:r>
          </w:p>
        </w:tc>
        <w:tc>
          <w:tcPr>
            <w:tcW w:w="31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内部往来款项</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1,251,306,863.95</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1,215,971,144.17</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1,471,811,054.65</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1,330,304,007.75</w:t>
            </w:r>
          </w:p>
        </w:tc>
      </w:tr>
    </w:tbl>
    <w:p>
      <w:pPr>
        <w:pStyle w:val="BodyText"/>
        <w:spacing w:line="240" w:lineRule="auto" w:before="49"/>
        <w:ind w:right="1133"/>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5"/>
        <w:gridCol w:w="1251"/>
        <w:gridCol w:w="1553"/>
        <w:gridCol w:w="1551"/>
        <w:gridCol w:w="1616"/>
        <w:gridCol w:w="1615"/>
      </w:tblGrid>
      <w:tr>
        <w:trPr>
          <w:trHeight w:val="71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广州云硕科技发展有限 公司</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397,658,485.33</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27.02%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深圳市证通佳明光电有 限公司</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312,374,886.57</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21.22%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广东宏达通信有限公司</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3" w:right="0"/>
              <w:jc w:val="left"/>
              <w:rPr>
                <w:rFonts w:ascii="Times New Roman" w:hAnsi="Times New Roman" w:cs="Times New Roman" w:eastAsia="Times New Roman" w:hint="default"/>
                <w:sz w:val="18"/>
                <w:szCs w:val="18"/>
              </w:rPr>
            </w:pPr>
            <w:r>
              <w:rPr>
                <w:rFonts w:ascii="Times New Roman"/>
                <w:sz w:val="18"/>
              </w:rPr>
              <w:t>255,287,916.25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17.35%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长沙证通云计算有限公 司</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231,867,623.00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15.75%</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85"/>
        <w:gridCol w:w="1251"/>
        <w:gridCol w:w="1553"/>
        <w:gridCol w:w="1551"/>
        <w:gridCol w:w="1616"/>
        <w:gridCol w:w="1615"/>
      </w:tblGrid>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定州市中标节能技术服 务有限公司</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46,150,000.00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1,243,338,911.15</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84.48%</w:t>
            </w:r>
          </w:p>
        </w:tc>
        <w:tc>
          <w:tcPr>
            <w:tcW w:w="161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rFonts w:ascii="Times New Roman" w:hAnsi="Times New Roman" w:cs="Times New Roman" w:eastAsia="Times New Roman" w:hint="default"/>
        </w:rPr>
        <w:t>6)</w:t>
      </w:r>
      <w:r>
        <w:rPr/>
        <w:t>涉及政府补助的应收款项</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5"/>
        <w:gridCol w:w="1865"/>
        <w:gridCol w:w="1868"/>
        <w:gridCol w:w="1867"/>
        <w:gridCol w:w="1934"/>
      </w:tblGrid>
      <w:tr>
        <w:trPr>
          <w:trHeight w:val="715"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8" w:right="54"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49"/>
        <w:ind w:right="1133"/>
        <w:jc w:val="left"/>
      </w:pPr>
      <w:r>
        <w:rPr>
          <w:rFonts w:ascii="Times New Roman" w:hAnsi="Times New Roman" w:cs="Times New Roman" w:eastAsia="Times New Roman" w:hint="default"/>
        </w:rPr>
        <w:t>7)</w:t>
      </w:r>
      <w:r>
        <w:rPr/>
        <w:t>因金融资产转移而终止确认的其他应收款</w:t>
      </w:r>
    </w:p>
    <w:p>
      <w:pPr>
        <w:pStyle w:val="BodyText"/>
        <w:spacing w:line="340" w:lineRule="auto" w:before="101"/>
        <w:ind w:right="6644"/>
        <w:jc w:val="left"/>
      </w:pPr>
      <w:r>
        <w:rPr>
          <w:rFonts w:ascii="Times New Roman" w:hAnsi="Times New Roman" w:cs="Times New Roman" w:eastAsia="Times New Roman" w:hint="default"/>
        </w:rPr>
        <w:t>8)</w:t>
      </w:r>
      <w:r>
        <w:rPr/>
        <w:t>转移其他应收款且继续涉入形成的资产、负债金额</w:t>
      </w:r>
      <w:r>
        <w:rPr>
          <w:w w:val="99"/>
        </w:rPr>
        <w:t> </w:t>
      </w:r>
      <w:r>
        <w:rPr/>
        <w:t>其他说明：</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637,516,385.29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6,974,465.12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630,541,920.17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535,216,385.29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6,974,465.12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528,241,920.17</w:t>
            </w:r>
          </w:p>
        </w:tc>
      </w:tr>
      <w:tr>
        <w:trPr>
          <w:trHeight w:val="71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6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79,950,665.13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79,950,665.13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24,661,070.83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24,661,070.83</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717,467,050.42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6,974,465.12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710,492,585.30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559,877,456.12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6,974,465.12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552,902,991.00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8"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深圳市证通金信 科技术有限公司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31,331,919.17</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31,331,919.17</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深圳市证通普润 电子有限公司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4,727,471.37</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4,727,471.37</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4,727,471.37</w:t>
            </w: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深圳市证通数码 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2,246,993.75</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2,246,993.75</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2,246,993.75</w:t>
            </w: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深圳市证通佳明 光电有限公司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广州证通网络科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20,000,000.00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定州市中标节能 技术服务有限公 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广州云硕科技发 展有限公司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63,560,000.00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75,300,000.00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138,860,000.00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广东宏达通信有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20,150,000.00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20,150,000.00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长沙证通云计算 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深圳市证通云计 算有限公司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贵州证通光电有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四川蜀信易电子 商务有限公司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20,000,001.00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20,000,001.00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广州水晶智联科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535,216,385.29</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105,300,000.00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637,516,385.29</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10" w:right="0"/>
              <w:jc w:val="left"/>
              <w:rPr>
                <w:rFonts w:ascii="Times New Roman" w:hAnsi="Times New Roman" w:cs="Times New Roman" w:eastAsia="Times New Roman" w:hint="default"/>
                <w:sz w:val="18"/>
                <w:szCs w:val="18"/>
              </w:rPr>
            </w:pPr>
            <w:r>
              <w:rPr>
                <w:rFonts w:ascii="Times New Roman"/>
                <w:sz w:val="18"/>
              </w:rPr>
              <w:t>6,974,465.12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深圳市通 新源物业 管理有限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24,661,07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0.83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-289,535.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24,371,53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5.57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深圳盛灿 科技股份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50,002,92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1.23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338,023.7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50,340,94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4.94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广州水晶 智联科技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-9,457.07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2,240,542</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.93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深圳市前 海友胜资 本管理有 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-2,358.31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2,997,641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.69</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713"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24,661,07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0.83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55,252,92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1.23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36,673.07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79,950,66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5.13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24,661,07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0.83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55,252,92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1.23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36,673.07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79,950,66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5.13</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4"/>
        <w:gridCol w:w="1835"/>
        <w:gridCol w:w="1913"/>
        <w:gridCol w:w="1913"/>
        <w:gridCol w:w="1916"/>
      </w:tblGrid>
      <w:tr>
        <w:trPr>
          <w:trHeight w:val="207" w:hRule="exact"/>
        </w:trPr>
        <w:tc>
          <w:tcPr>
            <w:tcW w:w="1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4"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988,334,456.74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784,820,329.31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1,274,408,272.65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944,557,127.14</w:t>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988,334,456.74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784,820,329.31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1,274,408,272.65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944,557,127.14</w:t>
            </w:r>
          </w:p>
        </w:tc>
      </w:tr>
    </w:tbl>
    <w:p>
      <w:pPr>
        <w:pStyle w:val="BodyText"/>
        <w:spacing w:line="240" w:lineRule="auto" w:before="49"/>
        <w:ind w:right="1133"/>
        <w:jc w:val="left"/>
      </w:pPr>
      <w:r>
        <w:rPr/>
        <w:t>其他说明：</w:t>
      </w:r>
    </w:p>
    <w:p>
      <w:pPr>
        <w:pStyle w:val="BodyText"/>
        <w:spacing w:line="240" w:lineRule="auto" w:before="115"/>
        <w:ind w:left="513" w:right="1133"/>
        <w:jc w:val="left"/>
      </w:pPr>
      <w:r>
        <w:rPr/>
        <w:t>研发费用</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76"/>
        <w:gridCol w:w="3286"/>
        <w:gridCol w:w="3037"/>
      </w:tblGrid>
      <w:tr>
        <w:trPr>
          <w:trHeight w:val="32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97"/>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2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35,138,136.79</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35,377,254.85</w:t>
            </w:r>
          </w:p>
        </w:tc>
      </w:tr>
      <w:tr>
        <w:trPr>
          <w:trHeight w:val="324"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1"/>
                <w:sz w:val="18"/>
              </w:rPr>
              <w:t>1,536,752.88</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1"/>
                <w:sz w:val="18"/>
              </w:rPr>
              <w:t>2,048,968.77</w:t>
            </w:r>
          </w:p>
        </w:tc>
      </w:tr>
      <w:tr>
        <w:trPr>
          <w:trHeight w:val="32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1,850,405.24</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598,163.29</w:t>
            </w:r>
          </w:p>
        </w:tc>
      </w:tr>
      <w:tr>
        <w:trPr>
          <w:trHeight w:val="32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其他摊销</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1,164,385.07</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533,261.92</w:t>
            </w:r>
          </w:p>
        </w:tc>
      </w:tr>
      <w:tr>
        <w:trPr>
          <w:trHeight w:val="32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204,103.02</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459,151.91</w:t>
            </w:r>
          </w:p>
        </w:tc>
      </w:tr>
      <w:tr>
        <w:trPr>
          <w:trHeight w:val="32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630,205.43</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982,172.90</w:t>
            </w:r>
          </w:p>
        </w:tc>
      </w:tr>
      <w:tr>
        <w:trPr>
          <w:trHeight w:val="32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4,208,608.28</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5,366,920.29</w:t>
            </w:r>
          </w:p>
        </w:tc>
      </w:tr>
      <w:tr>
        <w:trPr>
          <w:trHeight w:val="324"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1"/>
                <w:sz w:val="18"/>
              </w:rPr>
              <w:t>370,695.66</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1"/>
                <w:sz w:val="18"/>
              </w:rPr>
              <w:t>311,275.33</w:t>
            </w:r>
          </w:p>
        </w:tc>
      </w:tr>
      <w:tr>
        <w:trPr>
          <w:trHeight w:val="32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技术支持费</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7,434,789.60</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9,697,261.90</w:t>
            </w:r>
          </w:p>
        </w:tc>
      </w:tr>
      <w:tr>
        <w:trPr>
          <w:trHeight w:val="32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614,162.54</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482,500.03</w:t>
            </w:r>
          </w:p>
        </w:tc>
      </w:tr>
      <w:tr>
        <w:trPr>
          <w:trHeight w:val="32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02"/>
              <w:jc w:val="right"/>
              <w:rPr>
                <w:rFonts w:ascii="宋体" w:hAnsi="宋体" w:cs="宋体" w:eastAsia="宋体" w:hint="default"/>
                <w:sz w:val="18"/>
                <w:szCs w:val="18"/>
              </w:rPr>
            </w:pPr>
            <w:r>
              <w:rPr>
                <w:rFonts w:ascii="宋体" w:hAnsi="宋体" w:cs="宋体" w:eastAsia="宋体" w:hint="default"/>
                <w:sz w:val="18"/>
                <w:szCs w:val="18"/>
              </w:rPr>
              <w:t>合计</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53,152,244.51</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55,856,931.19</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1133"/>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24,000,000.00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-548,389.06</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36,673.07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863,685.83</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24,036,673.07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315,296.77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净利润调节为经营活动现金流量：</w:t>
      </w:r>
    </w:p>
    <w:p>
      <w:pPr>
        <w:spacing w:after="0" w:line="240" w:lineRule="auto"/>
        <w:jc w:val="lef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5442"/>
        <w:gridCol w:w="2141"/>
        <w:gridCol w:w="2077"/>
      </w:tblGrid>
      <w:tr>
        <w:trPr>
          <w:trHeight w:val="341" w:hRule="exact"/>
        </w:trPr>
        <w:tc>
          <w:tcPr>
            <w:tcW w:w="5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03"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674"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43" w:hRule="exact"/>
        </w:trPr>
        <w:tc>
          <w:tcPr>
            <w:tcW w:w="5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141"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-167,871,561.98</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62,567,239.94</w:t>
            </w:r>
          </w:p>
        </w:tc>
      </w:tr>
      <w:tr>
        <w:trPr>
          <w:trHeight w:val="343" w:hRule="exact"/>
        </w:trPr>
        <w:tc>
          <w:tcPr>
            <w:tcW w:w="5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2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194,885,252.28</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49,136,745.24</w:t>
            </w:r>
          </w:p>
        </w:tc>
      </w:tr>
      <w:tr>
        <w:trPr>
          <w:trHeight w:val="341" w:hRule="exact"/>
        </w:trPr>
        <w:tc>
          <w:tcPr>
            <w:tcW w:w="5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58"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35,880,593.33</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23,230,126.73</w:t>
            </w:r>
          </w:p>
        </w:tc>
      </w:tr>
      <w:tr>
        <w:trPr>
          <w:trHeight w:val="343" w:hRule="exact"/>
        </w:trPr>
        <w:tc>
          <w:tcPr>
            <w:tcW w:w="5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5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18,143,507.54</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15,219,450.74</w:t>
            </w:r>
          </w:p>
        </w:tc>
      </w:tr>
      <w:tr>
        <w:trPr>
          <w:trHeight w:val="341" w:hRule="exact"/>
        </w:trPr>
        <w:tc>
          <w:tcPr>
            <w:tcW w:w="5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58"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141"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2,264,150.95</w:t>
            </w:r>
          </w:p>
        </w:tc>
      </w:tr>
      <w:tr>
        <w:trPr>
          <w:trHeight w:val="655" w:hRule="exact"/>
        </w:trPr>
        <w:tc>
          <w:tcPr>
            <w:tcW w:w="5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5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处置固定资产、无形资产和其他长期资产的损失</w:t>
            </w:r>
            <w:r>
              <w:rPr>
                <w:rFonts w:ascii="Times New Roman" w:hAnsi="Times New Roman" w:cs="Times New Roman" w:eastAsia="Times New Roman" w:hint="default"/>
                <w:sz w:val="18"/>
                <w:szCs w:val="18"/>
              </w:rPr>
              <w:t>(</w:t>
            </w:r>
            <w:r>
              <w:rPr>
                <w:rFonts w:ascii="宋体" w:hAnsi="宋体" w:cs="宋体" w:eastAsia="宋体" w:hint="default"/>
                <w:sz w:val="18"/>
                <w:szCs w:val="18"/>
              </w:rPr>
              <w:t>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-575,474.41</w:t>
            </w: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5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固定资产报废损失</w:t>
            </w:r>
            <w:r>
              <w:rPr>
                <w:rFonts w:ascii="Times New Roman" w:hAnsi="Times New Roman" w:cs="Times New Roman" w:eastAsia="Times New Roman" w:hint="default"/>
                <w:sz w:val="18"/>
                <w:szCs w:val="18"/>
              </w:rPr>
              <w:t>(</w:t>
            </w:r>
            <w:r>
              <w:rPr>
                <w:rFonts w:ascii="宋体" w:hAnsi="宋体" w:cs="宋体" w:eastAsia="宋体" w:hint="default"/>
                <w:sz w:val="18"/>
                <w:szCs w:val="18"/>
              </w:rPr>
              <w:t>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84,935.45</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8,704.38</w:t>
            </w:r>
          </w:p>
        </w:tc>
      </w:tr>
      <w:tr>
        <w:trPr>
          <w:trHeight w:val="344" w:hRule="exact"/>
        </w:trPr>
        <w:tc>
          <w:tcPr>
            <w:tcW w:w="5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5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公允价值变动损失</w:t>
            </w:r>
            <w:r>
              <w:rPr>
                <w:rFonts w:ascii="Times New Roman" w:hAnsi="Times New Roman" w:cs="Times New Roman" w:eastAsia="Times New Roman" w:hint="default"/>
                <w:sz w:val="18"/>
                <w:szCs w:val="18"/>
              </w:rPr>
              <w:t>(</w:t>
            </w:r>
            <w:r>
              <w:rPr>
                <w:rFonts w:ascii="宋体" w:hAnsi="宋体" w:cs="宋体" w:eastAsia="宋体" w:hint="default"/>
                <w:sz w:val="18"/>
                <w:szCs w:val="18"/>
              </w:rPr>
              <w:t>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2141"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5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财务费用</w:t>
            </w:r>
            <w:r>
              <w:rPr>
                <w:rFonts w:ascii="Times New Roman" w:hAnsi="Times New Roman" w:cs="Times New Roman" w:eastAsia="Times New Roman" w:hint="default"/>
                <w:sz w:val="18"/>
                <w:szCs w:val="18"/>
              </w:rPr>
              <w:t>(</w:t>
            </w:r>
            <w:r>
              <w:rPr>
                <w:rFonts w:ascii="宋体" w:hAnsi="宋体" w:cs="宋体" w:eastAsia="宋体" w:hint="default"/>
                <w:sz w:val="18"/>
                <w:szCs w:val="18"/>
              </w:rPr>
              <w:t>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87,727,401.50</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69,601,723.86</w:t>
            </w:r>
          </w:p>
        </w:tc>
      </w:tr>
      <w:tr>
        <w:trPr>
          <w:trHeight w:val="343" w:hRule="exact"/>
        </w:trPr>
        <w:tc>
          <w:tcPr>
            <w:tcW w:w="5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5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投资损失</w:t>
            </w:r>
            <w:r>
              <w:rPr>
                <w:rFonts w:ascii="Times New Roman" w:hAnsi="Times New Roman" w:cs="Times New Roman" w:eastAsia="Times New Roman" w:hint="default"/>
                <w:sz w:val="18"/>
                <w:szCs w:val="18"/>
              </w:rPr>
              <w:t>(</w:t>
            </w:r>
            <w:r>
              <w:rPr>
                <w:rFonts w:ascii="宋体" w:hAnsi="宋体" w:cs="宋体" w:eastAsia="宋体" w:hint="default"/>
                <w:sz w:val="18"/>
                <w:szCs w:val="18"/>
              </w:rPr>
              <w:t>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-24,036,673.07</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-315,296.77</w:t>
            </w:r>
          </w:p>
        </w:tc>
      </w:tr>
      <w:tr>
        <w:trPr>
          <w:trHeight w:val="341" w:hRule="exact"/>
        </w:trPr>
        <w:tc>
          <w:tcPr>
            <w:tcW w:w="5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5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递延所得税资产减少</w:t>
            </w:r>
            <w:r>
              <w:rPr>
                <w:rFonts w:ascii="Times New Roman" w:hAnsi="Times New Roman" w:cs="Times New Roman" w:eastAsia="Times New Roman" w:hint="default"/>
                <w:sz w:val="18"/>
                <w:szCs w:val="18"/>
              </w:rPr>
              <w:t>(</w:t>
            </w:r>
            <w:r>
              <w:rPr>
                <w:rFonts w:ascii="宋体" w:hAnsi="宋体" w:cs="宋体" w:eastAsia="宋体" w:hint="default"/>
                <w:sz w:val="18"/>
                <w:szCs w:val="18"/>
              </w:rPr>
              <w:t>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-28,641,467.01</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-6,091,954.07</w:t>
            </w:r>
          </w:p>
        </w:tc>
      </w:tr>
      <w:tr>
        <w:trPr>
          <w:trHeight w:val="343" w:hRule="exact"/>
        </w:trPr>
        <w:tc>
          <w:tcPr>
            <w:tcW w:w="5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5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递延所得税负债增加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2141"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-131,949.97</w:t>
            </w:r>
          </w:p>
        </w:tc>
      </w:tr>
      <w:tr>
        <w:trPr>
          <w:trHeight w:val="341" w:hRule="exact"/>
        </w:trPr>
        <w:tc>
          <w:tcPr>
            <w:tcW w:w="5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5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存货的减少</w:t>
            </w:r>
            <w:r>
              <w:rPr>
                <w:rFonts w:ascii="Times New Roman" w:hAnsi="Times New Roman" w:cs="Times New Roman" w:eastAsia="Times New Roman" w:hint="default"/>
                <w:sz w:val="18"/>
                <w:szCs w:val="18"/>
              </w:rPr>
              <w:t>(</w:t>
            </w:r>
            <w:r>
              <w:rPr>
                <w:rFonts w:ascii="宋体" w:hAnsi="宋体" w:cs="宋体" w:eastAsia="宋体" w:hint="default"/>
                <w:sz w:val="18"/>
                <w:szCs w:val="18"/>
              </w:rPr>
              <w:t>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3,834,064.18</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-34,501,144.49</w:t>
            </w:r>
          </w:p>
        </w:tc>
      </w:tr>
      <w:tr>
        <w:trPr>
          <w:trHeight w:val="343" w:hRule="exact"/>
        </w:trPr>
        <w:tc>
          <w:tcPr>
            <w:tcW w:w="5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5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经营性应收项目的减少</w:t>
            </w:r>
            <w:r>
              <w:rPr>
                <w:rFonts w:ascii="Times New Roman" w:hAnsi="Times New Roman" w:cs="Times New Roman" w:eastAsia="Times New Roman" w:hint="default"/>
                <w:sz w:val="18"/>
                <w:szCs w:val="18"/>
              </w:rPr>
              <w:t>(</w:t>
            </w:r>
            <w:r>
              <w:rPr>
                <w:rFonts w:ascii="宋体" w:hAnsi="宋体" w:cs="宋体" w:eastAsia="宋体" w:hint="default"/>
                <w:sz w:val="18"/>
                <w:szCs w:val="18"/>
              </w:rPr>
              <w:t>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-246,126,776.49</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-765,303,607.49</w:t>
            </w:r>
          </w:p>
        </w:tc>
      </w:tr>
      <w:tr>
        <w:trPr>
          <w:trHeight w:val="341" w:hRule="exact"/>
        </w:trPr>
        <w:tc>
          <w:tcPr>
            <w:tcW w:w="5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5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经营性应付项目的增加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362,685,976.50</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-312,388,495.75</w:t>
            </w:r>
          </w:p>
        </w:tc>
      </w:tr>
      <w:tr>
        <w:trPr>
          <w:trHeight w:val="343" w:hRule="exact"/>
        </w:trPr>
        <w:tc>
          <w:tcPr>
            <w:tcW w:w="5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-4,933,833.29</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-8,577,666.66</w:t>
            </w:r>
          </w:p>
        </w:tc>
      </w:tr>
      <w:tr>
        <w:trPr>
          <w:trHeight w:val="341" w:hRule="exact"/>
        </w:trPr>
        <w:tc>
          <w:tcPr>
            <w:tcW w:w="5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58"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231,055,944.53</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-905,281,973.36</w:t>
            </w:r>
          </w:p>
        </w:tc>
      </w:tr>
      <w:tr>
        <w:trPr>
          <w:trHeight w:val="343" w:hRule="exact"/>
        </w:trPr>
        <w:tc>
          <w:tcPr>
            <w:tcW w:w="5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141"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3"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141"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5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23"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141"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3"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141"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5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141"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124,448,968.68</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246,101,300.13</w:t>
            </w:r>
          </w:p>
        </w:tc>
      </w:tr>
      <w:tr>
        <w:trPr>
          <w:trHeight w:val="343" w:hRule="exact"/>
        </w:trPr>
        <w:tc>
          <w:tcPr>
            <w:tcW w:w="5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2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246,101,300.13</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1,150,419,655.90</w:t>
            </w:r>
          </w:p>
        </w:tc>
      </w:tr>
      <w:tr>
        <w:trPr>
          <w:trHeight w:val="341" w:hRule="exact"/>
        </w:trPr>
        <w:tc>
          <w:tcPr>
            <w:tcW w:w="5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3"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141"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5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23"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141"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344" w:hRule="exact"/>
        </w:trPr>
        <w:tc>
          <w:tcPr>
            <w:tcW w:w="5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2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-121,652,331.45</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-904,318,355.77</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十八、补充资料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290,363.17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20,583,558.42</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675"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2" w:right="49"/>
              <w:jc w:val="left"/>
              <w:rPr>
                <w:rFonts w:ascii="宋体" w:hAnsi="宋体" w:cs="宋体" w:eastAsia="宋体" w:hint="default"/>
                <w:sz w:val="18"/>
                <w:szCs w:val="18"/>
              </w:rPr>
            </w:pPr>
            <w:r>
              <w:rPr>
                <w:rFonts w:ascii="宋体" w:hAnsi="宋体" w:cs="宋体" w:eastAsia="宋体" w:hint="default"/>
                <w:sz w:val="18"/>
                <w:szCs w:val="18"/>
              </w:rPr>
              <w:t>切相关，按照国家统一标准定额或定量享 受的政府补助除外）</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24,000,000.00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-16,894,616.95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669,972.32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-4,608,282.25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31,917,614.57</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034"/>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0"/>
        <w:gridCol w:w="3083"/>
        <w:gridCol w:w="1913"/>
        <w:gridCol w:w="1913"/>
      </w:tblGrid>
      <w:tr>
        <w:trPr>
          <w:trHeight w:val="206" w:hRule="exact"/>
        </w:trPr>
        <w:tc>
          <w:tcPr>
            <w:tcW w:w="2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0" w:type="dxa"/>
            <w:vMerge/>
            <w:tcBorders>
              <w:left w:val="single" w:sz="4" w:space="0" w:color="000000"/>
              <w:bottom w:val="nil" w:sz="6" w:space="0" w:color="auto"/>
              <w:right w:val="single" w:sz="4" w:space="0" w:color="000000"/>
            </w:tcBorders>
            <w:shd w:val="clear" w:color="auto" w:fill="D2D2D2"/>
          </w:tcPr>
          <w:p>
            <w:pPr/>
          </w:p>
        </w:tc>
        <w:tc>
          <w:tcPr>
            <w:tcW w:w="3083"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4" w:hRule="exact"/>
        </w:trPr>
        <w:tc>
          <w:tcPr>
            <w:tcW w:w="2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-0.53</w:t>
            </w:r>
          </w:p>
        </w:tc>
      </w:tr>
      <w:tr>
        <w:trPr>
          <w:trHeight w:val="715"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-0.52</w:t>
            </w:r>
          </w:p>
        </w:tc>
      </w:tr>
    </w:tbl>
    <w:p>
      <w:pPr>
        <w:spacing w:line="240" w:lineRule="auto" w:before="3"/>
        <w:rPr>
          <w:rFonts w:ascii="宋体" w:hAnsi="宋体" w:cs="宋体" w:eastAsia="宋体" w:hint="default"/>
          <w:b/>
          <w:bCs/>
          <w:sz w:val="19"/>
          <w:szCs w:val="19"/>
        </w:rPr>
      </w:pPr>
    </w:p>
    <w:p>
      <w:pPr>
        <w:spacing w:before="36"/>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、境内外会计准则下会计数据差异</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）同时按照国际会计准则与按中国会计准则披露的财务报告中净利润和净资产差异情况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59" w:lineRule="auto"/>
        <w:ind w:right="1133"/>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6"/>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745"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spacing w:before="0"/>
        <w:ind w:left="3285" w:right="1133" w:firstLine="0"/>
        <w:jc w:val="left"/>
        <w:rPr>
          <w:rFonts w:ascii="宋体" w:hAnsi="宋体" w:cs="宋体" w:eastAsia="宋体" w:hint="default"/>
          <w:sz w:val="32"/>
          <w:szCs w:val="32"/>
        </w:rPr>
      </w:pPr>
      <w:bookmarkStart w:name="_bookmark11" w:id="12"/>
      <w:bookmarkEnd w:id="12"/>
      <w:r>
        <w:rPr/>
      </w:r>
      <w:r>
        <w:rPr>
          <w:rFonts w:ascii="宋体" w:hAnsi="宋体" w:cs="宋体" w:eastAsia="宋体" w:hint="default"/>
          <w:b/>
          <w:bCs/>
          <w:sz w:val="32"/>
          <w:szCs w:val="32"/>
        </w:rPr>
        <w:t>第十二节</w:t>
      </w:r>
      <w:r>
        <w:rPr>
          <w:rFonts w:ascii="宋体" w:hAnsi="宋体" w:cs="宋体" w:eastAsia="宋体" w:hint="default"/>
          <w:b/>
          <w:bCs/>
          <w:spacing w:val="-6"/>
          <w:sz w:val="32"/>
          <w:szCs w:val="32"/>
        </w:rPr>
        <w:t> </w:t>
      </w:r>
      <w:r>
        <w:rPr>
          <w:rFonts w:ascii="宋体" w:hAnsi="宋体" w:cs="宋体" w:eastAsia="宋体" w:hint="default"/>
          <w:b/>
          <w:bCs/>
          <w:sz w:val="32"/>
          <w:szCs w:val="32"/>
        </w:rPr>
        <w:t>备查文件目录</w:t>
      </w:r>
      <w:r>
        <w:rPr>
          <w:rFonts w:ascii="宋体" w:hAnsi="宋体" w:cs="宋体" w:eastAsia="宋体" w:hint="default"/>
          <w:sz w:val="32"/>
          <w:szCs w:val="32"/>
        </w:rPr>
      </w:r>
    </w:p>
    <w:p>
      <w:pPr>
        <w:spacing w:line="240" w:lineRule="auto" w:before="6"/>
        <w:rPr>
          <w:rFonts w:ascii="宋体" w:hAnsi="宋体" w:cs="宋体" w:eastAsia="宋体" w:hint="default"/>
          <w:b/>
          <w:bCs/>
          <w:sz w:val="42"/>
          <w:szCs w:val="42"/>
        </w:rPr>
      </w:pPr>
    </w:p>
    <w:p>
      <w:pPr>
        <w:pStyle w:val="BodyText"/>
        <w:spacing w:line="309" w:lineRule="auto"/>
        <w:ind w:right="1119"/>
        <w:jc w:val="left"/>
      </w:pPr>
      <w:r>
        <w:rPr/>
        <w:t>一、载有董事长签名的</w:t>
      </w:r>
      <w:r>
        <w:rPr>
          <w:rFonts w:ascii="Times New Roman" w:hAnsi="Times New Roman" w:cs="Times New Roman" w:eastAsia="Times New Roman" w:hint="default"/>
        </w:rPr>
        <w:t>2018</w:t>
      </w:r>
      <w:r>
        <w:rPr/>
        <w:t>年年度报告全文； 二、载有公司负责人、主管会计工作负责人、会计机构负责人（会计主管人员）签名并盖章的财务报表； 三、载有会计师事务所盖章、注册会计师签名并盖章的审计报告原件； 四、报告期内，公司在《证券时报》和巨潮资讯网（</w:t>
      </w:r>
      <w:hyperlink r:id="rId13">
        <w:r>
          <w:rPr>
            <w:rFonts w:ascii="Times New Roman" w:hAnsi="Times New Roman" w:cs="Times New Roman" w:eastAsia="Times New Roman" w:hint="default"/>
          </w:rPr>
          <w:t>http://www.cninfo.com.cn</w:t>
        </w:r>
      </w:hyperlink>
      <w:r>
        <w:rPr/>
        <w:t>）上公开披露过的所有公司文件的正本及公告 的原稿。</w:t>
      </w:r>
    </w:p>
    <w:p>
      <w:pPr>
        <w:pStyle w:val="BodyText"/>
        <w:spacing w:line="240" w:lineRule="auto" w:before="24"/>
        <w:ind w:right="1133"/>
        <w:jc w:val="left"/>
      </w:pPr>
      <w:r>
        <w:rPr/>
        <w:t>上述文件备置于公司董事会办公室备查。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3"/>
          <w:szCs w:val="13"/>
        </w:rPr>
      </w:pPr>
    </w:p>
    <w:p>
      <w:pPr>
        <w:pStyle w:val="BodyText"/>
        <w:spacing w:line="357" w:lineRule="auto"/>
        <w:ind w:left="3981" w:right="4602"/>
        <w:jc w:val="center"/>
      </w:pPr>
      <w:r>
        <w:rPr/>
        <w:t>深圳市证通电子股份有限公司 </w:t>
      </w:r>
      <w:r>
        <w:rPr>
          <w:spacing w:val="-11"/>
        </w:rPr>
        <w:t>董事长（曾胜强）：</w:t>
      </w:r>
      <w:r>
        <w:rPr/>
        <w:t> 二〇一九年四月二十六日</w:t>
      </w:r>
    </w:p>
    <w:sectPr>
      <w:pgSz w:w="11910" w:h="16840"/>
      <w:pgMar w:header="745"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algun Gothic">
    <w:altName w:val="Malgun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03616" type="#_x0000_t75" stroked="false">
          <v:imagedata r:id="rId1" o:title=""/>
        </v:shape>
      </w:pict>
    </w:r>
    <w:r>
      <w:rPr/>
      <w:pict>
        <v:shape style="position:absolute;margin-left:533.099976pt;margin-top:795.637939pt;width:6.5pt;height:11pt;mso-position-horizontal-relative:page;mso-position-vertical-relative:page;z-index:-120359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03184" type="#_x0000_t75" stroked="false">
          <v:imagedata r:id="rId1" o:title=""/>
        </v:shape>
      </w:pict>
    </w:r>
    <w:r>
      <w:rPr/>
      <w:pict>
        <v:shape style="position:absolute;margin-left:524.099976pt;margin-top:781.957947pt;width:15.7pt;height:11pt;mso-position-horizontal-relative:page;mso-position-vertical-relative:page;z-index:-120316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03136" type="#_x0000_t75" stroked="false">
          <v:imagedata r:id="rId1" o:title=""/>
        </v:shape>
      </w:pict>
    </w:r>
    <w:r>
      <w:rPr/>
      <w:pict>
        <v:shape style="position:absolute;margin-left:523.099976pt;margin-top:781.957947pt;width:17.7pt;height:11pt;mso-position-horizontal-relative:page;mso-position-vertical-relative:page;z-index:-12031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03568" type="#_x0000_t75" stroked="false">
          <v:imagedata r:id="rId1" o:title=""/>
        </v:shape>
      </w:pict>
    </w:r>
    <w:r>
      <w:rPr/>
      <w:pict>
        <v:shape style="position:absolute;margin-left:527.659973pt;margin-top:781.957947pt;width:13.15pt;height:11pt;mso-position-horizontal-relative:page;mso-position-vertical-relative:page;z-index:-12035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03520" type="#_x0000_t75" stroked="false">
          <v:imagedata r:id="rId1" o:title=""/>
        </v:shape>
      </w:pict>
    </w:r>
    <w:r>
      <w:rPr/>
      <w:pict>
        <v:shape style="position:absolute;margin-left:527.659973pt;margin-top:781.957947pt;width:13.15pt;height:11pt;mso-position-horizontal-relative:page;mso-position-vertical-relative:page;z-index:-12034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49</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03472" type="#_x0000_t75" stroked="false">
          <v:imagedata r:id="rId1" o:title=""/>
        </v:shape>
      </w:pict>
    </w:r>
    <w:r>
      <w:rPr/>
      <w:pict>
        <v:shape style="position:absolute;margin-left:527.659973pt;margin-top:781.957947pt;width:13.15pt;height:11pt;mso-position-horizontal-relative:page;mso-position-vertical-relative:page;z-index:-12034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62</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03424" type="#_x0000_t75" stroked="false">
          <v:imagedata r:id="rId1" o:title=""/>
        </v:shape>
      </w:pict>
    </w:r>
    <w:r>
      <w:rPr/>
      <w:pict>
        <v:shape style="position:absolute;margin-left:524.099976pt;margin-top:781.957947pt;width:15.7pt;height:11pt;mso-position-horizontal-relative:page;mso-position-vertical-relative:page;z-index:-120340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03376" type="#_x0000_t75" stroked="false">
          <v:imagedata r:id="rId1" o:title=""/>
        </v:shape>
      </w:pict>
    </w:r>
    <w:r>
      <w:rPr/>
      <w:pict>
        <v:shape style="position:absolute;margin-left:523.099976pt;margin-top:781.957947pt;width:17.7pt;height:11pt;mso-position-horizontal-relative:page;mso-position-vertical-relative:page;z-index:-12033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03328" type="#_x0000_t75" stroked="false">
          <v:imagedata r:id="rId1" o:title=""/>
        </v:shape>
      </w:pict>
    </w:r>
    <w:r>
      <w:rPr/>
      <w:pict>
        <v:shape style="position:absolute;margin-left:523.460022pt;margin-top:781.957947pt;width:17.3pt;height:11pt;mso-position-horizontal-relative:page;mso-position-vertical-relative:page;z-index:-12033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03280" type="#_x0000_t75" stroked="false">
          <v:imagedata r:id="rId1" o:title=""/>
        </v:shape>
      </w:pict>
    </w:r>
    <w:r>
      <w:rPr/>
      <w:pict>
        <v:shape style="position:absolute;margin-left:523.099976pt;margin-top:781.957947pt;width:17.7pt;height:11pt;mso-position-horizontal-relative:page;mso-position-vertical-relative:page;z-index:-12032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03232" type="#_x0000_t75" stroked="false">
          <v:imagedata r:id="rId1" o:title=""/>
        </v:shape>
      </w:pict>
    </w:r>
    <w:r>
      <w:rPr/>
      <w:pict>
        <v:shape style="position:absolute;margin-left:523.099976pt;margin-top:781.957947pt;width:17.7pt;height:11pt;mso-position-horizontal-relative:page;mso-position-vertical-relative:page;z-index:-12032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125</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070007pt;margin-top:36.265610pt;width:204.75pt;height:11.5pt;mso-position-horizontal-relative:page;mso-position-vertical-relative:page;z-index:-1203640" type="#_x0000_t202" filled="false" stroked="false">
          <v:textbox inset="0,0,0,0">
            <w:txbxContent>
              <w:p>
                <w:pPr>
                  <w:pStyle w:val="BodyText"/>
                  <w:spacing w:line="214" w:lineRule="exact"/>
                  <w:ind w:left="20" w:right="0"/>
                  <w:jc w:val="left"/>
                </w:pPr>
                <w:r>
                  <w:rPr/>
                  <w:t>深圳市证通电子股份有限公司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81"/>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ind w:left="513"/>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szzt.com.cn/" TargetMode="External"/><Relationship Id="rId10" Type="http://schemas.openxmlformats.org/officeDocument/2006/relationships/hyperlink" Target="mailto:ir@szzt.com.cn" TargetMode="External"/><Relationship Id="rId11" Type="http://schemas.openxmlformats.org/officeDocument/2006/relationships/hyperlink" Target="mailto:fudeliang@szzt.com.cn" TargetMode="External"/><Relationship Id="rId12" Type="http://schemas.openxmlformats.org/officeDocument/2006/relationships/hyperlink" Target="mailto:wangfang@szzt.com.cn" TargetMode="External"/><Relationship Id="rId13" Type="http://schemas.openxmlformats.org/officeDocument/2006/relationships/hyperlink" Target="http://www.cninfo.com.cn/" TargetMode="External"/><Relationship Id="rId14" Type="http://schemas.openxmlformats.org/officeDocument/2006/relationships/footer" Target="footer3.xml"/><Relationship Id="rId15" Type="http://schemas.openxmlformats.org/officeDocument/2006/relationships/hyperlink" Target="http://irm.cninfo.com.cn/ssessgs/S002" TargetMode="External"/><Relationship Id="rId16" Type="http://schemas.openxmlformats.org/officeDocument/2006/relationships/footer" Target="footer4.xml"/><Relationship Id="rId17" Type="http://schemas.openxmlformats.org/officeDocument/2006/relationships/image" Target="media/image3.png"/><Relationship Id="rId18" Type="http://schemas.openxmlformats.org/officeDocument/2006/relationships/hyperlink" Target="http://www.pyrating.cn/" TargetMode="Externa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footer" Target="footer1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深圳市证通电子股份有限公司</dc:creator>
  <dc:title>深圳市证通电子股份有限公司2018年年度报告全文</dc:title>
  <dcterms:created xsi:type="dcterms:W3CDTF">2020-05-05T03:15:18Z</dcterms:created>
  <dcterms:modified xsi:type="dcterms:W3CDTF">2020-05-05T03:15:18Z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2019-04-25T00:00:00Z</vt:filetime>
  </property>
  <property fmtid="{D5CDD505-2E9C-101B-9397-08002B2CF9AE}" pid="3" name="Creator">
    <vt:lpwstr>Microsoft® Office Word 2007</vt:lpwstr>
  </property>
  <property fmtid="{D5CDD505-2E9C-101B-9397-08002B2CF9AE}" pid="4" name="LastSaved">
    <vt:filetime>2020-05-04T00:00:00Z</vt:filetime>
  </property>
</Properties>
</file>